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8D9532">
      <w:pPr>
        <w:pStyle w:val="5"/>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textAlignment w:val="auto"/>
        <w:rPr>
          <w:rFonts w:hint="default" w:ascii="宋体" w:hAnsi="宋体" w:eastAsia="宋体" w:cs="宋体"/>
          <w:color w:val="auto"/>
          <w:sz w:val="24"/>
          <w:szCs w:val="24"/>
          <w:lang w:val="en-US" w:eastAsia="zh-CN"/>
        </w:rPr>
      </w:pPr>
    </w:p>
    <w:p w14:paraId="35E9E7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楷体_GB2312" w:hAnsi="Times New Roman" w:eastAsia="楷体_GB2312" w:cs="Times New Roman"/>
          <w:b/>
          <w:color w:val="auto"/>
          <w:sz w:val="32"/>
          <w:szCs w:val="32"/>
          <w:lang w:val="en-US" w:eastAsia="zh-CN"/>
        </w:rPr>
      </w:pPr>
      <w:r>
        <w:rPr>
          <w:rFonts w:hint="eastAsia" w:ascii="楷体_GB2312" w:hAnsi="Times New Roman" w:eastAsia="楷体_GB2312" w:cs="Times New Roman"/>
          <w:b/>
          <w:color w:val="auto"/>
          <w:sz w:val="32"/>
          <w:szCs w:val="32"/>
          <w:lang w:val="en-US" w:eastAsia="zh-CN"/>
        </w:rPr>
        <w:t>本部校区体育场馆修缮工程</w:t>
      </w:r>
    </w:p>
    <w:p w14:paraId="179ECDA8">
      <w:pPr>
        <w:keepNext w:val="0"/>
        <w:keepLines w:val="0"/>
        <w:pageBreakBefore w:val="0"/>
        <w:widowControl w:val="0"/>
        <w:kinsoku/>
        <w:wordWrap/>
        <w:overflowPunct/>
        <w:topLinePunct w:val="0"/>
        <w:autoSpaceDE/>
        <w:autoSpaceDN/>
        <w:bidi w:val="0"/>
        <w:adjustRightInd/>
        <w:snapToGrid/>
        <w:spacing w:line="480" w:lineRule="auto"/>
        <w:ind w:firstLine="643" w:firstLineChars="200"/>
        <w:jc w:val="center"/>
        <w:textAlignment w:val="auto"/>
        <w:rPr>
          <w:rFonts w:hint="eastAsia" w:ascii="楷体_GB2312" w:hAnsi="Times New Roman" w:eastAsia="楷体_GB2312" w:cs="Times New Roman"/>
          <w:b/>
          <w:color w:val="auto"/>
          <w:sz w:val="32"/>
          <w:szCs w:val="32"/>
          <w:lang w:val="en-US" w:eastAsia="zh-CN"/>
        </w:rPr>
      </w:pPr>
      <w:r>
        <w:rPr>
          <w:rFonts w:hint="eastAsia" w:ascii="楷体_GB2312" w:hAnsi="Times New Roman" w:eastAsia="楷体_GB2312" w:cs="Times New Roman"/>
          <w:b/>
          <w:color w:val="auto"/>
          <w:sz w:val="32"/>
          <w:szCs w:val="32"/>
          <w:lang w:val="en-US" w:eastAsia="zh-CN"/>
        </w:rPr>
        <w:t>清单编制说明</w:t>
      </w:r>
    </w:p>
    <w:p w14:paraId="092ABCFD">
      <w:pPr>
        <w:keepNext w:val="0"/>
        <w:keepLines w:val="0"/>
        <w:pageBreakBefore w:val="0"/>
        <w:widowControl w:val="0"/>
        <w:kinsoku/>
        <w:wordWrap/>
        <w:overflowPunct/>
        <w:topLinePunct w:val="0"/>
        <w:autoSpaceDE/>
        <w:autoSpaceDN/>
        <w:bidi w:val="0"/>
        <w:adjustRightInd/>
        <w:snapToGrid/>
        <w:spacing w:line="480" w:lineRule="auto"/>
        <w:ind w:firstLine="482" w:firstLineChars="200"/>
        <w:textAlignment w:val="auto"/>
        <w:rPr>
          <w:rFonts w:hint="eastAsia" w:ascii="宋体" w:hAnsi="宋体" w:eastAsia="宋体" w:cs="Times New Roman"/>
          <w:b/>
          <w:bCs/>
          <w:sz w:val="24"/>
          <w:u w:val="none"/>
        </w:rPr>
      </w:pPr>
      <w:r>
        <w:rPr>
          <w:rFonts w:hint="eastAsia" w:ascii="宋体" w:hAnsi="宋体" w:eastAsia="宋体" w:cs="Times New Roman"/>
          <w:b/>
          <w:bCs/>
          <w:sz w:val="24"/>
          <w:u w:val="none"/>
        </w:rPr>
        <w:t>一、基本情况</w:t>
      </w:r>
    </w:p>
    <w:p w14:paraId="328AD7B5">
      <w:pPr>
        <w:pStyle w:val="4"/>
        <w:keepNext w:val="0"/>
        <w:keepLines w:val="0"/>
        <w:widowControl/>
        <w:suppressLineNumbers w:val="0"/>
        <w:spacing w:before="0" w:beforeAutospacing="0" w:after="0" w:afterAutospacing="0" w:line="480" w:lineRule="auto"/>
        <w:ind w:left="0" w:right="0" w:firstLine="480" w:firstLineChars="200"/>
        <w:rPr>
          <w:rFonts w:hint="eastAsia" w:ascii="宋体" w:hAnsi="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本项目位于宁波市江北区，场地位于宁波大学西校区内。本次改造内容为1)羽毛球馆地坪维修、墙面维修、顶面改色、门窗全部更换2) 附属用房调整格局,地面、墙面、顶面维修 </w:t>
      </w:r>
      <w:r>
        <w:rPr>
          <w:rFonts w:hint="eastAsia" w:ascii="宋体" w:hAnsi="宋体" w:cs="宋体"/>
          <w:b w:val="0"/>
          <w:bCs w:val="0"/>
          <w:color w:val="auto"/>
          <w:kern w:val="2"/>
          <w:sz w:val="24"/>
          <w:szCs w:val="24"/>
          <w:highlight w:val="none"/>
          <w:lang w:val="en-US" w:eastAsia="zh-CN" w:bidi="ar-SA"/>
        </w:rPr>
        <w:t>3</w:t>
      </w:r>
      <w:r>
        <w:rPr>
          <w:rFonts w:hint="eastAsia" w:ascii="宋体" w:hAnsi="宋体" w:eastAsia="宋体" w:cs="宋体"/>
          <w:b w:val="0"/>
          <w:bCs w:val="0"/>
          <w:color w:val="auto"/>
          <w:kern w:val="2"/>
          <w:sz w:val="24"/>
          <w:szCs w:val="24"/>
          <w:highlight w:val="none"/>
          <w:lang w:val="en-US" w:eastAsia="zh-CN" w:bidi="ar-SA"/>
        </w:rPr>
        <w:t>)操场四个角增设灯杆基础并配高杆灯</w:t>
      </w:r>
      <w:r>
        <w:rPr>
          <w:rFonts w:hint="eastAsia" w:ascii="宋体" w:hAnsi="宋体" w:cs="宋体"/>
          <w:b w:val="0"/>
          <w:bCs w:val="0"/>
          <w:color w:val="auto"/>
          <w:kern w:val="2"/>
          <w:sz w:val="24"/>
          <w:szCs w:val="24"/>
          <w:highlight w:val="none"/>
          <w:lang w:val="en-US" w:eastAsia="zh-CN" w:bidi="ar-SA"/>
        </w:rPr>
        <w:t>4</w:t>
      </w:r>
      <w:r>
        <w:rPr>
          <w:rFonts w:hint="eastAsia" w:ascii="宋体" w:hAnsi="宋体" w:eastAsia="宋体" w:cs="宋体"/>
          <w:b w:val="0"/>
          <w:bCs w:val="0"/>
          <w:color w:val="auto"/>
          <w:kern w:val="2"/>
          <w:sz w:val="24"/>
          <w:szCs w:val="24"/>
          <w:highlight w:val="none"/>
          <w:lang w:val="en-US" w:eastAsia="zh-CN" w:bidi="ar-SA"/>
        </w:rPr>
        <w:t>)羽毛球馆附近室外地面修整</w:t>
      </w:r>
      <w:r>
        <w:rPr>
          <w:rFonts w:hint="eastAsia" w:ascii="宋体" w:hAnsi="宋体" w:cs="宋体"/>
          <w:b w:val="0"/>
          <w:bCs w:val="0"/>
          <w:color w:val="auto"/>
          <w:kern w:val="2"/>
          <w:sz w:val="24"/>
          <w:szCs w:val="24"/>
          <w:highlight w:val="none"/>
          <w:lang w:val="en-US" w:eastAsia="zh-CN" w:bidi="ar-SA"/>
        </w:rPr>
        <w:t>5</w:t>
      </w:r>
      <w:r>
        <w:rPr>
          <w:rFonts w:hint="eastAsia" w:ascii="宋体" w:hAnsi="宋体" w:eastAsia="宋体" w:cs="宋体"/>
          <w:b w:val="0"/>
          <w:bCs w:val="0"/>
          <w:color w:val="auto"/>
          <w:kern w:val="2"/>
          <w:sz w:val="24"/>
          <w:szCs w:val="24"/>
          <w:highlight w:val="none"/>
          <w:lang w:val="en-US" w:eastAsia="zh-CN" w:bidi="ar-SA"/>
        </w:rPr>
        <w:t>)操场西面排水沟更换盖板</w:t>
      </w:r>
      <w:r>
        <w:rPr>
          <w:rFonts w:hint="eastAsia" w:ascii="宋体" w:hAnsi="宋体" w:cs="宋体"/>
          <w:b w:val="0"/>
          <w:bCs w:val="0"/>
          <w:color w:val="auto"/>
          <w:kern w:val="2"/>
          <w:sz w:val="24"/>
          <w:szCs w:val="24"/>
          <w:highlight w:val="none"/>
          <w:lang w:val="en-US" w:eastAsia="zh-CN" w:bidi="ar-SA"/>
        </w:rPr>
        <w:t>6</w:t>
      </w:r>
      <w:r>
        <w:rPr>
          <w:rFonts w:hint="eastAsia" w:ascii="宋体" w:hAnsi="宋体" w:eastAsia="宋体" w:cs="宋体"/>
          <w:b w:val="0"/>
          <w:bCs w:val="0"/>
          <w:color w:val="auto"/>
          <w:kern w:val="2"/>
          <w:sz w:val="24"/>
          <w:szCs w:val="24"/>
          <w:highlight w:val="none"/>
          <w:lang w:val="en-US" w:eastAsia="zh-CN" w:bidi="ar-SA"/>
        </w:rPr>
        <w:t>)羽毛球馆外立面维修并在北门增设一扇门</w:t>
      </w:r>
      <w:r>
        <w:rPr>
          <w:rFonts w:hint="eastAsia" w:ascii="宋体" w:hAnsi="宋体" w:cs="宋体"/>
          <w:b w:val="0"/>
          <w:bCs w:val="0"/>
          <w:color w:val="auto"/>
          <w:kern w:val="2"/>
          <w:sz w:val="24"/>
          <w:szCs w:val="24"/>
          <w:highlight w:val="none"/>
          <w:lang w:val="en-US" w:eastAsia="zh-CN" w:bidi="ar-SA"/>
        </w:rPr>
        <w:t>7</w:t>
      </w:r>
      <w:r>
        <w:rPr>
          <w:rFonts w:hint="eastAsia" w:ascii="宋体" w:hAnsi="宋体" w:eastAsia="宋体" w:cs="宋体"/>
          <w:b w:val="0"/>
          <w:bCs w:val="0"/>
          <w:color w:val="auto"/>
          <w:kern w:val="2"/>
          <w:sz w:val="24"/>
          <w:szCs w:val="24"/>
          <w:highlight w:val="none"/>
          <w:lang w:val="en-US" w:eastAsia="zh-CN" w:bidi="ar-SA"/>
        </w:rPr>
        <w:t>)羽毛球馆北面公共卫生间更换不锈钢水槽</w:t>
      </w:r>
      <w:r>
        <w:rPr>
          <w:rFonts w:hint="eastAsia" w:ascii="宋体" w:hAnsi="宋体" w:cs="宋体"/>
          <w:b w:val="0"/>
          <w:bCs w:val="0"/>
          <w:color w:val="auto"/>
          <w:kern w:val="2"/>
          <w:sz w:val="24"/>
          <w:szCs w:val="24"/>
          <w:highlight w:val="none"/>
          <w:lang w:val="en-US" w:eastAsia="zh-CN" w:bidi="ar-SA"/>
        </w:rPr>
        <w:t>等。</w:t>
      </w:r>
    </w:p>
    <w:p w14:paraId="10A99B94">
      <w:pPr>
        <w:pStyle w:val="4"/>
        <w:keepNext w:val="0"/>
        <w:keepLines w:val="0"/>
        <w:widowControl/>
        <w:suppressLineNumbers w:val="0"/>
        <w:spacing w:before="0" w:beforeAutospacing="0" w:after="0" w:afterAutospacing="0" w:line="480" w:lineRule="auto"/>
        <w:ind w:left="0" w:right="0" w:firstLine="480" w:firstLineChars="200"/>
        <w:rPr>
          <w:rFonts w:hint="default" w:ascii="宋体" w:hAnsi="宋体"/>
          <w:b/>
          <w:bCs/>
          <w:sz w:val="24"/>
          <w:lang w:val="en-US" w:eastAsia="zh-CN"/>
        </w:rPr>
      </w:pPr>
      <w:r>
        <w:rPr>
          <w:rFonts w:hint="eastAsia" w:ascii="宋体" w:hAnsi="宋体" w:cs="宋体"/>
          <w:b w:val="0"/>
          <w:bCs w:val="0"/>
          <w:color w:val="auto"/>
          <w:kern w:val="2"/>
          <w:sz w:val="24"/>
          <w:szCs w:val="24"/>
          <w:highlight w:val="none"/>
          <w:lang w:val="en-US" w:eastAsia="zh-CN" w:bidi="ar-SA"/>
        </w:rPr>
        <w:t>二、</w:t>
      </w:r>
      <w:r>
        <w:rPr>
          <w:rFonts w:hint="eastAsia" w:ascii="宋体" w:hAnsi="宋体"/>
          <w:b/>
          <w:bCs/>
          <w:sz w:val="24"/>
          <w:lang w:val="en-US" w:eastAsia="zh-CN"/>
        </w:rPr>
        <w:t>编制依据</w:t>
      </w:r>
    </w:p>
    <w:p w14:paraId="66919E2E">
      <w:pPr>
        <w:keepNext w:val="0"/>
        <w:keepLines w:val="0"/>
        <w:pageBreakBefore w:val="0"/>
        <w:widowControl w:val="0"/>
        <w:numPr>
          <w:ilvl w:val="0"/>
          <w:numId w:val="1"/>
        </w:numPr>
        <w:kinsoku/>
        <w:wordWrap/>
        <w:overflowPunct/>
        <w:topLinePunct w:val="0"/>
        <w:autoSpaceDE/>
        <w:autoSpaceDN/>
        <w:bidi w:val="0"/>
        <w:adjustRightInd/>
        <w:snapToGrid/>
        <w:spacing w:line="480" w:lineRule="auto"/>
        <w:ind w:left="0" w:leftChars="0" w:right="0" w:rightChars="0" w:firstLine="480" w:firstLineChars="200"/>
        <w:jc w:val="both"/>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宁波大学建筑设计研究院提供的设计图纸（电子版本）。</w:t>
      </w:r>
    </w:p>
    <w:p w14:paraId="2EA0F606">
      <w:pPr>
        <w:keepNext w:val="0"/>
        <w:keepLines w:val="0"/>
        <w:pageBreakBefore w:val="0"/>
        <w:widowControl w:val="0"/>
        <w:numPr>
          <w:ilvl w:val="0"/>
          <w:numId w:val="1"/>
        </w:numPr>
        <w:kinsoku/>
        <w:wordWrap/>
        <w:overflowPunct/>
        <w:topLinePunct w:val="0"/>
        <w:autoSpaceDE/>
        <w:autoSpaceDN/>
        <w:bidi w:val="0"/>
        <w:adjustRightInd/>
        <w:snapToGrid/>
        <w:spacing w:line="480" w:lineRule="auto"/>
        <w:ind w:left="0" w:leftChars="0" w:right="0" w:rightChars="0" w:firstLine="480" w:firstLineChars="200"/>
        <w:jc w:val="both"/>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计价依据：采用《建设工程工程量清单计价规范》（GB50500-2013）、《房屋建筑与装饰工程工程量计算规范》（GB50854-2013）、《安装工程工程量计算规范》（GB50856-2013）。</w:t>
      </w:r>
    </w:p>
    <w:p w14:paraId="28F6AB6D">
      <w:pPr>
        <w:keepNext w:val="0"/>
        <w:keepLines w:val="0"/>
        <w:pageBreakBefore w:val="0"/>
        <w:widowControl w:val="0"/>
        <w:numPr>
          <w:ilvl w:val="0"/>
          <w:numId w:val="1"/>
        </w:numPr>
        <w:kinsoku/>
        <w:wordWrap/>
        <w:overflowPunct/>
        <w:topLinePunct w:val="0"/>
        <w:autoSpaceDE/>
        <w:autoSpaceDN/>
        <w:bidi w:val="0"/>
        <w:adjustRightInd/>
        <w:snapToGrid/>
        <w:spacing w:line="480" w:lineRule="auto"/>
        <w:ind w:left="0" w:leftChars="0" w:right="0" w:rightChars="0" w:firstLine="480" w:firstLineChars="200"/>
        <w:jc w:val="both"/>
        <w:textAlignment w:val="auto"/>
        <w:outlineLvl w:val="9"/>
        <w:rPr>
          <w:rFonts w:hint="eastAsia" w:asciiTheme="majorEastAsia" w:hAnsiTheme="majorEastAsia" w:eastAsiaTheme="majorEastAsia" w:cstheme="majorEastAsia"/>
          <w:color w:val="auto"/>
          <w:kern w:val="24"/>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转发省住建厅、省发改委、省财政厅关于颁发浙江省建设工程计价依据（2018）版的通知》（甬发改投资[2018]601号）、《关于增值税调整后我省建设工程计价依据增值税税率及有关计价调整的通知》（浙建建发[2019]92号）、《关于印发宁波市房屋建筑与市政基础设施工程安全责任保险费用计取的通知》（市建管【2024】12号）及建设工程造价管理部门发布的法规文件</w:t>
      </w:r>
      <w:r>
        <w:rPr>
          <w:rFonts w:hint="eastAsia" w:ascii="宋体" w:hAnsi="宋体" w:cs="宋体"/>
          <w:b w:val="0"/>
          <w:bCs w:val="0"/>
          <w:color w:val="auto"/>
          <w:sz w:val="24"/>
          <w:szCs w:val="24"/>
          <w:highlight w:val="none"/>
          <w:lang w:val="en-US" w:eastAsia="zh-CN"/>
        </w:rPr>
        <w:t>。</w:t>
      </w:r>
    </w:p>
    <w:p w14:paraId="5E7D8183">
      <w:pPr>
        <w:keepNext w:val="0"/>
        <w:keepLines w:val="0"/>
        <w:pageBreakBefore w:val="0"/>
        <w:widowControl w:val="0"/>
        <w:numPr>
          <w:ilvl w:val="0"/>
          <w:numId w:val="1"/>
        </w:numPr>
        <w:kinsoku/>
        <w:wordWrap/>
        <w:overflowPunct/>
        <w:topLinePunct w:val="0"/>
        <w:autoSpaceDE/>
        <w:autoSpaceDN/>
        <w:bidi w:val="0"/>
        <w:adjustRightInd/>
        <w:snapToGrid/>
        <w:spacing w:line="480" w:lineRule="auto"/>
        <w:ind w:left="0" w:leftChars="0" w:right="0" w:rightChars="0" w:firstLine="480" w:firstLineChars="200"/>
        <w:jc w:val="both"/>
        <w:textAlignment w:val="auto"/>
        <w:outlineLvl w:val="9"/>
        <w:rPr>
          <w:rFonts w:hint="eastAsia"/>
          <w:lang w:val="en-US" w:eastAsia="zh-CN"/>
        </w:rPr>
      </w:pPr>
      <w:r>
        <w:rPr>
          <w:rFonts w:hint="eastAsia" w:ascii="宋体" w:hAnsi="宋体" w:eastAsia="宋体" w:cs="宋体"/>
          <w:b w:val="0"/>
          <w:bCs w:val="0"/>
          <w:color w:val="auto"/>
          <w:sz w:val="24"/>
          <w:szCs w:val="24"/>
          <w:highlight w:val="none"/>
          <w:lang w:val="en-US" w:eastAsia="zh-CN"/>
        </w:rPr>
        <w:t>安全生产责任保险费已按市建管【2024】12号文件计入企业管理费，投标单位投标时在企业管理费中考虑相关费用，实际未投保，结算按</w:t>
      </w:r>
      <w:r>
        <w:rPr>
          <w:rFonts w:hint="eastAsia" w:ascii="宋体" w:hAnsi="宋体" w:cs="宋体"/>
          <w:color w:val="0000FF"/>
          <w:sz w:val="24"/>
          <w:szCs w:val="24"/>
          <w:highlight w:val="none"/>
          <w:lang w:val="en-US" w:eastAsia="zh-CN"/>
        </w:rPr>
        <w:t>4474.7</w:t>
      </w:r>
      <w:r>
        <w:rPr>
          <w:rFonts w:hint="eastAsia" w:ascii="宋体" w:hAnsi="宋体" w:eastAsia="宋体" w:cs="宋体"/>
          <w:b w:val="0"/>
          <w:bCs w:val="0"/>
          <w:color w:val="auto"/>
          <w:sz w:val="24"/>
          <w:szCs w:val="24"/>
          <w:highlight w:val="none"/>
          <w:lang w:val="en-US" w:eastAsia="zh-CN"/>
        </w:rPr>
        <w:t>元(含税价)扣回。</w:t>
      </w:r>
    </w:p>
    <w:p w14:paraId="3281A360">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482" w:firstLineChars="200"/>
        <w:jc w:val="both"/>
        <w:textAlignment w:val="auto"/>
        <w:outlineLvl w:val="9"/>
        <w:rPr>
          <w:rFonts w:hint="eastAsia" w:ascii="宋体" w:hAnsi="宋体" w:eastAsia="宋体" w:cs="宋体"/>
          <w:sz w:val="24"/>
          <w:szCs w:val="24"/>
          <w:highlight w:val="none"/>
          <w:lang w:val="en-US" w:eastAsia="zh-CN"/>
        </w:rPr>
      </w:pPr>
      <w:r>
        <w:rPr>
          <w:rFonts w:hint="eastAsia" w:ascii="宋体" w:hAnsi="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lang w:val="en-US" w:eastAsia="zh-CN"/>
        </w:rPr>
        <w:t>、</w:t>
      </w:r>
      <w:r>
        <w:rPr>
          <w:rFonts w:hint="eastAsia" w:ascii="宋体" w:hAnsi="宋体" w:cs="宋体"/>
          <w:b/>
          <w:bCs/>
          <w:color w:val="auto"/>
          <w:sz w:val="24"/>
          <w:szCs w:val="24"/>
          <w:highlight w:val="none"/>
          <w:lang w:val="en-US" w:eastAsia="zh-CN"/>
        </w:rPr>
        <w:t>其他说明</w:t>
      </w:r>
    </w:p>
    <w:p w14:paraId="34410C31">
      <w:pPr>
        <w:keepNext w:val="0"/>
        <w:keepLines w:val="0"/>
        <w:pageBreakBefore w:val="0"/>
        <w:widowControl w:val="0"/>
        <w:numPr>
          <w:ilvl w:val="0"/>
          <w:numId w:val="0"/>
        </w:numPr>
        <w:tabs>
          <w:tab w:val="left" w:pos="360"/>
          <w:tab w:val="left" w:pos="1080"/>
        </w:tabs>
        <w:kinsoku/>
        <w:wordWrap/>
        <w:overflowPunct/>
        <w:topLinePunct w:val="0"/>
        <w:autoSpaceDE/>
        <w:autoSpaceDN/>
        <w:bidi w:val="0"/>
        <w:adjustRightInd/>
        <w:snapToGrid/>
        <w:spacing w:line="480" w:lineRule="auto"/>
        <w:ind w:right="25" w:rightChars="12" w:firstLine="480" w:firstLineChars="200"/>
        <w:jc w:val="lef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w:t>
      </w:r>
      <w:r>
        <w:rPr>
          <w:rFonts w:hint="eastAsia" w:ascii="宋体" w:hAnsi="宋体" w:cs="宋体"/>
          <w:sz w:val="24"/>
          <w:szCs w:val="24"/>
          <w:highlight w:val="none"/>
          <w:lang w:val="zh-CN" w:eastAsia="zh-CN"/>
        </w:rPr>
        <w:t>不同材料交接处打胶、勾缝等工艺费用已综合考虑，不另列清单计取。</w:t>
      </w:r>
    </w:p>
    <w:p w14:paraId="31834C28">
      <w:pPr>
        <w:keepNext w:val="0"/>
        <w:keepLines w:val="0"/>
        <w:pageBreakBefore w:val="0"/>
        <w:widowControl w:val="0"/>
        <w:numPr>
          <w:ilvl w:val="0"/>
          <w:numId w:val="0"/>
        </w:numPr>
        <w:tabs>
          <w:tab w:val="left" w:pos="360"/>
          <w:tab w:val="left" w:pos="1080"/>
        </w:tabs>
        <w:kinsoku/>
        <w:wordWrap/>
        <w:overflowPunct/>
        <w:topLinePunct w:val="0"/>
        <w:autoSpaceDE/>
        <w:autoSpaceDN/>
        <w:bidi w:val="0"/>
        <w:adjustRightInd/>
        <w:snapToGrid/>
        <w:spacing w:line="480" w:lineRule="auto"/>
        <w:ind w:right="25" w:rightChars="12" w:firstLine="480" w:firstLineChars="200"/>
        <w:jc w:val="lef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2、本工程所有拆除费用及外运处置费用单独列项计入建筑工程，结算不做调整。工作内容包括但不限于：地面、墙面、顶面、安装管线、设备等改造范围内所有拆除，孔洞修复、封堵、空调缝隙泡沫封堵等全部费用，含建筑垃圾运输及处置费用。</w:t>
      </w:r>
    </w:p>
    <w:p w14:paraId="2CED9E6D">
      <w:pPr>
        <w:keepNext w:val="0"/>
        <w:keepLines w:val="0"/>
        <w:pageBreakBefore w:val="0"/>
        <w:widowControl w:val="0"/>
        <w:numPr>
          <w:ilvl w:val="0"/>
          <w:numId w:val="0"/>
        </w:numPr>
        <w:tabs>
          <w:tab w:val="left" w:pos="360"/>
          <w:tab w:val="left" w:pos="1080"/>
        </w:tabs>
        <w:kinsoku/>
        <w:wordWrap/>
        <w:overflowPunct/>
        <w:topLinePunct w:val="0"/>
        <w:autoSpaceDE/>
        <w:autoSpaceDN/>
        <w:bidi w:val="0"/>
        <w:adjustRightInd/>
        <w:snapToGrid/>
        <w:spacing w:line="480" w:lineRule="auto"/>
        <w:ind w:right="25" w:rightChars="12" w:firstLine="480" w:firstLineChars="200"/>
        <w:jc w:val="lef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3、本项目范围内室内外脚手架按项计入建筑工程，搭设高度、方式等由投标单位自行考虑，结算不做调整</w:t>
      </w:r>
      <w:r>
        <w:rPr>
          <w:rFonts w:hint="default" w:ascii="宋体" w:hAnsi="宋体" w:cs="宋体"/>
          <w:sz w:val="24"/>
          <w:szCs w:val="24"/>
          <w:highlight w:val="none"/>
          <w:lang w:val="en-US" w:eastAsia="zh-CN"/>
        </w:rPr>
        <w:t>。</w:t>
      </w:r>
    </w:p>
    <w:p w14:paraId="3C017282">
      <w:pPr>
        <w:keepNext w:val="0"/>
        <w:keepLines w:val="0"/>
        <w:pageBreakBefore w:val="0"/>
        <w:widowControl w:val="0"/>
        <w:numPr>
          <w:ilvl w:val="0"/>
          <w:numId w:val="0"/>
        </w:numPr>
        <w:tabs>
          <w:tab w:val="left" w:pos="360"/>
          <w:tab w:val="left" w:pos="1080"/>
        </w:tabs>
        <w:kinsoku/>
        <w:wordWrap/>
        <w:overflowPunct/>
        <w:topLinePunct w:val="0"/>
        <w:autoSpaceDE/>
        <w:autoSpaceDN/>
        <w:bidi w:val="0"/>
        <w:adjustRightInd/>
        <w:snapToGrid/>
        <w:spacing w:line="480" w:lineRule="auto"/>
        <w:ind w:right="25" w:rightChars="12" w:firstLine="480" w:firstLineChars="200"/>
        <w:jc w:val="lef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4、外墙不同材料交界处钢丝网工程量暂按墙面工程量的20%计取，结算时以工程量签证单等相关资料调整。</w:t>
      </w:r>
    </w:p>
    <w:p w14:paraId="72FC9BD8">
      <w:pPr>
        <w:keepNext w:val="0"/>
        <w:keepLines w:val="0"/>
        <w:pageBreakBefore w:val="0"/>
        <w:widowControl w:val="0"/>
        <w:numPr>
          <w:ilvl w:val="0"/>
          <w:numId w:val="0"/>
        </w:numPr>
        <w:tabs>
          <w:tab w:val="left" w:pos="360"/>
          <w:tab w:val="left" w:pos="1080"/>
        </w:tabs>
        <w:kinsoku/>
        <w:wordWrap/>
        <w:overflowPunct/>
        <w:topLinePunct w:val="0"/>
        <w:autoSpaceDE/>
        <w:autoSpaceDN/>
        <w:bidi w:val="0"/>
        <w:adjustRightInd/>
        <w:snapToGrid/>
        <w:spacing w:line="480" w:lineRule="auto"/>
        <w:ind w:right="25" w:rightChars="12" w:firstLine="480" w:firstLineChars="200"/>
        <w:jc w:val="lef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5、网络和监控光缆按照室外12芯单模光纤/SC50，暂按200米计取，结算时以工程量签证单等相关资料调整。</w:t>
      </w:r>
    </w:p>
    <w:p w14:paraId="7D8289EF">
      <w:pPr>
        <w:keepNext w:val="0"/>
        <w:keepLines w:val="0"/>
        <w:pageBreakBefore w:val="0"/>
        <w:widowControl w:val="0"/>
        <w:numPr>
          <w:ilvl w:val="0"/>
          <w:numId w:val="0"/>
        </w:numPr>
        <w:tabs>
          <w:tab w:val="left" w:pos="360"/>
          <w:tab w:val="left" w:pos="1080"/>
        </w:tabs>
        <w:kinsoku/>
        <w:wordWrap/>
        <w:overflowPunct/>
        <w:topLinePunct w:val="0"/>
        <w:autoSpaceDE/>
        <w:autoSpaceDN/>
        <w:bidi w:val="0"/>
        <w:adjustRightInd/>
        <w:snapToGrid/>
        <w:spacing w:line="480" w:lineRule="auto"/>
        <w:ind w:right="25" w:rightChars="12" w:firstLine="480" w:firstLineChars="200"/>
        <w:jc w:val="lef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6、ALgz配电箱引入电缆WDZ-YJY-5*6-SC40暂按50米计取，结算时以工程量签证单等相关资料调整。</w:t>
      </w:r>
    </w:p>
    <w:p w14:paraId="72023739">
      <w:pPr>
        <w:keepNext w:val="0"/>
        <w:keepLines w:val="0"/>
        <w:pageBreakBefore w:val="0"/>
        <w:widowControl w:val="0"/>
        <w:numPr>
          <w:ilvl w:val="0"/>
          <w:numId w:val="0"/>
        </w:numPr>
        <w:tabs>
          <w:tab w:val="left" w:pos="360"/>
          <w:tab w:val="left" w:pos="1080"/>
        </w:tabs>
        <w:kinsoku/>
        <w:wordWrap/>
        <w:overflowPunct/>
        <w:topLinePunct w:val="0"/>
        <w:autoSpaceDE/>
        <w:autoSpaceDN/>
        <w:bidi w:val="0"/>
        <w:adjustRightInd/>
        <w:snapToGrid/>
        <w:spacing w:line="480" w:lineRule="auto"/>
        <w:ind w:right="25" w:rightChars="12" w:firstLine="480" w:firstLineChars="200"/>
        <w:jc w:val="lef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7、所有材料到施工现场，若材料需二次搬运和多次搬运等增加费用，由投标单位自行考虑到综合单价中。</w:t>
      </w:r>
    </w:p>
    <w:p w14:paraId="72FA2EF4">
      <w:pPr>
        <w:keepNext w:val="0"/>
        <w:keepLines w:val="0"/>
        <w:pageBreakBefore w:val="0"/>
        <w:widowControl w:val="0"/>
        <w:numPr>
          <w:ilvl w:val="0"/>
          <w:numId w:val="0"/>
        </w:numPr>
        <w:tabs>
          <w:tab w:val="left" w:pos="360"/>
          <w:tab w:val="left" w:pos="1080"/>
        </w:tabs>
        <w:kinsoku/>
        <w:wordWrap/>
        <w:overflowPunct/>
        <w:topLinePunct w:val="0"/>
        <w:autoSpaceDE/>
        <w:autoSpaceDN/>
        <w:bidi w:val="0"/>
        <w:adjustRightInd/>
        <w:snapToGrid/>
        <w:spacing w:line="480" w:lineRule="auto"/>
        <w:ind w:right="25" w:rightChars="12" w:firstLine="480" w:firstLineChars="200"/>
        <w:jc w:val="left"/>
        <w:textAlignment w:val="auto"/>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8、本预算编制中土方综合考虑红线范围内平衡，由投标单位自行考虑到综合单价中</w:t>
      </w:r>
      <w:r>
        <w:rPr>
          <w:rFonts w:hint="eastAsia" w:ascii="宋体" w:hAnsi="宋体" w:cs="宋体"/>
          <w:sz w:val="24"/>
          <w:szCs w:val="24"/>
          <w:highlight w:val="none"/>
          <w:lang w:val="zh-CN" w:eastAsia="zh-CN"/>
        </w:rPr>
        <w:t>，不另列清单计取。</w:t>
      </w:r>
    </w:p>
    <w:p w14:paraId="07FE5BC4">
      <w:pPr>
        <w:keepNext w:val="0"/>
        <w:keepLines w:val="0"/>
        <w:pageBreakBefore w:val="0"/>
        <w:widowControl w:val="0"/>
        <w:numPr>
          <w:ilvl w:val="0"/>
          <w:numId w:val="0"/>
        </w:numPr>
        <w:tabs>
          <w:tab w:val="left" w:pos="360"/>
          <w:tab w:val="left" w:pos="1080"/>
        </w:tabs>
        <w:kinsoku/>
        <w:wordWrap/>
        <w:overflowPunct/>
        <w:topLinePunct w:val="0"/>
        <w:autoSpaceDE/>
        <w:autoSpaceDN/>
        <w:bidi w:val="0"/>
        <w:adjustRightInd/>
        <w:snapToGrid/>
        <w:spacing w:line="480" w:lineRule="auto"/>
        <w:ind w:right="25" w:rightChars="12" w:firstLine="480" w:firstLineChars="200"/>
        <w:jc w:val="lef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9、无线AP涉及与原有设备的对接费用已综合考虑在综合单价中，投标单位应综合考虑无线AP与原有设备兼容性，由此产生的费用不再另外计取。</w:t>
      </w:r>
    </w:p>
    <w:p w14:paraId="680CC38D">
      <w:pPr>
        <w:keepNext w:val="0"/>
        <w:keepLines w:val="0"/>
        <w:pageBreakBefore w:val="0"/>
        <w:widowControl w:val="0"/>
        <w:numPr>
          <w:ilvl w:val="0"/>
          <w:numId w:val="0"/>
        </w:numPr>
        <w:tabs>
          <w:tab w:val="left" w:pos="360"/>
          <w:tab w:val="left" w:pos="1080"/>
        </w:tabs>
        <w:kinsoku/>
        <w:wordWrap/>
        <w:overflowPunct/>
        <w:topLinePunct w:val="0"/>
        <w:autoSpaceDE/>
        <w:autoSpaceDN/>
        <w:bidi w:val="0"/>
        <w:adjustRightInd/>
        <w:snapToGrid/>
        <w:spacing w:line="480" w:lineRule="auto"/>
        <w:ind w:right="25" w:rightChars="12" w:firstLine="480" w:firstLineChars="200"/>
        <w:jc w:val="lef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10、原有电动窗帘拆装按项计入电气系统，由投标单位自行考虑，结算不做调整。</w:t>
      </w:r>
    </w:p>
    <w:p w14:paraId="05504236">
      <w:pPr>
        <w:keepNext w:val="0"/>
        <w:keepLines w:val="0"/>
        <w:pageBreakBefore w:val="0"/>
        <w:widowControl w:val="0"/>
        <w:numPr>
          <w:ilvl w:val="0"/>
          <w:numId w:val="0"/>
        </w:numPr>
        <w:tabs>
          <w:tab w:val="left" w:pos="360"/>
          <w:tab w:val="left" w:pos="1080"/>
        </w:tabs>
        <w:kinsoku/>
        <w:wordWrap/>
        <w:overflowPunct/>
        <w:topLinePunct w:val="0"/>
        <w:autoSpaceDE/>
        <w:autoSpaceDN/>
        <w:bidi w:val="0"/>
        <w:adjustRightInd/>
        <w:snapToGrid/>
        <w:spacing w:line="480" w:lineRule="auto"/>
        <w:ind w:right="25" w:rightChars="12" w:firstLine="480" w:firstLineChars="200"/>
        <w:jc w:val="lef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11、安装全专业涉及刨沟槽、打洞及恢复相关内容按项计入电气系统，由投标单位自行考虑，结算不做调整。</w:t>
      </w:r>
    </w:p>
    <w:p w14:paraId="4CE61530">
      <w:pPr>
        <w:keepNext w:val="0"/>
        <w:keepLines w:val="0"/>
        <w:pageBreakBefore w:val="0"/>
        <w:widowControl w:val="0"/>
        <w:numPr>
          <w:ilvl w:val="0"/>
          <w:numId w:val="0"/>
        </w:numPr>
        <w:tabs>
          <w:tab w:val="left" w:pos="360"/>
          <w:tab w:val="left" w:pos="1080"/>
        </w:tabs>
        <w:kinsoku/>
        <w:wordWrap/>
        <w:overflowPunct/>
        <w:topLinePunct w:val="0"/>
        <w:autoSpaceDE/>
        <w:autoSpaceDN/>
        <w:bidi w:val="0"/>
        <w:adjustRightInd/>
        <w:snapToGrid/>
        <w:spacing w:line="480" w:lineRule="auto"/>
        <w:ind w:right="25" w:rightChars="12" w:firstLine="480" w:firstLineChars="200"/>
        <w:jc w:val="lef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12、电动排烟窗控制器按照建筑6扇窗户为一套计取，满足设计开窗要求。</w:t>
      </w:r>
    </w:p>
    <w:p w14:paraId="6EC409C8">
      <w:pPr>
        <w:pStyle w:val="2"/>
        <w:ind w:firstLine="480" w:firstLineChars="20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13、绿化养护期为二年考虑，养护期内要求苗木成活率达到100%，绿化养护期间水电费由承包人承担，苗木若出现反季节种植，则反季节种植措施费由投标单位在投标报价中自行考虑，结算不予调整。</w:t>
      </w:r>
    </w:p>
    <w:p w14:paraId="14BC620C">
      <w:pPr>
        <w:pStyle w:val="2"/>
        <w:ind w:firstLine="480" w:firstLineChars="200"/>
        <w:rPr>
          <w:rFonts w:hint="eastAsia"/>
          <w:lang w:val="en-US" w:eastAsia="zh-CN"/>
        </w:rPr>
      </w:pPr>
      <w:r>
        <w:rPr>
          <w:rFonts w:hint="eastAsia" w:ascii="宋体" w:hAnsi="宋体" w:eastAsia="宋体" w:cs="宋体"/>
          <w:kern w:val="2"/>
          <w:sz w:val="24"/>
          <w:szCs w:val="24"/>
          <w:highlight w:val="none"/>
          <w:lang w:val="en-US" w:eastAsia="zh-CN" w:bidi="ar-SA"/>
        </w:rPr>
        <w:t>14、绿化养护需增加的措施费用由投标单位在报价中综合考虑。</w:t>
      </w:r>
    </w:p>
    <w:p w14:paraId="5C2D2596">
      <w:pPr>
        <w:tabs>
          <w:tab w:val="left" w:pos="3060"/>
          <w:tab w:val="left" w:pos="9180"/>
          <w:tab w:val="left" w:pos="9360"/>
        </w:tabs>
        <w:spacing w:line="480" w:lineRule="auto"/>
        <w:ind w:right="359" w:rightChars="171" w:firstLine="482" w:firstLineChars="200"/>
        <w:outlineLvl w:val="0"/>
        <w:rPr>
          <w:rFonts w:hint="default" w:ascii="宋体" w:hAnsi="宋体"/>
          <w:sz w:val="24"/>
          <w:highlight w:val="none"/>
          <w:lang w:val="en-US"/>
        </w:rPr>
      </w:pPr>
      <w:r>
        <w:rPr>
          <w:rFonts w:hint="eastAsia" w:ascii="宋体" w:hAnsi="宋体"/>
          <w:b/>
          <w:sz w:val="24"/>
          <w:highlight w:val="none"/>
          <w:lang w:val="en-US" w:eastAsia="zh-CN"/>
        </w:rPr>
        <w:t>四</w:t>
      </w:r>
      <w:r>
        <w:rPr>
          <w:rFonts w:hint="eastAsia" w:ascii="宋体" w:hAnsi="宋体"/>
          <w:b/>
          <w:sz w:val="24"/>
          <w:highlight w:val="none"/>
        </w:rPr>
        <w:t>、暂</w:t>
      </w:r>
      <w:r>
        <w:rPr>
          <w:rFonts w:hint="eastAsia" w:ascii="宋体" w:hAnsi="宋体"/>
          <w:b/>
          <w:sz w:val="24"/>
          <w:highlight w:val="none"/>
          <w:lang w:eastAsia="zh-CN"/>
        </w:rPr>
        <w:t>估</w:t>
      </w:r>
      <w:r>
        <w:rPr>
          <w:rFonts w:hint="eastAsia" w:ascii="宋体" w:hAnsi="宋体"/>
          <w:b/>
          <w:sz w:val="24"/>
          <w:highlight w:val="none"/>
          <w:lang w:val="en-US" w:eastAsia="zh-CN"/>
        </w:rPr>
        <w:t>工程量</w:t>
      </w:r>
    </w:p>
    <w:tbl>
      <w:tblPr>
        <w:tblStyle w:val="7"/>
        <w:tblW w:w="0" w:type="auto"/>
        <w:tblInd w:w="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
        <w:gridCol w:w="3816"/>
        <w:gridCol w:w="701"/>
        <w:gridCol w:w="1171"/>
        <w:gridCol w:w="2036"/>
      </w:tblGrid>
      <w:tr w14:paraId="2E89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 w:type="dxa"/>
            <w:vAlign w:val="center"/>
          </w:tcPr>
          <w:p w14:paraId="46C3F6C5">
            <w:pPr>
              <w:spacing w:line="240" w:lineRule="auto"/>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序号</w:t>
            </w:r>
          </w:p>
        </w:tc>
        <w:tc>
          <w:tcPr>
            <w:tcW w:w="3816" w:type="dxa"/>
            <w:vAlign w:val="center"/>
          </w:tcPr>
          <w:p w14:paraId="1377BAF5">
            <w:pPr>
              <w:spacing w:line="240" w:lineRule="auto"/>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项目名称</w:t>
            </w:r>
          </w:p>
        </w:tc>
        <w:tc>
          <w:tcPr>
            <w:tcW w:w="701" w:type="dxa"/>
            <w:vAlign w:val="center"/>
          </w:tcPr>
          <w:p w14:paraId="6AADE034">
            <w:pPr>
              <w:spacing w:line="240" w:lineRule="auto"/>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计量单位</w:t>
            </w:r>
          </w:p>
        </w:tc>
        <w:tc>
          <w:tcPr>
            <w:tcW w:w="1171" w:type="dxa"/>
            <w:vAlign w:val="center"/>
          </w:tcPr>
          <w:p w14:paraId="73584FD8">
            <w:pPr>
              <w:spacing w:line="240" w:lineRule="auto"/>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工程量</w:t>
            </w:r>
          </w:p>
        </w:tc>
        <w:tc>
          <w:tcPr>
            <w:tcW w:w="2036" w:type="dxa"/>
            <w:vAlign w:val="center"/>
          </w:tcPr>
          <w:p w14:paraId="7D443E39">
            <w:pPr>
              <w:spacing w:line="240" w:lineRule="auto"/>
              <w:jc w:val="center"/>
              <w:rPr>
                <w:rFonts w:hint="eastAsia"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备注</w:t>
            </w:r>
          </w:p>
        </w:tc>
      </w:tr>
      <w:tr w14:paraId="5C26F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24" w:type="dxa"/>
            <w:vAlign w:val="center"/>
          </w:tcPr>
          <w:p w14:paraId="4F937BDD">
            <w:pPr>
              <w:spacing w:line="240" w:lineRule="auto"/>
              <w:jc w:val="center"/>
              <w:rPr>
                <w:rFonts w:hint="default"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1</w:t>
            </w:r>
          </w:p>
        </w:tc>
        <w:tc>
          <w:tcPr>
            <w:tcW w:w="3816" w:type="dxa"/>
            <w:vAlign w:val="center"/>
          </w:tcPr>
          <w:p w14:paraId="58B46F48">
            <w:pPr>
              <w:spacing w:line="240" w:lineRule="auto"/>
              <w:jc w:val="center"/>
              <w:rPr>
                <w:rFonts w:hint="default"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不同材料交界处钢丝网</w:t>
            </w:r>
          </w:p>
        </w:tc>
        <w:tc>
          <w:tcPr>
            <w:tcW w:w="701" w:type="dxa"/>
            <w:vAlign w:val="center"/>
          </w:tcPr>
          <w:p w14:paraId="76570E1B">
            <w:pPr>
              <w:spacing w:line="240" w:lineRule="auto"/>
              <w:jc w:val="center"/>
              <w:rPr>
                <w:rFonts w:hint="eastAsia" w:asciiTheme="minorEastAsia" w:hAnsiTheme="minorEastAsia" w:eastAsiaTheme="minorEastAsia" w:cstheme="minorEastAsia"/>
                <w:sz w:val="21"/>
                <w:szCs w:val="21"/>
                <w:highlight w:val="none"/>
                <w:vertAlign w:val="baseline"/>
                <w:lang w:val="en-US" w:eastAsia="zh-CN"/>
              </w:rPr>
            </w:pPr>
            <w:r>
              <w:rPr>
                <w:rFonts w:hint="eastAsia" w:asciiTheme="minorEastAsia" w:hAnsiTheme="minorEastAsia" w:eastAsiaTheme="minorEastAsia" w:cstheme="minorEastAsia"/>
                <w:sz w:val="21"/>
                <w:szCs w:val="21"/>
                <w:highlight w:val="none"/>
                <w:vertAlign w:val="baseline"/>
                <w:lang w:val="en-US" w:eastAsia="zh-CN"/>
              </w:rPr>
              <w:t>㎡</w:t>
            </w:r>
          </w:p>
        </w:tc>
        <w:tc>
          <w:tcPr>
            <w:tcW w:w="1171" w:type="dxa"/>
            <w:vAlign w:val="center"/>
          </w:tcPr>
          <w:p w14:paraId="5BAB5D9D">
            <w:pPr>
              <w:spacing w:line="240" w:lineRule="auto"/>
              <w:jc w:val="center"/>
              <w:rPr>
                <w:rFonts w:hint="default" w:asciiTheme="minorEastAsia" w:hAnsiTheme="minorEastAsia" w:eastAsiaTheme="minorEastAsia" w:cstheme="minorEastAsia"/>
                <w:sz w:val="21"/>
                <w:szCs w:val="21"/>
                <w:highlight w:val="none"/>
                <w:vertAlign w:val="baseline"/>
                <w:lang w:val="en-US" w:eastAsia="zh-CN"/>
              </w:rPr>
            </w:pPr>
            <w:r>
              <w:rPr>
                <w:rFonts w:hint="eastAsia" w:asciiTheme="minorEastAsia" w:hAnsiTheme="minorEastAsia" w:eastAsiaTheme="minorEastAsia" w:cstheme="minorEastAsia"/>
                <w:sz w:val="21"/>
                <w:szCs w:val="21"/>
                <w:highlight w:val="none"/>
                <w:vertAlign w:val="baseline"/>
                <w:lang w:val="en-US" w:eastAsia="zh-CN"/>
              </w:rPr>
              <w:t>218.96</w:t>
            </w:r>
          </w:p>
        </w:tc>
        <w:tc>
          <w:tcPr>
            <w:tcW w:w="2036" w:type="dxa"/>
            <w:vAlign w:val="center"/>
          </w:tcPr>
          <w:p w14:paraId="6DCBCDD2">
            <w:pPr>
              <w:spacing w:line="240" w:lineRule="auto"/>
              <w:jc w:val="center"/>
              <w:rPr>
                <w:rFonts w:hint="eastAsia" w:asciiTheme="minorEastAsia" w:hAnsiTheme="minorEastAsia" w:eastAsiaTheme="minorEastAsia" w:cstheme="minorEastAsia"/>
                <w:sz w:val="21"/>
                <w:szCs w:val="21"/>
                <w:highlight w:val="none"/>
                <w:vertAlign w:val="baseline"/>
                <w:lang w:val="en-US" w:eastAsia="zh-CN"/>
              </w:rPr>
            </w:pPr>
          </w:p>
        </w:tc>
      </w:tr>
      <w:tr w14:paraId="1FB36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24" w:type="dxa"/>
            <w:vAlign w:val="center"/>
          </w:tcPr>
          <w:p w14:paraId="7B6E522A">
            <w:pPr>
              <w:spacing w:line="240" w:lineRule="auto"/>
              <w:jc w:val="center"/>
              <w:rPr>
                <w:rFonts w:hint="default" w:ascii="宋体" w:hAnsi="宋体" w:eastAsia="宋体" w:cs="宋体"/>
                <w:sz w:val="21"/>
                <w:szCs w:val="21"/>
                <w:highlight w:val="none"/>
                <w:vertAlign w:val="baseline"/>
                <w:lang w:val="en-US" w:eastAsia="zh-CN"/>
              </w:rPr>
            </w:pPr>
            <w:r>
              <w:rPr>
                <w:rFonts w:hint="eastAsia" w:ascii="宋体" w:hAnsi="宋体" w:cs="宋体"/>
                <w:sz w:val="21"/>
                <w:szCs w:val="21"/>
                <w:highlight w:val="none"/>
                <w:vertAlign w:val="baseline"/>
                <w:lang w:val="en-US" w:eastAsia="zh-CN"/>
              </w:rPr>
              <w:t>2</w:t>
            </w:r>
          </w:p>
        </w:tc>
        <w:tc>
          <w:tcPr>
            <w:tcW w:w="3816" w:type="dxa"/>
            <w:vAlign w:val="center"/>
          </w:tcPr>
          <w:p w14:paraId="1C902D35">
            <w:pPr>
              <w:spacing w:line="240" w:lineRule="auto"/>
              <w:jc w:val="center"/>
              <w:rPr>
                <w:rFonts w:hint="default"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12芯室外单模光纤</w:t>
            </w:r>
          </w:p>
        </w:tc>
        <w:tc>
          <w:tcPr>
            <w:tcW w:w="701" w:type="dxa"/>
            <w:vAlign w:val="center"/>
          </w:tcPr>
          <w:p w14:paraId="7DA6DA82">
            <w:pPr>
              <w:spacing w:line="240" w:lineRule="auto"/>
              <w:jc w:val="center"/>
              <w:rPr>
                <w:rFonts w:hint="default" w:asciiTheme="minorEastAsia" w:hAnsiTheme="minorEastAsia" w:eastAsiaTheme="minorEastAsia" w:cstheme="minorEastAsia"/>
                <w:sz w:val="21"/>
                <w:szCs w:val="21"/>
                <w:highlight w:val="none"/>
                <w:vertAlign w:val="baseline"/>
                <w:lang w:val="en-US" w:eastAsia="zh-CN"/>
              </w:rPr>
            </w:pPr>
            <w:r>
              <w:rPr>
                <w:rFonts w:hint="eastAsia" w:asciiTheme="minorEastAsia" w:hAnsiTheme="minorEastAsia" w:eastAsiaTheme="minorEastAsia" w:cstheme="minorEastAsia"/>
                <w:sz w:val="21"/>
                <w:szCs w:val="21"/>
                <w:highlight w:val="none"/>
                <w:vertAlign w:val="baseline"/>
                <w:lang w:val="en-US" w:eastAsia="zh-CN"/>
              </w:rPr>
              <w:t>m</w:t>
            </w:r>
          </w:p>
        </w:tc>
        <w:tc>
          <w:tcPr>
            <w:tcW w:w="1171" w:type="dxa"/>
            <w:vAlign w:val="center"/>
          </w:tcPr>
          <w:p w14:paraId="48A16DA8">
            <w:pPr>
              <w:spacing w:line="240" w:lineRule="auto"/>
              <w:jc w:val="center"/>
              <w:rPr>
                <w:rFonts w:hint="default" w:asciiTheme="minorEastAsia" w:hAnsiTheme="minorEastAsia" w:eastAsiaTheme="minorEastAsia" w:cstheme="minorEastAsia"/>
                <w:sz w:val="21"/>
                <w:szCs w:val="21"/>
                <w:highlight w:val="none"/>
                <w:vertAlign w:val="baseline"/>
                <w:lang w:val="en-US" w:eastAsia="zh-CN"/>
              </w:rPr>
            </w:pPr>
            <w:r>
              <w:rPr>
                <w:rFonts w:hint="eastAsia" w:asciiTheme="minorEastAsia" w:hAnsiTheme="minorEastAsia" w:eastAsiaTheme="minorEastAsia" w:cstheme="minorEastAsia"/>
                <w:sz w:val="21"/>
                <w:szCs w:val="21"/>
                <w:highlight w:val="none"/>
                <w:vertAlign w:val="baseline"/>
                <w:lang w:val="en-US" w:eastAsia="zh-CN"/>
              </w:rPr>
              <w:t>200</w:t>
            </w:r>
          </w:p>
        </w:tc>
        <w:tc>
          <w:tcPr>
            <w:tcW w:w="2036" w:type="dxa"/>
            <w:vAlign w:val="center"/>
          </w:tcPr>
          <w:p w14:paraId="638BA64A">
            <w:pPr>
              <w:spacing w:line="240" w:lineRule="auto"/>
              <w:jc w:val="center"/>
              <w:rPr>
                <w:rFonts w:hint="eastAsia" w:asciiTheme="minorEastAsia" w:hAnsiTheme="minorEastAsia" w:eastAsiaTheme="minorEastAsia" w:cstheme="minorEastAsia"/>
                <w:sz w:val="21"/>
                <w:szCs w:val="21"/>
                <w:highlight w:val="none"/>
                <w:vertAlign w:val="baseline"/>
                <w:lang w:val="en-US" w:eastAsia="zh-CN"/>
              </w:rPr>
            </w:pPr>
          </w:p>
        </w:tc>
      </w:tr>
      <w:tr w14:paraId="264E2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24" w:type="dxa"/>
            <w:vAlign w:val="center"/>
          </w:tcPr>
          <w:p w14:paraId="3FD570F4">
            <w:pPr>
              <w:spacing w:line="240" w:lineRule="auto"/>
              <w:jc w:val="center"/>
              <w:rPr>
                <w:rFonts w:hint="default" w:asciiTheme="minorEastAsia" w:hAnsiTheme="minorEastAsia" w:eastAsiaTheme="minorEastAsia" w:cstheme="minorEastAsia"/>
                <w:color w:val="0000FF"/>
                <w:sz w:val="21"/>
                <w:szCs w:val="21"/>
                <w:highlight w:val="none"/>
                <w:lang w:val="en-US" w:eastAsia="zh-CN"/>
              </w:rPr>
            </w:pPr>
            <w:r>
              <w:rPr>
                <w:rFonts w:hint="eastAsia" w:asciiTheme="minorEastAsia" w:hAnsiTheme="minorEastAsia" w:eastAsiaTheme="minorEastAsia" w:cstheme="minorEastAsia"/>
                <w:color w:val="0000FF"/>
                <w:sz w:val="21"/>
                <w:szCs w:val="21"/>
                <w:highlight w:val="none"/>
                <w:lang w:val="en-US" w:eastAsia="zh-CN"/>
              </w:rPr>
              <w:t>3</w:t>
            </w:r>
          </w:p>
        </w:tc>
        <w:tc>
          <w:tcPr>
            <w:tcW w:w="3816" w:type="dxa"/>
            <w:vAlign w:val="center"/>
          </w:tcPr>
          <w:p w14:paraId="735F91BD">
            <w:pPr>
              <w:spacing w:line="240" w:lineRule="auto"/>
              <w:jc w:val="center"/>
              <w:rPr>
                <w:rFonts w:hint="default" w:ascii="宋体" w:hAnsi="宋体" w:eastAsia="宋体" w:cs="宋体"/>
                <w:sz w:val="21"/>
                <w:szCs w:val="21"/>
                <w:highlight w:val="none"/>
                <w:vertAlign w:val="baseline"/>
                <w:lang w:val="en-US" w:eastAsia="zh-CN"/>
              </w:rPr>
            </w:pPr>
            <w:r>
              <w:rPr>
                <w:rFonts w:hint="eastAsia" w:ascii="宋体" w:hAnsi="宋体" w:eastAsia="宋体" w:cs="宋体"/>
                <w:sz w:val="21"/>
                <w:szCs w:val="21"/>
                <w:highlight w:val="none"/>
                <w:vertAlign w:val="baseline"/>
                <w:lang w:val="en-US" w:eastAsia="zh-CN"/>
              </w:rPr>
              <w:t>SC50</w:t>
            </w:r>
          </w:p>
        </w:tc>
        <w:tc>
          <w:tcPr>
            <w:tcW w:w="701" w:type="dxa"/>
            <w:vAlign w:val="center"/>
          </w:tcPr>
          <w:p w14:paraId="263A4A0A">
            <w:pPr>
              <w:spacing w:line="240" w:lineRule="auto"/>
              <w:jc w:val="center"/>
              <w:rPr>
                <w:rFonts w:hint="default" w:asciiTheme="minorEastAsia" w:hAnsiTheme="minorEastAsia" w:eastAsiaTheme="minorEastAsia" w:cstheme="minorEastAsia"/>
                <w:color w:val="0000FF"/>
                <w:sz w:val="21"/>
                <w:szCs w:val="21"/>
                <w:highlight w:val="none"/>
                <w:lang w:val="en-US" w:eastAsia="zh-CN"/>
              </w:rPr>
            </w:pPr>
            <w:r>
              <w:rPr>
                <w:rFonts w:hint="eastAsia" w:asciiTheme="minorEastAsia" w:hAnsiTheme="minorEastAsia" w:eastAsiaTheme="minorEastAsia" w:cstheme="minorEastAsia"/>
                <w:color w:val="0000FF"/>
                <w:sz w:val="21"/>
                <w:szCs w:val="21"/>
                <w:highlight w:val="none"/>
                <w:lang w:val="en-US" w:eastAsia="zh-CN"/>
              </w:rPr>
              <w:t>m</w:t>
            </w:r>
          </w:p>
        </w:tc>
        <w:tc>
          <w:tcPr>
            <w:tcW w:w="1171" w:type="dxa"/>
            <w:vAlign w:val="center"/>
          </w:tcPr>
          <w:p w14:paraId="559E776D">
            <w:pPr>
              <w:spacing w:line="240" w:lineRule="auto"/>
              <w:jc w:val="center"/>
              <w:rPr>
                <w:rFonts w:hint="default" w:asciiTheme="minorEastAsia" w:hAnsiTheme="minorEastAsia" w:eastAsiaTheme="minorEastAsia" w:cstheme="minorEastAsia"/>
                <w:color w:val="0000FF"/>
                <w:sz w:val="21"/>
                <w:szCs w:val="21"/>
                <w:highlight w:val="none"/>
                <w:lang w:val="en-US" w:eastAsia="zh-CN"/>
              </w:rPr>
            </w:pPr>
            <w:r>
              <w:rPr>
                <w:rFonts w:hint="eastAsia" w:asciiTheme="minorEastAsia" w:hAnsiTheme="minorEastAsia" w:eastAsiaTheme="minorEastAsia" w:cstheme="minorEastAsia"/>
                <w:color w:val="0000FF"/>
                <w:sz w:val="21"/>
                <w:szCs w:val="21"/>
                <w:highlight w:val="none"/>
                <w:lang w:val="en-US" w:eastAsia="zh-CN"/>
              </w:rPr>
              <w:t>200</w:t>
            </w:r>
          </w:p>
        </w:tc>
        <w:tc>
          <w:tcPr>
            <w:tcW w:w="2036" w:type="dxa"/>
            <w:vAlign w:val="center"/>
          </w:tcPr>
          <w:p w14:paraId="2BD00543">
            <w:pPr>
              <w:spacing w:line="240" w:lineRule="auto"/>
              <w:jc w:val="center"/>
              <w:rPr>
                <w:rFonts w:hint="default" w:asciiTheme="minorEastAsia" w:hAnsiTheme="minorEastAsia" w:eastAsiaTheme="minorEastAsia" w:cstheme="minorEastAsia"/>
                <w:color w:val="0000FF"/>
                <w:sz w:val="21"/>
                <w:szCs w:val="21"/>
                <w:highlight w:val="none"/>
                <w:lang w:val="en-US" w:eastAsia="zh-CN"/>
              </w:rPr>
            </w:pPr>
          </w:p>
        </w:tc>
      </w:tr>
      <w:tr w14:paraId="2342C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24" w:type="dxa"/>
            <w:vAlign w:val="center"/>
          </w:tcPr>
          <w:p w14:paraId="15C1B349">
            <w:pPr>
              <w:spacing w:line="240" w:lineRule="auto"/>
              <w:jc w:val="center"/>
              <w:rPr>
                <w:rFonts w:hint="default" w:asciiTheme="minorEastAsia" w:hAnsiTheme="minorEastAsia" w:eastAsiaTheme="minorEastAsia" w:cstheme="minorEastAsia"/>
                <w:color w:val="0000FF"/>
                <w:sz w:val="21"/>
                <w:szCs w:val="21"/>
                <w:highlight w:val="none"/>
                <w:lang w:val="en-US" w:eastAsia="zh-CN"/>
              </w:rPr>
            </w:pPr>
            <w:r>
              <w:rPr>
                <w:rFonts w:hint="eastAsia" w:asciiTheme="minorEastAsia" w:hAnsiTheme="minorEastAsia" w:eastAsiaTheme="minorEastAsia" w:cstheme="minorEastAsia"/>
                <w:color w:val="0000FF"/>
                <w:sz w:val="21"/>
                <w:szCs w:val="21"/>
                <w:highlight w:val="none"/>
                <w:lang w:val="en-US" w:eastAsia="zh-CN"/>
              </w:rPr>
              <w:t>4</w:t>
            </w:r>
          </w:p>
        </w:tc>
        <w:tc>
          <w:tcPr>
            <w:tcW w:w="3816" w:type="dxa"/>
            <w:vAlign w:val="center"/>
          </w:tcPr>
          <w:p w14:paraId="75CA1842">
            <w:pPr>
              <w:spacing w:line="240" w:lineRule="auto"/>
              <w:jc w:val="center"/>
              <w:rPr>
                <w:rFonts w:hint="default" w:asciiTheme="minorEastAsia" w:hAnsiTheme="minorEastAsia" w:eastAsiaTheme="minorEastAsia" w:cstheme="minorEastAsia"/>
                <w:color w:val="0000FF"/>
                <w:sz w:val="21"/>
                <w:szCs w:val="21"/>
                <w:highlight w:val="none"/>
                <w:lang w:val="en-US" w:eastAsia="zh-CN"/>
              </w:rPr>
            </w:pPr>
            <w:r>
              <w:rPr>
                <w:rFonts w:hint="eastAsia" w:asciiTheme="minorEastAsia" w:hAnsiTheme="minorEastAsia" w:eastAsiaTheme="minorEastAsia" w:cstheme="minorEastAsia"/>
                <w:color w:val="0000FF"/>
                <w:sz w:val="21"/>
                <w:szCs w:val="21"/>
                <w:highlight w:val="none"/>
                <w:lang w:val="en-US" w:eastAsia="zh-CN"/>
              </w:rPr>
              <w:t>WDZ-YJY-5*6</w:t>
            </w:r>
          </w:p>
        </w:tc>
        <w:tc>
          <w:tcPr>
            <w:tcW w:w="701" w:type="dxa"/>
            <w:vAlign w:val="center"/>
          </w:tcPr>
          <w:p w14:paraId="264A9914">
            <w:pPr>
              <w:spacing w:line="240" w:lineRule="auto"/>
              <w:jc w:val="center"/>
              <w:rPr>
                <w:rFonts w:hint="default" w:asciiTheme="minorEastAsia" w:hAnsiTheme="minorEastAsia" w:eastAsiaTheme="minorEastAsia" w:cstheme="minorEastAsia"/>
                <w:color w:val="0000FF"/>
                <w:sz w:val="21"/>
                <w:szCs w:val="21"/>
                <w:highlight w:val="none"/>
                <w:lang w:val="en-US" w:eastAsia="zh-CN"/>
              </w:rPr>
            </w:pPr>
            <w:r>
              <w:rPr>
                <w:rFonts w:hint="eastAsia" w:asciiTheme="minorEastAsia" w:hAnsiTheme="minorEastAsia" w:eastAsiaTheme="minorEastAsia" w:cstheme="minorEastAsia"/>
                <w:color w:val="0000FF"/>
                <w:sz w:val="21"/>
                <w:szCs w:val="21"/>
                <w:highlight w:val="none"/>
                <w:lang w:val="en-US" w:eastAsia="zh-CN"/>
              </w:rPr>
              <w:t>m</w:t>
            </w:r>
          </w:p>
        </w:tc>
        <w:tc>
          <w:tcPr>
            <w:tcW w:w="1171" w:type="dxa"/>
            <w:vAlign w:val="center"/>
          </w:tcPr>
          <w:p w14:paraId="16619964">
            <w:pPr>
              <w:spacing w:line="240" w:lineRule="auto"/>
              <w:jc w:val="center"/>
              <w:rPr>
                <w:rFonts w:hint="default" w:asciiTheme="minorEastAsia" w:hAnsiTheme="minorEastAsia" w:eastAsiaTheme="minorEastAsia" w:cstheme="minorEastAsia"/>
                <w:color w:val="0000FF"/>
                <w:sz w:val="21"/>
                <w:szCs w:val="21"/>
                <w:highlight w:val="none"/>
                <w:lang w:val="en-US" w:eastAsia="zh-CN"/>
              </w:rPr>
            </w:pPr>
            <w:r>
              <w:rPr>
                <w:rFonts w:hint="eastAsia" w:asciiTheme="minorEastAsia" w:hAnsiTheme="minorEastAsia" w:eastAsiaTheme="minorEastAsia" w:cstheme="minorEastAsia"/>
                <w:color w:val="0000FF"/>
                <w:sz w:val="21"/>
                <w:szCs w:val="21"/>
                <w:highlight w:val="none"/>
                <w:lang w:val="en-US" w:eastAsia="zh-CN"/>
              </w:rPr>
              <w:t>50</w:t>
            </w:r>
          </w:p>
        </w:tc>
        <w:tc>
          <w:tcPr>
            <w:tcW w:w="2036" w:type="dxa"/>
            <w:vAlign w:val="center"/>
          </w:tcPr>
          <w:p w14:paraId="57A51D18">
            <w:pPr>
              <w:spacing w:line="240" w:lineRule="auto"/>
              <w:jc w:val="center"/>
              <w:rPr>
                <w:rFonts w:hint="default" w:asciiTheme="minorEastAsia" w:hAnsiTheme="minorEastAsia" w:eastAsiaTheme="minorEastAsia" w:cstheme="minorEastAsia"/>
                <w:color w:val="0000FF"/>
                <w:sz w:val="21"/>
                <w:szCs w:val="21"/>
                <w:highlight w:val="yellow"/>
                <w:lang w:val="en-US" w:eastAsia="zh-CN"/>
              </w:rPr>
            </w:pPr>
          </w:p>
        </w:tc>
      </w:tr>
      <w:tr w14:paraId="12EFF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724" w:type="dxa"/>
            <w:vAlign w:val="center"/>
          </w:tcPr>
          <w:p w14:paraId="56668525">
            <w:pPr>
              <w:spacing w:line="240" w:lineRule="auto"/>
              <w:jc w:val="center"/>
              <w:rPr>
                <w:rFonts w:hint="default" w:asciiTheme="minorEastAsia" w:hAnsiTheme="minorEastAsia" w:eastAsiaTheme="minorEastAsia" w:cstheme="minorEastAsia"/>
                <w:color w:val="0000FF"/>
                <w:sz w:val="21"/>
                <w:szCs w:val="21"/>
                <w:highlight w:val="none"/>
                <w:lang w:val="en-US" w:eastAsia="zh-CN"/>
              </w:rPr>
            </w:pPr>
            <w:r>
              <w:rPr>
                <w:rFonts w:hint="eastAsia" w:asciiTheme="minorEastAsia" w:hAnsiTheme="minorEastAsia" w:eastAsiaTheme="minorEastAsia" w:cstheme="minorEastAsia"/>
                <w:color w:val="0000FF"/>
                <w:sz w:val="21"/>
                <w:szCs w:val="21"/>
                <w:highlight w:val="none"/>
                <w:lang w:val="en-US" w:eastAsia="zh-CN"/>
              </w:rPr>
              <w:t>5</w:t>
            </w:r>
          </w:p>
        </w:tc>
        <w:tc>
          <w:tcPr>
            <w:tcW w:w="3816" w:type="dxa"/>
            <w:vAlign w:val="center"/>
          </w:tcPr>
          <w:p w14:paraId="20A85D0D">
            <w:pPr>
              <w:spacing w:line="240" w:lineRule="auto"/>
              <w:jc w:val="center"/>
              <w:rPr>
                <w:rFonts w:hint="default" w:asciiTheme="minorEastAsia" w:hAnsiTheme="minorEastAsia" w:eastAsiaTheme="minorEastAsia" w:cstheme="minorEastAsia"/>
                <w:color w:val="0000FF"/>
                <w:sz w:val="21"/>
                <w:szCs w:val="21"/>
                <w:highlight w:val="none"/>
                <w:lang w:val="en-US" w:eastAsia="zh-CN"/>
              </w:rPr>
            </w:pPr>
            <w:r>
              <w:rPr>
                <w:rFonts w:hint="eastAsia" w:asciiTheme="minorEastAsia" w:hAnsiTheme="minorEastAsia" w:eastAsiaTheme="minorEastAsia" w:cstheme="minorEastAsia"/>
                <w:color w:val="0000FF"/>
                <w:sz w:val="21"/>
                <w:szCs w:val="21"/>
                <w:highlight w:val="none"/>
                <w:lang w:val="en-US" w:eastAsia="zh-CN"/>
              </w:rPr>
              <w:t>SC40</w:t>
            </w:r>
          </w:p>
        </w:tc>
        <w:tc>
          <w:tcPr>
            <w:tcW w:w="701" w:type="dxa"/>
            <w:vAlign w:val="center"/>
          </w:tcPr>
          <w:p w14:paraId="2F0F17D6">
            <w:pPr>
              <w:spacing w:line="240" w:lineRule="auto"/>
              <w:jc w:val="center"/>
              <w:rPr>
                <w:rFonts w:hint="eastAsia" w:asciiTheme="minorEastAsia" w:hAnsiTheme="minorEastAsia" w:eastAsiaTheme="minorEastAsia" w:cstheme="minorEastAsia"/>
                <w:color w:val="0000FF"/>
                <w:sz w:val="21"/>
                <w:szCs w:val="21"/>
                <w:highlight w:val="none"/>
                <w:lang w:val="en-US" w:eastAsia="zh-CN"/>
              </w:rPr>
            </w:pPr>
            <w:r>
              <w:rPr>
                <w:rFonts w:hint="eastAsia" w:asciiTheme="minorEastAsia" w:hAnsiTheme="minorEastAsia" w:eastAsiaTheme="minorEastAsia" w:cstheme="minorEastAsia"/>
                <w:color w:val="0000FF"/>
                <w:sz w:val="21"/>
                <w:szCs w:val="21"/>
                <w:highlight w:val="none"/>
                <w:lang w:val="en-US" w:eastAsia="zh-CN"/>
              </w:rPr>
              <w:t>m</w:t>
            </w:r>
          </w:p>
        </w:tc>
        <w:tc>
          <w:tcPr>
            <w:tcW w:w="1171" w:type="dxa"/>
            <w:vAlign w:val="center"/>
          </w:tcPr>
          <w:p w14:paraId="4575FB87">
            <w:pPr>
              <w:spacing w:line="240" w:lineRule="auto"/>
              <w:jc w:val="center"/>
              <w:rPr>
                <w:rFonts w:hint="default" w:asciiTheme="minorEastAsia" w:hAnsiTheme="minorEastAsia" w:eastAsiaTheme="minorEastAsia" w:cstheme="minorEastAsia"/>
                <w:color w:val="0000FF"/>
                <w:sz w:val="21"/>
                <w:szCs w:val="21"/>
                <w:highlight w:val="none"/>
                <w:lang w:val="en-US" w:eastAsia="zh-CN"/>
              </w:rPr>
            </w:pPr>
            <w:r>
              <w:rPr>
                <w:rFonts w:hint="eastAsia" w:asciiTheme="minorEastAsia" w:hAnsiTheme="minorEastAsia" w:eastAsiaTheme="minorEastAsia" w:cstheme="minorEastAsia"/>
                <w:color w:val="0000FF"/>
                <w:sz w:val="21"/>
                <w:szCs w:val="21"/>
                <w:highlight w:val="none"/>
                <w:lang w:val="en-US" w:eastAsia="zh-CN"/>
              </w:rPr>
              <w:t>50</w:t>
            </w:r>
          </w:p>
        </w:tc>
        <w:tc>
          <w:tcPr>
            <w:tcW w:w="2036" w:type="dxa"/>
            <w:vAlign w:val="center"/>
          </w:tcPr>
          <w:p w14:paraId="7E47CDE5">
            <w:pPr>
              <w:spacing w:line="240" w:lineRule="auto"/>
              <w:jc w:val="center"/>
              <w:rPr>
                <w:rFonts w:hint="default" w:asciiTheme="minorEastAsia" w:hAnsiTheme="minorEastAsia" w:eastAsiaTheme="minorEastAsia" w:cstheme="minorEastAsia"/>
                <w:color w:val="0000FF"/>
                <w:sz w:val="21"/>
                <w:szCs w:val="21"/>
                <w:highlight w:val="yellow"/>
                <w:lang w:val="en-US" w:eastAsia="zh-CN"/>
              </w:rPr>
            </w:pPr>
          </w:p>
        </w:tc>
      </w:tr>
    </w:tbl>
    <w:p w14:paraId="0F68DF89">
      <w:pPr>
        <w:numPr>
          <w:ilvl w:val="0"/>
          <w:numId w:val="2"/>
        </w:numPr>
        <w:tabs>
          <w:tab w:val="left" w:pos="3060"/>
          <w:tab w:val="left" w:pos="9180"/>
          <w:tab w:val="left" w:pos="9360"/>
        </w:tabs>
        <w:spacing w:line="600" w:lineRule="auto"/>
        <w:ind w:right="359" w:rightChars="171" w:firstLine="482" w:firstLineChars="200"/>
        <w:outlineLvl w:val="0"/>
        <w:rPr>
          <w:rFonts w:hint="default"/>
          <w:b/>
          <w:bCs w:val="0"/>
          <w:sz w:val="24"/>
          <w:szCs w:val="24"/>
          <w:lang w:val="en-US"/>
        </w:rPr>
      </w:pPr>
      <w:r>
        <w:rPr>
          <w:rFonts w:hint="eastAsia" w:ascii="宋体" w:hAnsi="宋体"/>
          <w:b/>
          <w:bCs w:val="0"/>
          <w:sz w:val="24"/>
          <w:szCs w:val="24"/>
        </w:rPr>
        <w:t>暂</w:t>
      </w:r>
      <w:r>
        <w:rPr>
          <w:rFonts w:hint="eastAsia" w:ascii="宋体" w:hAnsi="宋体"/>
          <w:b/>
          <w:bCs w:val="0"/>
          <w:sz w:val="24"/>
          <w:szCs w:val="24"/>
          <w:lang w:eastAsia="zh-CN"/>
        </w:rPr>
        <w:t>估</w:t>
      </w:r>
      <w:r>
        <w:rPr>
          <w:rFonts w:hint="eastAsia" w:ascii="宋体" w:hAnsi="宋体"/>
          <w:b/>
          <w:bCs w:val="0"/>
          <w:sz w:val="24"/>
          <w:szCs w:val="24"/>
          <w:lang w:val="en-US" w:eastAsia="zh-CN"/>
        </w:rPr>
        <w:t>价</w:t>
      </w:r>
    </w:p>
    <w:tbl>
      <w:tblPr>
        <w:tblStyle w:val="6"/>
        <w:tblW w:w="8411" w:type="dxa"/>
        <w:tblInd w:w="17" w:type="dxa"/>
        <w:tblLayout w:type="fixed"/>
        <w:tblCellMar>
          <w:top w:w="15" w:type="dxa"/>
          <w:left w:w="15" w:type="dxa"/>
          <w:bottom w:w="15" w:type="dxa"/>
          <w:right w:w="15" w:type="dxa"/>
        </w:tblCellMar>
      </w:tblPr>
      <w:tblGrid>
        <w:gridCol w:w="521"/>
        <w:gridCol w:w="3615"/>
        <w:gridCol w:w="645"/>
        <w:gridCol w:w="750"/>
        <w:gridCol w:w="735"/>
        <w:gridCol w:w="780"/>
        <w:gridCol w:w="1365"/>
      </w:tblGrid>
      <w:tr w14:paraId="67DBC16E">
        <w:tblPrEx>
          <w:tblCellMar>
            <w:top w:w="15" w:type="dxa"/>
            <w:left w:w="15" w:type="dxa"/>
            <w:bottom w:w="15" w:type="dxa"/>
            <w:right w:w="15" w:type="dxa"/>
          </w:tblCellMar>
        </w:tblPrEx>
        <w:trPr>
          <w:trHeight w:val="629" w:hRule="atLeast"/>
        </w:trPr>
        <w:tc>
          <w:tcPr>
            <w:tcW w:w="52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138703">
            <w:pPr>
              <w:widowControl/>
              <w:spacing w:line="24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36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328B8F">
            <w:pPr>
              <w:widowControl/>
              <w:spacing w:line="24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项目名称</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63218D">
            <w:pPr>
              <w:widowControl/>
              <w:spacing w:line="24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单位</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B32E29">
            <w:pPr>
              <w:widowControl/>
              <w:spacing w:line="24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工程量</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E0B19A">
            <w:pPr>
              <w:widowControl/>
              <w:spacing w:line="24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单价(元)</w:t>
            </w:r>
          </w:p>
        </w:tc>
        <w:tc>
          <w:tcPr>
            <w:tcW w:w="7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052831">
            <w:pPr>
              <w:widowControl/>
              <w:spacing w:line="240" w:lineRule="auto"/>
              <w:jc w:val="center"/>
              <w:rPr>
                <w:rFonts w:hint="eastAsia" w:ascii="宋体" w:hAnsi="宋体" w:eastAsia="宋体" w:cs="宋体"/>
                <w:kern w:val="0"/>
                <w:sz w:val="21"/>
                <w:szCs w:val="21"/>
              </w:rPr>
            </w:pPr>
            <w:r>
              <w:rPr>
                <w:rFonts w:hint="eastAsia" w:ascii="宋体" w:hAnsi="宋体" w:eastAsia="宋体" w:cs="宋体"/>
                <w:color w:val="000000"/>
                <w:sz w:val="21"/>
                <w:szCs w:val="21"/>
              </w:rPr>
              <w:t>合价             （元）</w:t>
            </w:r>
          </w:p>
        </w:tc>
        <w:tc>
          <w:tcPr>
            <w:tcW w:w="13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CB1581">
            <w:pPr>
              <w:widowControl/>
              <w:spacing w:line="240" w:lineRule="auto"/>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备注</w:t>
            </w:r>
          </w:p>
        </w:tc>
      </w:tr>
      <w:tr w14:paraId="1C4FF1F3">
        <w:tblPrEx>
          <w:tblCellMar>
            <w:top w:w="15" w:type="dxa"/>
            <w:left w:w="15" w:type="dxa"/>
            <w:bottom w:w="15" w:type="dxa"/>
            <w:right w:w="15" w:type="dxa"/>
          </w:tblCellMar>
        </w:tblPrEx>
        <w:trPr>
          <w:trHeight w:val="1470" w:hRule="atLeast"/>
        </w:trPr>
        <w:tc>
          <w:tcPr>
            <w:tcW w:w="52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D7BF5F">
            <w:pPr>
              <w:widowControl/>
              <w:spacing w:line="24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w:t>
            </w:r>
          </w:p>
        </w:tc>
        <w:tc>
          <w:tcPr>
            <w:tcW w:w="36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0F0F2B">
            <w:pPr>
              <w:keepNext w:val="0"/>
              <w:keepLines w:val="0"/>
              <w:widowControl/>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kern w:val="0"/>
                <w:sz w:val="21"/>
                <w:szCs w:val="21"/>
              </w:rPr>
            </w:pPr>
            <w:r>
              <w:rPr>
                <w:rFonts w:hint="eastAsia" w:ascii="宋体" w:hAnsi="宋体" w:eastAsia="宋体" w:cs="宋体"/>
                <w:kern w:val="2"/>
                <w:sz w:val="21"/>
                <w:szCs w:val="21"/>
                <w:highlight w:val="none"/>
                <w:lang w:val="en-US" w:eastAsia="zh-CN" w:bidi="ar-SA"/>
              </w:rPr>
              <w:t>音响柜、空调移位、调试及工程中涉及管道保护、雨水管井、污水管井、各类管线、光纤等的所有交叉过程中需要破损、修复、移位等相关工作</w:t>
            </w:r>
            <w:r>
              <w:rPr>
                <w:rFonts w:hint="eastAsia" w:ascii="宋体" w:hAnsi="宋体" w:cs="宋体"/>
                <w:kern w:val="2"/>
                <w:sz w:val="21"/>
                <w:szCs w:val="21"/>
                <w:highlight w:val="none"/>
                <w:lang w:val="en-US" w:eastAsia="zh-CN" w:bidi="ar-SA"/>
              </w:rPr>
              <w:t>，</w:t>
            </w:r>
            <w:r>
              <w:rPr>
                <w:rFonts w:hint="eastAsia" w:ascii="宋体" w:hAnsi="宋体" w:eastAsia="宋体" w:cs="宋体"/>
                <w:kern w:val="2"/>
                <w:sz w:val="21"/>
                <w:szCs w:val="21"/>
                <w:highlight w:val="none"/>
                <w:lang w:val="en-US" w:eastAsia="zh-CN" w:bidi="ar-SA"/>
              </w:rPr>
              <w:t>场馆周边道路及其他场馆局部墙面、地面修复等</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30D1D3">
            <w:pPr>
              <w:widowControl/>
              <w:spacing w:line="24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项</w:t>
            </w: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451D93">
            <w:pPr>
              <w:widowControl/>
              <w:spacing w:line="24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11CBDE">
            <w:pPr>
              <w:widowControl/>
              <w:spacing w:line="240" w:lineRule="auto"/>
              <w:jc w:val="center"/>
              <w:rPr>
                <w:rFonts w:hint="default" w:ascii="宋体" w:hAnsi="宋体" w:eastAsia="宋体" w:cs="宋体"/>
                <w:kern w:val="0"/>
                <w:sz w:val="21"/>
                <w:szCs w:val="21"/>
                <w:lang w:val="en-US"/>
              </w:rPr>
            </w:pPr>
            <w:r>
              <w:rPr>
                <w:rFonts w:hint="eastAsia" w:ascii="宋体" w:hAnsi="宋体" w:cs="宋体"/>
                <w:kern w:val="0"/>
                <w:sz w:val="21"/>
                <w:szCs w:val="21"/>
                <w:lang w:val="en-US" w:eastAsia="zh-CN"/>
              </w:rPr>
              <w:t>25000</w:t>
            </w:r>
          </w:p>
        </w:tc>
        <w:tc>
          <w:tcPr>
            <w:tcW w:w="7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A407D4">
            <w:pPr>
              <w:widowControl/>
              <w:spacing w:line="240" w:lineRule="auto"/>
              <w:jc w:val="center"/>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25000</w:t>
            </w:r>
          </w:p>
        </w:tc>
        <w:tc>
          <w:tcPr>
            <w:tcW w:w="13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B64D06">
            <w:pPr>
              <w:widowControl/>
              <w:spacing w:line="240" w:lineRule="auto"/>
              <w:jc w:val="center"/>
              <w:rPr>
                <w:rFonts w:hint="default" w:ascii="宋体" w:hAnsi="宋体" w:eastAsia="宋体" w:cs="宋体"/>
                <w:kern w:val="0"/>
                <w:sz w:val="21"/>
                <w:szCs w:val="21"/>
                <w:lang w:val="en-US" w:eastAsia="zh-CN" w:bidi="ar-SA"/>
              </w:rPr>
            </w:pPr>
            <w:r>
              <w:rPr>
                <w:rFonts w:hint="eastAsia" w:ascii="宋体" w:hAnsi="宋体" w:cs="宋体"/>
                <w:kern w:val="0"/>
                <w:sz w:val="21"/>
                <w:szCs w:val="21"/>
                <w:lang w:val="en-US" w:eastAsia="zh-CN"/>
              </w:rPr>
              <w:t>计入电气工程</w:t>
            </w:r>
          </w:p>
        </w:tc>
      </w:tr>
      <w:tr w14:paraId="028BCE15">
        <w:tblPrEx>
          <w:tblCellMar>
            <w:top w:w="15" w:type="dxa"/>
            <w:left w:w="15" w:type="dxa"/>
            <w:bottom w:w="15" w:type="dxa"/>
            <w:right w:w="15" w:type="dxa"/>
          </w:tblCellMar>
        </w:tblPrEx>
        <w:trPr>
          <w:trHeight w:val="525" w:hRule="atLeast"/>
        </w:trPr>
        <w:tc>
          <w:tcPr>
            <w:tcW w:w="52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A6ABAE">
            <w:pPr>
              <w:widowControl/>
              <w:spacing w:line="240" w:lineRule="auto"/>
              <w:jc w:val="center"/>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2</w:t>
            </w:r>
          </w:p>
        </w:tc>
        <w:tc>
          <w:tcPr>
            <w:tcW w:w="36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BF24B1">
            <w:pPr>
              <w:keepNext w:val="0"/>
              <w:keepLines w:val="0"/>
              <w:widowControl/>
              <w:suppressLineNumbers w:val="0"/>
              <w:spacing w:before="0" w:beforeAutospacing="0" w:after="0" w:afterAutospacing="0" w:line="240" w:lineRule="auto"/>
              <w:ind w:left="0" w:leftChars="0" w:right="0" w:rightChars="0" w:firstLine="0" w:firstLineChars="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税金9%</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9D21B6">
            <w:pPr>
              <w:widowControl/>
              <w:spacing w:line="240" w:lineRule="auto"/>
              <w:jc w:val="center"/>
              <w:rPr>
                <w:rFonts w:hint="eastAsia" w:ascii="宋体" w:hAnsi="宋体" w:eastAsia="宋体" w:cs="宋体"/>
                <w:kern w:val="0"/>
                <w:sz w:val="21"/>
                <w:szCs w:val="21"/>
              </w:rPr>
            </w:pP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89C6D9">
            <w:pPr>
              <w:widowControl/>
              <w:spacing w:line="240" w:lineRule="auto"/>
              <w:jc w:val="center"/>
              <w:rPr>
                <w:rFonts w:hint="eastAsia" w:ascii="宋体" w:hAnsi="宋体" w:eastAsia="宋体" w:cs="宋体"/>
                <w:kern w:val="0"/>
                <w:sz w:val="21"/>
                <w:szCs w:val="21"/>
              </w:rPr>
            </w:pP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E70872">
            <w:pPr>
              <w:widowControl/>
              <w:spacing w:line="240" w:lineRule="auto"/>
              <w:jc w:val="center"/>
              <w:rPr>
                <w:rFonts w:hint="eastAsia" w:ascii="宋体" w:hAnsi="宋体" w:eastAsia="宋体" w:cs="宋体"/>
                <w:kern w:val="0"/>
                <w:sz w:val="21"/>
                <w:szCs w:val="21"/>
                <w:lang w:val="en-US" w:eastAsia="zh-CN"/>
              </w:rPr>
            </w:pPr>
          </w:p>
        </w:tc>
        <w:tc>
          <w:tcPr>
            <w:tcW w:w="7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30F020">
            <w:pPr>
              <w:widowControl/>
              <w:spacing w:line="240" w:lineRule="auto"/>
              <w:jc w:val="center"/>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2250</w:t>
            </w:r>
          </w:p>
        </w:tc>
        <w:tc>
          <w:tcPr>
            <w:tcW w:w="13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D836C7">
            <w:pPr>
              <w:widowControl/>
              <w:spacing w:line="240" w:lineRule="auto"/>
              <w:jc w:val="center"/>
              <w:rPr>
                <w:rFonts w:hint="eastAsia" w:ascii="宋体" w:hAnsi="宋体" w:eastAsia="宋体" w:cs="宋体"/>
                <w:kern w:val="0"/>
                <w:sz w:val="21"/>
                <w:szCs w:val="21"/>
              </w:rPr>
            </w:pPr>
          </w:p>
        </w:tc>
      </w:tr>
      <w:tr w14:paraId="38E4BA36">
        <w:tblPrEx>
          <w:tblCellMar>
            <w:top w:w="15" w:type="dxa"/>
            <w:left w:w="15" w:type="dxa"/>
            <w:bottom w:w="15" w:type="dxa"/>
            <w:right w:w="15" w:type="dxa"/>
          </w:tblCellMar>
        </w:tblPrEx>
        <w:trPr>
          <w:trHeight w:val="525" w:hRule="atLeast"/>
        </w:trPr>
        <w:tc>
          <w:tcPr>
            <w:tcW w:w="52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F023F5">
            <w:pPr>
              <w:widowControl/>
              <w:jc w:val="center"/>
              <w:rPr>
                <w:rFonts w:hint="default" w:ascii="宋体" w:hAnsi="宋体" w:eastAsia="宋体" w:cs="宋体"/>
                <w:color w:val="auto"/>
                <w:kern w:val="0"/>
                <w:sz w:val="21"/>
                <w:szCs w:val="21"/>
                <w:lang w:val="en-US" w:eastAsia="zh-CN"/>
              </w:rPr>
            </w:pPr>
            <w:r>
              <w:rPr>
                <w:rFonts w:hint="eastAsia" w:ascii="宋体" w:hAnsi="宋体" w:cs="宋体"/>
                <w:color w:val="auto"/>
                <w:kern w:val="0"/>
                <w:sz w:val="21"/>
                <w:szCs w:val="21"/>
                <w:lang w:val="en-US" w:eastAsia="zh-CN"/>
              </w:rPr>
              <w:t>3</w:t>
            </w:r>
          </w:p>
        </w:tc>
        <w:tc>
          <w:tcPr>
            <w:tcW w:w="36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DA2E29">
            <w:pPr>
              <w:keepNext w:val="0"/>
              <w:keepLines w:val="0"/>
              <w:widowControl/>
              <w:suppressLineNumbers w:val="0"/>
              <w:spacing w:before="0" w:beforeAutospacing="0" w:after="0" w:afterAutospacing="0"/>
              <w:ind w:left="0" w:leftChars="0" w:right="0" w:rightChars="0" w:firstLine="0" w:firstLineChars="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9F0056">
            <w:pPr>
              <w:widowControl/>
              <w:jc w:val="center"/>
              <w:rPr>
                <w:rFonts w:hint="eastAsia" w:ascii="宋体" w:hAnsi="宋体" w:eastAsia="宋体" w:cs="宋体"/>
                <w:color w:val="auto"/>
                <w:kern w:val="0"/>
                <w:sz w:val="21"/>
                <w:szCs w:val="21"/>
              </w:rPr>
            </w:pPr>
          </w:p>
        </w:tc>
        <w:tc>
          <w:tcPr>
            <w:tcW w:w="7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B0FBD7">
            <w:pPr>
              <w:widowControl/>
              <w:jc w:val="center"/>
              <w:rPr>
                <w:rFonts w:hint="eastAsia" w:ascii="宋体" w:hAnsi="宋体" w:eastAsia="宋体" w:cs="宋体"/>
                <w:color w:val="auto"/>
                <w:kern w:val="0"/>
                <w:sz w:val="21"/>
                <w:szCs w:val="21"/>
              </w:rPr>
            </w:pPr>
          </w:p>
        </w:tc>
        <w:tc>
          <w:tcPr>
            <w:tcW w:w="7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4B0767">
            <w:pPr>
              <w:widowControl/>
              <w:jc w:val="center"/>
              <w:rPr>
                <w:rFonts w:hint="eastAsia" w:ascii="宋体" w:hAnsi="宋体" w:eastAsia="宋体" w:cs="宋体"/>
                <w:color w:val="auto"/>
                <w:kern w:val="0"/>
                <w:sz w:val="21"/>
                <w:szCs w:val="21"/>
                <w:lang w:val="en-US" w:eastAsia="zh-CN"/>
              </w:rPr>
            </w:pPr>
          </w:p>
        </w:tc>
        <w:tc>
          <w:tcPr>
            <w:tcW w:w="78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7E62FB">
            <w:pPr>
              <w:widowControl/>
              <w:jc w:val="center"/>
              <w:rPr>
                <w:rFonts w:hint="default" w:ascii="宋体" w:hAnsi="宋体" w:eastAsia="宋体" w:cs="宋体"/>
                <w:color w:val="auto"/>
                <w:kern w:val="0"/>
                <w:sz w:val="21"/>
                <w:szCs w:val="21"/>
                <w:lang w:val="en-US" w:eastAsia="zh-CN"/>
              </w:rPr>
            </w:pPr>
            <w:r>
              <w:rPr>
                <w:rFonts w:hint="eastAsia" w:ascii="宋体" w:hAnsi="宋体" w:cs="宋体"/>
                <w:color w:val="auto"/>
                <w:kern w:val="0"/>
                <w:sz w:val="21"/>
                <w:szCs w:val="21"/>
                <w:lang w:val="en-US" w:eastAsia="zh-CN"/>
              </w:rPr>
              <w:t>27250</w:t>
            </w:r>
          </w:p>
        </w:tc>
        <w:tc>
          <w:tcPr>
            <w:tcW w:w="13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247325">
            <w:pPr>
              <w:widowControl/>
              <w:jc w:val="center"/>
              <w:rPr>
                <w:rFonts w:hint="eastAsia" w:ascii="宋体" w:hAnsi="宋体" w:eastAsia="宋体" w:cs="宋体"/>
                <w:color w:val="auto"/>
                <w:kern w:val="0"/>
                <w:sz w:val="21"/>
                <w:szCs w:val="21"/>
              </w:rPr>
            </w:pPr>
            <w:bookmarkStart w:id="0" w:name="_GoBack"/>
            <w:bookmarkEnd w:id="0"/>
          </w:p>
        </w:tc>
      </w:tr>
    </w:tbl>
    <w:p w14:paraId="56339D44">
      <w:pPr>
        <w:pStyle w:val="2"/>
        <w:rPr>
          <w:rFonts w:hint="default"/>
          <w:lang w:val="en-US"/>
        </w:rPr>
      </w:pPr>
    </w:p>
    <w:p w14:paraId="6171E142">
      <w:pPr>
        <w:pStyle w:val="9"/>
        <w:spacing w:line="600" w:lineRule="auto"/>
        <w:ind w:left="0" w:leftChars="0" w:firstLine="482" w:firstLineChars="200"/>
        <w:rPr>
          <w:rFonts w:hint="eastAsia" w:ascii="宋体" w:hAnsi="宋体" w:eastAsia="宋体" w:cs="宋体"/>
          <w:b/>
          <w:bCs/>
          <w:color w:val="auto"/>
          <w:kern w:val="2"/>
          <w:sz w:val="24"/>
          <w:szCs w:val="24"/>
          <w:highlight w:val="none"/>
          <w:lang w:val="en-US" w:eastAsia="zh-CN" w:bidi="ar-SA"/>
        </w:rPr>
      </w:pPr>
      <w:r>
        <w:rPr>
          <w:rFonts w:hint="eastAsia" w:ascii="宋体" w:hAnsi="宋体" w:cs="宋体"/>
          <w:b/>
          <w:bCs/>
          <w:color w:val="auto"/>
          <w:kern w:val="2"/>
          <w:sz w:val="24"/>
          <w:szCs w:val="24"/>
          <w:highlight w:val="none"/>
          <w:lang w:val="en-US" w:eastAsia="zh-CN" w:bidi="ar-SA"/>
        </w:rPr>
        <w:t>六</w:t>
      </w:r>
      <w:r>
        <w:rPr>
          <w:rFonts w:hint="eastAsia" w:ascii="宋体" w:hAnsi="宋体" w:eastAsia="宋体" w:cs="宋体"/>
          <w:b/>
          <w:bCs/>
          <w:color w:val="auto"/>
          <w:kern w:val="2"/>
          <w:sz w:val="24"/>
          <w:szCs w:val="24"/>
          <w:highlight w:val="none"/>
          <w:lang w:val="en-US" w:eastAsia="zh-CN" w:bidi="ar-SA"/>
        </w:rPr>
        <w:t>、品牌表</w:t>
      </w:r>
    </w:p>
    <w:tbl>
      <w:tblPr>
        <w:tblStyle w:val="6"/>
        <w:tblW w:w="0" w:type="auto"/>
        <w:tblInd w:w="91" w:type="dxa"/>
        <w:tblLayout w:type="fixed"/>
        <w:tblCellMar>
          <w:top w:w="0" w:type="dxa"/>
          <w:left w:w="108" w:type="dxa"/>
          <w:bottom w:w="0" w:type="dxa"/>
          <w:right w:w="108" w:type="dxa"/>
        </w:tblCellMar>
      </w:tblPr>
      <w:tblGrid>
        <w:gridCol w:w="678"/>
        <w:gridCol w:w="2568"/>
        <w:gridCol w:w="4485"/>
        <w:gridCol w:w="645"/>
      </w:tblGrid>
      <w:tr w14:paraId="3828D138">
        <w:tblPrEx>
          <w:tblCellMar>
            <w:top w:w="0" w:type="dxa"/>
            <w:left w:w="108" w:type="dxa"/>
            <w:bottom w:w="0" w:type="dxa"/>
            <w:right w:w="108" w:type="dxa"/>
          </w:tblCellMar>
        </w:tblPrEx>
        <w:trPr>
          <w:trHeight w:val="51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D26C1F">
            <w:pPr>
              <w:spacing w:line="360" w:lineRule="auto"/>
              <w:jc w:val="center"/>
              <w:rPr>
                <w:rFonts w:hint="eastAsia" w:ascii="宋体" w:hAnsi="宋体" w:cs="宋体"/>
                <w:bCs/>
                <w:sz w:val="21"/>
                <w:szCs w:val="21"/>
              </w:rPr>
            </w:pPr>
            <w:r>
              <w:rPr>
                <w:rFonts w:hint="eastAsia" w:ascii="宋体" w:hAnsi="宋体" w:cs="宋体"/>
                <w:bCs/>
                <w:sz w:val="21"/>
                <w:szCs w:val="21"/>
              </w:rPr>
              <w:t>序号</w:t>
            </w:r>
          </w:p>
        </w:tc>
        <w:tc>
          <w:tcPr>
            <w:tcW w:w="25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C2E6C1">
            <w:pPr>
              <w:spacing w:line="360" w:lineRule="auto"/>
              <w:jc w:val="center"/>
              <w:rPr>
                <w:rFonts w:hint="eastAsia" w:ascii="宋体" w:hAnsi="宋体" w:cs="宋体"/>
                <w:bCs/>
                <w:sz w:val="21"/>
                <w:szCs w:val="21"/>
              </w:rPr>
            </w:pPr>
            <w:r>
              <w:rPr>
                <w:rFonts w:hint="eastAsia" w:ascii="宋体" w:hAnsi="宋体" w:cs="宋体"/>
                <w:bCs/>
                <w:sz w:val="21"/>
                <w:szCs w:val="21"/>
              </w:rPr>
              <w:t>材料、设备名称</w:t>
            </w:r>
          </w:p>
        </w:tc>
        <w:tc>
          <w:tcPr>
            <w:tcW w:w="44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D27517">
            <w:pPr>
              <w:spacing w:line="360" w:lineRule="auto"/>
              <w:jc w:val="center"/>
              <w:rPr>
                <w:rFonts w:hint="eastAsia" w:ascii="宋体" w:hAnsi="宋体" w:cs="宋体"/>
                <w:bCs/>
                <w:sz w:val="21"/>
                <w:szCs w:val="21"/>
              </w:rPr>
            </w:pPr>
            <w:r>
              <w:rPr>
                <w:rFonts w:hint="eastAsia" w:ascii="宋体" w:hAnsi="宋体" w:cs="宋体"/>
                <w:bCs/>
                <w:sz w:val="21"/>
                <w:szCs w:val="21"/>
              </w:rPr>
              <w:t>招标人约定的参考品牌（材质）</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30F17B">
            <w:pPr>
              <w:spacing w:line="360" w:lineRule="auto"/>
              <w:jc w:val="center"/>
              <w:rPr>
                <w:rFonts w:hint="eastAsia" w:ascii="宋体" w:hAnsi="宋体" w:cs="宋体"/>
                <w:bCs/>
                <w:sz w:val="21"/>
                <w:szCs w:val="21"/>
              </w:rPr>
            </w:pPr>
            <w:r>
              <w:rPr>
                <w:rFonts w:hint="eastAsia" w:ascii="宋体" w:hAnsi="宋体" w:cs="宋体"/>
                <w:bCs/>
                <w:sz w:val="21"/>
                <w:szCs w:val="21"/>
              </w:rPr>
              <w:t>备注</w:t>
            </w:r>
          </w:p>
        </w:tc>
      </w:tr>
      <w:tr w14:paraId="7B7622D7">
        <w:tblPrEx>
          <w:tblCellMar>
            <w:top w:w="0" w:type="dxa"/>
            <w:left w:w="108" w:type="dxa"/>
            <w:bottom w:w="0" w:type="dxa"/>
            <w:right w:w="108" w:type="dxa"/>
          </w:tblCellMar>
        </w:tblPrEx>
        <w:trPr>
          <w:trHeight w:val="51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F3368A3">
            <w:pPr>
              <w:spacing w:line="360" w:lineRule="auto"/>
              <w:jc w:val="center"/>
              <w:rPr>
                <w:rFonts w:hint="eastAsia" w:ascii="宋体" w:hAnsi="宋体" w:cs="宋体"/>
                <w:bCs/>
                <w:sz w:val="21"/>
                <w:szCs w:val="21"/>
              </w:rPr>
            </w:pPr>
            <w:r>
              <w:rPr>
                <w:rFonts w:hint="eastAsia" w:ascii="宋体" w:hAnsi="宋体"/>
                <w:kern w:val="28"/>
                <w:sz w:val="21"/>
                <w:szCs w:val="21"/>
              </w:rPr>
              <w:t>1</w:t>
            </w:r>
          </w:p>
        </w:tc>
        <w:tc>
          <w:tcPr>
            <w:tcW w:w="256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5C5DEA8">
            <w:pPr>
              <w:spacing w:line="360" w:lineRule="auto"/>
              <w:jc w:val="center"/>
              <w:rPr>
                <w:rFonts w:hint="eastAsia" w:ascii="宋体" w:hAnsi="宋体" w:cs="宋体"/>
                <w:bCs/>
                <w:sz w:val="21"/>
                <w:szCs w:val="21"/>
              </w:rPr>
            </w:pPr>
            <w:r>
              <w:rPr>
                <w:rFonts w:hint="eastAsia" w:ascii="宋体" w:hAnsi="宋体"/>
                <w:kern w:val="28"/>
                <w:sz w:val="21"/>
                <w:szCs w:val="21"/>
                <w:lang w:val="en-US" w:eastAsia="zh-CN"/>
              </w:rPr>
              <w:t>运动</w:t>
            </w:r>
            <w:r>
              <w:rPr>
                <w:rFonts w:hint="eastAsia" w:ascii="宋体" w:hAnsi="宋体"/>
                <w:kern w:val="28"/>
                <w:sz w:val="21"/>
                <w:szCs w:val="21"/>
              </w:rPr>
              <w:t>地板</w:t>
            </w:r>
          </w:p>
        </w:tc>
        <w:tc>
          <w:tcPr>
            <w:tcW w:w="4485"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124E68F">
            <w:pPr>
              <w:spacing w:line="360" w:lineRule="auto"/>
              <w:jc w:val="center"/>
              <w:rPr>
                <w:rFonts w:hint="eastAsia" w:ascii="宋体" w:hAnsi="宋体" w:cs="宋体"/>
                <w:bCs/>
                <w:sz w:val="21"/>
                <w:szCs w:val="21"/>
              </w:rPr>
            </w:pPr>
            <w:r>
              <w:rPr>
                <w:rFonts w:hint="eastAsia" w:ascii="宋体" w:cs="宋体"/>
                <w:b w:val="0"/>
                <w:bCs w:val="0"/>
                <w:kern w:val="0"/>
                <w:sz w:val="21"/>
                <w:szCs w:val="21"/>
              </w:rPr>
              <w:t>美凯、</w:t>
            </w:r>
            <w:r>
              <w:rPr>
                <w:rFonts w:hint="eastAsia" w:ascii="宋体" w:cs="宋体"/>
                <w:b w:val="0"/>
                <w:bCs w:val="0"/>
                <w:kern w:val="0"/>
                <w:sz w:val="21"/>
                <w:szCs w:val="21"/>
                <w:lang w:val="en-US" w:eastAsia="zh-CN"/>
              </w:rPr>
              <w:t>英利奥</w:t>
            </w:r>
            <w:r>
              <w:rPr>
                <w:rFonts w:hint="eastAsia" w:ascii="宋体" w:cs="宋体"/>
                <w:b w:val="0"/>
                <w:bCs w:val="0"/>
                <w:kern w:val="0"/>
                <w:sz w:val="21"/>
                <w:szCs w:val="21"/>
              </w:rPr>
              <w:t>、普利吉</w:t>
            </w:r>
            <w:r>
              <w:rPr>
                <w:rFonts w:hint="eastAsia" w:ascii="宋体" w:cs="宋体"/>
                <w:b w:val="0"/>
                <w:bCs w:val="0"/>
                <w:kern w:val="0"/>
                <w:sz w:val="21"/>
                <w:szCs w:val="21"/>
                <w:lang w:eastAsia="zh-CN"/>
              </w:rPr>
              <w:t>、</w:t>
            </w:r>
            <w:r>
              <w:rPr>
                <w:rFonts w:hint="eastAsia" w:ascii="宋体" w:cs="宋体"/>
                <w:b w:val="0"/>
                <w:bCs w:val="0"/>
                <w:kern w:val="0"/>
                <w:sz w:val="21"/>
                <w:szCs w:val="21"/>
                <w:lang w:val="en-US" w:eastAsia="zh-CN"/>
              </w:rPr>
              <w:t>畅森、科勒</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62B34F">
            <w:pPr>
              <w:spacing w:line="360" w:lineRule="auto"/>
              <w:jc w:val="center"/>
              <w:rPr>
                <w:rFonts w:hint="eastAsia" w:ascii="宋体" w:hAnsi="宋体" w:cs="宋体"/>
                <w:bCs/>
                <w:sz w:val="21"/>
                <w:szCs w:val="21"/>
              </w:rPr>
            </w:pPr>
          </w:p>
        </w:tc>
      </w:tr>
      <w:tr w14:paraId="613511C5">
        <w:tblPrEx>
          <w:tblCellMar>
            <w:top w:w="0" w:type="dxa"/>
            <w:left w:w="108" w:type="dxa"/>
            <w:bottom w:w="0" w:type="dxa"/>
            <w:right w:w="108" w:type="dxa"/>
          </w:tblCellMar>
        </w:tblPrEx>
        <w:trPr>
          <w:trHeight w:val="51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0F275EF">
            <w:pPr>
              <w:spacing w:line="360" w:lineRule="auto"/>
              <w:jc w:val="center"/>
              <w:rPr>
                <w:rFonts w:hint="eastAsia" w:ascii="宋体" w:hAnsi="宋体" w:cs="宋体"/>
                <w:bCs/>
                <w:sz w:val="21"/>
                <w:szCs w:val="21"/>
              </w:rPr>
            </w:pPr>
            <w:r>
              <w:rPr>
                <w:rFonts w:ascii="宋体" w:hAnsi="宋体"/>
                <w:kern w:val="28"/>
                <w:sz w:val="21"/>
                <w:szCs w:val="21"/>
              </w:rPr>
              <w:t>2</w:t>
            </w:r>
          </w:p>
        </w:tc>
        <w:tc>
          <w:tcPr>
            <w:tcW w:w="25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F47753">
            <w:pPr>
              <w:spacing w:line="360" w:lineRule="auto"/>
              <w:jc w:val="center"/>
              <w:rPr>
                <w:rFonts w:hint="default" w:ascii="宋体" w:hAnsi="宋体" w:eastAsia="宋体" w:cs="宋体"/>
                <w:bCs/>
                <w:sz w:val="21"/>
                <w:szCs w:val="21"/>
                <w:lang w:val="en-US" w:eastAsia="zh-CN"/>
              </w:rPr>
            </w:pPr>
            <w:r>
              <w:rPr>
                <w:rFonts w:hint="eastAsia" w:ascii="宋体" w:hAnsi="宋体"/>
                <w:kern w:val="28"/>
                <w:sz w:val="21"/>
                <w:szCs w:val="21"/>
              </w:rPr>
              <w:t>乳胶漆</w:t>
            </w:r>
            <w:r>
              <w:rPr>
                <w:rFonts w:hint="eastAsia" w:ascii="宋体" w:hAnsi="宋体"/>
                <w:kern w:val="28"/>
                <w:sz w:val="21"/>
                <w:szCs w:val="21"/>
                <w:lang w:eastAsia="zh-CN"/>
              </w:rPr>
              <w:t>、</w:t>
            </w:r>
            <w:r>
              <w:rPr>
                <w:rFonts w:hint="eastAsia" w:ascii="宋体" w:hAnsi="宋体"/>
                <w:kern w:val="28"/>
                <w:sz w:val="21"/>
                <w:szCs w:val="21"/>
                <w:lang w:val="en-US" w:eastAsia="zh-CN"/>
              </w:rPr>
              <w:t>无机涂料</w:t>
            </w:r>
          </w:p>
        </w:tc>
        <w:tc>
          <w:tcPr>
            <w:tcW w:w="44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F70C89">
            <w:pPr>
              <w:spacing w:line="360" w:lineRule="auto"/>
              <w:jc w:val="center"/>
              <w:rPr>
                <w:rFonts w:hint="eastAsia" w:ascii="宋体" w:hAnsi="宋体" w:cs="宋体"/>
                <w:bCs/>
                <w:sz w:val="21"/>
                <w:szCs w:val="21"/>
              </w:rPr>
            </w:pPr>
            <w:r>
              <w:rPr>
                <w:rFonts w:hint="eastAsia" w:ascii="宋体" w:cs="宋体"/>
                <w:b w:val="0"/>
                <w:bCs w:val="0"/>
                <w:kern w:val="0"/>
                <w:sz w:val="21"/>
                <w:szCs w:val="21"/>
              </w:rPr>
              <w:t>上海立邦、嘉宝莉、皓尔宝</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BC4C30">
            <w:pPr>
              <w:spacing w:line="360" w:lineRule="auto"/>
              <w:jc w:val="center"/>
              <w:rPr>
                <w:rFonts w:hint="eastAsia" w:ascii="宋体" w:hAnsi="宋体" w:cs="宋体"/>
                <w:bCs/>
                <w:sz w:val="21"/>
                <w:szCs w:val="21"/>
              </w:rPr>
            </w:pPr>
          </w:p>
        </w:tc>
      </w:tr>
      <w:tr w14:paraId="7543E6E0">
        <w:tblPrEx>
          <w:tblCellMar>
            <w:top w:w="0" w:type="dxa"/>
            <w:left w:w="108" w:type="dxa"/>
            <w:bottom w:w="0" w:type="dxa"/>
            <w:right w:w="108" w:type="dxa"/>
          </w:tblCellMar>
        </w:tblPrEx>
        <w:trPr>
          <w:trHeight w:val="51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EA080CD">
            <w:pPr>
              <w:spacing w:line="360" w:lineRule="auto"/>
              <w:jc w:val="center"/>
              <w:rPr>
                <w:rFonts w:hint="eastAsia" w:ascii="宋体" w:hAnsi="宋体" w:eastAsia="宋体" w:cs="宋体"/>
                <w:bCs/>
                <w:sz w:val="21"/>
                <w:szCs w:val="21"/>
                <w:lang w:eastAsia="zh-CN"/>
              </w:rPr>
            </w:pPr>
            <w:r>
              <w:rPr>
                <w:rFonts w:hint="eastAsia" w:ascii="宋体" w:hAnsi="宋体"/>
                <w:kern w:val="28"/>
                <w:sz w:val="21"/>
                <w:szCs w:val="21"/>
                <w:lang w:val="en-US" w:eastAsia="zh-CN"/>
              </w:rPr>
              <w:t>3</w:t>
            </w:r>
          </w:p>
        </w:tc>
        <w:tc>
          <w:tcPr>
            <w:tcW w:w="25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C85CB4">
            <w:pPr>
              <w:autoSpaceDE w:val="0"/>
              <w:autoSpaceDN w:val="0"/>
              <w:adjustRightInd w:val="0"/>
              <w:jc w:val="center"/>
              <w:rPr>
                <w:rFonts w:hint="eastAsia" w:ascii="宋体" w:hAnsi="宋体" w:cs="宋体"/>
                <w:bCs/>
                <w:sz w:val="21"/>
                <w:szCs w:val="21"/>
              </w:rPr>
            </w:pPr>
            <w:r>
              <w:rPr>
                <w:rFonts w:hint="eastAsia" w:ascii="宋体" w:cs="宋体"/>
                <w:kern w:val="0"/>
                <w:sz w:val="21"/>
                <w:szCs w:val="21"/>
              </w:rPr>
              <w:t>网格布</w:t>
            </w:r>
          </w:p>
        </w:tc>
        <w:tc>
          <w:tcPr>
            <w:tcW w:w="44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60EF66">
            <w:pPr>
              <w:autoSpaceDE w:val="0"/>
              <w:autoSpaceDN w:val="0"/>
              <w:adjustRightInd w:val="0"/>
              <w:jc w:val="center"/>
              <w:rPr>
                <w:rFonts w:hint="eastAsia" w:ascii="宋体" w:hAnsi="宋体" w:cs="宋体"/>
                <w:bCs/>
                <w:sz w:val="21"/>
                <w:szCs w:val="21"/>
              </w:rPr>
            </w:pPr>
            <w:r>
              <w:rPr>
                <w:rFonts w:hint="eastAsia" w:ascii="宋体" w:cs="宋体"/>
                <w:kern w:val="0"/>
                <w:sz w:val="21"/>
                <w:szCs w:val="21"/>
              </w:rPr>
              <w:t>迎客松、明骐、宁波铭源</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D1ABED">
            <w:pPr>
              <w:spacing w:line="360" w:lineRule="auto"/>
              <w:jc w:val="center"/>
              <w:rPr>
                <w:rFonts w:hint="eastAsia" w:ascii="宋体" w:hAnsi="宋体" w:cs="宋体"/>
                <w:bCs/>
                <w:sz w:val="21"/>
                <w:szCs w:val="21"/>
              </w:rPr>
            </w:pPr>
          </w:p>
        </w:tc>
      </w:tr>
      <w:tr w14:paraId="632837D0">
        <w:tblPrEx>
          <w:tblCellMar>
            <w:top w:w="0" w:type="dxa"/>
            <w:left w:w="108" w:type="dxa"/>
            <w:bottom w:w="0" w:type="dxa"/>
            <w:right w:w="108" w:type="dxa"/>
          </w:tblCellMar>
        </w:tblPrEx>
        <w:trPr>
          <w:trHeight w:val="51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FAF7040">
            <w:pPr>
              <w:spacing w:line="360" w:lineRule="auto"/>
              <w:jc w:val="center"/>
              <w:rPr>
                <w:rFonts w:hint="eastAsia" w:ascii="宋体" w:hAnsi="宋体" w:eastAsia="宋体" w:cs="宋体"/>
                <w:bCs/>
                <w:sz w:val="21"/>
                <w:szCs w:val="21"/>
                <w:lang w:eastAsia="zh-CN"/>
              </w:rPr>
            </w:pPr>
            <w:r>
              <w:rPr>
                <w:rFonts w:hint="eastAsia" w:ascii="宋体" w:hAnsi="宋体"/>
                <w:kern w:val="28"/>
                <w:sz w:val="21"/>
                <w:szCs w:val="21"/>
                <w:lang w:val="en-US" w:eastAsia="zh-CN"/>
              </w:rPr>
              <w:t>4</w:t>
            </w:r>
          </w:p>
        </w:tc>
        <w:tc>
          <w:tcPr>
            <w:tcW w:w="25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68F5C9">
            <w:pPr>
              <w:autoSpaceDE w:val="0"/>
              <w:autoSpaceDN w:val="0"/>
              <w:adjustRightInd w:val="0"/>
              <w:jc w:val="center"/>
              <w:rPr>
                <w:rFonts w:hint="eastAsia" w:ascii="宋体" w:hAnsi="宋体" w:cs="宋体"/>
                <w:bCs/>
                <w:sz w:val="21"/>
                <w:szCs w:val="21"/>
              </w:rPr>
            </w:pPr>
            <w:r>
              <w:rPr>
                <w:rFonts w:hint="eastAsia" w:ascii="宋体" w:hAnsi="宋体" w:cs="宋体"/>
                <w:bCs/>
                <w:sz w:val="21"/>
                <w:szCs w:val="21"/>
                <w:lang w:bidi="ar"/>
              </w:rPr>
              <w:t>铝合金门窗型材</w:t>
            </w:r>
          </w:p>
        </w:tc>
        <w:tc>
          <w:tcPr>
            <w:tcW w:w="44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82BF9B">
            <w:pPr>
              <w:autoSpaceDE w:val="0"/>
              <w:autoSpaceDN w:val="0"/>
              <w:adjustRightInd w:val="0"/>
              <w:jc w:val="center"/>
              <w:rPr>
                <w:rFonts w:hint="eastAsia" w:ascii="宋体" w:hAnsi="宋体" w:cs="宋体"/>
                <w:bCs/>
                <w:sz w:val="21"/>
                <w:szCs w:val="21"/>
              </w:rPr>
            </w:pPr>
            <w:r>
              <w:rPr>
                <w:rFonts w:hint="eastAsia" w:ascii="宋体" w:cs="宋体"/>
                <w:bCs/>
                <w:kern w:val="0"/>
                <w:sz w:val="21"/>
                <w:szCs w:val="21"/>
              </w:rPr>
              <w:t>上海浙东、广东坚美、凤铝、广东兴发</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0D0293">
            <w:pPr>
              <w:spacing w:line="360" w:lineRule="auto"/>
              <w:jc w:val="center"/>
              <w:rPr>
                <w:rFonts w:hint="eastAsia" w:ascii="宋体" w:hAnsi="宋体" w:cs="宋体"/>
                <w:bCs/>
                <w:sz w:val="21"/>
                <w:szCs w:val="21"/>
              </w:rPr>
            </w:pPr>
          </w:p>
        </w:tc>
      </w:tr>
      <w:tr w14:paraId="4C336B96">
        <w:tblPrEx>
          <w:tblCellMar>
            <w:top w:w="0" w:type="dxa"/>
            <w:left w:w="108" w:type="dxa"/>
            <w:bottom w:w="0" w:type="dxa"/>
            <w:right w:w="108" w:type="dxa"/>
          </w:tblCellMar>
        </w:tblPrEx>
        <w:trPr>
          <w:trHeight w:val="51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233ED41">
            <w:pPr>
              <w:spacing w:line="360" w:lineRule="auto"/>
              <w:jc w:val="center"/>
              <w:rPr>
                <w:rFonts w:hint="eastAsia" w:ascii="宋体" w:hAnsi="宋体" w:cs="宋体"/>
                <w:bCs/>
                <w:sz w:val="21"/>
                <w:szCs w:val="21"/>
              </w:rPr>
            </w:pPr>
            <w:r>
              <w:rPr>
                <w:rFonts w:hint="eastAsia" w:ascii="宋体" w:hAnsi="宋体"/>
                <w:kern w:val="28"/>
                <w:sz w:val="21"/>
                <w:szCs w:val="21"/>
                <w:lang w:val="en-US" w:eastAsia="zh-CN"/>
              </w:rPr>
              <w:t>5</w:t>
            </w:r>
          </w:p>
        </w:tc>
        <w:tc>
          <w:tcPr>
            <w:tcW w:w="25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1FE1D5">
            <w:pPr>
              <w:spacing w:line="360" w:lineRule="auto"/>
              <w:jc w:val="center"/>
              <w:rPr>
                <w:rFonts w:hint="eastAsia" w:ascii="宋体" w:hAnsi="宋体" w:cs="宋体"/>
                <w:bCs/>
                <w:sz w:val="21"/>
                <w:szCs w:val="21"/>
              </w:rPr>
            </w:pPr>
            <w:r>
              <w:rPr>
                <w:rFonts w:hint="eastAsia" w:ascii="宋体" w:hAnsi="宋体"/>
                <w:kern w:val="28"/>
                <w:sz w:val="21"/>
                <w:szCs w:val="21"/>
              </w:rPr>
              <w:t>门</w:t>
            </w:r>
            <w:r>
              <w:rPr>
                <w:rFonts w:hint="eastAsia" w:ascii="宋体" w:hAnsi="宋体"/>
                <w:kern w:val="28"/>
                <w:sz w:val="21"/>
                <w:szCs w:val="21"/>
                <w:lang w:val="en-US" w:eastAsia="zh-CN"/>
              </w:rPr>
              <w:t>窗</w:t>
            </w:r>
            <w:r>
              <w:rPr>
                <w:rFonts w:hint="eastAsia" w:ascii="宋体" w:hAnsi="宋体"/>
                <w:kern w:val="28"/>
                <w:sz w:val="21"/>
                <w:szCs w:val="21"/>
              </w:rPr>
              <w:t>五金配件</w:t>
            </w:r>
          </w:p>
        </w:tc>
        <w:tc>
          <w:tcPr>
            <w:tcW w:w="44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AE5128">
            <w:pPr>
              <w:spacing w:line="360" w:lineRule="auto"/>
              <w:jc w:val="center"/>
              <w:rPr>
                <w:rFonts w:hint="eastAsia" w:ascii="宋体" w:hAnsi="宋体" w:cs="宋体"/>
                <w:bCs/>
                <w:sz w:val="21"/>
                <w:szCs w:val="21"/>
              </w:rPr>
            </w:pPr>
            <w:r>
              <w:rPr>
                <w:rFonts w:hint="eastAsia" w:ascii="宋体" w:cs="宋体"/>
                <w:b w:val="0"/>
                <w:bCs w:val="0"/>
                <w:kern w:val="0"/>
                <w:sz w:val="21"/>
                <w:szCs w:val="21"/>
              </w:rPr>
              <w:t>坚朗、顶固、钥玛</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47E96D">
            <w:pPr>
              <w:spacing w:line="360" w:lineRule="auto"/>
              <w:jc w:val="center"/>
              <w:rPr>
                <w:rFonts w:hint="eastAsia" w:ascii="宋体" w:hAnsi="宋体" w:cs="宋体"/>
                <w:bCs/>
                <w:sz w:val="21"/>
                <w:szCs w:val="21"/>
              </w:rPr>
            </w:pPr>
          </w:p>
        </w:tc>
      </w:tr>
      <w:tr w14:paraId="53274D5A">
        <w:tblPrEx>
          <w:tblCellMar>
            <w:top w:w="0" w:type="dxa"/>
            <w:left w:w="108" w:type="dxa"/>
            <w:bottom w:w="0" w:type="dxa"/>
            <w:right w:w="108" w:type="dxa"/>
          </w:tblCellMar>
        </w:tblPrEx>
        <w:trPr>
          <w:trHeight w:val="51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6A8BFF">
            <w:pPr>
              <w:autoSpaceDE w:val="0"/>
              <w:autoSpaceDN w:val="0"/>
              <w:adjustRightInd w:val="0"/>
              <w:jc w:val="center"/>
              <w:rPr>
                <w:rFonts w:hint="default" w:ascii="宋体" w:eastAsia="宋体" w:cs="宋体"/>
                <w:bCs/>
                <w:kern w:val="0"/>
                <w:sz w:val="21"/>
                <w:szCs w:val="21"/>
                <w:lang w:val="en-US" w:eastAsia="zh-CN"/>
              </w:rPr>
            </w:pPr>
            <w:r>
              <w:rPr>
                <w:rFonts w:hint="eastAsia" w:ascii="宋体" w:cs="宋体"/>
                <w:bCs/>
                <w:kern w:val="0"/>
                <w:sz w:val="21"/>
                <w:szCs w:val="21"/>
                <w:lang w:val="en-US" w:eastAsia="zh-CN"/>
              </w:rPr>
              <w:t>6</w:t>
            </w:r>
          </w:p>
        </w:tc>
        <w:tc>
          <w:tcPr>
            <w:tcW w:w="25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9EED52">
            <w:pPr>
              <w:autoSpaceDE w:val="0"/>
              <w:autoSpaceDN w:val="0"/>
              <w:adjustRightInd w:val="0"/>
              <w:jc w:val="center"/>
              <w:rPr>
                <w:rFonts w:hint="eastAsia" w:ascii="宋体" w:cs="宋体"/>
                <w:bCs/>
                <w:kern w:val="0"/>
                <w:sz w:val="21"/>
                <w:szCs w:val="21"/>
              </w:rPr>
            </w:pPr>
            <w:r>
              <w:rPr>
                <w:rFonts w:hint="eastAsia" w:ascii="宋体" w:hAnsi="宋体" w:cs="宋体"/>
                <w:bCs/>
                <w:sz w:val="21"/>
                <w:szCs w:val="21"/>
                <w:lang w:bidi="ar"/>
              </w:rPr>
              <w:t>玻璃</w:t>
            </w:r>
          </w:p>
        </w:tc>
        <w:tc>
          <w:tcPr>
            <w:tcW w:w="44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CE2CE7">
            <w:pPr>
              <w:autoSpaceDE w:val="0"/>
              <w:autoSpaceDN w:val="0"/>
              <w:adjustRightInd w:val="0"/>
              <w:jc w:val="center"/>
              <w:rPr>
                <w:rFonts w:hint="eastAsia" w:ascii="宋体" w:cs="宋体"/>
                <w:bCs/>
                <w:kern w:val="0"/>
                <w:sz w:val="21"/>
                <w:szCs w:val="21"/>
              </w:rPr>
            </w:pPr>
            <w:r>
              <w:rPr>
                <w:rFonts w:hint="eastAsia" w:ascii="宋体" w:hAnsi="宋体" w:cs="宋体"/>
                <w:bCs/>
                <w:sz w:val="21"/>
                <w:szCs w:val="21"/>
                <w:lang w:bidi="ar"/>
              </w:rPr>
              <w:t>南玻、耀皮、旗滨、台玻</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52C8B0">
            <w:pPr>
              <w:jc w:val="center"/>
              <w:rPr>
                <w:rFonts w:hint="eastAsia" w:ascii="宋体" w:cs="宋体"/>
                <w:bCs/>
                <w:kern w:val="0"/>
                <w:sz w:val="21"/>
                <w:szCs w:val="21"/>
              </w:rPr>
            </w:pPr>
          </w:p>
        </w:tc>
      </w:tr>
      <w:tr w14:paraId="356A4E0B">
        <w:tblPrEx>
          <w:tblCellMar>
            <w:top w:w="0" w:type="dxa"/>
            <w:left w:w="108" w:type="dxa"/>
            <w:bottom w:w="0" w:type="dxa"/>
            <w:right w:w="108" w:type="dxa"/>
          </w:tblCellMar>
        </w:tblPrEx>
        <w:trPr>
          <w:trHeight w:val="51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10D00A">
            <w:pPr>
              <w:autoSpaceDE w:val="0"/>
              <w:autoSpaceDN w:val="0"/>
              <w:adjustRightInd w:val="0"/>
              <w:jc w:val="center"/>
              <w:rPr>
                <w:rFonts w:hint="default" w:ascii="宋体" w:eastAsia="宋体" w:cs="宋体"/>
                <w:bCs/>
                <w:kern w:val="0"/>
                <w:sz w:val="21"/>
                <w:szCs w:val="21"/>
                <w:lang w:val="en-US" w:eastAsia="zh-CN"/>
              </w:rPr>
            </w:pPr>
            <w:r>
              <w:rPr>
                <w:rFonts w:hint="eastAsia" w:ascii="宋体" w:cs="宋体"/>
                <w:bCs/>
                <w:kern w:val="0"/>
                <w:sz w:val="21"/>
                <w:szCs w:val="21"/>
                <w:lang w:val="en-US" w:eastAsia="zh-CN"/>
              </w:rPr>
              <w:t>7</w:t>
            </w:r>
          </w:p>
        </w:tc>
        <w:tc>
          <w:tcPr>
            <w:tcW w:w="25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FB2FA0">
            <w:pPr>
              <w:spacing w:line="360" w:lineRule="auto"/>
              <w:jc w:val="center"/>
              <w:rPr>
                <w:rFonts w:hint="eastAsia" w:ascii="宋体" w:cs="宋体"/>
                <w:bCs/>
                <w:kern w:val="0"/>
                <w:sz w:val="21"/>
                <w:szCs w:val="21"/>
              </w:rPr>
            </w:pPr>
            <w:r>
              <w:rPr>
                <w:rFonts w:hint="eastAsia" w:ascii="宋体" w:hAnsi="宋体" w:cs="宋体"/>
                <w:bCs/>
                <w:sz w:val="21"/>
                <w:szCs w:val="21"/>
              </w:rPr>
              <w:t>防水涂料、防水卷材</w:t>
            </w:r>
          </w:p>
        </w:tc>
        <w:tc>
          <w:tcPr>
            <w:tcW w:w="44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C3F27C">
            <w:pPr>
              <w:spacing w:line="360" w:lineRule="auto"/>
              <w:jc w:val="center"/>
              <w:rPr>
                <w:rFonts w:hint="eastAsia" w:ascii="宋体" w:cs="宋体"/>
                <w:bCs/>
                <w:kern w:val="0"/>
                <w:sz w:val="21"/>
                <w:szCs w:val="21"/>
              </w:rPr>
            </w:pPr>
            <w:r>
              <w:rPr>
                <w:rFonts w:hint="eastAsia" w:ascii="宋体" w:hAnsi="宋体" w:cs="宋体"/>
                <w:bCs/>
                <w:sz w:val="21"/>
                <w:szCs w:val="21"/>
              </w:rPr>
              <w:t>华高科、东方雨虹、宁波劲松</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564AE0">
            <w:pPr>
              <w:jc w:val="center"/>
              <w:rPr>
                <w:rFonts w:hint="eastAsia" w:ascii="宋体" w:cs="宋体"/>
                <w:bCs/>
                <w:kern w:val="0"/>
                <w:sz w:val="21"/>
                <w:szCs w:val="21"/>
              </w:rPr>
            </w:pPr>
          </w:p>
        </w:tc>
      </w:tr>
      <w:tr w14:paraId="647A989A">
        <w:tblPrEx>
          <w:tblCellMar>
            <w:top w:w="0" w:type="dxa"/>
            <w:left w:w="108" w:type="dxa"/>
            <w:bottom w:w="0" w:type="dxa"/>
            <w:right w:w="108" w:type="dxa"/>
          </w:tblCellMar>
        </w:tblPrEx>
        <w:trPr>
          <w:trHeight w:val="51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765ECE">
            <w:pPr>
              <w:autoSpaceDE w:val="0"/>
              <w:autoSpaceDN w:val="0"/>
              <w:adjustRightInd w:val="0"/>
              <w:jc w:val="center"/>
              <w:rPr>
                <w:rFonts w:hint="default" w:ascii="宋体" w:cs="宋体"/>
                <w:bCs/>
                <w:kern w:val="0"/>
                <w:sz w:val="21"/>
                <w:szCs w:val="21"/>
                <w:lang w:val="en-US" w:eastAsia="zh-CN"/>
              </w:rPr>
            </w:pPr>
            <w:r>
              <w:rPr>
                <w:rFonts w:hint="eastAsia" w:ascii="宋体" w:cs="宋体"/>
                <w:bCs/>
                <w:kern w:val="0"/>
                <w:sz w:val="21"/>
                <w:szCs w:val="21"/>
                <w:lang w:val="en-US" w:eastAsia="zh-CN"/>
              </w:rPr>
              <w:t>8</w:t>
            </w:r>
          </w:p>
        </w:tc>
        <w:tc>
          <w:tcPr>
            <w:tcW w:w="25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6DC817">
            <w:pPr>
              <w:autoSpaceDE w:val="0"/>
              <w:autoSpaceDN w:val="0"/>
              <w:adjustRightInd w:val="0"/>
              <w:jc w:val="center"/>
              <w:rPr>
                <w:rFonts w:hint="eastAsia" w:ascii="宋体" w:hAnsi="Calibri" w:eastAsia="宋体" w:cs="宋体"/>
                <w:bCs/>
                <w:kern w:val="0"/>
                <w:sz w:val="21"/>
                <w:szCs w:val="21"/>
                <w:lang w:val="en-US" w:eastAsia="zh-CN" w:bidi="ar-SA"/>
              </w:rPr>
            </w:pPr>
            <w:r>
              <w:rPr>
                <w:rFonts w:hint="eastAsia" w:ascii="宋体" w:cs="宋体"/>
                <w:kern w:val="0"/>
                <w:sz w:val="21"/>
                <w:szCs w:val="21"/>
              </w:rPr>
              <w:t>照明灯具</w:t>
            </w:r>
          </w:p>
        </w:tc>
        <w:tc>
          <w:tcPr>
            <w:tcW w:w="44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36CF83">
            <w:pPr>
              <w:autoSpaceDE w:val="0"/>
              <w:autoSpaceDN w:val="0"/>
              <w:adjustRightInd w:val="0"/>
              <w:jc w:val="center"/>
              <w:rPr>
                <w:rFonts w:hint="default" w:ascii="宋体" w:hAnsi="Calibri" w:eastAsia="宋体" w:cs="宋体"/>
                <w:bCs/>
                <w:kern w:val="0"/>
                <w:sz w:val="21"/>
                <w:szCs w:val="21"/>
                <w:lang w:val="en-US" w:eastAsia="zh-CN" w:bidi="ar-SA"/>
              </w:rPr>
            </w:pPr>
            <w:r>
              <w:rPr>
                <w:rFonts w:hint="eastAsia" w:ascii="宋体" w:hAnsi="宋体"/>
                <w:kern w:val="28"/>
                <w:sz w:val="21"/>
                <w:szCs w:val="21"/>
                <w:highlight w:val="none"/>
                <w:lang w:val="en-US" w:eastAsia="zh-CN"/>
              </w:rPr>
              <w:t>飞利浦、</w:t>
            </w:r>
            <w:r>
              <w:rPr>
                <w:rFonts w:hint="eastAsia" w:ascii="宋体" w:hAnsi="宋体"/>
                <w:kern w:val="28"/>
                <w:sz w:val="21"/>
                <w:szCs w:val="21"/>
                <w:highlight w:val="none"/>
              </w:rPr>
              <w:t>三雄极光、雷士</w:t>
            </w:r>
            <w:r>
              <w:rPr>
                <w:rFonts w:hint="eastAsia" w:ascii="宋体" w:hAnsi="宋体"/>
                <w:kern w:val="28"/>
                <w:sz w:val="21"/>
                <w:szCs w:val="21"/>
                <w:highlight w:val="none"/>
                <w:lang w:eastAsia="zh-CN"/>
              </w:rPr>
              <w:t>、</w:t>
            </w:r>
            <w:r>
              <w:rPr>
                <w:rFonts w:hint="eastAsia" w:ascii="宋体" w:hAnsi="宋体"/>
                <w:kern w:val="28"/>
                <w:sz w:val="21"/>
                <w:szCs w:val="21"/>
                <w:highlight w:val="none"/>
                <w:lang w:val="en-US" w:eastAsia="zh-CN"/>
              </w:rPr>
              <w:t>欧普</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87D435">
            <w:pPr>
              <w:jc w:val="center"/>
              <w:rPr>
                <w:rFonts w:hint="eastAsia" w:ascii="宋体" w:cs="宋体"/>
                <w:bCs/>
                <w:kern w:val="0"/>
                <w:sz w:val="21"/>
                <w:szCs w:val="21"/>
              </w:rPr>
            </w:pPr>
          </w:p>
        </w:tc>
      </w:tr>
      <w:tr w14:paraId="47CC3410">
        <w:tblPrEx>
          <w:tblCellMar>
            <w:top w:w="0" w:type="dxa"/>
            <w:left w:w="108" w:type="dxa"/>
            <w:bottom w:w="0" w:type="dxa"/>
            <w:right w:w="108" w:type="dxa"/>
          </w:tblCellMar>
        </w:tblPrEx>
        <w:trPr>
          <w:trHeight w:val="51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E13B10">
            <w:pPr>
              <w:autoSpaceDE w:val="0"/>
              <w:autoSpaceDN w:val="0"/>
              <w:adjustRightInd w:val="0"/>
              <w:jc w:val="center"/>
              <w:rPr>
                <w:rFonts w:hint="default" w:ascii="宋体" w:cs="宋体"/>
                <w:bCs/>
                <w:kern w:val="0"/>
                <w:sz w:val="21"/>
                <w:szCs w:val="21"/>
                <w:lang w:val="en-US" w:eastAsia="zh-CN"/>
              </w:rPr>
            </w:pPr>
            <w:r>
              <w:rPr>
                <w:rFonts w:hint="eastAsia" w:ascii="宋体" w:cs="宋体"/>
                <w:bCs/>
                <w:kern w:val="0"/>
                <w:sz w:val="21"/>
                <w:szCs w:val="21"/>
                <w:lang w:val="en-US" w:eastAsia="zh-CN"/>
              </w:rPr>
              <w:t>9</w:t>
            </w:r>
          </w:p>
        </w:tc>
        <w:tc>
          <w:tcPr>
            <w:tcW w:w="25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768FB8">
            <w:pPr>
              <w:autoSpaceDE w:val="0"/>
              <w:autoSpaceDN w:val="0"/>
              <w:adjustRightInd w:val="0"/>
              <w:jc w:val="center"/>
              <w:rPr>
                <w:rFonts w:hint="eastAsia" w:ascii="宋体" w:hAnsi="Calibri" w:eastAsia="宋体" w:cs="宋体"/>
                <w:bCs/>
                <w:kern w:val="0"/>
                <w:sz w:val="21"/>
                <w:szCs w:val="21"/>
                <w:lang w:val="en-US" w:eastAsia="zh-CN" w:bidi="ar-SA"/>
              </w:rPr>
            </w:pPr>
            <w:r>
              <w:rPr>
                <w:rFonts w:hint="eastAsia" w:ascii="宋体" w:cs="宋体"/>
                <w:kern w:val="0"/>
                <w:sz w:val="21"/>
                <w:szCs w:val="21"/>
              </w:rPr>
              <w:t>开关、插座</w:t>
            </w:r>
          </w:p>
        </w:tc>
        <w:tc>
          <w:tcPr>
            <w:tcW w:w="44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B0AC4D">
            <w:pPr>
              <w:autoSpaceDE w:val="0"/>
              <w:autoSpaceDN w:val="0"/>
              <w:adjustRightInd w:val="0"/>
              <w:jc w:val="center"/>
              <w:rPr>
                <w:rFonts w:hint="eastAsia" w:ascii="宋体" w:hAnsi="Calibri" w:eastAsia="宋体" w:cs="宋体"/>
                <w:bCs/>
                <w:kern w:val="0"/>
                <w:sz w:val="21"/>
                <w:szCs w:val="21"/>
                <w:lang w:val="en-US" w:eastAsia="zh-CN" w:bidi="ar-SA"/>
              </w:rPr>
            </w:pPr>
            <w:r>
              <w:rPr>
                <w:rFonts w:hint="eastAsia" w:ascii="宋体" w:cs="宋体"/>
                <w:kern w:val="0"/>
                <w:sz w:val="21"/>
                <w:szCs w:val="21"/>
              </w:rPr>
              <w:t>正泰、西蒙、公牛</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C4595D">
            <w:pPr>
              <w:jc w:val="center"/>
              <w:rPr>
                <w:rFonts w:hint="eastAsia" w:ascii="宋体" w:cs="宋体"/>
                <w:bCs/>
                <w:kern w:val="0"/>
                <w:sz w:val="21"/>
                <w:szCs w:val="21"/>
              </w:rPr>
            </w:pPr>
          </w:p>
        </w:tc>
      </w:tr>
      <w:tr w14:paraId="15828F0D">
        <w:tblPrEx>
          <w:tblCellMar>
            <w:top w:w="0" w:type="dxa"/>
            <w:left w:w="108" w:type="dxa"/>
            <w:bottom w:w="0" w:type="dxa"/>
            <w:right w:w="108" w:type="dxa"/>
          </w:tblCellMar>
        </w:tblPrEx>
        <w:trPr>
          <w:trHeight w:val="51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99C076">
            <w:pPr>
              <w:autoSpaceDE w:val="0"/>
              <w:autoSpaceDN w:val="0"/>
              <w:adjustRightInd w:val="0"/>
              <w:jc w:val="center"/>
              <w:rPr>
                <w:rFonts w:hint="default" w:ascii="宋体" w:eastAsia="宋体" w:cs="宋体"/>
                <w:bCs/>
                <w:kern w:val="0"/>
                <w:sz w:val="21"/>
                <w:szCs w:val="21"/>
                <w:lang w:val="en-US" w:eastAsia="zh-CN"/>
              </w:rPr>
            </w:pPr>
            <w:r>
              <w:rPr>
                <w:rFonts w:hint="eastAsia" w:ascii="宋体" w:cs="宋体"/>
                <w:bCs/>
                <w:kern w:val="0"/>
                <w:sz w:val="21"/>
                <w:szCs w:val="21"/>
                <w:lang w:val="en-US" w:eastAsia="zh-CN"/>
              </w:rPr>
              <w:t>10</w:t>
            </w:r>
          </w:p>
        </w:tc>
        <w:tc>
          <w:tcPr>
            <w:tcW w:w="25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8DD6B4">
            <w:pPr>
              <w:autoSpaceDE w:val="0"/>
              <w:autoSpaceDN w:val="0"/>
              <w:adjustRightInd w:val="0"/>
              <w:jc w:val="center"/>
              <w:rPr>
                <w:rFonts w:hint="eastAsia" w:ascii="宋体" w:cs="宋体"/>
                <w:bCs/>
                <w:kern w:val="0"/>
                <w:sz w:val="21"/>
                <w:szCs w:val="21"/>
              </w:rPr>
            </w:pPr>
            <w:r>
              <w:rPr>
                <w:rFonts w:hint="eastAsia" w:ascii="宋体" w:cs="宋体"/>
                <w:bCs/>
                <w:color w:val="0000FF"/>
                <w:kern w:val="0"/>
                <w:sz w:val="21"/>
                <w:szCs w:val="21"/>
              </w:rPr>
              <w:t>电线、电缆</w:t>
            </w:r>
          </w:p>
        </w:tc>
        <w:tc>
          <w:tcPr>
            <w:tcW w:w="44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DC7B67">
            <w:pPr>
              <w:autoSpaceDE w:val="0"/>
              <w:autoSpaceDN w:val="0"/>
              <w:adjustRightInd w:val="0"/>
              <w:jc w:val="center"/>
              <w:rPr>
                <w:rFonts w:hint="eastAsia" w:ascii="宋体" w:cs="宋体"/>
                <w:bCs/>
                <w:kern w:val="0"/>
                <w:sz w:val="21"/>
                <w:szCs w:val="21"/>
              </w:rPr>
            </w:pPr>
            <w:r>
              <w:rPr>
                <w:rFonts w:hint="eastAsia" w:ascii="宋体" w:cs="宋体"/>
                <w:bCs/>
                <w:color w:val="0000FF"/>
                <w:kern w:val="0"/>
                <w:sz w:val="21"/>
                <w:szCs w:val="21"/>
              </w:rPr>
              <w:t>宁波球冠、宁波东方、</w:t>
            </w:r>
            <w:r>
              <w:rPr>
                <w:rFonts w:hint="eastAsia" w:ascii="宋体" w:cs="宋体"/>
                <w:bCs/>
                <w:color w:val="0000FF"/>
                <w:kern w:val="0"/>
                <w:sz w:val="21"/>
                <w:szCs w:val="21"/>
                <w:lang w:val="en-US" w:eastAsia="zh-CN"/>
              </w:rPr>
              <w:t>上海上线</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9B8336">
            <w:pPr>
              <w:jc w:val="center"/>
              <w:rPr>
                <w:rFonts w:hint="eastAsia" w:ascii="宋体" w:cs="宋体"/>
                <w:bCs/>
                <w:kern w:val="0"/>
                <w:sz w:val="21"/>
                <w:szCs w:val="21"/>
              </w:rPr>
            </w:pPr>
          </w:p>
        </w:tc>
      </w:tr>
      <w:tr w14:paraId="4FC1C519">
        <w:tblPrEx>
          <w:tblCellMar>
            <w:top w:w="0" w:type="dxa"/>
            <w:left w:w="108" w:type="dxa"/>
            <w:bottom w:w="0" w:type="dxa"/>
            <w:right w:w="108" w:type="dxa"/>
          </w:tblCellMar>
        </w:tblPrEx>
        <w:trPr>
          <w:trHeight w:val="51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9A12BA">
            <w:pPr>
              <w:autoSpaceDE w:val="0"/>
              <w:autoSpaceDN w:val="0"/>
              <w:adjustRightInd w:val="0"/>
              <w:jc w:val="center"/>
              <w:rPr>
                <w:rFonts w:hint="default" w:ascii="宋体" w:eastAsia="宋体" w:cs="宋体"/>
                <w:bCs/>
                <w:kern w:val="0"/>
                <w:sz w:val="21"/>
                <w:szCs w:val="21"/>
                <w:lang w:val="en-US" w:eastAsia="zh-CN"/>
              </w:rPr>
            </w:pPr>
            <w:r>
              <w:rPr>
                <w:rFonts w:hint="eastAsia" w:ascii="宋体" w:cs="宋体"/>
                <w:bCs/>
                <w:kern w:val="0"/>
                <w:sz w:val="21"/>
                <w:szCs w:val="21"/>
                <w:lang w:val="en-US" w:eastAsia="zh-CN"/>
              </w:rPr>
              <w:t>11</w:t>
            </w:r>
          </w:p>
        </w:tc>
        <w:tc>
          <w:tcPr>
            <w:tcW w:w="25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F05E1D">
            <w:pPr>
              <w:autoSpaceDE w:val="0"/>
              <w:autoSpaceDN w:val="0"/>
              <w:adjustRightInd w:val="0"/>
              <w:jc w:val="center"/>
              <w:rPr>
                <w:rFonts w:hint="eastAsia" w:ascii="宋体" w:cs="宋体"/>
                <w:bCs/>
                <w:kern w:val="0"/>
                <w:sz w:val="21"/>
                <w:szCs w:val="21"/>
              </w:rPr>
            </w:pPr>
            <w:r>
              <w:rPr>
                <w:rFonts w:hint="eastAsia" w:ascii="宋体" w:cs="宋体"/>
                <w:color w:val="0000FF"/>
                <w:kern w:val="0"/>
                <w:sz w:val="21"/>
                <w:szCs w:val="21"/>
              </w:rPr>
              <w:t>JDG 电线导管</w:t>
            </w:r>
          </w:p>
        </w:tc>
        <w:tc>
          <w:tcPr>
            <w:tcW w:w="44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2C7438">
            <w:pPr>
              <w:autoSpaceDE w:val="0"/>
              <w:autoSpaceDN w:val="0"/>
              <w:adjustRightInd w:val="0"/>
              <w:jc w:val="center"/>
              <w:rPr>
                <w:rFonts w:hint="eastAsia" w:ascii="宋体" w:cs="宋体"/>
                <w:bCs/>
                <w:kern w:val="0"/>
                <w:sz w:val="21"/>
                <w:szCs w:val="21"/>
              </w:rPr>
            </w:pPr>
            <w:r>
              <w:rPr>
                <w:rFonts w:hint="eastAsia" w:ascii="宋体" w:cs="宋体"/>
                <w:color w:val="0000FF"/>
                <w:kern w:val="0"/>
                <w:sz w:val="21"/>
                <w:szCs w:val="21"/>
              </w:rPr>
              <w:t>文安浩业、湖南武陵源、武汉恒久远</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CB9165">
            <w:pPr>
              <w:jc w:val="center"/>
              <w:rPr>
                <w:rFonts w:hint="eastAsia" w:ascii="宋体" w:cs="宋体"/>
                <w:bCs/>
                <w:kern w:val="0"/>
                <w:sz w:val="21"/>
                <w:szCs w:val="21"/>
              </w:rPr>
            </w:pPr>
          </w:p>
        </w:tc>
      </w:tr>
      <w:tr w14:paraId="4F92BFDE">
        <w:tblPrEx>
          <w:tblCellMar>
            <w:top w:w="0" w:type="dxa"/>
            <w:left w:w="108" w:type="dxa"/>
            <w:bottom w:w="0" w:type="dxa"/>
            <w:right w:w="108" w:type="dxa"/>
          </w:tblCellMar>
        </w:tblPrEx>
        <w:trPr>
          <w:trHeight w:val="51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922787">
            <w:pPr>
              <w:autoSpaceDE w:val="0"/>
              <w:autoSpaceDN w:val="0"/>
              <w:adjustRightInd w:val="0"/>
              <w:jc w:val="center"/>
              <w:rPr>
                <w:rFonts w:hint="default" w:ascii="宋体" w:hAnsi="宋体" w:eastAsia="宋体"/>
                <w:bCs/>
                <w:kern w:val="28"/>
                <w:sz w:val="21"/>
                <w:szCs w:val="21"/>
                <w:lang w:val="en-US" w:eastAsia="zh-CN"/>
              </w:rPr>
            </w:pPr>
            <w:r>
              <w:rPr>
                <w:rFonts w:hint="eastAsia" w:ascii="宋体" w:hAnsi="宋体"/>
                <w:bCs/>
                <w:kern w:val="28"/>
                <w:sz w:val="21"/>
                <w:szCs w:val="21"/>
                <w:lang w:val="en-US" w:eastAsia="zh-CN"/>
              </w:rPr>
              <w:t>12</w:t>
            </w:r>
          </w:p>
        </w:tc>
        <w:tc>
          <w:tcPr>
            <w:tcW w:w="25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BA347E">
            <w:pPr>
              <w:autoSpaceDE w:val="0"/>
              <w:autoSpaceDN w:val="0"/>
              <w:adjustRightInd w:val="0"/>
              <w:jc w:val="center"/>
              <w:rPr>
                <w:rFonts w:hint="eastAsia" w:ascii="宋体" w:cs="宋体"/>
                <w:bCs/>
                <w:kern w:val="0"/>
                <w:sz w:val="21"/>
                <w:szCs w:val="21"/>
              </w:rPr>
            </w:pPr>
            <w:r>
              <w:rPr>
                <w:rFonts w:hint="eastAsia" w:ascii="宋体" w:cs="宋体"/>
                <w:bCs/>
                <w:color w:val="0000FF"/>
                <w:kern w:val="0"/>
                <w:sz w:val="21"/>
                <w:szCs w:val="21"/>
              </w:rPr>
              <w:t>配电箱成套厂家</w:t>
            </w:r>
          </w:p>
        </w:tc>
        <w:tc>
          <w:tcPr>
            <w:tcW w:w="44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EB620B">
            <w:pPr>
              <w:autoSpaceDE w:val="0"/>
              <w:autoSpaceDN w:val="0"/>
              <w:adjustRightInd w:val="0"/>
              <w:jc w:val="center"/>
              <w:rPr>
                <w:rFonts w:hint="eastAsia" w:ascii="宋体" w:cs="宋体"/>
                <w:bCs/>
                <w:kern w:val="0"/>
                <w:sz w:val="21"/>
                <w:szCs w:val="21"/>
              </w:rPr>
            </w:pPr>
            <w:r>
              <w:rPr>
                <w:rFonts w:hint="eastAsia" w:ascii="宋体" w:cs="宋体"/>
                <w:bCs/>
                <w:color w:val="0000FF"/>
                <w:kern w:val="0"/>
                <w:sz w:val="21"/>
                <w:szCs w:val="21"/>
              </w:rPr>
              <w:t>宁波恒升、宁波英锐、宁波海越</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B73BAC">
            <w:pPr>
              <w:jc w:val="center"/>
              <w:rPr>
                <w:rFonts w:hint="eastAsia" w:ascii="宋体" w:cs="宋体"/>
                <w:bCs/>
                <w:kern w:val="0"/>
                <w:sz w:val="21"/>
                <w:szCs w:val="21"/>
              </w:rPr>
            </w:pPr>
          </w:p>
        </w:tc>
      </w:tr>
      <w:tr w14:paraId="328BA5DC">
        <w:tblPrEx>
          <w:tblCellMar>
            <w:top w:w="0" w:type="dxa"/>
            <w:left w:w="108" w:type="dxa"/>
            <w:bottom w:w="0" w:type="dxa"/>
            <w:right w:w="108" w:type="dxa"/>
          </w:tblCellMar>
        </w:tblPrEx>
        <w:trPr>
          <w:trHeight w:val="51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C8B641">
            <w:pPr>
              <w:autoSpaceDE w:val="0"/>
              <w:autoSpaceDN w:val="0"/>
              <w:adjustRightInd w:val="0"/>
              <w:jc w:val="center"/>
              <w:rPr>
                <w:rFonts w:hint="default" w:ascii="宋体" w:hAnsi="宋体" w:eastAsia="宋体"/>
                <w:bCs/>
                <w:kern w:val="28"/>
                <w:sz w:val="21"/>
                <w:szCs w:val="21"/>
                <w:lang w:val="en-US" w:eastAsia="zh-CN"/>
              </w:rPr>
            </w:pPr>
            <w:r>
              <w:rPr>
                <w:rFonts w:hint="eastAsia" w:ascii="宋体" w:hAnsi="宋体"/>
                <w:bCs/>
                <w:kern w:val="28"/>
                <w:sz w:val="21"/>
                <w:szCs w:val="21"/>
                <w:lang w:val="en-US" w:eastAsia="zh-CN"/>
              </w:rPr>
              <w:t>13</w:t>
            </w:r>
          </w:p>
        </w:tc>
        <w:tc>
          <w:tcPr>
            <w:tcW w:w="25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DC5B4D">
            <w:pPr>
              <w:autoSpaceDE w:val="0"/>
              <w:autoSpaceDN w:val="0"/>
              <w:adjustRightInd w:val="0"/>
              <w:jc w:val="center"/>
              <w:rPr>
                <w:rFonts w:hint="eastAsia" w:ascii="宋体" w:cs="宋体"/>
                <w:bCs/>
                <w:kern w:val="0"/>
                <w:sz w:val="21"/>
                <w:szCs w:val="21"/>
              </w:rPr>
            </w:pPr>
            <w:r>
              <w:rPr>
                <w:rFonts w:hint="eastAsia" w:ascii="宋体" w:cs="宋体"/>
                <w:bCs/>
                <w:color w:val="0000FF"/>
                <w:kern w:val="0"/>
                <w:sz w:val="21"/>
                <w:szCs w:val="21"/>
              </w:rPr>
              <w:t>配电箱元器件</w:t>
            </w:r>
          </w:p>
        </w:tc>
        <w:tc>
          <w:tcPr>
            <w:tcW w:w="44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0F6232">
            <w:pPr>
              <w:autoSpaceDE w:val="0"/>
              <w:autoSpaceDN w:val="0"/>
              <w:adjustRightInd w:val="0"/>
              <w:jc w:val="center"/>
              <w:rPr>
                <w:rFonts w:hint="eastAsia" w:ascii="宋体" w:cs="宋体"/>
                <w:bCs/>
                <w:kern w:val="0"/>
                <w:sz w:val="21"/>
                <w:szCs w:val="21"/>
              </w:rPr>
            </w:pPr>
            <w:r>
              <w:rPr>
                <w:rFonts w:hint="eastAsia" w:ascii="宋体" w:cs="宋体"/>
                <w:bCs/>
                <w:color w:val="0000FF"/>
                <w:kern w:val="0"/>
                <w:sz w:val="21"/>
                <w:szCs w:val="21"/>
              </w:rPr>
              <w:t>上海人民电器</w:t>
            </w:r>
            <w:r>
              <w:rPr>
                <w:rFonts w:hint="eastAsia" w:ascii="宋体" w:cs="宋体"/>
                <w:bCs/>
                <w:color w:val="0000FF"/>
                <w:kern w:val="0"/>
                <w:sz w:val="21"/>
                <w:szCs w:val="21"/>
                <w:lang w:eastAsia="zh-CN"/>
              </w:rPr>
              <w:t>、</w:t>
            </w:r>
            <w:r>
              <w:rPr>
                <w:rFonts w:hint="eastAsia" w:ascii="宋体" w:cs="宋体"/>
                <w:bCs/>
                <w:color w:val="0000FF"/>
                <w:kern w:val="0"/>
                <w:sz w:val="21"/>
                <w:szCs w:val="21"/>
              </w:rPr>
              <w:t>正泰</w:t>
            </w:r>
            <w:r>
              <w:rPr>
                <w:rFonts w:hint="eastAsia" w:ascii="宋体" w:cs="宋体"/>
                <w:bCs/>
                <w:color w:val="0000FF"/>
                <w:kern w:val="0"/>
                <w:sz w:val="21"/>
                <w:szCs w:val="21"/>
                <w:lang w:eastAsia="zh-CN"/>
              </w:rPr>
              <w:t>、</w:t>
            </w:r>
            <w:r>
              <w:rPr>
                <w:rFonts w:hint="eastAsia" w:ascii="宋体" w:cs="宋体"/>
                <w:bCs/>
                <w:color w:val="0000FF"/>
                <w:kern w:val="0"/>
                <w:sz w:val="21"/>
                <w:szCs w:val="21"/>
              </w:rPr>
              <w:t>常熟电子</w:t>
            </w:r>
            <w:r>
              <w:rPr>
                <w:rFonts w:hint="eastAsia" w:ascii="宋体" w:cs="宋体"/>
                <w:bCs/>
                <w:color w:val="0000FF"/>
                <w:kern w:val="0"/>
                <w:sz w:val="21"/>
                <w:szCs w:val="21"/>
                <w:lang w:eastAsia="zh-CN"/>
              </w:rPr>
              <w:t>、</w:t>
            </w:r>
            <w:r>
              <w:rPr>
                <w:rFonts w:hint="eastAsia" w:ascii="宋体" w:cs="宋体"/>
                <w:bCs/>
                <w:color w:val="0000FF"/>
                <w:kern w:val="0"/>
                <w:sz w:val="21"/>
                <w:szCs w:val="21"/>
                <w:lang w:val="en-US" w:eastAsia="zh-CN"/>
              </w:rPr>
              <w:t>德力西</w:t>
            </w:r>
            <w:r>
              <w:rPr>
                <w:rFonts w:hint="eastAsia" w:ascii="宋体" w:cs="宋体"/>
                <w:bCs/>
                <w:color w:val="0000FF"/>
                <w:kern w:val="0"/>
                <w:sz w:val="21"/>
                <w:szCs w:val="21"/>
              </w:rPr>
              <w:t xml:space="preserve">  </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55C7DA">
            <w:pPr>
              <w:jc w:val="center"/>
              <w:rPr>
                <w:rFonts w:hint="eastAsia" w:ascii="宋体" w:cs="宋体"/>
                <w:bCs/>
                <w:kern w:val="0"/>
                <w:sz w:val="21"/>
                <w:szCs w:val="21"/>
              </w:rPr>
            </w:pPr>
          </w:p>
        </w:tc>
      </w:tr>
      <w:tr w14:paraId="7BCA0197">
        <w:tblPrEx>
          <w:tblCellMar>
            <w:top w:w="0" w:type="dxa"/>
            <w:left w:w="108" w:type="dxa"/>
            <w:bottom w:w="0" w:type="dxa"/>
            <w:right w:w="108" w:type="dxa"/>
          </w:tblCellMar>
        </w:tblPrEx>
        <w:trPr>
          <w:trHeight w:val="51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AD295F">
            <w:pPr>
              <w:autoSpaceDE w:val="0"/>
              <w:autoSpaceDN w:val="0"/>
              <w:adjustRightInd w:val="0"/>
              <w:jc w:val="center"/>
              <w:rPr>
                <w:rFonts w:hint="default" w:ascii="宋体" w:hAnsi="宋体" w:eastAsia="宋体" w:cs="Times New Roman"/>
                <w:bCs/>
                <w:kern w:val="28"/>
                <w:sz w:val="21"/>
                <w:szCs w:val="21"/>
                <w:lang w:val="en-US" w:eastAsia="zh-CN" w:bidi="ar-SA"/>
              </w:rPr>
            </w:pPr>
            <w:r>
              <w:rPr>
                <w:rFonts w:hint="eastAsia" w:ascii="宋体" w:hAnsi="宋体"/>
                <w:bCs/>
                <w:kern w:val="28"/>
                <w:sz w:val="21"/>
                <w:szCs w:val="21"/>
                <w:lang w:val="en-US" w:eastAsia="zh-CN"/>
              </w:rPr>
              <w:t>14</w:t>
            </w:r>
          </w:p>
        </w:tc>
        <w:tc>
          <w:tcPr>
            <w:tcW w:w="25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51BFB6">
            <w:pPr>
              <w:autoSpaceDE w:val="0"/>
              <w:autoSpaceDN w:val="0"/>
              <w:adjustRightInd w:val="0"/>
              <w:jc w:val="center"/>
              <w:rPr>
                <w:rFonts w:hint="eastAsia" w:ascii="宋体" w:hAnsi="Calibri" w:eastAsia="宋体" w:cs="宋体"/>
                <w:bCs/>
                <w:color w:val="0000FF"/>
                <w:kern w:val="0"/>
                <w:sz w:val="21"/>
                <w:szCs w:val="21"/>
                <w:lang w:val="en-US" w:eastAsia="zh-CN" w:bidi="ar-SA"/>
              </w:rPr>
            </w:pPr>
            <w:r>
              <w:rPr>
                <w:rFonts w:hint="eastAsia" w:ascii="宋体" w:cs="宋体"/>
                <w:bCs/>
                <w:color w:val="0000FF"/>
                <w:kern w:val="0"/>
                <w:sz w:val="21"/>
                <w:szCs w:val="21"/>
              </w:rPr>
              <w:t>排水管</w:t>
            </w:r>
          </w:p>
        </w:tc>
        <w:tc>
          <w:tcPr>
            <w:tcW w:w="44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B6DFC6">
            <w:pPr>
              <w:autoSpaceDE w:val="0"/>
              <w:autoSpaceDN w:val="0"/>
              <w:adjustRightInd w:val="0"/>
              <w:jc w:val="center"/>
              <w:rPr>
                <w:rFonts w:hint="eastAsia" w:ascii="宋体" w:hAnsi="Calibri" w:eastAsia="宋体" w:cs="宋体"/>
                <w:bCs/>
                <w:color w:val="0000FF"/>
                <w:kern w:val="0"/>
                <w:sz w:val="21"/>
                <w:szCs w:val="21"/>
                <w:lang w:val="en-US" w:eastAsia="zh-CN" w:bidi="ar-SA"/>
              </w:rPr>
            </w:pPr>
            <w:r>
              <w:rPr>
                <w:rFonts w:hint="eastAsia" w:ascii="宋体" w:cs="宋体"/>
                <w:bCs/>
                <w:color w:val="0000FF"/>
                <w:kern w:val="0"/>
                <w:sz w:val="21"/>
                <w:szCs w:val="21"/>
              </w:rPr>
              <w:t>上海白蝶、浙江中财、伟星</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6BF395">
            <w:pPr>
              <w:jc w:val="center"/>
              <w:rPr>
                <w:rFonts w:hint="eastAsia" w:ascii="宋体" w:cs="宋体"/>
                <w:bCs/>
                <w:kern w:val="0"/>
                <w:sz w:val="21"/>
                <w:szCs w:val="21"/>
              </w:rPr>
            </w:pPr>
          </w:p>
        </w:tc>
      </w:tr>
      <w:tr w14:paraId="141F7A48">
        <w:tblPrEx>
          <w:tblCellMar>
            <w:top w:w="0" w:type="dxa"/>
            <w:left w:w="108" w:type="dxa"/>
            <w:bottom w:w="0" w:type="dxa"/>
            <w:right w:w="108" w:type="dxa"/>
          </w:tblCellMar>
        </w:tblPrEx>
        <w:trPr>
          <w:trHeight w:val="51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5D2567">
            <w:pPr>
              <w:autoSpaceDE w:val="0"/>
              <w:autoSpaceDN w:val="0"/>
              <w:adjustRightInd w:val="0"/>
              <w:jc w:val="center"/>
              <w:rPr>
                <w:rFonts w:hint="default" w:ascii="宋体" w:hAnsi="宋体" w:eastAsia="宋体" w:cs="Times New Roman"/>
                <w:bCs/>
                <w:kern w:val="28"/>
                <w:sz w:val="21"/>
                <w:szCs w:val="21"/>
                <w:lang w:val="en-US" w:eastAsia="zh-CN" w:bidi="ar-SA"/>
              </w:rPr>
            </w:pPr>
            <w:r>
              <w:rPr>
                <w:rFonts w:hint="eastAsia" w:ascii="宋体" w:hAnsi="宋体"/>
                <w:bCs/>
                <w:kern w:val="28"/>
                <w:sz w:val="21"/>
                <w:szCs w:val="21"/>
                <w:lang w:val="en-US" w:eastAsia="zh-CN"/>
              </w:rPr>
              <w:t>15</w:t>
            </w:r>
          </w:p>
        </w:tc>
        <w:tc>
          <w:tcPr>
            <w:tcW w:w="256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EF6E23">
            <w:pPr>
              <w:autoSpaceDE w:val="0"/>
              <w:autoSpaceDN w:val="0"/>
              <w:adjustRightInd w:val="0"/>
              <w:jc w:val="center"/>
              <w:rPr>
                <w:rFonts w:hint="eastAsia" w:ascii="宋体" w:hAnsi="Calibri" w:eastAsia="宋体" w:cs="宋体"/>
                <w:bCs/>
                <w:kern w:val="0"/>
                <w:sz w:val="21"/>
                <w:szCs w:val="21"/>
                <w:lang w:val="en-US" w:eastAsia="zh-CN" w:bidi="ar-SA"/>
              </w:rPr>
            </w:pPr>
            <w:r>
              <w:rPr>
                <w:rFonts w:hint="eastAsia" w:ascii="宋体" w:hAnsi="宋体"/>
                <w:color w:val="0000FF"/>
                <w:kern w:val="28"/>
                <w:sz w:val="21"/>
                <w:szCs w:val="21"/>
              </w:rPr>
              <w:t>综合布线</w:t>
            </w:r>
          </w:p>
        </w:tc>
        <w:tc>
          <w:tcPr>
            <w:tcW w:w="448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8C0271">
            <w:pPr>
              <w:autoSpaceDE w:val="0"/>
              <w:autoSpaceDN w:val="0"/>
              <w:adjustRightInd w:val="0"/>
              <w:jc w:val="center"/>
              <w:rPr>
                <w:rFonts w:hint="default" w:ascii="宋体" w:hAnsi="Calibri" w:eastAsia="宋体" w:cs="宋体"/>
                <w:bCs/>
                <w:kern w:val="0"/>
                <w:sz w:val="21"/>
                <w:szCs w:val="21"/>
                <w:lang w:val="en-US" w:eastAsia="zh-CN" w:bidi="ar-SA"/>
              </w:rPr>
            </w:pPr>
            <w:r>
              <w:rPr>
                <w:rFonts w:hint="eastAsia" w:ascii="宋体" w:hAnsi="宋体"/>
                <w:color w:val="0000FF"/>
                <w:kern w:val="28"/>
                <w:sz w:val="21"/>
                <w:szCs w:val="21"/>
              </w:rPr>
              <w:t>罗格朗、西蒙、奥创利</w:t>
            </w:r>
            <w:r>
              <w:rPr>
                <w:rFonts w:hint="eastAsia" w:ascii="宋体" w:hAnsi="宋体"/>
                <w:color w:val="0000FF"/>
                <w:kern w:val="28"/>
                <w:sz w:val="21"/>
                <w:szCs w:val="21"/>
                <w:lang w:eastAsia="zh-CN"/>
              </w:rPr>
              <w:t>、</w:t>
            </w:r>
            <w:r>
              <w:rPr>
                <w:rFonts w:hint="eastAsia" w:ascii="宋体" w:hAnsi="宋体"/>
                <w:color w:val="0000FF"/>
                <w:kern w:val="28"/>
                <w:sz w:val="21"/>
                <w:szCs w:val="21"/>
                <w:lang w:val="en-US" w:eastAsia="zh-CN"/>
              </w:rPr>
              <w:t>一舟</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6B9F51">
            <w:pPr>
              <w:jc w:val="center"/>
              <w:rPr>
                <w:rFonts w:hint="eastAsia" w:ascii="宋体" w:cs="宋体"/>
                <w:bCs/>
                <w:kern w:val="0"/>
                <w:sz w:val="21"/>
                <w:szCs w:val="21"/>
              </w:rPr>
            </w:pPr>
          </w:p>
        </w:tc>
      </w:tr>
      <w:tr w14:paraId="3FF3A6BC">
        <w:tblPrEx>
          <w:tblCellMar>
            <w:top w:w="0" w:type="dxa"/>
            <w:left w:w="108" w:type="dxa"/>
            <w:bottom w:w="0" w:type="dxa"/>
            <w:right w:w="108" w:type="dxa"/>
          </w:tblCellMar>
        </w:tblPrEx>
        <w:trPr>
          <w:trHeight w:val="51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12AD7F">
            <w:pPr>
              <w:autoSpaceDE w:val="0"/>
              <w:autoSpaceDN w:val="0"/>
              <w:adjustRightInd w:val="0"/>
              <w:jc w:val="center"/>
              <w:rPr>
                <w:rFonts w:hint="default" w:ascii="宋体" w:hAnsi="宋体" w:eastAsia="宋体" w:cs="Times New Roman"/>
                <w:bCs/>
                <w:kern w:val="28"/>
                <w:sz w:val="21"/>
                <w:szCs w:val="21"/>
                <w:lang w:val="en-US" w:eastAsia="zh-CN" w:bidi="ar-SA"/>
              </w:rPr>
            </w:pPr>
            <w:r>
              <w:rPr>
                <w:rFonts w:hint="eastAsia" w:ascii="宋体" w:hAnsi="宋体" w:cs="Times New Roman"/>
                <w:bCs/>
                <w:kern w:val="28"/>
                <w:sz w:val="21"/>
                <w:szCs w:val="21"/>
                <w:lang w:val="en-US" w:eastAsia="zh-CN" w:bidi="ar-SA"/>
              </w:rPr>
              <w:t>16</w:t>
            </w:r>
          </w:p>
        </w:tc>
        <w:tc>
          <w:tcPr>
            <w:tcW w:w="256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815B49">
            <w:pPr>
              <w:autoSpaceDE w:val="0"/>
              <w:autoSpaceDN w:val="0"/>
              <w:adjustRightInd w:val="0"/>
              <w:jc w:val="center"/>
              <w:rPr>
                <w:rFonts w:hint="eastAsia" w:ascii="宋体" w:hAnsi="宋体" w:cs="Times New Roman"/>
                <w:color w:val="0000FF"/>
                <w:kern w:val="28"/>
                <w:sz w:val="21"/>
                <w:szCs w:val="21"/>
                <w:lang w:val="en-US" w:eastAsia="zh-CN"/>
              </w:rPr>
            </w:pPr>
            <w:r>
              <w:rPr>
                <w:rFonts w:hint="eastAsia" w:ascii="宋体" w:hAnsi="宋体" w:cs="Times New Roman"/>
                <w:color w:val="0000FF"/>
                <w:kern w:val="28"/>
                <w:sz w:val="21"/>
                <w:szCs w:val="21"/>
              </w:rPr>
              <w:t>光缆</w:t>
            </w:r>
          </w:p>
        </w:tc>
        <w:tc>
          <w:tcPr>
            <w:tcW w:w="44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12909B">
            <w:pPr>
              <w:autoSpaceDE w:val="0"/>
              <w:autoSpaceDN w:val="0"/>
              <w:adjustRightInd w:val="0"/>
              <w:jc w:val="center"/>
              <w:rPr>
                <w:rFonts w:hint="eastAsia" w:ascii="宋体" w:hAnsi="宋体" w:cs="Times New Roman"/>
                <w:color w:val="0000FF"/>
                <w:kern w:val="28"/>
                <w:sz w:val="21"/>
                <w:szCs w:val="21"/>
                <w:lang w:val="en-US" w:eastAsia="zh-CN"/>
              </w:rPr>
            </w:pPr>
            <w:r>
              <w:rPr>
                <w:rFonts w:hint="eastAsia" w:ascii="宋体" w:hAnsi="宋体" w:cs="Times New Roman"/>
                <w:color w:val="0000FF"/>
                <w:kern w:val="28"/>
                <w:sz w:val="21"/>
                <w:szCs w:val="21"/>
              </w:rPr>
              <w:t>江苏联通、扬州迅达、深圳宏泰</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85EABF">
            <w:pPr>
              <w:jc w:val="center"/>
              <w:rPr>
                <w:rFonts w:hint="eastAsia" w:ascii="宋体" w:cs="宋体"/>
                <w:bCs/>
                <w:kern w:val="0"/>
                <w:sz w:val="21"/>
                <w:szCs w:val="21"/>
              </w:rPr>
            </w:pPr>
          </w:p>
        </w:tc>
      </w:tr>
      <w:tr w14:paraId="4340B96C">
        <w:tblPrEx>
          <w:tblCellMar>
            <w:top w:w="0" w:type="dxa"/>
            <w:left w:w="108" w:type="dxa"/>
            <w:bottom w:w="0" w:type="dxa"/>
            <w:right w:w="108" w:type="dxa"/>
          </w:tblCellMar>
        </w:tblPrEx>
        <w:trPr>
          <w:trHeight w:val="51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03C914">
            <w:pPr>
              <w:autoSpaceDE w:val="0"/>
              <w:autoSpaceDN w:val="0"/>
              <w:adjustRightInd w:val="0"/>
              <w:jc w:val="center"/>
              <w:rPr>
                <w:rFonts w:hint="default" w:ascii="宋体" w:hAnsi="宋体" w:eastAsia="宋体" w:cs="Times New Roman"/>
                <w:bCs/>
                <w:kern w:val="28"/>
                <w:sz w:val="21"/>
                <w:szCs w:val="21"/>
                <w:lang w:val="en-US" w:eastAsia="zh-CN" w:bidi="ar-SA"/>
              </w:rPr>
            </w:pPr>
            <w:r>
              <w:rPr>
                <w:rFonts w:hint="eastAsia" w:ascii="宋体" w:hAnsi="宋体" w:cs="Times New Roman"/>
                <w:bCs/>
                <w:kern w:val="28"/>
                <w:sz w:val="21"/>
                <w:szCs w:val="21"/>
                <w:lang w:val="en-US" w:eastAsia="zh-CN" w:bidi="ar-SA"/>
              </w:rPr>
              <w:t>17</w:t>
            </w:r>
          </w:p>
        </w:tc>
        <w:tc>
          <w:tcPr>
            <w:tcW w:w="256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A82A5F">
            <w:pPr>
              <w:autoSpaceDE w:val="0"/>
              <w:autoSpaceDN w:val="0"/>
              <w:adjustRightInd w:val="0"/>
              <w:jc w:val="center"/>
              <w:rPr>
                <w:rFonts w:hint="eastAsia" w:ascii="宋体" w:hAnsi="宋体" w:cs="Times New Roman"/>
                <w:color w:val="0000FF"/>
                <w:kern w:val="28"/>
                <w:sz w:val="21"/>
                <w:szCs w:val="21"/>
                <w:lang w:val="en-US" w:eastAsia="zh-CN"/>
              </w:rPr>
            </w:pPr>
            <w:r>
              <w:rPr>
                <w:rFonts w:hint="eastAsia" w:ascii="宋体" w:hAnsi="宋体" w:cs="Times New Roman"/>
                <w:color w:val="0000FF"/>
                <w:kern w:val="28"/>
                <w:sz w:val="21"/>
                <w:szCs w:val="21"/>
              </w:rPr>
              <w:t>监控设备</w:t>
            </w:r>
          </w:p>
        </w:tc>
        <w:tc>
          <w:tcPr>
            <w:tcW w:w="44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368341">
            <w:pPr>
              <w:autoSpaceDE w:val="0"/>
              <w:autoSpaceDN w:val="0"/>
              <w:adjustRightInd w:val="0"/>
              <w:jc w:val="center"/>
              <w:rPr>
                <w:rFonts w:hint="eastAsia" w:ascii="宋体" w:hAnsi="宋体" w:cs="Times New Roman"/>
                <w:color w:val="0000FF"/>
                <w:kern w:val="28"/>
                <w:sz w:val="21"/>
                <w:szCs w:val="21"/>
                <w:lang w:val="en-US" w:eastAsia="zh-CN"/>
              </w:rPr>
            </w:pPr>
            <w:r>
              <w:rPr>
                <w:rFonts w:hint="eastAsia" w:ascii="宋体" w:hAnsi="宋体" w:cs="Times New Roman"/>
                <w:color w:val="0000FF"/>
                <w:kern w:val="28"/>
                <w:sz w:val="21"/>
                <w:szCs w:val="21"/>
              </w:rPr>
              <w:t>海康威视、大华、宇视</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602B79">
            <w:pPr>
              <w:jc w:val="center"/>
              <w:rPr>
                <w:rFonts w:hint="eastAsia" w:ascii="宋体" w:cs="宋体"/>
                <w:bCs/>
                <w:kern w:val="0"/>
                <w:sz w:val="21"/>
                <w:szCs w:val="21"/>
              </w:rPr>
            </w:pPr>
          </w:p>
        </w:tc>
      </w:tr>
      <w:tr w14:paraId="65DF3C78">
        <w:tblPrEx>
          <w:tblCellMar>
            <w:top w:w="0" w:type="dxa"/>
            <w:left w:w="108" w:type="dxa"/>
            <w:bottom w:w="0" w:type="dxa"/>
            <w:right w:w="108" w:type="dxa"/>
          </w:tblCellMar>
        </w:tblPrEx>
        <w:trPr>
          <w:trHeight w:val="51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AA8D22">
            <w:pPr>
              <w:autoSpaceDE w:val="0"/>
              <w:autoSpaceDN w:val="0"/>
              <w:adjustRightInd w:val="0"/>
              <w:jc w:val="center"/>
              <w:rPr>
                <w:rFonts w:hint="default" w:ascii="宋体" w:hAnsi="宋体" w:cs="Times New Roman"/>
                <w:bCs/>
                <w:kern w:val="28"/>
                <w:sz w:val="21"/>
                <w:szCs w:val="21"/>
                <w:lang w:val="en-US" w:eastAsia="zh-CN" w:bidi="ar-SA"/>
              </w:rPr>
            </w:pPr>
            <w:r>
              <w:rPr>
                <w:rFonts w:hint="eastAsia" w:ascii="宋体" w:hAnsi="宋体" w:cs="Times New Roman"/>
                <w:bCs/>
                <w:kern w:val="28"/>
                <w:sz w:val="21"/>
                <w:szCs w:val="21"/>
                <w:lang w:val="en-US" w:eastAsia="zh-CN" w:bidi="ar-SA"/>
              </w:rPr>
              <w:t>18</w:t>
            </w:r>
          </w:p>
        </w:tc>
        <w:tc>
          <w:tcPr>
            <w:tcW w:w="256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36ECC0">
            <w:pPr>
              <w:autoSpaceDE w:val="0"/>
              <w:autoSpaceDN w:val="0"/>
              <w:adjustRightInd w:val="0"/>
              <w:jc w:val="center"/>
              <w:rPr>
                <w:rFonts w:hint="eastAsia" w:ascii="宋体" w:hAnsi="宋体" w:cs="Times New Roman"/>
                <w:color w:val="0000FF"/>
                <w:kern w:val="28"/>
                <w:sz w:val="21"/>
                <w:szCs w:val="21"/>
                <w:lang w:val="en-US" w:eastAsia="zh-CN"/>
              </w:rPr>
            </w:pPr>
            <w:r>
              <w:rPr>
                <w:rFonts w:hint="eastAsia" w:ascii="宋体" w:hAnsi="宋体" w:cs="Times New Roman"/>
                <w:color w:val="0000FF"/>
                <w:kern w:val="28"/>
                <w:sz w:val="21"/>
                <w:szCs w:val="21"/>
                <w:lang w:val="en-US" w:eastAsia="zh-CN"/>
              </w:rPr>
              <w:t>交换机</w:t>
            </w:r>
          </w:p>
        </w:tc>
        <w:tc>
          <w:tcPr>
            <w:tcW w:w="448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41B9B0">
            <w:pPr>
              <w:autoSpaceDE w:val="0"/>
              <w:autoSpaceDN w:val="0"/>
              <w:adjustRightInd w:val="0"/>
              <w:jc w:val="center"/>
              <w:rPr>
                <w:rFonts w:hint="default" w:ascii="宋体" w:hAnsi="宋体" w:cs="Times New Roman"/>
                <w:color w:val="0000FF"/>
                <w:kern w:val="28"/>
                <w:sz w:val="21"/>
                <w:szCs w:val="21"/>
                <w:lang w:val="en-US" w:eastAsia="zh-CN"/>
              </w:rPr>
            </w:pPr>
            <w:r>
              <w:rPr>
                <w:rFonts w:hint="eastAsia" w:ascii="宋体" w:hAnsi="宋体" w:cs="Times New Roman"/>
                <w:color w:val="0000FF"/>
                <w:kern w:val="28"/>
                <w:sz w:val="21"/>
                <w:szCs w:val="21"/>
                <w:lang w:val="en-US" w:eastAsia="zh-CN"/>
              </w:rPr>
              <w:t>华为、H3C、锐捷</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0A167B">
            <w:pPr>
              <w:jc w:val="center"/>
              <w:rPr>
                <w:rFonts w:hint="eastAsia" w:ascii="宋体" w:cs="宋体"/>
                <w:bCs/>
                <w:kern w:val="0"/>
                <w:sz w:val="21"/>
                <w:szCs w:val="21"/>
              </w:rPr>
            </w:pPr>
          </w:p>
        </w:tc>
      </w:tr>
    </w:tbl>
    <w:p w14:paraId="33A78700">
      <w:pPr>
        <w:pStyle w:val="2"/>
        <w:ind w:firstLine="480" w:firstLineChars="200"/>
        <w:rPr>
          <w:rFonts w:hint="eastAsia" w:ascii="宋体" w:hAnsi="宋体" w:eastAsia="宋体" w:cs="宋体"/>
          <w:color w:val="000000"/>
          <w:sz w:val="24"/>
          <w:szCs w:val="24"/>
        </w:rPr>
      </w:pPr>
      <w:r>
        <w:rPr>
          <w:rFonts w:hint="eastAsia" w:ascii="宋体" w:hAnsi="宋体" w:eastAsia="宋体" w:cs="宋体"/>
          <w:sz w:val="24"/>
          <w:szCs w:val="24"/>
        </w:rPr>
        <w:t>以上材料参考品牌是招标人认为最适合本招标项目的产品，投标人应积极响应；投标人也可以选择品牌与产品性能不低于招标人选用要求的其他品牌。</w:t>
      </w:r>
    </w:p>
    <w:p w14:paraId="5C94D029">
      <w:pPr>
        <w:numPr>
          <w:ilvl w:val="0"/>
          <w:numId w:val="0"/>
        </w:numPr>
        <w:spacing w:beforeLines="0" w:afterLines="0" w:line="360" w:lineRule="auto"/>
        <w:outlineLvl w:val="0"/>
        <w:rPr>
          <w:rFonts w:hint="eastAsia" w:asciiTheme="majorEastAsia" w:hAnsiTheme="majorEastAsia" w:eastAsiaTheme="majorEastAsia" w:cstheme="majorEastAsia"/>
          <w:color w:val="auto"/>
          <w:sz w:val="24"/>
          <w:szCs w:val="24"/>
          <w:lang w:val="en-US" w:eastAsia="zh-CN"/>
        </w:rPr>
      </w:pPr>
    </w:p>
    <w:p w14:paraId="4415AC24">
      <w:pPr>
        <w:pStyle w:val="9"/>
        <w:numPr>
          <w:ilvl w:val="0"/>
          <w:numId w:val="0"/>
        </w:numPr>
        <w:rPr>
          <w:rFonts w:hint="default" w:ascii="宋体" w:hAnsi="宋体" w:cs="宋体"/>
          <w:color w:val="auto"/>
          <w:sz w:val="24"/>
          <w:szCs w:val="24"/>
          <w:lang w:val="en-US" w:eastAsia="zh-CN"/>
        </w:rPr>
      </w:pPr>
    </w:p>
    <w:p w14:paraId="2CD2B0BA">
      <w:pPr>
        <w:pStyle w:val="9"/>
        <w:numPr>
          <w:ilvl w:val="0"/>
          <w:numId w:val="0"/>
        </w:numPr>
        <w:rPr>
          <w:rFonts w:hint="default" w:ascii="宋体" w:hAnsi="宋体" w:cs="宋体"/>
          <w:color w:val="auto"/>
          <w:sz w:val="24"/>
          <w:szCs w:val="24"/>
          <w:lang w:val="en-US" w:eastAsia="zh-CN"/>
        </w:rPr>
      </w:pPr>
    </w:p>
    <w:p w14:paraId="5163093B">
      <w:pPr>
        <w:pStyle w:val="9"/>
        <w:numPr>
          <w:ilvl w:val="0"/>
          <w:numId w:val="0"/>
        </w:numPr>
        <w:rPr>
          <w:rFonts w:hint="default" w:ascii="宋体" w:hAnsi="宋体" w:cs="宋体"/>
          <w:color w:val="auto"/>
          <w:sz w:val="24"/>
          <w:szCs w:val="24"/>
          <w:lang w:val="en-US" w:eastAsia="zh-CN"/>
        </w:rPr>
      </w:pPr>
    </w:p>
    <w:p w14:paraId="03B7302D">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jc w:val="right"/>
        <w:textAlignment w:val="auto"/>
        <w:outlineLvl w:val="9"/>
        <w:rPr>
          <w:rFonts w:hint="eastAsia" w:ascii="宋体" w:hAnsi="宋体" w:eastAsia="宋体" w:cs="Times New Roman"/>
          <w:color w:val="auto"/>
          <w:kern w:val="2"/>
          <w:sz w:val="24"/>
          <w:szCs w:val="24"/>
          <w:lang w:val="en-US" w:eastAsia="zh-CN" w:bidi="ar-SA"/>
        </w:rPr>
      </w:pPr>
      <w:r>
        <w:rPr>
          <w:rFonts w:hint="eastAsia" w:ascii="宋体" w:hAnsi="宋体" w:cs="宋体"/>
          <w:color w:val="auto"/>
          <w:sz w:val="24"/>
          <w:szCs w:val="24"/>
          <w:lang w:val="en-US" w:eastAsia="zh-CN"/>
        </w:rPr>
        <w:t xml:space="preserve">                                      </w:t>
      </w:r>
      <w:r>
        <w:rPr>
          <w:rFonts w:hint="eastAsia" w:ascii="宋体" w:hAnsi="宋体" w:eastAsia="宋体" w:cs="Times New Roman"/>
          <w:color w:val="auto"/>
          <w:kern w:val="2"/>
          <w:sz w:val="24"/>
          <w:szCs w:val="24"/>
          <w:lang w:val="en-US" w:eastAsia="zh-CN" w:bidi="ar-SA"/>
        </w:rPr>
        <w:t>宁波市盛达工程管理咨询有限公司</w:t>
      </w:r>
    </w:p>
    <w:p w14:paraId="5A453045">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jc w:val="center"/>
        <w:textAlignment w:val="auto"/>
        <w:outlineLvl w:val="9"/>
        <w:rPr>
          <w:rFonts w:hint="default" w:ascii="宋体" w:hAnsi="宋体" w:eastAsia="宋体" w:cs="宋体"/>
          <w:color w:val="auto"/>
          <w:sz w:val="24"/>
          <w:szCs w:val="24"/>
          <w:lang w:val="en-US" w:eastAsia="zh-CN"/>
        </w:rPr>
      </w:pPr>
      <w:r>
        <w:rPr>
          <w:rFonts w:hint="eastAsia" w:ascii="宋体" w:hAnsi="宋体"/>
          <w:color w:val="auto"/>
          <w:sz w:val="24"/>
          <w:szCs w:val="24"/>
          <w:highlight w:val="none"/>
          <w:lang w:val="en-US" w:eastAsia="zh-CN"/>
        </w:rPr>
        <w:t xml:space="preserve">                                     编制日期：</w:t>
      </w:r>
      <w:r>
        <w:rPr>
          <w:rFonts w:hint="eastAsia" w:ascii="宋体" w:hAnsi="宋体"/>
          <w:color w:val="auto"/>
          <w:sz w:val="24"/>
          <w:szCs w:val="24"/>
          <w:lang w:val="en-US" w:eastAsia="zh-CN"/>
        </w:rPr>
        <w:t>二〇二五</w:t>
      </w:r>
      <w:r>
        <w:rPr>
          <w:rFonts w:hint="eastAsia" w:ascii="宋体" w:hAnsi="宋体"/>
          <w:color w:val="auto"/>
          <w:sz w:val="24"/>
          <w:szCs w:val="24"/>
          <w:lang w:eastAsia="zh-CN"/>
        </w:rPr>
        <w:t>年</w:t>
      </w:r>
      <w:r>
        <w:rPr>
          <w:rFonts w:hint="eastAsia" w:ascii="宋体" w:hAnsi="宋体"/>
          <w:color w:val="auto"/>
          <w:sz w:val="24"/>
          <w:szCs w:val="24"/>
          <w:lang w:val="en-US" w:eastAsia="zh-CN"/>
        </w:rPr>
        <w:t>七</w:t>
      </w:r>
      <w:r>
        <w:rPr>
          <w:rFonts w:hint="eastAsia" w:ascii="宋体" w:hAnsi="宋体"/>
          <w:color w:val="auto"/>
          <w:sz w:val="24"/>
          <w:szCs w:val="24"/>
          <w:lang w:eastAsia="zh-CN"/>
        </w:rPr>
        <w:t>月</w:t>
      </w:r>
      <w:r>
        <w:rPr>
          <w:rFonts w:hint="eastAsia" w:ascii="宋体" w:hAnsi="宋体"/>
          <w:color w:val="auto"/>
          <w:sz w:val="24"/>
          <w:szCs w:val="24"/>
          <w:lang w:val="en-US" w:eastAsia="zh-CN"/>
        </w:rPr>
        <w:t>二</w:t>
      </w:r>
      <w:r>
        <w:rPr>
          <w:rFonts w:hint="eastAsia" w:ascii="宋体" w:hAnsi="宋体"/>
          <w:color w:val="auto"/>
          <w:sz w:val="24"/>
          <w:szCs w:val="24"/>
          <w:lang w:eastAsia="zh-CN"/>
        </w:rPr>
        <w:t>日</w:t>
      </w:r>
    </w:p>
    <w:p w14:paraId="5993A8AB">
      <w:pPr>
        <w:jc w:val="right"/>
        <w:rPr>
          <w:sz w:val="18"/>
          <w:szCs w:val="18"/>
        </w:rPr>
      </w:pPr>
      <w:r>
        <w:rPr>
          <w:rFonts w:hint="eastAsia" w:ascii="宋体" w:hAnsi="Times New Roman" w:eastAsia="宋体" w:cs="Times New Roman"/>
          <w:b/>
          <w:bCs/>
          <w:color w:val="auto"/>
          <w:kern w:val="2"/>
          <w:sz w:val="18"/>
          <w:szCs w:val="18"/>
          <w:lang w:val="en-US" w:eastAsia="zh-CN" w:bidi="ar-SA"/>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F0D48E"/>
    <w:multiLevelType w:val="singleLevel"/>
    <w:tmpl w:val="E8F0D48E"/>
    <w:lvl w:ilvl="0" w:tentative="0">
      <w:start w:val="5"/>
      <w:numFmt w:val="chineseCounting"/>
      <w:suff w:val="nothing"/>
      <w:lvlText w:val="%1、"/>
      <w:lvlJc w:val="left"/>
      <w:rPr>
        <w:rFonts w:hint="eastAsia"/>
      </w:rPr>
    </w:lvl>
  </w:abstractNum>
  <w:abstractNum w:abstractNumId="1">
    <w:nsid w:val="1EC02D5D"/>
    <w:multiLevelType w:val="singleLevel"/>
    <w:tmpl w:val="1EC02D5D"/>
    <w:lvl w:ilvl="0" w:tentative="0">
      <w:start w:val="1"/>
      <w:numFmt w:val="decimal"/>
      <w:suff w:val="nothing"/>
      <w:lvlText w:val="%1、"/>
      <w:lvlJc w:val="left"/>
      <w:rPr>
        <w:rFonts w:hint="default" w:ascii="宋体" w:hAnsi="宋体" w:eastAsia="宋体" w:cstheme="minorEastAsia"/>
        <w:sz w:val="24"/>
        <w:szCs w:val="24"/>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wYjllMjE4MjIzNDdiYjU3NmZmYmEyOTY1MzE5ODgifQ=="/>
  </w:docVars>
  <w:rsids>
    <w:rsidRoot w:val="17CC163F"/>
    <w:rsid w:val="034727E6"/>
    <w:rsid w:val="03A51F5F"/>
    <w:rsid w:val="045911BB"/>
    <w:rsid w:val="0462668B"/>
    <w:rsid w:val="06452969"/>
    <w:rsid w:val="065B53DE"/>
    <w:rsid w:val="06DC4F34"/>
    <w:rsid w:val="0742689A"/>
    <w:rsid w:val="08960458"/>
    <w:rsid w:val="08C2069A"/>
    <w:rsid w:val="0A1724C0"/>
    <w:rsid w:val="0A2B3AF4"/>
    <w:rsid w:val="0A6A6794"/>
    <w:rsid w:val="0B2B203A"/>
    <w:rsid w:val="0B2C5B0B"/>
    <w:rsid w:val="0C8974FF"/>
    <w:rsid w:val="0C9F37FD"/>
    <w:rsid w:val="0CB76658"/>
    <w:rsid w:val="0D8265DA"/>
    <w:rsid w:val="0DA57788"/>
    <w:rsid w:val="0DE772BD"/>
    <w:rsid w:val="0EAE4DD2"/>
    <w:rsid w:val="0EEE4121"/>
    <w:rsid w:val="0F3D0F50"/>
    <w:rsid w:val="0FCF58C6"/>
    <w:rsid w:val="10122308"/>
    <w:rsid w:val="10DD4104"/>
    <w:rsid w:val="11B35D0D"/>
    <w:rsid w:val="13385187"/>
    <w:rsid w:val="1525588F"/>
    <w:rsid w:val="15A02D25"/>
    <w:rsid w:val="16860138"/>
    <w:rsid w:val="176C2AA0"/>
    <w:rsid w:val="17CC163F"/>
    <w:rsid w:val="18B80AF2"/>
    <w:rsid w:val="19AF42DC"/>
    <w:rsid w:val="1A3F74B8"/>
    <w:rsid w:val="1A5A453E"/>
    <w:rsid w:val="1DDA1573"/>
    <w:rsid w:val="1E6E54A7"/>
    <w:rsid w:val="1E9D7A9E"/>
    <w:rsid w:val="20D4744E"/>
    <w:rsid w:val="226333D5"/>
    <w:rsid w:val="22A350FA"/>
    <w:rsid w:val="23C941F8"/>
    <w:rsid w:val="259E6F76"/>
    <w:rsid w:val="25FF7D86"/>
    <w:rsid w:val="26873D79"/>
    <w:rsid w:val="27075144"/>
    <w:rsid w:val="278905DD"/>
    <w:rsid w:val="27EC6E5C"/>
    <w:rsid w:val="299361C5"/>
    <w:rsid w:val="2AE54B8F"/>
    <w:rsid w:val="2B5C6248"/>
    <w:rsid w:val="2B9C7440"/>
    <w:rsid w:val="2DA06ECB"/>
    <w:rsid w:val="2DB33930"/>
    <w:rsid w:val="2E235FD3"/>
    <w:rsid w:val="2F594E99"/>
    <w:rsid w:val="2F77365B"/>
    <w:rsid w:val="2F931386"/>
    <w:rsid w:val="2FA51426"/>
    <w:rsid w:val="2FB422A0"/>
    <w:rsid w:val="2FC276E4"/>
    <w:rsid w:val="3016194B"/>
    <w:rsid w:val="31D31EBA"/>
    <w:rsid w:val="322A247B"/>
    <w:rsid w:val="32326B7A"/>
    <w:rsid w:val="333D29F8"/>
    <w:rsid w:val="34CB37E3"/>
    <w:rsid w:val="36A232FD"/>
    <w:rsid w:val="375D6610"/>
    <w:rsid w:val="37815D1D"/>
    <w:rsid w:val="39D709A6"/>
    <w:rsid w:val="3B2E246E"/>
    <w:rsid w:val="3BB24F56"/>
    <w:rsid w:val="3DA051A2"/>
    <w:rsid w:val="3E305341"/>
    <w:rsid w:val="3E926441"/>
    <w:rsid w:val="3EF3507C"/>
    <w:rsid w:val="3F114F60"/>
    <w:rsid w:val="3F60143E"/>
    <w:rsid w:val="41020424"/>
    <w:rsid w:val="41D4789C"/>
    <w:rsid w:val="420F0387"/>
    <w:rsid w:val="42176C30"/>
    <w:rsid w:val="426314AB"/>
    <w:rsid w:val="4441259B"/>
    <w:rsid w:val="469F3C8D"/>
    <w:rsid w:val="46C13654"/>
    <w:rsid w:val="47395B12"/>
    <w:rsid w:val="483F5A66"/>
    <w:rsid w:val="493251A2"/>
    <w:rsid w:val="49935EDB"/>
    <w:rsid w:val="4B647A24"/>
    <w:rsid w:val="4D1D4BA9"/>
    <w:rsid w:val="4D26749C"/>
    <w:rsid w:val="50BD7531"/>
    <w:rsid w:val="50F85F09"/>
    <w:rsid w:val="51257DF2"/>
    <w:rsid w:val="527B349A"/>
    <w:rsid w:val="53577CF7"/>
    <w:rsid w:val="53620E89"/>
    <w:rsid w:val="54323ABF"/>
    <w:rsid w:val="546C7DF1"/>
    <w:rsid w:val="54DB3524"/>
    <w:rsid w:val="56220C35"/>
    <w:rsid w:val="56281869"/>
    <w:rsid w:val="57441D18"/>
    <w:rsid w:val="583A5D09"/>
    <w:rsid w:val="595359B5"/>
    <w:rsid w:val="5AEF4D8A"/>
    <w:rsid w:val="5CA90F8C"/>
    <w:rsid w:val="5CD552EB"/>
    <w:rsid w:val="5DA804EF"/>
    <w:rsid w:val="5EC17DB5"/>
    <w:rsid w:val="60EA645C"/>
    <w:rsid w:val="61102A6C"/>
    <w:rsid w:val="612C10D3"/>
    <w:rsid w:val="61D362EC"/>
    <w:rsid w:val="62782477"/>
    <w:rsid w:val="62EF74F2"/>
    <w:rsid w:val="63562673"/>
    <w:rsid w:val="63827325"/>
    <w:rsid w:val="63D72EF4"/>
    <w:rsid w:val="64395DD0"/>
    <w:rsid w:val="653E3ACD"/>
    <w:rsid w:val="66051B54"/>
    <w:rsid w:val="663444EB"/>
    <w:rsid w:val="66A47C0A"/>
    <w:rsid w:val="685B23A3"/>
    <w:rsid w:val="6A7D2D75"/>
    <w:rsid w:val="6C1F5F1D"/>
    <w:rsid w:val="6DC517D7"/>
    <w:rsid w:val="6E6F0D46"/>
    <w:rsid w:val="6F97264B"/>
    <w:rsid w:val="704D4617"/>
    <w:rsid w:val="718D6F52"/>
    <w:rsid w:val="71D41DD8"/>
    <w:rsid w:val="72B3155F"/>
    <w:rsid w:val="72D51EE2"/>
    <w:rsid w:val="745B39A7"/>
    <w:rsid w:val="75744145"/>
    <w:rsid w:val="76295EF8"/>
    <w:rsid w:val="77304BFE"/>
    <w:rsid w:val="785A7ABF"/>
    <w:rsid w:val="78D04306"/>
    <w:rsid w:val="7A4F0A43"/>
    <w:rsid w:val="7AA840BD"/>
    <w:rsid w:val="7ACF45B6"/>
    <w:rsid w:val="7C5B7A62"/>
    <w:rsid w:val="7C736B31"/>
    <w:rsid w:val="7D8A1F24"/>
    <w:rsid w:val="7FB83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beforeLines="0" w:afterLines="0" w:line="600" w:lineRule="exact"/>
    </w:pPr>
    <w:rPr>
      <w:rFonts w:hint="eastAsia" w:ascii="华文细黑" w:eastAsia="华文细黑"/>
      <w:sz w:val="28"/>
      <w:szCs w:val="24"/>
    </w:rPr>
  </w:style>
  <w:style w:type="paragraph" w:styleId="3">
    <w:name w:val="Subtitle"/>
    <w:basedOn w:val="1"/>
    <w:next w:val="1"/>
    <w:qFormat/>
    <w:uiPriority w:val="0"/>
    <w:pPr>
      <w:spacing w:before="240" w:after="60" w:line="312" w:lineRule="auto"/>
      <w:jc w:val="center"/>
      <w:outlineLvl w:val="1"/>
    </w:pPr>
    <w:rPr>
      <w:rFonts w:ascii="Cambria" w:hAnsi="Cambria" w:eastAsia="Times New Roman"/>
      <w:b/>
      <w:bCs/>
      <w:kern w:val="28"/>
      <w:sz w:val="32"/>
      <w:szCs w:val="32"/>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2"/>
    <w:unhideWhenUsed/>
    <w:qFormat/>
    <w:uiPriority w:val="0"/>
    <w:pPr>
      <w:spacing w:beforeLines="0" w:afterLines="0"/>
      <w:ind w:firstLine="420" w:firstLineChars="100"/>
    </w:pPr>
    <w:rPr>
      <w:rFonts w:hint="default" w:ascii="Times New Roman" w:hAnsi="Times New Roman"/>
      <w:sz w:val="28"/>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段"/>
    <w:next w:val="1"/>
    <w:autoRedefine/>
    <w:qFormat/>
    <w:uiPriority w:val="99"/>
    <w:pPr>
      <w:autoSpaceDE w:val="0"/>
      <w:autoSpaceDN w:val="0"/>
      <w:ind w:firstLine="200"/>
      <w:jc w:val="both"/>
    </w:pPr>
    <w:rPr>
      <w:rFonts w:ascii="宋体" w:hAnsi="Times New Roman" w:eastAsia="宋体" w:cs="宋体"/>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1868</Words>
  <Characters>2035</Characters>
  <Lines>0</Lines>
  <Paragraphs>0</Paragraphs>
  <TotalTime>0</TotalTime>
  <ScaleCrop>false</ScaleCrop>
  <LinksUpToDate>false</LinksUpToDate>
  <CharactersWithSpaces>2130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2023-11-16T02:33:00Z</dcterms:created>
  <dc:creator>WEI</dc:creator>
  <cp:lastModifiedBy>自由如风</cp:lastModifiedBy>
  <cp:lastPrinted>2025-07-03T03:28:42Z</cp:lastPrinted>
  <dcterms:modified xsi:type="dcterms:W3CDTF">2025-07-03T03:28:45Z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5648DA8DE9DA491682778C176F62F570_13</vt:lpwstr>
  </property>
  <property fmtid="{D5CDD505-2E9C-101B-9397-08002B2CF9AE}" pid="4" name="KSOTemplateDocerSaveRecord">
    <vt:lpwstr>eyJoZGlkIjoiZmUyNWY4NWQ5ZDI4YzBhZGE0NDM3OWM0ZDI5ZjgwOTMiLCJ1c2VySWQiOiI3NTI2NDYxMDEifQ==</vt:lpwstr>
  </property>
</Properties>
</file>