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spacing w:line="360" w:lineRule="auto"/>
        <w:jc w:val="center"/>
        <w:rPr>
          <w:rFonts w:ascii="宋体" w:hAnsi="宋体"/>
          <w:b/>
          <w:bCs/>
          <w:sz w:val="48"/>
          <w:szCs w:val="48"/>
        </w:rPr>
      </w:pPr>
    </w:p>
    <w:p>
      <w:pPr>
        <w:tabs>
          <w:tab w:val="left" w:pos="426"/>
        </w:tabs>
        <w:spacing w:line="360" w:lineRule="auto"/>
        <w:jc w:val="center"/>
        <w:rPr>
          <w:rFonts w:hint="eastAsia" w:ascii="宋体" w:hAnsi="宋体" w:eastAsia="宋体"/>
          <w:sz w:val="36"/>
          <w:szCs w:val="36"/>
          <w:lang w:eastAsia="zh-CN"/>
        </w:rPr>
      </w:pPr>
      <w:r>
        <w:rPr>
          <w:rFonts w:hint="eastAsia" w:ascii="宋体" w:hAnsi="宋体"/>
          <w:sz w:val="36"/>
          <w:szCs w:val="36"/>
          <w:lang w:eastAsia="zh-CN"/>
        </w:rPr>
        <w:t>饮用水水源地电子围栏数据采购项目（服务采购部分）</w:t>
      </w:r>
    </w:p>
    <w:p>
      <w:pPr>
        <w:spacing w:after="120"/>
        <w:jc w:val="center"/>
        <w:rPr>
          <w:rFonts w:ascii="宋体" w:hAnsi="宋体" w:cs="宋体"/>
          <w:sz w:val="32"/>
          <w:szCs w:val="32"/>
        </w:rPr>
      </w:pPr>
      <w:r>
        <w:rPr>
          <w:rFonts w:hint="eastAsia" w:ascii="宋体" w:hAnsi="宋体" w:cs="宋体"/>
          <w:sz w:val="32"/>
          <w:szCs w:val="32"/>
        </w:rPr>
        <w:t>项目编号：</w:t>
      </w:r>
      <w:r>
        <w:rPr>
          <w:rFonts w:ascii="宋体" w:hAnsi="宋体" w:cs="宋体"/>
          <w:sz w:val="32"/>
          <w:szCs w:val="32"/>
        </w:rPr>
        <w:t>NBMC-</w:t>
      </w:r>
      <w:r>
        <w:rPr>
          <w:rFonts w:hint="eastAsia" w:ascii="宋体" w:hAnsi="宋体" w:cs="宋体"/>
          <w:sz w:val="32"/>
          <w:szCs w:val="32"/>
        </w:rPr>
        <w:t>20229022</w:t>
      </w:r>
      <w:r>
        <w:rPr>
          <w:rFonts w:ascii="宋体" w:hAnsi="宋体" w:cs="宋体"/>
          <w:sz w:val="32"/>
          <w:szCs w:val="32"/>
        </w:rPr>
        <w:t>G</w:t>
      </w:r>
    </w:p>
    <w:p>
      <w:pPr>
        <w:spacing w:after="120"/>
        <w:jc w:val="center"/>
        <w:rPr>
          <w:rFonts w:ascii="宋体" w:hAnsi="宋体" w:cs="宋体"/>
          <w:b/>
          <w:bCs/>
          <w:sz w:val="32"/>
          <w:szCs w:val="32"/>
        </w:rPr>
      </w:pPr>
    </w:p>
    <w:p>
      <w:pPr>
        <w:spacing w:after="120"/>
        <w:jc w:val="center"/>
        <w:rPr>
          <w:rFonts w:ascii="宋体" w:hAnsi="宋体" w:cs="宋体"/>
          <w:b/>
          <w:bCs/>
          <w:sz w:val="32"/>
          <w:szCs w:val="32"/>
        </w:rPr>
      </w:pPr>
    </w:p>
    <w:p>
      <w:pPr>
        <w:spacing w:after="120"/>
        <w:jc w:val="center"/>
        <w:rPr>
          <w:rFonts w:ascii="宋体" w:hAnsi="宋体" w:cs="宋体"/>
          <w:b/>
          <w:bCs/>
          <w:sz w:val="32"/>
          <w:szCs w:val="32"/>
        </w:rPr>
      </w:pPr>
    </w:p>
    <w:p>
      <w:pPr>
        <w:spacing w:after="240"/>
        <w:jc w:val="center"/>
        <w:rPr>
          <w:rFonts w:ascii="宋体" w:hAnsi="宋体" w:cs="宋体"/>
          <w:b/>
          <w:bCs/>
          <w:sz w:val="72"/>
          <w:szCs w:val="72"/>
        </w:rPr>
      </w:pPr>
      <w:r>
        <w:rPr>
          <w:rFonts w:hint="eastAsia" w:ascii="宋体" w:hAnsi="宋体" w:cs="宋体"/>
          <w:b/>
          <w:bCs/>
          <w:sz w:val="72"/>
          <w:szCs w:val="72"/>
        </w:rPr>
        <w:t>公开招标文件</w:t>
      </w:r>
    </w:p>
    <w:p>
      <w:pPr>
        <w:spacing w:after="240"/>
        <w:jc w:val="center"/>
        <w:rPr>
          <w:rFonts w:ascii="宋体" w:hAnsi="宋体"/>
          <w:sz w:val="32"/>
          <w:szCs w:val="32"/>
        </w:rPr>
      </w:pPr>
      <w:r>
        <w:rPr>
          <w:rFonts w:hint="eastAsia" w:ascii="宋体" w:hAnsi="宋体"/>
          <w:sz w:val="32"/>
          <w:szCs w:val="32"/>
        </w:rPr>
        <w:t>（政府采购电子交易项目</w:t>
      </w:r>
      <w:r>
        <w:rPr>
          <w:rFonts w:hint="eastAsia" w:asciiTheme="minorEastAsia" w:hAnsiTheme="minorEastAsia" w:eastAsiaTheme="minorEastAsia"/>
          <w:sz w:val="32"/>
          <w:szCs w:val="32"/>
        </w:rPr>
        <w:t>·服务类</w:t>
      </w:r>
      <w:r>
        <w:rPr>
          <w:rFonts w:hint="eastAsia" w:ascii="宋体" w:hAnsi="宋体"/>
          <w:sz w:val="32"/>
          <w:szCs w:val="32"/>
        </w:rPr>
        <w:t>）</w:t>
      </w: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jc w:val="center"/>
        <w:outlineLvl w:val="0"/>
        <w:rPr>
          <w:rFonts w:ascii="宋体" w:hAnsi="宋体"/>
          <w:b/>
          <w:bCs/>
          <w:sz w:val="44"/>
          <w:szCs w:val="44"/>
        </w:rPr>
      </w:pPr>
    </w:p>
    <w:p>
      <w:pPr>
        <w:jc w:val="center"/>
        <w:rPr>
          <w:rFonts w:ascii="宋体" w:hAnsi="宋体"/>
          <w:sz w:val="32"/>
          <w:szCs w:val="32"/>
        </w:rPr>
      </w:pPr>
      <w:r>
        <w:rPr>
          <w:rFonts w:hint="eastAsia" w:ascii="宋体" w:hAnsi="宋体"/>
          <w:sz w:val="32"/>
          <w:szCs w:val="32"/>
        </w:rPr>
        <w:t>采购人：宁波市生态环境局</w:t>
      </w:r>
    </w:p>
    <w:p>
      <w:pPr>
        <w:jc w:val="center"/>
        <w:rPr>
          <w:rFonts w:ascii="宋体" w:hAnsi="宋体"/>
          <w:sz w:val="32"/>
          <w:szCs w:val="32"/>
        </w:rPr>
      </w:pPr>
      <w:r>
        <w:rPr>
          <w:rFonts w:hint="eastAsia" w:ascii="宋体" w:hAnsi="宋体"/>
          <w:sz w:val="32"/>
          <w:szCs w:val="32"/>
        </w:rPr>
        <w:t>代理机构：宁波名诚招标代理有限公司</w:t>
      </w:r>
    </w:p>
    <w:p>
      <w:pPr>
        <w:jc w:val="center"/>
        <w:rPr>
          <w:rFonts w:ascii="宋体" w:hAnsi="宋体"/>
          <w:sz w:val="32"/>
          <w:szCs w:val="32"/>
        </w:rPr>
      </w:pPr>
      <w:r>
        <w:rPr>
          <w:rFonts w:hint="eastAsia" w:ascii="宋体" w:hAnsi="宋体"/>
          <w:sz w:val="32"/>
          <w:szCs w:val="32"/>
        </w:rPr>
        <w:t>编制日期：</w:t>
      </w:r>
      <w:r>
        <w:rPr>
          <w:rFonts w:ascii="宋体" w:hAnsi="宋体"/>
          <w:sz w:val="32"/>
          <w:szCs w:val="32"/>
        </w:rPr>
        <w:t>2022年</w:t>
      </w:r>
      <w:r>
        <w:rPr>
          <w:rFonts w:hint="eastAsia" w:ascii="宋体" w:hAnsi="宋体"/>
          <w:sz w:val="32"/>
          <w:szCs w:val="32"/>
        </w:rPr>
        <w:t>9</w:t>
      </w:r>
      <w:r>
        <w:rPr>
          <w:rFonts w:ascii="宋体" w:hAnsi="宋体"/>
          <w:sz w:val="32"/>
          <w:szCs w:val="32"/>
        </w:rPr>
        <w:t>月</w:t>
      </w:r>
    </w:p>
    <w:p>
      <w:pPr>
        <w:jc w:val="center"/>
        <w:rPr>
          <w:rFonts w:ascii="宋体" w:hAnsi="宋体"/>
          <w:sz w:val="32"/>
          <w:szCs w:val="32"/>
        </w:rPr>
      </w:pPr>
    </w:p>
    <w:p>
      <w:pPr>
        <w:spacing w:line="360" w:lineRule="auto"/>
        <w:rPr>
          <w:rFonts w:hAnsi="宋体"/>
        </w:rPr>
      </w:pPr>
    </w:p>
    <w:p>
      <w:pPr>
        <w:pStyle w:val="24"/>
        <w:spacing w:beforeLines="0" w:afterLines="0" w:line="360" w:lineRule="auto"/>
        <w:jc w:val="center"/>
        <w:rPr>
          <w:rFonts w:hAnsi="宋体"/>
          <w:sz w:val="28"/>
          <w:szCs w:val="28"/>
        </w:rPr>
        <w:sectPr>
          <w:headerReference r:id="rId3" w:type="default"/>
          <w:headerReference r:id="rId4" w:type="even"/>
          <w:footerReference r:id="rId5" w:type="even"/>
          <w:pgSz w:w="11906" w:h="16838"/>
          <w:pgMar w:top="1440" w:right="1440" w:bottom="1440" w:left="1610" w:header="851" w:footer="851" w:gutter="0"/>
          <w:cols w:space="720" w:num="1"/>
          <w:titlePg/>
          <w:docGrid w:linePitch="312" w:charSpace="0"/>
        </w:sectPr>
      </w:pPr>
    </w:p>
    <w:p>
      <w:pPr>
        <w:pStyle w:val="277"/>
        <w:spacing w:before="0" w:after="0" w:line="360" w:lineRule="auto"/>
        <w:jc w:val="center"/>
        <w:rPr>
          <w:rFonts w:ascii="宋体" w:hAnsi="宋体"/>
          <w:sz w:val="24"/>
        </w:rPr>
      </w:pPr>
      <w:r>
        <w:rPr>
          <w:rFonts w:ascii="宋体" w:hAnsi="宋体"/>
          <w:sz w:val="24"/>
        </w:rPr>
        <w:t>目</w:t>
      </w:r>
      <w:r>
        <w:rPr>
          <w:rFonts w:hint="eastAsia" w:ascii="宋体" w:hAnsi="宋体"/>
          <w:sz w:val="24"/>
        </w:rPr>
        <w:t xml:space="preserve">  </w:t>
      </w:r>
      <w:r>
        <w:rPr>
          <w:rFonts w:ascii="宋体" w:hAnsi="宋体"/>
          <w:sz w:val="24"/>
        </w:rPr>
        <w:t>录</w:t>
      </w:r>
    </w:p>
    <w:p>
      <w:pPr>
        <w:pStyle w:val="30"/>
        <w:tabs>
          <w:tab w:val="right" w:leader="dot" w:pos="8846"/>
        </w:tabs>
        <w:spacing w:line="360" w:lineRule="auto"/>
        <w:rPr>
          <w:rFonts w:ascii="宋体" w:hAnsi="宋体"/>
          <w:sz w:val="24"/>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"_Toc34844741" </w:instrText>
      </w:r>
      <w:r>
        <w:fldChar w:fldCharType="separate"/>
      </w:r>
      <w:r>
        <w:rPr>
          <w:rStyle w:val="51"/>
          <w:rFonts w:hint="eastAsia" w:ascii="宋体" w:hAnsi="宋体"/>
          <w:color w:val="auto"/>
          <w:sz w:val="24"/>
        </w:rPr>
        <w:t>第一章  投标邀请</w:t>
      </w:r>
      <w:r>
        <w:rPr>
          <w:rFonts w:ascii="宋体" w:hAnsi="宋体"/>
          <w:sz w:val="24"/>
        </w:rPr>
        <w:tab/>
      </w:r>
      <w:r>
        <w:rPr>
          <w:rFonts w:ascii="宋体" w:hAnsi="宋体"/>
          <w:sz w:val="24"/>
        </w:rPr>
        <w:fldChar w:fldCharType="begin"/>
      </w:r>
      <w:r>
        <w:rPr>
          <w:rFonts w:ascii="宋体" w:hAnsi="宋体"/>
          <w:sz w:val="24"/>
        </w:rPr>
        <w:instrText xml:space="preserve"> PAGEREF _Toc34844741 \h </w:instrText>
      </w:r>
      <w:r>
        <w:rPr>
          <w:rFonts w:ascii="宋体" w:hAnsi="宋体"/>
          <w:sz w:val="24"/>
        </w:rPr>
        <w:fldChar w:fldCharType="separate"/>
      </w:r>
      <w:r>
        <w:rPr>
          <w:rFonts w:ascii="宋体" w:hAnsi="宋体"/>
          <w:sz w:val="24"/>
        </w:rPr>
        <w:t>2</w:t>
      </w:r>
      <w:r>
        <w:rPr>
          <w:rFonts w:ascii="宋体" w:hAnsi="宋体"/>
          <w:sz w:val="24"/>
        </w:rPr>
        <w:fldChar w:fldCharType="end"/>
      </w:r>
      <w:r>
        <w:rPr>
          <w:rFonts w:ascii="宋体" w:hAnsi="宋体"/>
          <w:sz w:val="24"/>
        </w:rPr>
        <w:fldChar w:fldCharType="end"/>
      </w:r>
    </w:p>
    <w:p>
      <w:pPr>
        <w:pStyle w:val="30"/>
        <w:tabs>
          <w:tab w:val="right" w:leader="dot" w:pos="8846"/>
        </w:tabs>
        <w:spacing w:line="360" w:lineRule="auto"/>
        <w:rPr>
          <w:rFonts w:ascii="宋体" w:hAnsi="宋体"/>
          <w:sz w:val="24"/>
        </w:rPr>
      </w:pPr>
      <w:r>
        <w:fldChar w:fldCharType="begin"/>
      </w:r>
      <w:r>
        <w:instrText xml:space="preserve"> HYPERLINK \l "_Toc34844742" </w:instrText>
      </w:r>
      <w:r>
        <w:fldChar w:fldCharType="separate"/>
      </w:r>
      <w:r>
        <w:rPr>
          <w:rStyle w:val="51"/>
          <w:rFonts w:hint="eastAsia" w:ascii="宋体" w:hAnsi="宋体"/>
          <w:color w:val="auto"/>
          <w:sz w:val="24"/>
        </w:rPr>
        <w:t>第二章  采购需求</w:t>
      </w:r>
      <w:r>
        <w:rPr>
          <w:rFonts w:ascii="宋体" w:hAnsi="宋体"/>
          <w:sz w:val="24"/>
        </w:rPr>
        <w:tab/>
      </w:r>
      <w:r>
        <w:rPr>
          <w:rFonts w:ascii="宋体" w:hAnsi="宋体"/>
          <w:sz w:val="24"/>
        </w:rPr>
        <w:fldChar w:fldCharType="begin"/>
      </w:r>
      <w:r>
        <w:rPr>
          <w:rFonts w:ascii="宋体" w:hAnsi="宋体"/>
          <w:sz w:val="24"/>
        </w:rPr>
        <w:instrText xml:space="preserve"> PAGEREF _Toc34844742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30"/>
        <w:tabs>
          <w:tab w:val="right" w:leader="dot" w:pos="8846"/>
        </w:tabs>
        <w:spacing w:line="360" w:lineRule="auto"/>
        <w:rPr>
          <w:rFonts w:ascii="宋体" w:hAnsi="宋体"/>
          <w:sz w:val="24"/>
        </w:rPr>
      </w:pPr>
      <w:r>
        <w:fldChar w:fldCharType="begin"/>
      </w:r>
      <w:r>
        <w:instrText xml:space="preserve"> HYPERLINK \l "_Toc34844743" </w:instrText>
      </w:r>
      <w:r>
        <w:fldChar w:fldCharType="separate"/>
      </w:r>
      <w:r>
        <w:rPr>
          <w:rStyle w:val="51"/>
          <w:rFonts w:hint="eastAsia" w:ascii="宋体" w:hAnsi="宋体"/>
          <w:color w:val="auto"/>
          <w:sz w:val="24"/>
        </w:rPr>
        <w:t>第三章  投标人须知</w:t>
      </w:r>
      <w:r>
        <w:rPr>
          <w:rFonts w:ascii="宋体" w:hAnsi="宋体"/>
          <w:sz w:val="24"/>
        </w:rPr>
        <w:tab/>
      </w:r>
      <w:r>
        <w:rPr>
          <w:rFonts w:ascii="宋体" w:hAnsi="宋体"/>
          <w:sz w:val="24"/>
        </w:rPr>
        <w:fldChar w:fldCharType="begin"/>
      </w:r>
      <w:r>
        <w:rPr>
          <w:rFonts w:ascii="宋体" w:hAnsi="宋体"/>
          <w:sz w:val="24"/>
        </w:rPr>
        <w:instrText xml:space="preserve"> PAGEREF _Toc34844743 \h </w:instrText>
      </w:r>
      <w:r>
        <w:rPr>
          <w:rFonts w:ascii="宋体" w:hAnsi="宋体"/>
          <w:sz w:val="24"/>
        </w:rPr>
        <w:fldChar w:fldCharType="separate"/>
      </w:r>
      <w:r>
        <w:rPr>
          <w:rFonts w:ascii="宋体" w:hAnsi="宋体"/>
          <w:sz w:val="24"/>
        </w:rPr>
        <w:t>23</w:t>
      </w:r>
      <w:r>
        <w:rPr>
          <w:rFonts w:ascii="宋体" w:hAnsi="宋体"/>
          <w:sz w:val="24"/>
        </w:rPr>
        <w:fldChar w:fldCharType="end"/>
      </w:r>
      <w:r>
        <w:rPr>
          <w:rFonts w:ascii="宋体" w:hAnsi="宋体"/>
          <w:sz w:val="24"/>
        </w:rPr>
        <w:fldChar w:fldCharType="end"/>
      </w:r>
    </w:p>
    <w:p>
      <w:pPr>
        <w:pStyle w:val="30"/>
        <w:tabs>
          <w:tab w:val="right" w:leader="dot" w:pos="8846"/>
        </w:tabs>
        <w:spacing w:line="360" w:lineRule="auto"/>
        <w:rPr>
          <w:rFonts w:ascii="宋体" w:hAnsi="宋体"/>
          <w:sz w:val="24"/>
        </w:rPr>
      </w:pPr>
      <w:r>
        <w:fldChar w:fldCharType="begin"/>
      </w:r>
      <w:r>
        <w:instrText xml:space="preserve"> HYPERLINK \l "_Toc34844744" </w:instrText>
      </w:r>
      <w:r>
        <w:fldChar w:fldCharType="separate"/>
      </w:r>
      <w:r>
        <w:rPr>
          <w:rStyle w:val="51"/>
          <w:rFonts w:hint="eastAsia" w:ascii="宋体" w:hAnsi="宋体"/>
          <w:color w:val="auto"/>
          <w:sz w:val="24"/>
        </w:rPr>
        <w:t>第四章  评标方法及评标标准</w:t>
      </w:r>
      <w:r>
        <w:rPr>
          <w:rFonts w:ascii="宋体" w:hAnsi="宋体"/>
          <w:sz w:val="24"/>
        </w:rPr>
        <w:tab/>
      </w:r>
      <w:r>
        <w:rPr>
          <w:rFonts w:ascii="宋体" w:hAnsi="宋体"/>
          <w:sz w:val="24"/>
        </w:rPr>
        <w:fldChar w:fldCharType="begin"/>
      </w:r>
      <w:r>
        <w:rPr>
          <w:rFonts w:ascii="宋体" w:hAnsi="宋体"/>
          <w:sz w:val="24"/>
        </w:rPr>
        <w:instrText xml:space="preserve"> PAGEREF _Toc34844744 \h </w:instrText>
      </w:r>
      <w:r>
        <w:rPr>
          <w:rFonts w:ascii="宋体" w:hAnsi="宋体"/>
          <w:sz w:val="24"/>
        </w:rPr>
        <w:fldChar w:fldCharType="separate"/>
      </w:r>
      <w:r>
        <w:rPr>
          <w:rFonts w:ascii="宋体" w:hAnsi="宋体"/>
          <w:sz w:val="24"/>
        </w:rPr>
        <w:t>35</w:t>
      </w:r>
      <w:r>
        <w:rPr>
          <w:rFonts w:ascii="宋体" w:hAnsi="宋体"/>
          <w:sz w:val="24"/>
        </w:rPr>
        <w:fldChar w:fldCharType="end"/>
      </w:r>
      <w:r>
        <w:rPr>
          <w:rFonts w:ascii="宋体" w:hAnsi="宋体"/>
          <w:sz w:val="24"/>
        </w:rPr>
        <w:fldChar w:fldCharType="end"/>
      </w:r>
    </w:p>
    <w:p>
      <w:pPr>
        <w:pStyle w:val="30"/>
        <w:tabs>
          <w:tab w:val="right" w:leader="dot" w:pos="8846"/>
        </w:tabs>
        <w:spacing w:line="360" w:lineRule="auto"/>
        <w:rPr>
          <w:rFonts w:ascii="宋体" w:hAnsi="宋体"/>
          <w:sz w:val="24"/>
        </w:rPr>
      </w:pPr>
      <w:r>
        <w:fldChar w:fldCharType="begin"/>
      </w:r>
      <w:r>
        <w:instrText xml:space="preserve"> HYPERLINK \l "_Toc34844745" </w:instrText>
      </w:r>
      <w:r>
        <w:fldChar w:fldCharType="separate"/>
      </w:r>
      <w:r>
        <w:rPr>
          <w:rStyle w:val="51"/>
          <w:rFonts w:hint="eastAsia" w:ascii="宋体" w:hAnsi="宋体"/>
          <w:color w:val="auto"/>
          <w:sz w:val="24"/>
        </w:rPr>
        <w:t>第五章  合同文本</w:t>
      </w:r>
      <w:r>
        <w:rPr>
          <w:rFonts w:ascii="宋体" w:hAnsi="宋体"/>
          <w:sz w:val="24"/>
        </w:rPr>
        <w:tab/>
      </w:r>
      <w:r>
        <w:rPr>
          <w:rFonts w:ascii="宋体" w:hAnsi="宋体"/>
          <w:sz w:val="24"/>
        </w:rPr>
        <w:fldChar w:fldCharType="begin"/>
      </w:r>
      <w:r>
        <w:rPr>
          <w:rFonts w:ascii="宋体" w:hAnsi="宋体"/>
          <w:sz w:val="24"/>
        </w:rPr>
        <w:instrText xml:space="preserve"> PAGEREF _Toc34844745 \h </w:instrText>
      </w:r>
      <w:r>
        <w:rPr>
          <w:rFonts w:ascii="宋体" w:hAnsi="宋体"/>
          <w:sz w:val="24"/>
        </w:rPr>
        <w:fldChar w:fldCharType="separate"/>
      </w:r>
      <w:r>
        <w:rPr>
          <w:rFonts w:ascii="宋体" w:hAnsi="宋体"/>
          <w:sz w:val="24"/>
        </w:rPr>
        <w:t>40</w:t>
      </w:r>
      <w:r>
        <w:rPr>
          <w:rFonts w:ascii="宋体" w:hAnsi="宋体"/>
          <w:sz w:val="24"/>
        </w:rPr>
        <w:fldChar w:fldCharType="end"/>
      </w:r>
      <w:r>
        <w:rPr>
          <w:rFonts w:ascii="宋体" w:hAnsi="宋体"/>
          <w:sz w:val="24"/>
        </w:rPr>
        <w:fldChar w:fldCharType="end"/>
      </w:r>
    </w:p>
    <w:p>
      <w:pPr>
        <w:pStyle w:val="30"/>
        <w:tabs>
          <w:tab w:val="right" w:leader="dot" w:pos="8846"/>
        </w:tabs>
        <w:spacing w:line="360" w:lineRule="auto"/>
        <w:rPr>
          <w:rFonts w:ascii="宋体" w:hAnsi="宋体"/>
          <w:szCs w:val="22"/>
        </w:rPr>
      </w:pPr>
      <w:r>
        <w:fldChar w:fldCharType="begin"/>
      </w:r>
      <w:r>
        <w:instrText xml:space="preserve"> HYPERLINK \l "_Toc34844746" </w:instrText>
      </w:r>
      <w:r>
        <w:fldChar w:fldCharType="separate"/>
      </w:r>
      <w:r>
        <w:rPr>
          <w:rStyle w:val="51"/>
          <w:rFonts w:hint="eastAsia" w:ascii="宋体" w:hAnsi="宋体"/>
          <w:color w:val="auto"/>
          <w:sz w:val="24"/>
        </w:rPr>
        <w:t>第六章  投标文件格式</w:t>
      </w:r>
      <w:r>
        <w:rPr>
          <w:rFonts w:ascii="宋体" w:hAnsi="宋体"/>
          <w:sz w:val="24"/>
        </w:rPr>
        <w:tab/>
      </w:r>
      <w:r>
        <w:rPr>
          <w:rFonts w:ascii="宋体" w:hAnsi="宋体"/>
          <w:sz w:val="24"/>
        </w:rPr>
        <w:fldChar w:fldCharType="begin"/>
      </w:r>
      <w:r>
        <w:rPr>
          <w:rFonts w:ascii="宋体" w:hAnsi="宋体"/>
          <w:sz w:val="24"/>
        </w:rPr>
        <w:instrText xml:space="preserve"> PAGEREF _Toc34844746 \h </w:instrText>
      </w:r>
      <w:r>
        <w:rPr>
          <w:rFonts w:ascii="宋体" w:hAnsi="宋体"/>
          <w:sz w:val="24"/>
        </w:rPr>
        <w:fldChar w:fldCharType="separate"/>
      </w:r>
      <w:r>
        <w:rPr>
          <w:rFonts w:ascii="宋体" w:hAnsi="宋体"/>
          <w:sz w:val="24"/>
        </w:rPr>
        <w:t>43</w:t>
      </w:r>
      <w:r>
        <w:rPr>
          <w:rFonts w:ascii="宋体" w:hAnsi="宋体"/>
          <w:sz w:val="24"/>
        </w:rPr>
        <w:fldChar w:fldCharType="end"/>
      </w:r>
      <w:r>
        <w:rPr>
          <w:rFonts w:ascii="宋体" w:hAnsi="宋体"/>
          <w:sz w:val="24"/>
        </w:rPr>
        <w:fldChar w:fldCharType="end"/>
      </w:r>
    </w:p>
    <w:p>
      <w:pPr>
        <w:spacing w:line="360" w:lineRule="auto"/>
        <w:rPr>
          <w:rFonts w:ascii="宋体" w:hAnsi="宋体"/>
        </w:rPr>
      </w:pPr>
      <w:r>
        <w:rPr>
          <w:rFonts w:ascii="宋体" w:hAnsi="宋体"/>
          <w:b/>
          <w:bCs/>
          <w:lang w:val="zh-CN"/>
        </w:rPr>
        <w:fldChar w:fldCharType="end"/>
      </w:r>
    </w:p>
    <w:p>
      <w:pPr>
        <w:pStyle w:val="24"/>
        <w:snapToGrid w:val="0"/>
        <w:spacing w:beforeLines="0" w:afterLines="0" w:line="360" w:lineRule="auto"/>
        <w:jc w:val="center"/>
        <w:outlineLvl w:val="0"/>
        <w:rPr>
          <w:rFonts w:hAnsi="宋体"/>
          <w:sz w:val="28"/>
          <w:szCs w:val="28"/>
        </w:rPr>
      </w:pPr>
    </w:p>
    <w:p>
      <w:pPr>
        <w:pStyle w:val="24"/>
        <w:snapToGrid w:val="0"/>
        <w:spacing w:beforeLines="0" w:afterLines="0" w:line="360" w:lineRule="auto"/>
        <w:jc w:val="center"/>
        <w:outlineLvl w:val="0"/>
        <w:rPr>
          <w:rFonts w:hAnsi="宋体"/>
          <w:sz w:val="28"/>
          <w:szCs w:val="28"/>
        </w:rPr>
      </w:pPr>
    </w:p>
    <w:p>
      <w:pPr>
        <w:pStyle w:val="24"/>
        <w:snapToGrid w:val="0"/>
        <w:spacing w:beforeLines="0" w:afterLines="0" w:line="360" w:lineRule="auto"/>
        <w:jc w:val="center"/>
        <w:outlineLvl w:val="0"/>
        <w:rPr>
          <w:rFonts w:hAnsi="宋体"/>
          <w:sz w:val="28"/>
          <w:szCs w:val="28"/>
        </w:rPr>
      </w:pPr>
    </w:p>
    <w:p>
      <w:pPr>
        <w:pStyle w:val="24"/>
        <w:snapToGrid w:val="0"/>
        <w:spacing w:beforeLines="0" w:afterLines="0" w:line="360" w:lineRule="auto"/>
        <w:jc w:val="center"/>
        <w:outlineLvl w:val="0"/>
        <w:rPr>
          <w:rFonts w:hAnsi="宋体"/>
          <w:sz w:val="28"/>
          <w:szCs w:val="28"/>
        </w:rPr>
        <w:sectPr>
          <w:footerReference r:id="rId7" w:type="first"/>
          <w:footerReference r:id="rId6" w:type="default"/>
          <w:pgSz w:w="11906" w:h="16838"/>
          <w:pgMar w:top="1440" w:right="1440" w:bottom="1440" w:left="1610" w:header="851" w:footer="851" w:gutter="0"/>
          <w:pgNumType w:start="1"/>
          <w:cols w:space="720" w:num="1"/>
          <w:docGrid w:linePitch="312" w:charSpace="0"/>
        </w:sectPr>
      </w:pPr>
    </w:p>
    <w:p>
      <w:pPr>
        <w:pStyle w:val="40"/>
        <w:spacing w:line="360" w:lineRule="auto"/>
        <w:rPr>
          <w:rFonts w:ascii="宋体" w:hAnsi="宋体" w:eastAsia="宋体"/>
          <w:sz w:val="24"/>
        </w:rPr>
      </w:pPr>
      <w:bookmarkStart w:id="0" w:name="_Toc34844741"/>
      <w:r>
        <w:rPr>
          <w:rFonts w:hint="eastAsia" w:ascii="宋体" w:hAnsi="宋体" w:eastAsia="宋体"/>
          <w:sz w:val="24"/>
        </w:rPr>
        <w:t>第一章  投标邀请</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8"/>
        </w:rPr>
      </w:pPr>
      <w:r>
        <w:rPr>
          <w:rFonts w:hint="eastAsia" w:ascii="宋体" w:hAnsi="宋体"/>
          <w:szCs w:val="28"/>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olor w:val="auto"/>
          <w:szCs w:val="28"/>
        </w:rPr>
      </w:pPr>
      <w:r>
        <w:rPr>
          <w:rFonts w:hint="eastAsia" w:ascii="宋体" w:hAnsi="宋体"/>
          <w:szCs w:val="28"/>
          <w:u w:val="single"/>
          <w:lang w:eastAsia="zh-CN"/>
        </w:rPr>
        <w:t>饮用水水源地电子围栏数据采购项目</w:t>
      </w:r>
      <w:r>
        <w:rPr>
          <w:rFonts w:hint="eastAsia" w:ascii="宋体" w:hAnsi="宋体"/>
          <w:color w:val="auto"/>
          <w:szCs w:val="28"/>
          <w:u w:val="single"/>
          <w:lang w:eastAsia="zh-CN"/>
        </w:rPr>
        <w:t>（服务采购部分）</w:t>
      </w:r>
      <w:r>
        <w:rPr>
          <w:rFonts w:hint="eastAsia" w:ascii="宋体" w:hAnsi="宋体"/>
          <w:color w:val="auto"/>
          <w:szCs w:val="28"/>
        </w:rPr>
        <w:t>招标项目的潜在投标人应在</w:t>
      </w:r>
      <w:r>
        <w:rPr>
          <w:rFonts w:hint="eastAsia" w:ascii="宋体" w:hAnsi="宋体"/>
          <w:color w:val="auto"/>
          <w:u w:val="single"/>
        </w:rPr>
        <w:t>政采云平台（https://www.zcygov.cn）</w:t>
      </w:r>
      <w:r>
        <w:rPr>
          <w:rFonts w:hint="eastAsia" w:ascii="宋体" w:hAnsi="宋体"/>
          <w:color w:val="auto"/>
          <w:szCs w:val="28"/>
        </w:rPr>
        <w:t>获取招标文件，并于202</w:t>
      </w:r>
      <w:r>
        <w:rPr>
          <w:rFonts w:ascii="宋体" w:hAnsi="宋体"/>
          <w:color w:val="auto"/>
          <w:szCs w:val="28"/>
        </w:rPr>
        <w:t>2</w:t>
      </w:r>
      <w:r>
        <w:rPr>
          <w:rFonts w:hint="eastAsia" w:ascii="宋体" w:hAnsi="宋体"/>
          <w:bCs/>
          <w:color w:val="auto"/>
          <w:szCs w:val="28"/>
          <w:u w:val="single"/>
        </w:rPr>
        <w:t>年9月</w:t>
      </w:r>
      <w:r>
        <w:rPr>
          <w:rFonts w:hint="eastAsia" w:ascii="宋体" w:hAnsi="宋体"/>
          <w:bCs/>
          <w:color w:val="auto"/>
          <w:szCs w:val="28"/>
          <w:u w:val="single"/>
          <w:lang w:val="en-US" w:eastAsia="zh-CN"/>
        </w:rPr>
        <w:t>30</w:t>
      </w:r>
      <w:r>
        <w:rPr>
          <w:rFonts w:hint="eastAsia" w:ascii="宋体" w:hAnsi="宋体"/>
          <w:bCs/>
          <w:color w:val="auto"/>
          <w:szCs w:val="28"/>
          <w:u w:val="single"/>
        </w:rPr>
        <w:t>日</w:t>
      </w:r>
      <w:r>
        <w:rPr>
          <w:rFonts w:hint="eastAsia" w:ascii="宋体" w:hAnsi="宋体"/>
          <w:bCs/>
          <w:color w:val="auto"/>
          <w:szCs w:val="28"/>
          <w:u w:val="single"/>
          <w:lang w:val="en-US" w:eastAsia="zh-CN"/>
        </w:rPr>
        <w:t>09</w:t>
      </w:r>
      <w:r>
        <w:rPr>
          <w:rFonts w:hint="eastAsia" w:ascii="宋体" w:hAnsi="宋体"/>
          <w:bCs/>
          <w:color w:val="auto"/>
          <w:szCs w:val="28"/>
          <w:u w:val="single"/>
        </w:rPr>
        <w:t>点</w:t>
      </w:r>
      <w:r>
        <w:rPr>
          <w:rFonts w:hint="eastAsia" w:ascii="宋体" w:hAnsi="宋体"/>
          <w:bCs/>
          <w:color w:val="auto"/>
          <w:szCs w:val="28"/>
          <w:u w:val="single"/>
          <w:lang w:val="en-US" w:eastAsia="zh-CN"/>
        </w:rPr>
        <w:t>30</w:t>
      </w:r>
      <w:r>
        <w:rPr>
          <w:rFonts w:hint="eastAsia" w:ascii="宋体" w:hAnsi="宋体"/>
          <w:bCs/>
          <w:color w:val="auto"/>
          <w:szCs w:val="28"/>
          <w:u w:val="single"/>
        </w:rPr>
        <w:t>分</w:t>
      </w:r>
      <w:r>
        <w:rPr>
          <w:rFonts w:hint="eastAsia" w:ascii="宋体" w:hAnsi="宋体"/>
          <w:bCs/>
          <w:color w:val="auto"/>
          <w:szCs w:val="28"/>
        </w:rPr>
        <w:t>（北京时间）前递交投标</w:t>
      </w:r>
      <w:r>
        <w:rPr>
          <w:rFonts w:ascii="宋体" w:hAnsi="宋体"/>
          <w:bCs/>
          <w:color w:val="auto"/>
          <w:szCs w:val="28"/>
        </w:rPr>
        <w:t>文件</w:t>
      </w:r>
      <w:r>
        <w:rPr>
          <w:rFonts w:hint="eastAsia" w:ascii="宋体" w:hAnsi="宋体"/>
          <w:color w:val="auto"/>
          <w:szCs w:val="28"/>
        </w:rPr>
        <w:t>。</w:t>
      </w:r>
    </w:p>
    <w:p>
      <w:pPr>
        <w:snapToGrid w:val="0"/>
        <w:spacing w:line="400" w:lineRule="exact"/>
        <w:rPr>
          <w:rFonts w:ascii="宋体" w:hAnsi="宋体" w:cs="Arial"/>
          <w:szCs w:val="21"/>
        </w:rPr>
      </w:pPr>
      <w:bookmarkStart w:id="1" w:name="_Toc28359079"/>
      <w:bookmarkStart w:id="2" w:name="_Toc28359002"/>
      <w:bookmarkStart w:id="3" w:name="_Toc35393621"/>
      <w:bookmarkStart w:id="4" w:name="_Toc35393790"/>
      <w:bookmarkStart w:id="5" w:name="_Hlk24379207"/>
      <w:r>
        <w:rPr>
          <w:rFonts w:hint="eastAsia" w:ascii="宋体" w:hAnsi="宋体" w:cs="Arial"/>
          <w:szCs w:val="21"/>
        </w:rPr>
        <w:t>一、项目基本情况</w:t>
      </w:r>
      <w:bookmarkEnd w:id="1"/>
      <w:bookmarkEnd w:id="2"/>
      <w:bookmarkEnd w:id="3"/>
      <w:bookmarkEnd w:id="4"/>
    </w:p>
    <w:p>
      <w:pPr>
        <w:spacing w:line="400" w:lineRule="exact"/>
        <w:ind w:firstLine="420" w:firstLineChars="200"/>
        <w:rPr>
          <w:rFonts w:ascii="宋体" w:hAnsi="宋体"/>
          <w:szCs w:val="21"/>
        </w:rPr>
      </w:pPr>
      <w:r>
        <w:rPr>
          <w:rFonts w:hint="eastAsia" w:ascii="宋体" w:hAnsi="宋体"/>
          <w:szCs w:val="21"/>
        </w:rPr>
        <w:t>项目编号：NBMC-20229022G</w:t>
      </w:r>
    </w:p>
    <w:p>
      <w:pPr>
        <w:spacing w:line="400" w:lineRule="exact"/>
        <w:ind w:firstLine="420" w:firstLineChars="200"/>
        <w:rPr>
          <w:rFonts w:hint="eastAsia" w:ascii="宋体" w:hAnsi="宋体" w:eastAsia="宋体"/>
          <w:szCs w:val="21"/>
          <w:lang w:eastAsia="zh-CN"/>
        </w:rPr>
      </w:pPr>
      <w:r>
        <w:rPr>
          <w:rFonts w:hint="eastAsia" w:ascii="宋体" w:hAnsi="宋体"/>
          <w:szCs w:val="21"/>
        </w:rPr>
        <w:t>项目名称：</w:t>
      </w:r>
      <w:r>
        <w:rPr>
          <w:rFonts w:hint="eastAsia" w:ascii="宋体" w:hAnsi="宋体"/>
          <w:szCs w:val="21"/>
          <w:lang w:eastAsia="zh-CN"/>
        </w:rPr>
        <w:t>饮用水水源地电子围栏数据采购项目（服务采购部分）</w:t>
      </w:r>
    </w:p>
    <w:bookmarkEnd w:id="5"/>
    <w:p>
      <w:pPr>
        <w:spacing w:line="400" w:lineRule="exact"/>
        <w:ind w:firstLine="420" w:firstLineChars="200"/>
        <w:rPr>
          <w:rFonts w:ascii="宋体" w:hAnsi="宋体"/>
          <w:szCs w:val="21"/>
        </w:rPr>
      </w:pPr>
      <w:r>
        <w:rPr>
          <w:rFonts w:hint="eastAsia" w:ascii="宋体" w:hAnsi="宋体"/>
          <w:szCs w:val="21"/>
        </w:rPr>
        <w:t>预算金额（元）：891</w:t>
      </w:r>
      <w:r>
        <w:rPr>
          <w:rFonts w:ascii="宋体" w:hAnsi="宋体"/>
          <w:szCs w:val="21"/>
        </w:rPr>
        <w:t>0000</w:t>
      </w:r>
      <w:r>
        <w:rPr>
          <w:rFonts w:hint="eastAsia" w:ascii="宋体" w:hAnsi="宋体"/>
          <w:szCs w:val="21"/>
        </w:rPr>
        <w:t>.00</w:t>
      </w:r>
    </w:p>
    <w:p>
      <w:pPr>
        <w:spacing w:line="400" w:lineRule="exact"/>
        <w:ind w:firstLine="420" w:firstLineChars="200"/>
        <w:rPr>
          <w:rFonts w:ascii="宋体" w:hAnsi="宋体"/>
          <w:szCs w:val="21"/>
        </w:rPr>
      </w:pPr>
      <w:r>
        <w:rPr>
          <w:rFonts w:hint="eastAsia" w:ascii="宋体" w:hAnsi="宋体"/>
          <w:szCs w:val="21"/>
        </w:rPr>
        <w:t>最高限价（元）：891</w:t>
      </w:r>
      <w:r>
        <w:rPr>
          <w:rFonts w:ascii="宋体" w:hAnsi="宋体"/>
          <w:szCs w:val="21"/>
        </w:rPr>
        <w:t>0000</w:t>
      </w:r>
      <w:r>
        <w:rPr>
          <w:rFonts w:hint="eastAsia" w:ascii="宋体" w:hAnsi="宋体"/>
          <w:szCs w:val="21"/>
        </w:rPr>
        <w:t>.00</w:t>
      </w:r>
    </w:p>
    <w:p>
      <w:pPr>
        <w:spacing w:line="400" w:lineRule="exact"/>
        <w:ind w:firstLine="420" w:firstLineChars="200"/>
        <w:rPr>
          <w:rFonts w:hint="eastAsia" w:ascii="宋体" w:hAnsi="宋体" w:eastAsia="宋体"/>
          <w:szCs w:val="21"/>
          <w:lang w:eastAsia="zh-CN"/>
        </w:rPr>
      </w:pPr>
      <w:r>
        <w:rPr>
          <w:rFonts w:hint="eastAsia" w:ascii="宋体" w:hAnsi="宋体"/>
          <w:szCs w:val="21"/>
        </w:rPr>
        <w:t>标的名称：</w:t>
      </w:r>
      <w:r>
        <w:rPr>
          <w:rFonts w:hint="eastAsia" w:ascii="宋体" w:hAnsi="宋体"/>
          <w:szCs w:val="21"/>
          <w:lang w:eastAsia="zh-CN"/>
        </w:rPr>
        <w:t>饮用水水源地电子围栏数据采购项目（服务采购部分）</w:t>
      </w:r>
    </w:p>
    <w:p>
      <w:pPr>
        <w:spacing w:line="400" w:lineRule="exact"/>
        <w:ind w:firstLine="420" w:firstLineChars="200"/>
        <w:rPr>
          <w:rFonts w:ascii="宋体" w:hAnsi="宋体"/>
          <w:szCs w:val="21"/>
        </w:rPr>
      </w:pPr>
      <w:r>
        <w:rPr>
          <w:rFonts w:hint="eastAsia" w:ascii="宋体" w:hAnsi="宋体"/>
          <w:szCs w:val="21"/>
        </w:rPr>
        <w:t>数量：1项</w:t>
      </w:r>
    </w:p>
    <w:p>
      <w:pPr>
        <w:spacing w:line="400" w:lineRule="exact"/>
        <w:ind w:firstLine="420" w:firstLineChars="200"/>
        <w:rPr>
          <w:rFonts w:ascii="宋体" w:hAnsi="宋体"/>
          <w:szCs w:val="21"/>
        </w:rPr>
      </w:pPr>
      <w:r>
        <w:rPr>
          <w:rFonts w:hint="eastAsia" w:ascii="宋体" w:hAnsi="宋体"/>
          <w:szCs w:val="21"/>
        </w:rPr>
        <w:t>预算金额（元）：891</w:t>
      </w:r>
      <w:r>
        <w:rPr>
          <w:rFonts w:ascii="宋体" w:hAnsi="宋体"/>
          <w:szCs w:val="21"/>
        </w:rPr>
        <w:t>0000</w:t>
      </w:r>
      <w:r>
        <w:rPr>
          <w:rFonts w:hint="eastAsia" w:ascii="宋体" w:hAnsi="宋体"/>
          <w:szCs w:val="21"/>
        </w:rPr>
        <w:t>.00</w:t>
      </w:r>
    </w:p>
    <w:p>
      <w:pPr>
        <w:spacing w:line="400" w:lineRule="exact"/>
        <w:ind w:firstLine="420" w:firstLineChars="200"/>
        <w:rPr>
          <w:rFonts w:ascii="宋体" w:hAnsi="宋体"/>
          <w:color w:val="auto"/>
          <w:szCs w:val="21"/>
          <w:highlight w:val="none"/>
        </w:rPr>
      </w:pPr>
      <w:r>
        <w:rPr>
          <w:rFonts w:hint="eastAsia" w:ascii="宋体" w:hAnsi="宋体"/>
          <w:szCs w:val="21"/>
        </w:rPr>
        <w:t>简</w:t>
      </w:r>
      <w:r>
        <w:rPr>
          <w:rFonts w:hint="eastAsia" w:ascii="宋体" w:hAnsi="宋体"/>
          <w:color w:val="auto"/>
          <w:szCs w:val="21"/>
        </w:rPr>
        <w:t>要技术需求或服务要求：通过开展宁波市辖区内13个</w:t>
      </w:r>
      <w:r>
        <w:rPr>
          <w:rFonts w:hint="eastAsia" w:ascii="宋体" w:hAnsi="宋体"/>
          <w:color w:val="auto"/>
          <w:szCs w:val="21"/>
          <w:lang w:eastAsia="zh-CN"/>
        </w:rPr>
        <w:t>县级以上</w:t>
      </w:r>
      <w:r>
        <w:rPr>
          <w:rFonts w:hint="eastAsia" w:ascii="宋体" w:hAnsi="宋体"/>
          <w:color w:val="auto"/>
          <w:szCs w:val="21"/>
        </w:rPr>
        <w:t>饮用水水源地电子围栏数据采购，建立健全防范人为干扰监控、预警、核查等闭环管理工作机制，实现全天候实时防范站点周围人为非法闯禁行为，以智慧技防手段有效补充监管盲区，全面提升防范人为干扰破坏自动监测站的能力，全面维护生态</w:t>
      </w:r>
      <w:r>
        <w:rPr>
          <w:rFonts w:hint="eastAsia" w:ascii="宋体" w:hAnsi="宋体"/>
          <w:color w:val="auto"/>
          <w:szCs w:val="21"/>
          <w:highlight w:val="none"/>
        </w:rPr>
        <w:t>环境监测数据“真、准、全”。本次项目采购整体服务，包含后期运营、维护的一站式服务，服务年限为3年。详细内容要求详见招标文件“第二章</w:t>
      </w:r>
      <w:r>
        <w:rPr>
          <w:rFonts w:ascii="宋体" w:hAnsi="宋体"/>
          <w:color w:val="auto"/>
          <w:szCs w:val="21"/>
          <w:highlight w:val="none"/>
        </w:rPr>
        <w:t xml:space="preserve"> </w:t>
      </w:r>
      <w:r>
        <w:rPr>
          <w:rFonts w:hint="eastAsia" w:ascii="宋体" w:hAnsi="宋体"/>
          <w:color w:val="auto"/>
          <w:szCs w:val="21"/>
          <w:highlight w:val="none"/>
        </w:rPr>
        <w:t>采购需求”。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备注：/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合同履行期限：自合同签订之日起至2022年12月底前完成前端设备建设。服务平台搭建完成，具备运行条件后，进入服务期，提供各类数据服务，服务期为3年。</w:t>
      </w:r>
      <w:r>
        <w:rPr>
          <w:rFonts w:hint="eastAsia" w:ascii="宋体" w:hAnsi="宋体" w:cs="宋体"/>
          <w:color w:val="auto"/>
          <w:szCs w:val="21"/>
          <w:highlight w:val="none"/>
          <w:lang w:eastAsia="zh-CN"/>
        </w:rPr>
        <w:t>服务期内提供各类数据服务，各阶段服务进度按采购人要求调整。</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本项目（是）接受联合体投标。</w:t>
      </w:r>
    </w:p>
    <w:p>
      <w:pPr>
        <w:snapToGrid w:val="0"/>
        <w:spacing w:line="400" w:lineRule="exact"/>
        <w:rPr>
          <w:rFonts w:ascii="宋体" w:hAnsi="宋体" w:cs="Arial"/>
          <w:color w:val="auto"/>
          <w:szCs w:val="21"/>
        </w:rPr>
      </w:pPr>
      <w:bookmarkStart w:id="6" w:name="_Toc28359003"/>
      <w:bookmarkStart w:id="7" w:name="_Toc35393622"/>
      <w:bookmarkStart w:id="8" w:name="_Toc28359080"/>
      <w:bookmarkStart w:id="9" w:name="_Toc35393791"/>
      <w:r>
        <w:rPr>
          <w:rFonts w:hint="eastAsia" w:ascii="宋体" w:hAnsi="宋体" w:cs="Arial"/>
          <w:color w:val="auto"/>
          <w:szCs w:val="21"/>
        </w:rPr>
        <w:t>二、申请人的资格要求：</w:t>
      </w:r>
      <w:bookmarkEnd w:id="6"/>
      <w:bookmarkEnd w:id="7"/>
      <w:bookmarkEnd w:id="8"/>
      <w:bookmarkEnd w:id="9"/>
    </w:p>
    <w:p>
      <w:pPr>
        <w:spacing w:line="400" w:lineRule="exact"/>
        <w:ind w:firstLine="420" w:firstLineChars="200"/>
        <w:rPr>
          <w:rFonts w:ascii="宋体" w:hAnsi="宋体"/>
          <w:szCs w:val="21"/>
        </w:rPr>
      </w:pPr>
      <w:r>
        <w:rPr>
          <w:rFonts w:hint="eastAsia" w:ascii="宋体" w:hAnsi="宋体"/>
          <w:szCs w:val="21"/>
        </w:rPr>
        <w:t>1.满足《中华人民共和国政府采购法》第二十二条</w:t>
      </w:r>
      <w:r>
        <w:rPr>
          <w:rFonts w:hint="eastAsia" w:ascii="宋体" w:hAnsi="宋体"/>
        </w:rPr>
        <w:t>第一款的</w:t>
      </w:r>
      <w:r>
        <w:rPr>
          <w:rFonts w:hint="eastAsia" w:ascii="宋体" w:hAnsi="宋体"/>
          <w:szCs w:val="21"/>
        </w:rPr>
        <w:t>规定；</w:t>
      </w:r>
    </w:p>
    <w:p>
      <w:pPr>
        <w:spacing w:line="400" w:lineRule="exact"/>
        <w:ind w:firstLine="420" w:firstLineChars="200"/>
        <w:rPr>
          <w:rFonts w:ascii="宋体" w:hAnsi="宋体"/>
          <w:color w:val="auto"/>
        </w:rPr>
      </w:pPr>
      <w:r>
        <w:rPr>
          <w:rFonts w:hint="eastAsia" w:ascii="宋体" w:hAnsi="宋体"/>
          <w:szCs w:val="21"/>
        </w:rPr>
        <w:t>2.</w:t>
      </w:r>
      <w:r>
        <w:rPr>
          <w:rFonts w:hint="eastAsia" w:ascii="宋体" w:hAnsi="宋体"/>
        </w:rPr>
        <w:t>未被“信用中国”网站</w:t>
      </w:r>
      <w:r>
        <w:rPr>
          <w:rFonts w:ascii="宋体" w:hAnsi="宋体"/>
        </w:rPr>
        <w:t>(www.c</w:t>
      </w:r>
      <w:r>
        <w:rPr>
          <w:rFonts w:ascii="宋体" w:hAnsi="宋体"/>
          <w:color w:val="auto"/>
        </w:rPr>
        <w:t xml:space="preserve">reditchina.gov.cn) </w:t>
      </w:r>
      <w:r>
        <w:rPr>
          <w:rFonts w:hint="eastAsia" w:ascii="宋体" w:hAnsi="宋体"/>
          <w:color w:val="auto"/>
        </w:rPr>
        <w:t>列入“失信被执行人或重大税收违法案件当事人名单或政府采购严重违法失信行为记录名单”；未被中国政府采购网</w:t>
      </w:r>
      <w:r>
        <w:rPr>
          <w:rFonts w:ascii="宋体" w:hAnsi="宋体"/>
          <w:color w:val="auto"/>
        </w:rPr>
        <w:t>(www.ccgp.gov.cn)“政府采购严重违法失信行为信息记录”中列入禁止参加政府采购活动期间。</w:t>
      </w:r>
    </w:p>
    <w:p>
      <w:pPr>
        <w:spacing w:line="400" w:lineRule="exact"/>
        <w:ind w:firstLine="420" w:firstLineChars="200"/>
        <w:rPr>
          <w:rFonts w:ascii="宋体" w:hAnsi="宋体"/>
          <w:iCs/>
          <w:color w:val="auto"/>
          <w:szCs w:val="21"/>
          <w:u w:val="single"/>
        </w:rPr>
      </w:pPr>
      <w:bookmarkStart w:id="10" w:name="_Toc28359004"/>
      <w:bookmarkStart w:id="11" w:name="_Toc28359081"/>
      <w:r>
        <w:rPr>
          <w:rFonts w:ascii="宋体" w:hAnsi="宋体"/>
          <w:color w:val="auto"/>
          <w:szCs w:val="21"/>
        </w:rPr>
        <w:t>3</w:t>
      </w:r>
      <w:r>
        <w:rPr>
          <w:rFonts w:hint="eastAsia" w:ascii="宋体" w:hAnsi="宋体"/>
          <w:color w:val="auto"/>
          <w:szCs w:val="21"/>
        </w:rPr>
        <w:t>.落实政府采购政策需满足的资格要求：无。</w:t>
      </w:r>
    </w:p>
    <w:p>
      <w:pPr>
        <w:spacing w:line="400" w:lineRule="exact"/>
        <w:ind w:firstLine="420" w:firstLineChars="200"/>
        <w:rPr>
          <w:rFonts w:ascii="宋体" w:hAnsi="宋体"/>
          <w:iCs/>
          <w:color w:val="auto"/>
          <w:szCs w:val="21"/>
          <w:u w:val="single"/>
        </w:rPr>
      </w:pPr>
      <w:r>
        <w:rPr>
          <w:rFonts w:ascii="宋体" w:hAnsi="宋体"/>
          <w:color w:val="auto"/>
          <w:szCs w:val="21"/>
        </w:rPr>
        <w:t>4</w:t>
      </w:r>
      <w:r>
        <w:rPr>
          <w:rFonts w:hint="eastAsia" w:ascii="宋体" w:hAnsi="宋体"/>
          <w:color w:val="auto"/>
          <w:szCs w:val="21"/>
        </w:rPr>
        <w:t>.本项目的特定资格要求：若为联合体投标的，组成联合体的成员数量不得超过2家</w:t>
      </w:r>
      <w:r>
        <w:rPr>
          <w:rFonts w:hint="eastAsia" w:ascii="宋体" w:hAnsi="宋体"/>
          <w:iCs/>
          <w:color w:val="auto"/>
          <w:szCs w:val="21"/>
        </w:rPr>
        <w:t>。</w:t>
      </w:r>
    </w:p>
    <w:p>
      <w:pPr>
        <w:snapToGrid w:val="0"/>
        <w:spacing w:line="400" w:lineRule="exact"/>
        <w:rPr>
          <w:rFonts w:ascii="宋体" w:hAnsi="宋体" w:cs="Arial"/>
          <w:color w:val="auto"/>
          <w:szCs w:val="21"/>
        </w:rPr>
      </w:pPr>
      <w:bookmarkStart w:id="12" w:name="_Toc35393792"/>
      <w:bookmarkStart w:id="13" w:name="_Toc35393623"/>
      <w:r>
        <w:rPr>
          <w:rFonts w:hint="eastAsia" w:ascii="宋体" w:hAnsi="宋体" w:cs="Arial"/>
          <w:color w:val="auto"/>
          <w:szCs w:val="21"/>
        </w:rPr>
        <w:t>三、获取招标文件</w:t>
      </w:r>
      <w:bookmarkEnd w:id="10"/>
      <w:bookmarkEnd w:id="11"/>
      <w:bookmarkEnd w:id="12"/>
      <w:bookmarkEnd w:id="13"/>
    </w:p>
    <w:p>
      <w:pPr>
        <w:snapToGrid w:val="0"/>
        <w:spacing w:line="400" w:lineRule="exact"/>
        <w:ind w:firstLine="411" w:firstLineChars="196"/>
        <w:rPr>
          <w:rFonts w:ascii="宋体" w:hAnsi="宋体" w:cs="宋体"/>
          <w:b/>
          <w:color w:val="auto"/>
          <w:szCs w:val="21"/>
        </w:rPr>
      </w:pPr>
      <w:r>
        <w:rPr>
          <w:rFonts w:hint="eastAsia" w:ascii="宋体" w:hAnsi="宋体" w:cs="宋体"/>
          <w:color w:val="auto"/>
          <w:szCs w:val="21"/>
        </w:rPr>
        <w:t>时间：2022年9月</w:t>
      </w:r>
      <w:r>
        <w:rPr>
          <w:rFonts w:hint="eastAsia" w:ascii="宋体" w:hAnsi="宋体" w:cs="宋体"/>
          <w:color w:val="auto"/>
          <w:szCs w:val="21"/>
          <w:lang w:val="en-US" w:eastAsia="zh-CN"/>
        </w:rPr>
        <w:t>9</w:t>
      </w:r>
      <w:r>
        <w:rPr>
          <w:rFonts w:hint="eastAsia" w:ascii="宋体" w:hAnsi="宋体" w:cs="宋体"/>
          <w:color w:val="auto"/>
          <w:szCs w:val="21"/>
        </w:rPr>
        <w:t>日至2022年9月</w:t>
      </w:r>
      <w:r>
        <w:rPr>
          <w:rFonts w:hint="eastAsia" w:ascii="宋体" w:hAnsi="宋体" w:cs="宋体"/>
          <w:color w:val="auto"/>
          <w:szCs w:val="21"/>
          <w:lang w:val="en-US" w:eastAsia="zh-CN"/>
        </w:rPr>
        <w:t>19</w:t>
      </w:r>
      <w:r>
        <w:rPr>
          <w:rFonts w:hint="eastAsia" w:ascii="宋体" w:hAnsi="宋体" w:cs="宋体"/>
          <w:color w:val="auto"/>
          <w:szCs w:val="21"/>
        </w:rPr>
        <w:t>日，每天上午</w:t>
      </w:r>
      <w:r>
        <w:rPr>
          <w:rFonts w:hint="eastAsia" w:ascii="宋体" w:hAnsi="宋体" w:cs="宋体"/>
          <w:color w:val="auto"/>
          <w:szCs w:val="21"/>
          <w:u w:val="single"/>
        </w:rPr>
        <w:t>00：00</w:t>
      </w:r>
      <w:r>
        <w:rPr>
          <w:rFonts w:hint="eastAsia" w:ascii="宋体" w:hAnsi="宋体" w:cs="宋体"/>
          <w:color w:val="auto"/>
          <w:szCs w:val="21"/>
        </w:rPr>
        <w:t>至</w:t>
      </w:r>
      <w:r>
        <w:rPr>
          <w:rFonts w:hint="eastAsia" w:ascii="宋体" w:hAnsi="宋体" w:cs="宋体"/>
          <w:color w:val="auto"/>
          <w:szCs w:val="21"/>
          <w:u w:val="single"/>
        </w:rPr>
        <w:t>12：00</w:t>
      </w:r>
      <w:r>
        <w:rPr>
          <w:rFonts w:hint="eastAsia" w:ascii="宋体" w:hAnsi="宋体" w:cs="宋体"/>
          <w:color w:val="auto"/>
          <w:szCs w:val="21"/>
        </w:rPr>
        <w:t>，下午</w:t>
      </w:r>
      <w:r>
        <w:rPr>
          <w:rFonts w:hint="eastAsia" w:ascii="宋体" w:hAnsi="宋体" w:cs="宋体"/>
          <w:color w:val="auto"/>
          <w:szCs w:val="21"/>
          <w:u w:val="single"/>
        </w:rPr>
        <w:t>12：00</w:t>
      </w:r>
      <w:r>
        <w:rPr>
          <w:rFonts w:hint="eastAsia" w:ascii="宋体" w:hAnsi="宋体" w:cs="宋体"/>
          <w:color w:val="auto"/>
          <w:szCs w:val="21"/>
        </w:rPr>
        <w:t>至</w:t>
      </w:r>
      <w:r>
        <w:rPr>
          <w:rFonts w:hint="eastAsia" w:ascii="宋体" w:hAnsi="宋体" w:cs="宋体"/>
          <w:color w:val="auto"/>
          <w:szCs w:val="21"/>
          <w:u w:val="single"/>
        </w:rPr>
        <w:t>23：59</w:t>
      </w:r>
      <w:r>
        <w:rPr>
          <w:rFonts w:hint="eastAsia" w:ascii="宋体" w:hAnsi="宋体" w:cs="宋体"/>
          <w:color w:val="auto"/>
          <w:szCs w:val="21"/>
        </w:rPr>
        <w:t>（北京时间）</w:t>
      </w:r>
    </w:p>
    <w:p>
      <w:pPr>
        <w:snapToGrid w:val="0"/>
        <w:spacing w:line="400" w:lineRule="exact"/>
        <w:ind w:firstLine="411" w:firstLineChars="196"/>
        <w:rPr>
          <w:rFonts w:ascii="宋体" w:hAnsi="宋体" w:cs="宋体"/>
          <w:szCs w:val="21"/>
          <w:u w:val="single"/>
        </w:rPr>
      </w:pPr>
      <w:r>
        <w:rPr>
          <w:rFonts w:hint="eastAsia" w:ascii="宋体" w:hAnsi="宋体" w:cs="宋体"/>
          <w:szCs w:val="21"/>
        </w:rPr>
        <w:t>地点：</w:t>
      </w:r>
      <w:r>
        <w:rPr>
          <w:rFonts w:hint="eastAsia" w:ascii="宋体" w:hAnsi="宋体"/>
          <w:u w:val="single"/>
        </w:rPr>
        <w:t>政采云平台（https://www.zcygov.cn）</w:t>
      </w:r>
    </w:p>
    <w:p>
      <w:pPr>
        <w:snapToGrid w:val="0"/>
        <w:spacing w:line="400" w:lineRule="exact"/>
        <w:ind w:firstLine="411" w:firstLineChars="196"/>
        <w:rPr>
          <w:rFonts w:asciiTheme="minorEastAsia" w:hAnsiTheme="minorEastAsia" w:eastAsiaTheme="minorEastAsia"/>
          <w:szCs w:val="21"/>
        </w:rPr>
      </w:pPr>
      <w:r>
        <w:rPr>
          <w:rFonts w:hint="eastAsia" w:cs="宋体" w:asciiTheme="minorEastAsia" w:hAnsiTheme="minorEastAsia" w:eastAsiaTheme="minorEastAsia"/>
          <w:szCs w:val="21"/>
        </w:rPr>
        <w:t>方式：</w:t>
      </w:r>
      <w:r>
        <w:rPr>
          <w:rFonts w:hint="eastAsia" w:asciiTheme="minorEastAsia" w:hAnsiTheme="minorEastAsia" w:eastAsiaTheme="minorEastAsia"/>
          <w:szCs w:val="21"/>
        </w:rPr>
        <w:t>依法</w:t>
      </w:r>
      <w:r>
        <w:rPr>
          <w:rFonts w:asciiTheme="minorEastAsia" w:hAnsiTheme="minorEastAsia" w:eastAsiaTheme="minorEastAsia"/>
          <w:szCs w:val="21"/>
        </w:rPr>
        <w:t>获取</w:t>
      </w:r>
      <w:r>
        <w:rPr>
          <w:rFonts w:hint="eastAsia" w:asciiTheme="minorEastAsia" w:hAnsiTheme="minorEastAsia" w:eastAsiaTheme="minorEastAsia"/>
          <w:szCs w:val="21"/>
        </w:rPr>
        <w:t>本项目招标文件的</w:t>
      </w:r>
      <w:r>
        <w:rPr>
          <w:rFonts w:asciiTheme="minorEastAsia" w:hAnsiTheme="minorEastAsia" w:eastAsiaTheme="minorEastAsia"/>
          <w:szCs w:val="21"/>
        </w:rPr>
        <w:t>方式</w:t>
      </w:r>
      <w:r>
        <w:rPr>
          <w:rFonts w:hint="eastAsia" w:asciiTheme="minorEastAsia" w:hAnsiTheme="minorEastAsia" w:eastAsiaTheme="minorEastAsia"/>
          <w:szCs w:val="21"/>
        </w:rPr>
        <w:t>为</w:t>
      </w:r>
      <w:r>
        <w:rPr>
          <w:rFonts w:hint="eastAsia" w:cs="Arial" w:asciiTheme="minorEastAsia" w:hAnsiTheme="minorEastAsia" w:eastAsiaTheme="minorEastAsia"/>
          <w:szCs w:val="21"/>
        </w:rPr>
        <w:t>潜在投标人登陆政采云平台，根据政采云平台的规定步骤进行操作并在线申请获取招标文件。仅需浏览招标文件的只需点击“游客，浏览采购文件”直接下载招标文件进行浏览。</w:t>
      </w:r>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任何网站显示的本项目招标公告附件中提供的招标文件仅供阅览使用，未按照招标文件规定程序依法获取招标文件的潜在投标人，对招标文件提起质疑的，按照无效质疑处理。采购代理机构拒绝接收未依法获取本项目招标</w:t>
      </w:r>
      <w:r>
        <w:rPr>
          <w:rFonts w:cs="Arial" w:asciiTheme="minorEastAsia" w:hAnsiTheme="minorEastAsia" w:eastAsiaTheme="minorEastAsia"/>
          <w:szCs w:val="21"/>
        </w:rPr>
        <w:t>文件</w:t>
      </w:r>
      <w:r>
        <w:rPr>
          <w:rFonts w:hint="eastAsia" w:cs="Arial" w:asciiTheme="minorEastAsia" w:hAnsiTheme="minorEastAsia" w:eastAsiaTheme="minorEastAsia"/>
          <w:szCs w:val="21"/>
        </w:rPr>
        <w:t>的投标人提交的投标文件。</w:t>
      </w:r>
    </w:p>
    <w:p>
      <w:pPr>
        <w:spacing w:line="400" w:lineRule="exact"/>
        <w:ind w:firstLine="540"/>
        <w:rPr>
          <w:rFonts w:ascii="宋体" w:hAnsi="宋体" w:cs="宋体"/>
          <w:color w:val="auto"/>
          <w:szCs w:val="21"/>
        </w:rPr>
      </w:pPr>
      <w:r>
        <w:rPr>
          <w:rFonts w:hint="eastAsia" w:ascii="宋体" w:hAnsi="宋体" w:cs="宋体"/>
          <w:szCs w:val="21"/>
        </w:rPr>
        <w:t>售价：0元</w:t>
      </w:r>
    </w:p>
    <w:p>
      <w:pPr>
        <w:snapToGrid w:val="0"/>
        <w:spacing w:line="400" w:lineRule="exact"/>
        <w:rPr>
          <w:rFonts w:ascii="宋体" w:hAnsi="宋体" w:cs="Arial"/>
          <w:color w:val="auto"/>
          <w:szCs w:val="21"/>
        </w:rPr>
      </w:pPr>
      <w:bookmarkStart w:id="14" w:name="_Toc28359005"/>
      <w:bookmarkStart w:id="15" w:name="_Toc28359082"/>
      <w:bookmarkStart w:id="16" w:name="_Toc35393624"/>
      <w:bookmarkStart w:id="17" w:name="_Toc35393793"/>
      <w:r>
        <w:rPr>
          <w:rFonts w:hint="eastAsia" w:ascii="宋体" w:hAnsi="宋体" w:cs="Arial"/>
          <w:color w:val="auto"/>
          <w:szCs w:val="21"/>
        </w:rPr>
        <w:t>四、提交投标文件</w:t>
      </w:r>
      <w:bookmarkEnd w:id="14"/>
      <w:bookmarkEnd w:id="15"/>
      <w:r>
        <w:rPr>
          <w:rFonts w:hint="eastAsia" w:ascii="宋体" w:hAnsi="宋体" w:cs="Arial"/>
          <w:color w:val="auto"/>
          <w:szCs w:val="21"/>
        </w:rPr>
        <w:t>截止时间、开标时间和地点</w:t>
      </w:r>
      <w:bookmarkEnd w:id="16"/>
      <w:bookmarkEnd w:id="17"/>
    </w:p>
    <w:p>
      <w:pPr>
        <w:spacing w:line="400" w:lineRule="exact"/>
        <w:ind w:firstLine="420" w:firstLineChars="200"/>
        <w:rPr>
          <w:rFonts w:ascii="宋体" w:hAnsi="宋体"/>
          <w:bCs/>
          <w:color w:val="auto"/>
          <w:szCs w:val="21"/>
        </w:rPr>
      </w:pPr>
      <w:r>
        <w:rPr>
          <w:rFonts w:hint="eastAsia" w:ascii="宋体" w:hAnsi="宋体" w:cs="Arial"/>
          <w:color w:val="auto"/>
          <w:szCs w:val="21"/>
        </w:rPr>
        <w:t>提交投标文件截止时间：</w:t>
      </w:r>
      <w:r>
        <w:rPr>
          <w:rFonts w:hint="eastAsia" w:ascii="宋体" w:hAnsi="宋体" w:cs="宋体"/>
          <w:color w:val="auto"/>
          <w:szCs w:val="21"/>
        </w:rPr>
        <w:t>2022年9月</w:t>
      </w:r>
      <w:r>
        <w:rPr>
          <w:rFonts w:hint="eastAsia" w:ascii="宋体" w:hAnsi="宋体" w:cs="宋体"/>
          <w:color w:val="auto"/>
          <w:szCs w:val="21"/>
          <w:lang w:val="en-US" w:eastAsia="zh-CN"/>
        </w:rPr>
        <w:t>30</w:t>
      </w:r>
      <w:r>
        <w:rPr>
          <w:rFonts w:hint="eastAsia" w:ascii="宋体" w:hAnsi="宋体" w:cs="宋体"/>
          <w:color w:val="auto"/>
          <w:szCs w:val="21"/>
        </w:rPr>
        <w:t>日</w:t>
      </w:r>
      <w:r>
        <w:rPr>
          <w:rFonts w:hint="eastAsia" w:ascii="宋体" w:hAnsi="宋体"/>
          <w:bCs/>
          <w:color w:val="auto"/>
          <w:szCs w:val="21"/>
          <w:u w:val="single"/>
          <w:lang w:val="en-US" w:eastAsia="zh-CN"/>
        </w:rPr>
        <w:t>09</w:t>
      </w:r>
      <w:r>
        <w:rPr>
          <w:rFonts w:hint="eastAsia" w:ascii="宋体" w:hAnsi="宋体"/>
          <w:bCs/>
          <w:color w:val="auto"/>
          <w:szCs w:val="21"/>
          <w:u w:val="single"/>
        </w:rPr>
        <w:t>点</w:t>
      </w:r>
      <w:r>
        <w:rPr>
          <w:rFonts w:hint="eastAsia" w:ascii="宋体" w:hAnsi="宋体"/>
          <w:bCs/>
          <w:color w:val="auto"/>
          <w:szCs w:val="21"/>
          <w:u w:val="single"/>
          <w:lang w:val="en-US" w:eastAsia="zh-CN"/>
        </w:rPr>
        <w:t>30</w:t>
      </w:r>
      <w:r>
        <w:rPr>
          <w:rFonts w:hint="eastAsia" w:ascii="宋体" w:hAnsi="宋体"/>
          <w:bCs/>
          <w:color w:val="auto"/>
          <w:szCs w:val="21"/>
          <w:u w:val="single"/>
        </w:rPr>
        <w:t>分</w:t>
      </w:r>
      <w:r>
        <w:rPr>
          <w:rFonts w:hint="eastAsia" w:ascii="宋体" w:hAnsi="宋体"/>
          <w:bCs/>
          <w:color w:val="auto"/>
          <w:szCs w:val="21"/>
        </w:rPr>
        <w:t>（北京时间）</w:t>
      </w:r>
    </w:p>
    <w:p>
      <w:pPr>
        <w:spacing w:line="400" w:lineRule="exact"/>
        <w:ind w:firstLine="420" w:firstLineChars="200"/>
        <w:rPr>
          <w:rFonts w:ascii="宋体" w:hAnsi="宋体"/>
          <w:bCs/>
          <w:color w:val="auto"/>
          <w:szCs w:val="21"/>
        </w:rPr>
      </w:pPr>
      <w:r>
        <w:rPr>
          <w:rFonts w:hint="eastAsia" w:ascii="宋体" w:hAnsi="宋体" w:cs="Arial"/>
          <w:color w:val="auto"/>
          <w:szCs w:val="21"/>
        </w:rPr>
        <w:t>提交投标文件</w:t>
      </w:r>
      <w:r>
        <w:rPr>
          <w:rFonts w:hint="eastAsia" w:ascii="宋体" w:hAnsi="宋体"/>
          <w:bCs/>
          <w:color w:val="auto"/>
          <w:szCs w:val="21"/>
        </w:rPr>
        <w:t>地点（网址）：</w:t>
      </w:r>
      <w:r>
        <w:rPr>
          <w:rFonts w:cs="Arial" w:asciiTheme="minorEastAsia" w:hAnsiTheme="minorEastAsia" w:eastAsiaTheme="minorEastAsia"/>
          <w:color w:val="auto"/>
          <w:szCs w:val="21"/>
        </w:rPr>
        <w:t>本项目通过“政府采购云平台（www.zcygov.cn）”实行在线提交投标文件（电子投标）</w:t>
      </w:r>
      <w:r>
        <w:rPr>
          <w:rFonts w:hint="eastAsia" w:cs="Arial" w:asciiTheme="minorEastAsia" w:hAnsiTheme="minorEastAsia" w:eastAsiaTheme="minorEastAsia"/>
          <w:color w:val="auto"/>
          <w:szCs w:val="21"/>
        </w:rPr>
        <w:t>。</w:t>
      </w:r>
    </w:p>
    <w:p>
      <w:pPr>
        <w:spacing w:line="400" w:lineRule="exact"/>
        <w:ind w:firstLine="420" w:firstLineChars="200"/>
        <w:rPr>
          <w:rFonts w:ascii="宋体" w:hAnsi="宋体"/>
          <w:bCs/>
          <w:color w:val="auto"/>
          <w:szCs w:val="21"/>
        </w:rPr>
      </w:pPr>
      <w:r>
        <w:rPr>
          <w:rFonts w:hint="eastAsia" w:ascii="宋体" w:hAnsi="宋体"/>
          <w:bCs/>
          <w:color w:val="auto"/>
          <w:szCs w:val="21"/>
        </w:rPr>
        <w:t>开标时间：</w:t>
      </w:r>
      <w:r>
        <w:rPr>
          <w:rFonts w:hint="eastAsia" w:ascii="宋体" w:hAnsi="宋体" w:cs="宋体"/>
          <w:color w:val="auto"/>
          <w:szCs w:val="21"/>
        </w:rPr>
        <w:t>2022年9月</w:t>
      </w:r>
      <w:r>
        <w:rPr>
          <w:rFonts w:hint="eastAsia" w:ascii="宋体" w:hAnsi="宋体" w:cs="宋体"/>
          <w:color w:val="auto"/>
          <w:szCs w:val="21"/>
          <w:lang w:val="en-US" w:eastAsia="zh-CN"/>
        </w:rPr>
        <w:t>30</w:t>
      </w:r>
      <w:r>
        <w:rPr>
          <w:rFonts w:hint="eastAsia" w:ascii="宋体" w:hAnsi="宋体" w:cs="宋体"/>
          <w:color w:val="auto"/>
          <w:szCs w:val="21"/>
        </w:rPr>
        <w:t>日</w:t>
      </w:r>
      <w:r>
        <w:rPr>
          <w:rFonts w:hint="eastAsia" w:ascii="宋体" w:hAnsi="宋体"/>
          <w:bCs/>
          <w:color w:val="auto"/>
          <w:szCs w:val="21"/>
          <w:u w:val="single"/>
          <w:lang w:val="en-US" w:eastAsia="zh-CN"/>
        </w:rPr>
        <w:t>09</w:t>
      </w:r>
      <w:r>
        <w:rPr>
          <w:rFonts w:hint="eastAsia" w:ascii="宋体" w:hAnsi="宋体"/>
          <w:bCs/>
          <w:color w:val="auto"/>
          <w:szCs w:val="21"/>
          <w:u w:val="single"/>
        </w:rPr>
        <w:t>点</w:t>
      </w:r>
      <w:r>
        <w:rPr>
          <w:rFonts w:hint="eastAsia" w:ascii="宋体" w:hAnsi="宋体"/>
          <w:bCs/>
          <w:color w:val="auto"/>
          <w:szCs w:val="21"/>
          <w:u w:val="single"/>
          <w:lang w:val="en-US" w:eastAsia="zh-CN"/>
        </w:rPr>
        <w:t>30</w:t>
      </w:r>
      <w:r>
        <w:rPr>
          <w:rFonts w:hint="eastAsia" w:ascii="宋体" w:hAnsi="宋体"/>
          <w:bCs/>
          <w:color w:val="auto"/>
          <w:szCs w:val="21"/>
          <w:u w:val="single"/>
        </w:rPr>
        <w:t>分（北京时间）</w:t>
      </w:r>
    </w:p>
    <w:p>
      <w:pPr>
        <w:spacing w:line="400" w:lineRule="exact"/>
        <w:ind w:firstLine="420" w:firstLineChars="200"/>
        <w:rPr>
          <w:rFonts w:ascii="宋体" w:hAnsi="宋体"/>
          <w:bCs/>
          <w:color w:val="000000"/>
          <w:szCs w:val="21"/>
        </w:rPr>
      </w:pPr>
      <w:r>
        <w:rPr>
          <w:rFonts w:hint="eastAsia" w:ascii="宋体" w:hAnsi="宋体"/>
          <w:bCs/>
          <w:color w:val="auto"/>
          <w:szCs w:val="21"/>
        </w:rPr>
        <w:t>开标地点（网址）：</w:t>
      </w:r>
      <w:bookmarkStart w:id="18" w:name="_Toc35393625"/>
      <w:bookmarkStart w:id="19" w:name="_Toc28359007"/>
      <w:bookmarkStart w:id="20" w:name="_Toc28359084"/>
      <w:bookmarkStart w:id="21" w:name="_Toc35393794"/>
      <w:r>
        <w:rPr>
          <w:rFonts w:hint="eastAsia" w:cs="Arial" w:asciiTheme="minorEastAsia" w:hAnsiTheme="minorEastAsia" w:eastAsiaTheme="minorEastAsia"/>
          <w:color w:val="auto"/>
          <w:szCs w:val="21"/>
        </w:rPr>
        <w:t>本项目通过</w:t>
      </w:r>
      <w:r>
        <w:rPr>
          <w:rFonts w:hint="eastAsia" w:asciiTheme="minorEastAsia" w:hAnsiTheme="minorEastAsia" w:eastAsiaTheme="minorEastAsia"/>
          <w:color w:val="auto"/>
          <w:u w:val="single"/>
        </w:rPr>
        <w:t>政采云平台（ht</w:t>
      </w:r>
      <w:r>
        <w:rPr>
          <w:rFonts w:hint="eastAsia" w:asciiTheme="minorEastAsia" w:hAnsiTheme="minorEastAsia" w:eastAsiaTheme="minorEastAsia"/>
          <w:u w:val="single"/>
        </w:rPr>
        <w:t>tps://www.zcygov.cn）</w:t>
      </w:r>
      <w:r>
        <w:rPr>
          <w:rFonts w:hint="eastAsia" w:asciiTheme="minorEastAsia" w:hAnsiTheme="minorEastAsia" w:eastAsiaTheme="minorEastAsia"/>
        </w:rPr>
        <w:t>实行线上开标。</w:t>
      </w:r>
    </w:p>
    <w:p>
      <w:pPr>
        <w:snapToGrid w:val="0"/>
        <w:spacing w:line="400" w:lineRule="exact"/>
        <w:rPr>
          <w:rFonts w:ascii="宋体" w:hAnsi="宋体" w:cs="Arial"/>
          <w:szCs w:val="21"/>
        </w:rPr>
      </w:pPr>
      <w:r>
        <w:rPr>
          <w:rFonts w:hint="eastAsia" w:ascii="宋体" w:hAnsi="宋体" w:cs="Arial"/>
          <w:szCs w:val="21"/>
        </w:rPr>
        <w:t>五、公告期限</w:t>
      </w:r>
      <w:bookmarkEnd w:id="18"/>
      <w:bookmarkEnd w:id="19"/>
      <w:bookmarkEnd w:id="20"/>
      <w:bookmarkEnd w:id="21"/>
    </w:p>
    <w:p>
      <w:pPr>
        <w:spacing w:line="400" w:lineRule="exact"/>
        <w:ind w:firstLine="420" w:firstLineChars="200"/>
        <w:rPr>
          <w:rFonts w:ascii="宋体" w:hAnsi="宋体" w:cs="宋体"/>
          <w:kern w:val="0"/>
          <w:szCs w:val="21"/>
        </w:rPr>
      </w:pPr>
      <w:r>
        <w:rPr>
          <w:rFonts w:hint="eastAsia" w:ascii="宋体" w:hAnsi="宋体" w:cs="宋体"/>
          <w:kern w:val="0"/>
          <w:szCs w:val="21"/>
        </w:rPr>
        <w:t>自本公告发布之日起5个工作日。</w:t>
      </w:r>
    </w:p>
    <w:p>
      <w:pPr>
        <w:snapToGrid w:val="0"/>
        <w:spacing w:line="400" w:lineRule="exact"/>
        <w:rPr>
          <w:rFonts w:ascii="宋体" w:hAnsi="宋体" w:cs="Arial"/>
          <w:szCs w:val="21"/>
        </w:rPr>
      </w:pPr>
      <w:bookmarkStart w:id="22" w:name="_Toc35393626"/>
      <w:bookmarkStart w:id="23" w:name="_Toc35393795"/>
      <w:r>
        <w:rPr>
          <w:rFonts w:hint="eastAsia" w:ascii="宋体" w:hAnsi="宋体" w:cs="Arial"/>
          <w:szCs w:val="21"/>
        </w:rPr>
        <w:t>六、其他补充事宜</w:t>
      </w:r>
      <w:bookmarkEnd w:id="22"/>
      <w:bookmarkEnd w:id="23"/>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1、</w:t>
      </w:r>
      <w:r>
        <w:rPr>
          <w:rFonts w:cs="Arial" w:asciiTheme="minorEastAsia" w:hAnsiTheme="minorEastAsia" w:eastAsiaTheme="minorEastAsia"/>
          <w:szCs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2.其他事项：</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2.1</w:t>
      </w:r>
      <w:r>
        <w:rPr>
          <w:rFonts w:hint="eastAsia" w:cs="Arial" w:asciiTheme="minorEastAsia" w:hAnsiTheme="minorEastAsia" w:eastAsiaTheme="minorEastAsia"/>
          <w:szCs w:val="21"/>
        </w:rPr>
        <w:t>为依法获取本项目招标文件及投标响应，潜在投标人应当按照《浙江省政府采购供应商注册及诚信管理暂行办法》的规定在“浙江政府采购网(</w:t>
      </w:r>
      <w:r>
        <w:rPr>
          <w:rFonts w:cs="Arial" w:asciiTheme="minorEastAsia" w:hAnsiTheme="minorEastAsia" w:eastAsiaTheme="minorEastAsia"/>
          <w:szCs w:val="21"/>
        </w:rPr>
        <w:t>http://zfcg.czt.zj.gov.cn/</w:t>
      </w:r>
      <w:r>
        <w:rPr>
          <w:rFonts w:hint="eastAsia" w:cs="Arial" w:asciiTheme="minorEastAsia" w:hAnsiTheme="minorEastAsia" w:eastAsiaTheme="minorEastAsia"/>
          <w:szCs w:val="21"/>
        </w:rPr>
        <w:t>)”政采云平台注册登记。中标人必须成为注册供应商，未注册的投标人，请注意注册所需时间，由此产生的后果自行承担。</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2.2</w:t>
      </w:r>
      <w:r>
        <w:rPr>
          <w:rFonts w:hint="eastAsia" w:cs="Arial" w:asciiTheme="minorEastAsia" w:hAnsiTheme="minorEastAsia" w:eastAsiaTheme="minorEastAsia"/>
          <w:szCs w:val="21"/>
        </w:rPr>
        <w:t>本项目依据《浙江省政府采购项目电子交易管理暂行办法》，通过政采云平台（</w:t>
      </w:r>
      <w:r>
        <w:rPr>
          <w:rFonts w:hint="eastAsia" w:ascii="宋体" w:hAnsi="宋体"/>
          <w:u w:val="single"/>
        </w:rPr>
        <w:t>https://www.zcygov.cn</w:t>
      </w:r>
      <w:r>
        <w:rPr>
          <w:rFonts w:hint="eastAsia" w:cs="Arial" w:asciiTheme="minorEastAsia" w:hAnsiTheme="minorEastAsia" w:eastAsiaTheme="minorEastAsia"/>
          <w:szCs w:val="21"/>
        </w:rPr>
        <w:t>）实行电子交易（在线投标响应）。潜在投标人在参与本项目投标前应当完成“政府采购云平台”的账号注册、身份认证（CA数字证书申领）、“政采云电子交易客户端”下载安装，相关操作指南参考如下：</w:t>
      </w:r>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1）供应商注册（入驻）：https://middle.zcygov.cn/v-settle-front/registry；</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w:t>
      </w:r>
      <w:r>
        <w:rPr>
          <w:rFonts w:hint="eastAsia" w:cs="Arial" w:asciiTheme="minorEastAsia" w:hAnsiTheme="minorEastAsia" w:eastAsiaTheme="minorEastAsia"/>
          <w:szCs w:val="21"/>
        </w:rPr>
        <w:t>）浙江省“电子交易/不见面开评标”学习专题（网址https://edu.zcygov.cn/luban/e-biding）</w:t>
      </w:r>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3）“政府采购云平台”服务热线电话：400-881-7190。</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2.3</w:t>
      </w:r>
      <w:r>
        <w:rPr>
          <w:rFonts w:hint="eastAsia" w:cs="Arial" w:asciiTheme="minorEastAsia" w:hAnsiTheme="minorEastAsia" w:eastAsiaTheme="minorEastAsia"/>
          <w:szCs w:val="21"/>
        </w:rPr>
        <w:t>对符合财政扶持政策的中小企业（小型、微型）、残疾人福利性单位给予价格优惠，执行扶持不发达地区和少数民族地区政府采购政策。</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2.4</w:t>
      </w:r>
      <w:r>
        <w:rPr>
          <w:rFonts w:hint="eastAsia" w:cs="Arial" w:asciiTheme="minorEastAsia" w:hAnsiTheme="minorEastAsia" w:eastAsiaTheme="minorEastAsia"/>
          <w:szCs w:val="21"/>
        </w:rPr>
        <w:t>电子投标注意事项</w:t>
      </w:r>
    </w:p>
    <w:p>
      <w:pPr>
        <w:snapToGrid w:val="0"/>
        <w:spacing w:line="400" w:lineRule="exact"/>
        <w:ind w:firstLine="411" w:firstLineChars="196"/>
        <w:rPr>
          <w:rFonts w:cs="宋体" w:asciiTheme="minorEastAsia" w:hAnsiTheme="minorEastAsia" w:eastAsiaTheme="minorEastAsia"/>
          <w:szCs w:val="21"/>
        </w:rPr>
      </w:pPr>
      <w:r>
        <w:rPr>
          <w:rFonts w:hint="eastAsia" w:cs="Arial" w:asciiTheme="minorEastAsia" w:hAnsiTheme="minorEastAsia" w:eastAsiaTheme="minorEastAsia"/>
          <w:szCs w:val="21"/>
        </w:rPr>
        <w:t>1）投标人应于提交投标文件截止时间前将电子加密投标文件上传到政府采购云平台（</w:t>
      </w:r>
      <w:r>
        <w:rPr>
          <w:rFonts w:hint="eastAsia" w:ascii="宋体" w:hAnsi="宋体"/>
          <w:u w:val="single"/>
        </w:rPr>
        <w:t>https://www.zcygov.cn</w:t>
      </w:r>
      <w:r>
        <w:rPr>
          <w:rFonts w:hint="eastAsia" w:cs="Arial" w:asciiTheme="minorEastAsia" w:hAnsiTheme="minorEastAsia" w:eastAsiaTheme="minorEastAsia"/>
          <w:szCs w:val="21"/>
        </w:rPr>
        <w:t>）</w:t>
      </w:r>
      <w:r>
        <w:rPr>
          <w:rFonts w:hint="eastAsia" w:cs="宋体" w:asciiTheme="minorEastAsia" w:hAnsiTheme="minorEastAsia" w:eastAsiaTheme="minorEastAsia"/>
          <w:szCs w:val="21"/>
        </w:rPr>
        <w:t>，未按规定上传电子加密投标文件，视为投标人放弃投标。</w:t>
      </w:r>
    </w:p>
    <w:p>
      <w:pPr>
        <w:snapToGrid w:val="0"/>
        <w:spacing w:line="400" w:lineRule="exact"/>
        <w:ind w:firstLine="411" w:firstLineChars="196"/>
        <w:rPr>
          <w:rFonts w:cs="宋体" w:asciiTheme="minorEastAsia" w:hAnsiTheme="minorEastAsia" w:eastAsiaTheme="minorEastAsia"/>
          <w:szCs w:val="21"/>
        </w:rPr>
      </w:pPr>
      <w:r>
        <w:rPr>
          <w:rFonts w:hint="eastAsia" w:cs="宋体" w:asciiTheme="minorEastAsia" w:hAnsiTheme="minorEastAsia" w:eastAsiaTheme="minorEastAsia"/>
          <w:szCs w:val="21"/>
        </w:rPr>
        <w:t>2）投标人在“政府采购云平台”完成“电子加密投标文件”的上传提交之外，还可以在投标截止时间前提交以U盘为介质存储的备份投标文件，备份投标文件递交可采用现场或邮寄递交的方式，但此项并非强制要求。</w:t>
      </w:r>
    </w:p>
    <w:p>
      <w:pPr>
        <w:snapToGrid w:val="0"/>
        <w:spacing w:line="400" w:lineRule="exact"/>
        <w:ind w:firstLine="411" w:firstLineChars="196"/>
        <w:rPr>
          <w:rFonts w:cs="宋体" w:asciiTheme="minorEastAsia" w:hAnsiTheme="minorEastAsia" w:eastAsiaTheme="minorEastAsia"/>
          <w:szCs w:val="21"/>
        </w:rPr>
      </w:pPr>
      <w:r>
        <w:rPr>
          <w:rFonts w:hint="eastAsia" w:cs="宋体" w:asciiTheme="minorEastAsia" w:hAnsiTheme="minorEastAsia" w:eastAsiaTheme="minorEastAsia"/>
          <w:szCs w:val="21"/>
        </w:rPr>
        <w:t>3）开标后，在解密指令发出30分钟内投标人应当登录政采云平台，用“项目采购-开标评标”功能解密电子加密投标文件。若投标人在规定时间内无法解密或解密失败且未提供备份投标文件的，视为投标人放弃投标；如已按照招标文件规定提交备份投标文件的，则采购代理机构按照“政采云平台”的操作规范处理，若使用备份投标文件仍然无法成功的，</w:t>
      </w:r>
      <w:r>
        <w:rPr>
          <w:rFonts w:hint="eastAsia" w:asciiTheme="minorEastAsia" w:hAnsiTheme="minorEastAsia" w:eastAsiaTheme="minorEastAsia"/>
          <w:b/>
          <w:szCs w:val="21"/>
        </w:rPr>
        <w:t>视为投标人放弃投标</w:t>
      </w:r>
      <w:r>
        <w:rPr>
          <w:rFonts w:hint="eastAsia" w:asciiTheme="minorEastAsia" w:hAnsiTheme="minorEastAsia" w:eastAsiaTheme="minorEastAsia"/>
          <w:szCs w:val="21"/>
        </w:rPr>
        <w:t>，因此产生的后果投标人自行承担</w:t>
      </w:r>
      <w:r>
        <w:rPr>
          <w:rFonts w:hint="eastAsia" w:cs="宋体" w:asciiTheme="minorEastAsia" w:hAnsiTheme="minorEastAsia" w:eastAsiaTheme="minorEastAsia"/>
          <w:szCs w:val="21"/>
        </w:rPr>
        <w:t>。</w:t>
      </w:r>
    </w:p>
    <w:p>
      <w:pPr>
        <w:snapToGrid w:val="0"/>
        <w:spacing w:line="400" w:lineRule="exact"/>
        <w:ind w:firstLine="411" w:firstLineChars="196"/>
        <w:rPr>
          <w:rFonts w:cs="宋体" w:asciiTheme="minorEastAsia" w:hAnsiTheme="minorEastAsia" w:eastAsiaTheme="minorEastAsia"/>
          <w:szCs w:val="21"/>
        </w:rPr>
      </w:pPr>
      <w:r>
        <w:rPr>
          <w:rFonts w:hint="eastAsia" w:cs="宋体" w:asciiTheme="minorEastAsia" w:hAnsiTheme="minorEastAsia" w:eastAsiaTheme="minorEastAsia"/>
          <w:szCs w:val="21"/>
        </w:rPr>
        <w:t>电子加密投标文件按时解密的，备份投标文件自动失效。</w:t>
      </w:r>
    </w:p>
    <w:p>
      <w:pPr>
        <w:snapToGrid w:val="0"/>
        <w:spacing w:line="400" w:lineRule="exact"/>
        <w:ind w:firstLine="413"/>
        <w:rPr>
          <w:rFonts w:ascii="宋体" w:hAnsi="宋体" w:cs="Arial"/>
          <w:color w:val="FF0000"/>
          <w:szCs w:val="21"/>
        </w:rPr>
      </w:pPr>
      <w:r>
        <w:rPr>
          <w:rFonts w:cs="Arial" w:asciiTheme="minorEastAsia" w:hAnsiTheme="minorEastAsia" w:eastAsiaTheme="minorEastAsia"/>
          <w:szCs w:val="21"/>
        </w:rPr>
        <w:t>2.5</w:t>
      </w:r>
      <w:r>
        <w:rPr>
          <w:rFonts w:hint="eastAsia" w:cs="Arial" w:asciiTheme="minorEastAsia" w:hAnsiTheme="minorEastAsia" w:eastAsiaTheme="minorEastAsia"/>
          <w:szCs w:val="21"/>
        </w:rPr>
        <w:t>本次政府采购活动有关信息在浙江政府采购网（zfcg.czt.zj.gov.cn）、宁波政府采购网(</w:t>
      </w:r>
      <w:r>
        <w:fldChar w:fldCharType="begin"/>
      </w:r>
      <w:r>
        <w:instrText xml:space="preserve"> HYPERLINK "http://www.nbzfcg.cn" </w:instrText>
      </w:r>
      <w:r>
        <w:fldChar w:fldCharType="separate"/>
      </w:r>
      <w:r>
        <w:rPr>
          <w:rFonts w:hint="eastAsia"/>
        </w:rPr>
        <w:t>www.nbzfcg.cn</w:t>
      </w:r>
      <w:r>
        <w:rPr>
          <w:rFonts w:hint="eastAsia"/>
        </w:rPr>
        <w:fldChar w:fldCharType="end"/>
      </w:r>
      <w:r>
        <w:rPr>
          <w:rFonts w:hint="eastAsia" w:cs="Arial" w:asciiTheme="minorEastAsia" w:hAnsiTheme="minorEastAsia" w:eastAsiaTheme="minorEastAsia"/>
          <w:szCs w:val="21"/>
        </w:rPr>
        <w:t>)网站上公布，发布信息视同送达所有潜在供应商，参加投标的供应商有义务在采购活动期间浏览公告发布网站。</w:t>
      </w:r>
    </w:p>
    <w:p>
      <w:pPr>
        <w:snapToGrid w:val="0"/>
        <w:spacing w:line="400" w:lineRule="exact"/>
        <w:ind w:firstLine="420"/>
        <w:rPr>
          <w:rFonts w:ascii="宋体" w:hAnsi="宋体" w:cs="Arial"/>
          <w:color w:val="FF0000"/>
          <w:szCs w:val="21"/>
        </w:rPr>
      </w:pPr>
    </w:p>
    <w:p>
      <w:pPr>
        <w:snapToGrid w:val="0"/>
        <w:spacing w:line="400" w:lineRule="exact"/>
        <w:rPr>
          <w:rFonts w:ascii="宋体" w:hAnsi="宋体" w:cs="Arial"/>
          <w:szCs w:val="21"/>
        </w:rPr>
      </w:pPr>
      <w:bookmarkStart w:id="24" w:name="_Toc35393627"/>
      <w:bookmarkStart w:id="25" w:name="_Toc28359008"/>
      <w:bookmarkStart w:id="26" w:name="_Toc35393796"/>
      <w:bookmarkStart w:id="27" w:name="_Toc28359085"/>
      <w:r>
        <w:rPr>
          <w:rFonts w:hint="eastAsia" w:ascii="宋体" w:hAnsi="宋体" w:cs="Arial"/>
          <w:szCs w:val="21"/>
        </w:rPr>
        <w:t>七、对本次招标提出询问，请按</w:t>
      </w:r>
      <w:r>
        <w:rPr>
          <w:rFonts w:ascii="宋体" w:hAnsi="宋体" w:cs="Arial"/>
          <w:szCs w:val="21"/>
        </w:rPr>
        <w:t>以下方式</w:t>
      </w:r>
      <w:r>
        <w:rPr>
          <w:rFonts w:hint="eastAsia" w:ascii="宋体" w:hAnsi="宋体" w:cs="Arial"/>
          <w:szCs w:val="21"/>
        </w:rPr>
        <w:t>联系。</w:t>
      </w:r>
      <w:bookmarkEnd w:id="24"/>
      <w:bookmarkEnd w:id="25"/>
      <w:bookmarkEnd w:id="26"/>
      <w:bookmarkEnd w:id="27"/>
    </w:p>
    <w:p>
      <w:pPr>
        <w:snapToGrid w:val="0"/>
        <w:spacing w:line="400" w:lineRule="exact"/>
        <w:ind w:firstLine="411" w:firstLineChars="196"/>
        <w:rPr>
          <w:rFonts w:ascii="宋体" w:hAnsi="宋体"/>
          <w:szCs w:val="21"/>
        </w:rPr>
      </w:pPr>
      <w:r>
        <w:rPr>
          <w:rFonts w:hint="eastAsia" w:ascii="宋体" w:hAnsi="宋体" w:cs="宋体"/>
          <w:szCs w:val="21"/>
        </w:rPr>
        <w:t>1.采购人信息</w:t>
      </w:r>
    </w:p>
    <w:p>
      <w:pPr>
        <w:snapToGrid w:val="0"/>
        <w:spacing w:line="400" w:lineRule="exact"/>
        <w:ind w:firstLine="411" w:firstLineChars="196"/>
        <w:rPr>
          <w:rFonts w:ascii="宋体" w:hAnsi="宋体"/>
          <w:szCs w:val="21"/>
        </w:rPr>
      </w:pPr>
      <w:r>
        <w:rPr>
          <w:rFonts w:hint="eastAsia" w:ascii="宋体" w:hAnsi="宋体"/>
          <w:szCs w:val="21"/>
        </w:rPr>
        <w:t>名称：宁波市生态环境局</w:t>
      </w:r>
    </w:p>
    <w:p>
      <w:pPr>
        <w:snapToGrid w:val="0"/>
        <w:spacing w:line="400" w:lineRule="exact"/>
        <w:ind w:firstLine="411" w:firstLineChars="196"/>
        <w:rPr>
          <w:rFonts w:ascii="宋体" w:hAnsi="宋体"/>
          <w:szCs w:val="21"/>
        </w:rPr>
      </w:pPr>
      <w:r>
        <w:rPr>
          <w:rFonts w:hint="eastAsia" w:ascii="宋体" w:hAnsi="宋体"/>
          <w:szCs w:val="21"/>
        </w:rPr>
        <w:t>地址：宁波市海曙区柳汀街545号</w:t>
      </w:r>
    </w:p>
    <w:p>
      <w:pPr>
        <w:snapToGrid w:val="0"/>
        <w:spacing w:line="400" w:lineRule="exact"/>
        <w:ind w:firstLine="411" w:firstLineChars="196"/>
        <w:rPr>
          <w:rFonts w:ascii="宋体" w:hAnsi="宋体"/>
          <w:szCs w:val="21"/>
        </w:rPr>
      </w:pPr>
      <w:r>
        <w:rPr>
          <w:rFonts w:hint="eastAsia" w:ascii="宋体" w:hAnsi="宋体"/>
          <w:szCs w:val="21"/>
        </w:rPr>
        <w:t>联系人：</w:t>
      </w:r>
      <w:r>
        <w:rPr>
          <w:rFonts w:hint="eastAsia" w:ascii="宋体" w:hAnsi="宋体"/>
          <w:szCs w:val="21"/>
          <w:lang w:eastAsia="zh-CN"/>
        </w:rPr>
        <w:t>章</w:t>
      </w:r>
      <w:r>
        <w:rPr>
          <w:rFonts w:hint="eastAsia" w:ascii="宋体" w:hAnsi="宋体"/>
          <w:szCs w:val="21"/>
        </w:rPr>
        <w:t>老师</w:t>
      </w:r>
    </w:p>
    <w:p>
      <w:pPr>
        <w:snapToGrid w:val="0"/>
        <w:spacing w:line="400" w:lineRule="exact"/>
        <w:ind w:firstLine="411" w:firstLineChars="196"/>
        <w:rPr>
          <w:rFonts w:hint="default" w:ascii="宋体" w:hAnsi="宋体" w:eastAsia="宋体"/>
          <w:szCs w:val="21"/>
          <w:lang w:val="en-US" w:eastAsia="zh-CN"/>
        </w:rPr>
      </w:pPr>
      <w:r>
        <w:rPr>
          <w:rFonts w:hint="eastAsia" w:ascii="宋体" w:hAnsi="宋体"/>
          <w:szCs w:val="21"/>
        </w:rPr>
        <w:t>联系方式：</w:t>
      </w:r>
      <w:bookmarkStart w:id="28" w:name="_Toc28359086"/>
      <w:bookmarkStart w:id="29" w:name="_Toc28359009"/>
      <w:r>
        <w:rPr>
          <w:rFonts w:hint="eastAsia" w:ascii="宋体" w:hAnsi="宋体"/>
          <w:szCs w:val="21"/>
        </w:rPr>
        <w:t>0574-8918</w:t>
      </w:r>
      <w:r>
        <w:rPr>
          <w:rFonts w:hint="eastAsia" w:ascii="宋体" w:hAnsi="宋体"/>
          <w:szCs w:val="21"/>
          <w:lang w:val="en-US" w:eastAsia="zh-CN"/>
        </w:rPr>
        <w:t>3483</w:t>
      </w:r>
    </w:p>
    <w:p>
      <w:pPr>
        <w:snapToGrid w:val="0"/>
        <w:spacing w:line="400" w:lineRule="exact"/>
        <w:ind w:firstLine="411" w:firstLineChars="196"/>
        <w:rPr>
          <w:rFonts w:ascii="宋体" w:hAnsi="宋体"/>
          <w:szCs w:val="21"/>
        </w:rPr>
      </w:pPr>
      <w:r>
        <w:rPr>
          <w:rFonts w:hint="eastAsia" w:ascii="宋体" w:hAnsi="宋体"/>
          <w:szCs w:val="21"/>
        </w:rPr>
        <w:t>质疑联系人：</w:t>
      </w:r>
      <w:r>
        <w:rPr>
          <w:rFonts w:hint="eastAsia" w:ascii="宋体" w:hAnsi="宋体"/>
          <w:szCs w:val="21"/>
          <w:lang w:val="en-US" w:eastAsia="zh-CN"/>
        </w:rPr>
        <w:t>王</w:t>
      </w:r>
      <w:r>
        <w:rPr>
          <w:rFonts w:hint="eastAsia" w:ascii="宋体" w:hAnsi="宋体"/>
          <w:szCs w:val="21"/>
        </w:rPr>
        <w:t>老师</w:t>
      </w:r>
    </w:p>
    <w:p>
      <w:pPr>
        <w:snapToGrid w:val="0"/>
        <w:spacing w:line="400" w:lineRule="exact"/>
        <w:ind w:firstLine="411" w:firstLineChars="196"/>
        <w:rPr>
          <w:rFonts w:ascii="宋体" w:hAnsi="宋体"/>
          <w:szCs w:val="21"/>
        </w:rPr>
      </w:pPr>
      <w:r>
        <w:rPr>
          <w:rFonts w:hint="eastAsia" w:ascii="宋体" w:hAnsi="宋体"/>
          <w:szCs w:val="21"/>
        </w:rPr>
        <w:t>质疑联系人电话：0574-</w:t>
      </w:r>
      <w:r>
        <w:rPr>
          <w:rFonts w:hint="eastAsia" w:cs="宋体" w:asciiTheme="minorEastAsia" w:hAnsiTheme="minorEastAsia" w:eastAsiaTheme="minorEastAsia"/>
          <w:color w:val="auto"/>
          <w:szCs w:val="21"/>
        </w:rPr>
        <w:t>87259944</w:t>
      </w:r>
    </w:p>
    <w:p>
      <w:pPr>
        <w:snapToGrid w:val="0"/>
        <w:spacing w:line="400" w:lineRule="exact"/>
        <w:ind w:firstLine="411" w:firstLineChars="196"/>
        <w:rPr>
          <w:rFonts w:ascii="宋体" w:hAnsi="宋体"/>
          <w:szCs w:val="21"/>
        </w:rPr>
      </w:pPr>
      <w:r>
        <w:rPr>
          <w:rFonts w:hint="eastAsia" w:ascii="宋体" w:hAnsi="宋体" w:cs="宋体"/>
          <w:szCs w:val="21"/>
        </w:rPr>
        <w:t>2.采购代理机构信息</w:t>
      </w:r>
      <w:bookmarkEnd w:id="28"/>
      <w:bookmarkEnd w:id="29"/>
    </w:p>
    <w:p>
      <w:pPr>
        <w:snapToGrid w:val="0"/>
        <w:spacing w:line="400" w:lineRule="exact"/>
        <w:ind w:firstLine="411" w:firstLineChars="196"/>
        <w:rPr>
          <w:rFonts w:ascii="宋体" w:hAnsi="宋体"/>
          <w:szCs w:val="21"/>
        </w:rPr>
      </w:pPr>
      <w:r>
        <w:rPr>
          <w:rFonts w:hint="eastAsia" w:ascii="宋体" w:hAnsi="宋体"/>
          <w:szCs w:val="21"/>
        </w:rPr>
        <w:t>名称：宁波名诚招标代理有限公司</w:t>
      </w:r>
    </w:p>
    <w:p>
      <w:pPr>
        <w:snapToGrid w:val="0"/>
        <w:spacing w:line="400" w:lineRule="exact"/>
        <w:ind w:firstLine="411" w:firstLineChars="196"/>
        <w:rPr>
          <w:rFonts w:ascii="宋体" w:hAnsi="宋体"/>
          <w:szCs w:val="21"/>
        </w:rPr>
      </w:pPr>
      <w:bookmarkStart w:id="30" w:name="_Toc28359010"/>
      <w:bookmarkStart w:id="31" w:name="_Toc28359087"/>
      <w:r>
        <w:rPr>
          <w:rFonts w:hint="eastAsia" w:ascii="宋体" w:hAnsi="宋体"/>
          <w:szCs w:val="21"/>
        </w:rPr>
        <w:t>地址：宁波市海曙区青石巷5号永煌大厦9楼</w:t>
      </w:r>
    </w:p>
    <w:p>
      <w:pPr>
        <w:snapToGrid w:val="0"/>
        <w:spacing w:line="400" w:lineRule="exact"/>
        <w:ind w:firstLine="411" w:firstLineChars="196"/>
        <w:rPr>
          <w:szCs w:val="21"/>
          <w:shd w:val="clear" w:color="auto" w:fill="FFFFFF"/>
        </w:rPr>
      </w:pPr>
      <w:r>
        <w:rPr>
          <w:szCs w:val="21"/>
          <w:shd w:val="clear" w:color="auto" w:fill="FFFFFF"/>
        </w:rPr>
        <w:t>项目联系人（询问）：万修文、</w:t>
      </w:r>
      <w:r>
        <w:rPr>
          <w:rFonts w:hint="eastAsia"/>
          <w:szCs w:val="21"/>
          <w:shd w:val="clear" w:color="auto" w:fill="FFFFFF"/>
        </w:rPr>
        <w:t>王裕挺</w:t>
      </w:r>
    </w:p>
    <w:p>
      <w:pPr>
        <w:snapToGrid w:val="0"/>
        <w:spacing w:line="400" w:lineRule="exact"/>
        <w:ind w:firstLine="411" w:firstLineChars="196"/>
        <w:rPr>
          <w:rFonts w:ascii="宋体" w:hAnsi="宋体" w:cs="Arial"/>
          <w:szCs w:val="21"/>
        </w:rPr>
      </w:pPr>
      <w:r>
        <w:rPr>
          <w:szCs w:val="21"/>
          <w:shd w:val="clear" w:color="auto" w:fill="FFFFFF"/>
        </w:rPr>
        <w:t>项目联系方式（询问）：</w:t>
      </w:r>
      <w:r>
        <w:rPr>
          <w:rFonts w:ascii="宋体" w:hAnsi="宋体" w:cs="Arial"/>
          <w:szCs w:val="21"/>
        </w:rPr>
        <w:t>0574-</w:t>
      </w:r>
      <w:r>
        <w:rPr>
          <w:rFonts w:hint="eastAsia" w:ascii="宋体" w:hAnsi="宋体" w:cs="Arial"/>
          <w:szCs w:val="21"/>
        </w:rPr>
        <w:t>83860503</w:t>
      </w:r>
    </w:p>
    <w:p>
      <w:pPr>
        <w:snapToGrid w:val="0"/>
        <w:spacing w:line="400" w:lineRule="exact"/>
        <w:ind w:firstLine="411" w:firstLineChars="196"/>
        <w:rPr>
          <w:rFonts w:ascii="宋体" w:hAnsi="宋体"/>
          <w:bCs/>
          <w:szCs w:val="21"/>
        </w:rPr>
      </w:pPr>
      <w:r>
        <w:rPr>
          <w:rFonts w:hint="eastAsia" w:ascii="宋体" w:hAnsi="宋体"/>
          <w:bCs/>
          <w:szCs w:val="21"/>
        </w:rPr>
        <w:t>质疑联系人：方芳</w:t>
      </w:r>
    </w:p>
    <w:p>
      <w:pPr>
        <w:snapToGrid w:val="0"/>
        <w:spacing w:line="400" w:lineRule="exact"/>
        <w:ind w:firstLine="411" w:firstLineChars="196"/>
        <w:rPr>
          <w:rFonts w:ascii="宋体" w:hAnsi="宋体"/>
          <w:bCs/>
          <w:szCs w:val="21"/>
        </w:rPr>
      </w:pPr>
      <w:r>
        <w:rPr>
          <w:rFonts w:hint="eastAsia" w:ascii="宋体" w:hAnsi="宋体"/>
          <w:bCs/>
          <w:szCs w:val="21"/>
        </w:rPr>
        <w:t>质疑联系人电话：0574-87101271</w:t>
      </w:r>
    </w:p>
    <w:p>
      <w:pPr>
        <w:snapToGrid w:val="0"/>
        <w:spacing w:line="400" w:lineRule="exact"/>
        <w:ind w:firstLine="411" w:firstLineChars="196"/>
        <w:rPr>
          <w:rFonts w:ascii="宋体" w:hAnsi="宋体" w:cs="宋体"/>
          <w:szCs w:val="21"/>
        </w:rPr>
      </w:pPr>
      <w:r>
        <w:rPr>
          <w:rFonts w:hint="eastAsia" w:ascii="宋体" w:hAnsi="宋体" w:cs="宋体"/>
          <w:szCs w:val="21"/>
        </w:rPr>
        <w:t>3.</w:t>
      </w:r>
      <w:bookmarkEnd w:id="0"/>
      <w:bookmarkEnd w:id="30"/>
      <w:bookmarkEnd w:id="31"/>
      <w:r>
        <w:rPr>
          <w:rFonts w:hint="eastAsia" w:ascii="宋体" w:hAnsi="宋体" w:cs="宋体"/>
          <w:szCs w:val="21"/>
        </w:rPr>
        <w:t xml:space="preserve"> 同级政府采购监督管理部门</w:t>
      </w:r>
    </w:p>
    <w:p>
      <w:pPr>
        <w:snapToGrid w:val="0"/>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 xml:space="preserve">名称：宁波市财政局政府采购办公室 </w:t>
      </w:r>
    </w:p>
    <w:p>
      <w:pPr>
        <w:snapToGrid w:val="0"/>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地址：宁波市海曙区中山西路19号</w:t>
      </w:r>
    </w:p>
    <w:p>
      <w:pPr>
        <w:snapToGrid w:val="0"/>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传真：/</w:t>
      </w:r>
    </w:p>
    <w:p>
      <w:pPr>
        <w:snapToGrid w:val="0"/>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联系人：徐老师</w:t>
      </w:r>
    </w:p>
    <w:p>
      <w:pPr>
        <w:snapToGrid w:val="0"/>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监督投诉电话：0574-89388441</w:t>
      </w:r>
    </w:p>
    <w:p>
      <w:pPr>
        <w:spacing w:line="400" w:lineRule="exact"/>
        <w:ind w:firstLine="315" w:firstLineChars="150"/>
        <w:rPr>
          <w:szCs w:val="21"/>
          <w:shd w:val="clear" w:color="auto" w:fill="FFFFFF"/>
        </w:rPr>
      </w:pPr>
      <w:r>
        <w:rPr>
          <w:szCs w:val="21"/>
          <w:shd w:val="clear" w:color="auto" w:fill="FFFFFF"/>
        </w:rPr>
        <w:t xml:space="preserve">若对项目采购电子交易系统操作有疑问，可登录政采云（https://www.zcygov.cn/），点击右侧咨询小采，获取采小蜜智能服务管家帮助，或拨打政采云服务热线400-881-7190获取热线服务帮助。 </w:t>
      </w:r>
    </w:p>
    <w:p>
      <w:pPr>
        <w:snapToGrid w:val="0"/>
        <w:spacing w:line="400" w:lineRule="exact"/>
        <w:ind w:firstLine="411" w:firstLineChars="196"/>
        <w:rPr>
          <w:rFonts w:ascii="宋体" w:hAnsi="宋体"/>
          <w:color w:val="FF0000"/>
          <w:szCs w:val="21"/>
          <w:u w:val="single"/>
        </w:rPr>
      </w:pPr>
      <w:r>
        <w:rPr>
          <w:szCs w:val="21"/>
          <w:shd w:val="clear" w:color="auto" w:fill="FFFFFF"/>
        </w:rPr>
        <w:t>CA问题联系电话（人工）：汇信CA 400-888-4636；天谷CA 400-087-8198。</w:t>
      </w:r>
    </w:p>
    <w:p>
      <w:pPr>
        <w:snapToGrid w:val="0"/>
        <w:spacing w:line="400" w:lineRule="exact"/>
        <w:ind w:firstLine="411" w:firstLineChars="196"/>
        <w:rPr>
          <w:rFonts w:ascii="宋体" w:hAnsi="宋体"/>
          <w:color w:val="FF0000"/>
          <w:szCs w:val="21"/>
          <w:u w:val="single"/>
        </w:rPr>
      </w:pPr>
    </w:p>
    <w:p>
      <w:pPr>
        <w:pStyle w:val="40"/>
        <w:spacing w:line="360" w:lineRule="auto"/>
        <w:rPr>
          <w:rFonts w:ascii="宋体" w:hAnsi="宋体" w:eastAsia="宋体"/>
          <w:sz w:val="32"/>
        </w:rPr>
      </w:pPr>
      <w:r>
        <w:rPr>
          <w:rFonts w:ascii="宋体" w:hAnsi="宋体" w:eastAsia="宋体"/>
        </w:rPr>
        <w:br w:type="page"/>
      </w:r>
      <w:bookmarkStart w:id="32" w:name="_Toc34844742"/>
      <w:r>
        <w:rPr>
          <w:rFonts w:hint="eastAsia" w:ascii="宋体" w:hAnsi="宋体" w:eastAsia="宋体"/>
          <w:sz w:val="24"/>
        </w:rPr>
        <w:t>第二章  采购需求</w:t>
      </w:r>
      <w:bookmarkEnd w:id="32"/>
    </w:p>
    <w:p>
      <w:pPr>
        <w:spacing w:line="360" w:lineRule="auto"/>
        <w:ind w:firstLine="422" w:firstLineChars="200"/>
        <w:rPr>
          <w:rFonts w:ascii="宋体" w:hAnsi="宋体"/>
          <w:b/>
          <w:kern w:val="1"/>
          <w:szCs w:val="21"/>
        </w:rPr>
      </w:pPr>
      <w:r>
        <w:rPr>
          <w:rFonts w:hint="eastAsia" w:ascii="宋体" w:hAnsi="宋体"/>
          <w:b/>
          <w:kern w:val="1"/>
          <w:szCs w:val="21"/>
        </w:rPr>
        <w:t>一、技术需求</w:t>
      </w:r>
    </w:p>
    <w:p>
      <w:pPr>
        <w:pStyle w:val="283"/>
        <w:tabs>
          <w:tab w:val="left" w:pos="0"/>
          <w:tab w:val="left" w:pos="360"/>
          <w:tab w:val="clear" w:pos="860"/>
        </w:tabs>
        <w:spacing w:before="120" w:after="120"/>
        <w:rPr>
          <w:rFonts w:ascii="宋体" w:hAnsi="宋体" w:eastAsia="宋体" w:cs="宋体"/>
          <w:sz w:val="21"/>
          <w:szCs w:val="21"/>
        </w:rPr>
      </w:pPr>
      <w:r>
        <w:rPr>
          <w:rFonts w:hint="eastAsia" w:ascii="宋体" w:hAnsi="宋体" w:eastAsia="宋体" w:cs="宋体"/>
          <w:sz w:val="21"/>
          <w:szCs w:val="21"/>
        </w:rPr>
        <w:t>(一)建设背景</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rPr>
        <w:t>2022年3月，省生态环境厅、省治水办联合印发了《浙江省水生态环境保护暨八大水系和近岸海域生态修复与生物多样性保护2022年实施方案》（浙环函〔2022〕65号），要求“推进电子围栏建设，提升保护区规范</w:t>
      </w:r>
      <w:r>
        <w:rPr>
          <w:rFonts w:hint="eastAsia" w:ascii="宋体" w:hAnsi="宋体" w:cs="宋体"/>
          <w:color w:val="auto"/>
          <w:szCs w:val="21"/>
          <w:highlight w:val="none"/>
        </w:rPr>
        <w:t>化建设、智慧化感知水平”。根据2022年5月省治水办印发的《关于印发&lt;2022年度“五水共治”“河湖长制”工作各市责任书&gt;的通知》（浙治水办发〔2022〕13号），要求我市2022年度“完成</w:t>
      </w:r>
      <w:r>
        <w:rPr>
          <w:rFonts w:hint="eastAsia" w:ascii="宋体" w:hAnsi="宋体" w:cs="宋体"/>
          <w:color w:val="auto"/>
          <w:szCs w:val="21"/>
          <w:highlight w:val="none"/>
          <w:lang w:val="en-US" w:eastAsia="zh-CN"/>
        </w:rPr>
        <w:t>13</w:t>
      </w:r>
      <w:r>
        <w:rPr>
          <w:rFonts w:hint="eastAsia" w:ascii="宋体" w:hAnsi="宋体" w:cs="宋体"/>
          <w:color w:val="auto"/>
          <w:szCs w:val="21"/>
          <w:highlight w:val="none"/>
        </w:rPr>
        <w:t>个县级以上饮用水水源保护区电子围栏建设”。因此我市计划对13个县级以上饮用水水源地开展电子围栏建设，依法依规推进保护区规范化和智能化管控，进一步保障人民群众饮水安全。</w:t>
      </w:r>
    </w:p>
    <w:p>
      <w:pPr>
        <w:pStyle w:val="283"/>
        <w:tabs>
          <w:tab w:val="left" w:pos="0"/>
          <w:tab w:val="left" w:pos="360"/>
          <w:tab w:val="clear" w:pos="860"/>
        </w:tabs>
        <w:spacing w:before="120" w:after="1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（二）服务原则</w:t>
      </w:r>
    </w:p>
    <w:p>
      <w:pPr>
        <w:spacing w:line="360" w:lineRule="auto"/>
        <w:ind w:firstLine="420" w:firstLineChars="200"/>
        <w:rPr>
          <w:rFonts w:ascii="宋体" w:hAnsi="宋体" w:cs="宋体"/>
          <w:szCs w:val="21"/>
        </w:rPr>
      </w:pPr>
      <w:r>
        <w:rPr>
          <w:rFonts w:hint="eastAsia" w:ascii="宋体" w:hAnsi="宋体" w:cs="宋体"/>
          <w:color w:val="auto"/>
          <w:szCs w:val="21"/>
          <w:highlight w:val="none"/>
        </w:rPr>
        <w:t>目标导向。以全面防范人为干扰监测数据为目标，积极依托数字赋能，推进饮用水水源地电子围栏数据采购工作，通过安装高清视频监控和设置智能报警系</w:t>
      </w:r>
      <w:r>
        <w:rPr>
          <w:rFonts w:hint="eastAsia" w:ascii="宋体" w:hAnsi="宋体" w:cs="宋体"/>
          <w:szCs w:val="21"/>
        </w:rPr>
        <w:t>统，对人员闯禁、违规行为、物体和风险隐患等实现精准捕捉和智能识别，有效解决人工巡查的管控盲区问题，全面提升智能化防范干扰能力。</w:t>
      </w:r>
    </w:p>
    <w:p>
      <w:pPr>
        <w:spacing w:line="360" w:lineRule="auto"/>
        <w:ind w:firstLine="420" w:firstLineChars="200"/>
        <w:rPr>
          <w:rFonts w:hint="eastAsia" w:ascii="宋体" w:hAnsi="宋体" w:cs="宋体"/>
          <w:szCs w:val="21"/>
        </w:rPr>
      </w:pPr>
      <w:r>
        <w:rPr>
          <w:rFonts w:hint="eastAsia" w:ascii="宋体" w:hAnsi="宋体" w:cs="宋体"/>
          <w:szCs w:val="21"/>
        </w:rPr>
        <w:t>顶层设计。明确功能定位，遵循省级试点工作统筹，符合省市县各层级业务需求，结合环境问题发现机制和视频技术监管手段综合应用，满足省统一的各项要求，在全省一盘棋工作格局下进行建设。</w:t>
      </w:r>
    </w:p>
    <w:p>
      <w:pPr>
        <w:spacing w:line="360" w:lineRule="auto"/>
        <w:ind w:firstLine="420" w:firstLineChars="200"/>
        <w:rPr>
          <w:rFonts w:ascii="宋体" w:hAnsi="宋体" w:cs="宋体"/>
          <w:szCs w:val="21"/>
        </w:rPr>
      </w:pPr>
      <w:r>
        <w:rPr>
          <w:rFonts w:hint="eastAsia" w:ascii="宋体" w:hAnsi="宋体" w:cs="宋体"/>
          <w:szCs w:val="21"/>
        </w:rPr>
        <w:t>强化创新。深入贯彻《生态环境监测规划纲要（2020-2035）》和《生态环境部办公厅关于推进生态环境监测体系与监测能力现代化的若干意见》（环办监测〔2020〕9号），全面借助全省生态环境数字化改革，树立智治理念，依靠数字赋能，加强物联网、大数据、人脸识别、人工智能等前沿技术的创新应用，着力提升现代化的监管能力。</w:t>
      </w:r>
    </w:p>
    <w:p>
      <w:pPr>
        <w:spacing w:line="360" w:lineRule="auto"/>
        <w:ind w:firstLine="420" w:firstLineChars="200"/>
        <w:rPr>
          <w:rFonts w:ascii="宋体" w:hAnsi="宋体" w:cs="宋体"/>
          <w:szCs w:val="21"/>
        </w:rPr>
      </w:pPr>
      <w:r>
        <w:rPr>
          <w:rFonts w:hint="eastAsia" w:ascii="宋体" w:hAnsi="宋体" w:cs="宋体"/>
          <w:szCs w:val="21"/>
        </w:rPr>
        <w:t>注重实效。结合本地实际工作经验，借助较为成熟的计算系统，并坚持在建设过程中不断总结和分析问题，及时总结，形成可推广、可复制的应用成果，为提升安全保障能力提供解决路径。</w:t>
      </w:r>
    </w:p>
    <w:p>
      <w:pPr>
        <w:pStyle w:val="283"/>
        <w:tabs>
          <w:tab w:val="left" w:pos="0"/>
          <w:tab w:val="left" w:pos="360"/>
          <w:tab w:val="clear" w:pos="860"/>
        </w:tabs>
        <w:spacing w:before="120" w:after="120"/>
        <w:rPr>
          <w:rFonts w:ascii="宋体" w:hAnsi="宋体" w:eastAsia="宋体" w:cs="宋体"/>
          <w:sz w:val="21"/>
          <w:szCs w:val="21"/>
        </w:rPr>
      </w:pPr>
      <w:r>
        <w:rPr>
          <w:rFonts w:hint="eastAsia" w:ascii="宋体" w:hAnsi="宋体" w:eastAsia="宋体" w:cs="宋体"/>
          <w:sz w:val="21"/>
          <w:szCs w:val="21"/>
        </w:rPr>
        <w:t>（三）服务内容及基本需求</w:t>
      </w:r>
    </w:p>
    <w:p>
      <w:pPr>
        <w:pStyle w:val="391"/>
        <w:spacing w:before="120"/>
        <w:ind w:firstLine="417" w:firstLineChars="199"/>
        <w:rPr>
          <w:rFonts w:cs="宋体"/>
          <w:b/>
          <w:bCs/>
          <w:sz w:val="21"/>
          <w:szCs w:val="21"/>
          <w:lang w:val="en-US"/>
        </w:rPr>
      </w:pPr>
      <w:r>
        <w:rPr>
          <w:rFonts w:hint="eastAsia" w:cs="宋体"/>
          <w:color w:val="auto"/>
          <w:sz w:val="21"/>
          <w:szCs w:val="21"/>
          <w:lang w:val="en-US"/>
        </w:rPr>
        <w:t>本次招标为三年期的饮用水水源地电子围栏数据服务采购。具体服务内容如下：</w:t>
      </w:r>
    </w:p>
    <w:p>
      <w:pPr>
        <w:pStyle w:val="391"/>
        <w:spacing w:before="120"/>
        <w:ind w:firstLine="420" w:firstLineChars="199"/>
        <w:rPr>
          <w:rFonts w:cs="宋体"/>
          <w:b/>
          <w:bCs/>
          <w:sz w:val="21"/>
          <w:szCs w:val="21"/>
          <w:lang w:val="en-US"/>
        </w:rPr>
      </w:pPr>
      <w:r>
        <w:rPr>
          <w:rFonts w:hint="eastAsia" w:cs="宋体"/>
          <w:b/>
          <w:bCs/>
          <w:sz w:val="21"/>
          <w:szCs w:val="21"/>
        </w:rPr>
        <w:t>电子围栏数据采购服务采购内容</w:t>
      </w:r>
      <w:r>
        <w:rPr>
          <w:rFonts w:hint="eastAsia" w:cs="宋体"/>
          <w:b/>
          <w:bCs/>
          <w:sz w:val="21"/>
          <w:szCs w:val="21"/>
          <w:lang w:val="en-US"/>
        </w:rPr>
        <w:t>如下：</w:t>
      </w:r>
    </w:p>
    <w:tbl>
      <w:tblPr>
        <w:tblStyle w:val="44"/>
        <w:tblW w:w="8212" w:type="dxa"/>
        <w:tblInd w:w="0" w:type="dxa"/>
        <w:tblLayout w:type="autofit"/>
        <w:tblCellMar>
          <w:top w:w="0" w:type="dxa"/>
          <w:left w:w="108" w:type="dxa"/>
          <w:bottom w:w="0" w:type="dxa"/>
          <w:right w:w="108" w:type="dxa"/>
        </w:tblCellMar>
      </w:tblPr>
      <w:tblGrid>
        <w:gridCol w:w="699"/>
        <w:gridCol w:w="1134"/>
        <w:gridCol w:w="1559"/>
        <w:gridCol w:w="709"/>
        <w:gridCol w:w="709"/>
        <w:gridCol w:w="3402"/>
      </w:tblGrid>
      <w:tr>
        <w:trPr>
          <w:trHeight w:val="285" w:hRule="atLeast"/>
        </w:trPr>
        <w:tc>
          <w:tcPr>
            <w:tcW w:w="69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Cs w:val="21"/>
              </w:rPr>
            </w:pPr>
            <w:bookmarkStart w:id="33" w:name="_Hlk113361807"/>
            <w:r>
              <w:rPr>
                <w:rFonts w:hint="eastAsia" w:ascii="宋体" w:hAnsi="宋体" w:cs="宋体"/>
                <w:b/>
                <w:bCs/>
                <w:color w:val="000000"/>
                <w:kern w:val="0"/>
                <w:szCs w:val="21"/>
              </w:rPr>
              <w:t>序号</w:t>
            </w:r>
          </w:p>
        </w:tc>
        <w:tc>
          <w:tcPr>
            <w:tcW w:w="2693" w:type="dxa"/>
            <w:gridSpan w:val="2"/>
            <w:tcBorders>
              <w:top w:val="single" w:color="000000" w:sz="8" w:space="0"/>
              <w:left w:val="nil"/>
              <w:bottom w:val="nil"/>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采购服务内容</w:t>
            </w:r>
          </w:p>
        </w:tc>
        <w:tc>
          <w:tcPr>
            <w:tcW w:w="709" w:type="dxa"/>
            <w:tcBorders>
              <w:top w:val="single" w:color="000000" w:sz="8" w:space="0"/>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709" w:type="dxa"/>
            <w:tcBorders>
              <w:top w:val="single" w:color="000000" w:sz="8" w:space="0"/>
              <w:left w:val="single" w:color="auto" w:sz="4" w:space="0"/>
              <w:bottom w:val="nil"/>
              <w:right w:val="single" w:color="000000"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340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服务内容概述</w:t>
            </w:r>
          </w:p>
        </w:tc>
      </w:tr>
      <w:tr>
        <w:tblPrEx>
          <w:tblCellMar>
            <w:top w:w="0" w:type="dxa"/>
            <w:left w:w="108" w:type="dxa"/>
            <w:bottom w:w="0" w:type="dxa"/>
            <w:right w:w="108" w:type="dxa"/>
          </w:tblCellMar>
        </w:tblPrEx>
        <w:trPr>
          <w:trHeight w:val="488" w:hRule="atLeast"/>
        </w:trPr>
        <w:tc>
          <w:tcPr>
            <w:tcW w:w="699" w:type="dxa"/>
            <w:tcBorders>
              <w:top w:val="nil"/>
              <w:left w:val="single" w:color="000000" w:sz="8" w:space="0"/>
              <w:bottom w:val="single" w:color="auto" w:sz="4" w:space="0"/>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1</w:t>
            </w:r>
          </w:p>
        </w:tc>
        <w:tc>
          <w:tcPr>
            <w:tcW w:w="1134" w:type="dxa"/>
            <w:vMerge w:val="restart"/>
            <w:tcBorders>
              <w:top w:val="single" w:color="auto" w:sz="8" w:space="0"/>
              <w:left w:val="single" w:color="auto" w:sz="8"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普通枪机摄像头数据服务</w:t>
            </w:r>
          </w:p>
        </w:tc>
        <w:tc>
          <w:tcPr>
            <w:tcW w:w="155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普通视频监控数据服务</w:t>
            </w:r>
          </w:p>
        </w:tc>
        <w:tc>
          <w:tcPr>
            <w:tcW w:w="70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项</w:t>
            </w:r>
          </w:p>
        </w:tc>
        <w:tc>
          <w:tcPr>
            <w:tcW w:w="709" w:type="dxa"/>
            <w:vMerge w:val="restart"/>
            <w:tcBorders>
              <w:top w:val="single" w:color="auto" w:sz="8" w:space="0"/>
              <w:left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200</w:t>
            </w:r>
          </w:p>
        </w:tc>
        <w:tc>
          <w:tcPr>
            <w:tcW w:w="3402" w:type="dxa"/>
            <w:vMerge w:val="restart"/>
            <w:tcBorders>
              <w:top w:val="nil"/>
              <w:left w:val="single" w:color="auto" w:sz="4" w:space="0"/>
              <w:right w:val="single" w:color="000000"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应用于电子围栏数据采购服务的相关视频监控设施设备建设，供应商在投标响应文件中必须明确每类服务的数量和点位，并制定合理的实施方案。（以上设备均需使用且在适当场景选择使用。）</w:t>
            </w:r>
          </w:p>
        </w:tc>
      </w:tr>
      <w:tr>
        <w:trPr>
          <w:trHeight w:val="480" w:hRule="atLeast"/>
        </w:trPr>
        <w:tc>
          <w:tcPr>
            <w:tcW w:w="699" w:type="dxa"/>
            <w:tcBorders>
              <w:top w:val="single" w:color="auto" w:sz="4" w:space="0"/>
              <w:left w:val="single" w:color="000000" w:sz="8" w:space="0"/>
              <w:bottom w:val="single" w:color="auto" w:sz="4" w:space="0"/>
              <w:right w:val="nil"/>
            </w:tcBorders>
            <w:shd w:val="clear" w:color="auto" w:fill="auto"/>
            <w:vAlign w:val="center"/>
          </w:tcPr>
          <w:p>
            <w:pPr>
              <w:jc w:val="center"/>
              <w:rPr>
                <w:rFonts w:ascii="宋体" w:hAnsi="宋体" w:cs="宋体"/>
                <w:b/>
                <w:bCs/>
                <w:kern w:val="0"/>
                <w:szCs w:val="21"/>
              </w:rPr>
            </w:pPr>
            <w:r>
              <w:rPr>
                <w:rFonts w:hint="eastAsia" w:ascii="宋体" w:hAnsi="宋体" w:cs="宋体"/>
                <w:b/>
                <w:bCs/>
                <w:kern w:val="0"/>
                <w:szCs w:val="21"/>
              </w:rPr>
              <w:t>2</w:t>
            </w:r>
          </w:p>
        </w:tc>
        <w:tc>
          <w:tcPr>
            <w:tcW w:w="1134" w:type="dxa"/>
            <w:vMerge w:val="continue"/>
            <w:tcBorders>
              <w:left w:val="single" w:color="auto" w:sz="8" w:space="0"/>
              <w:right w:val="single" w:color="auto" w:sz="4" w:space="0"/>
            </w:tcBorders>
            <w:shd w:val="clear" w:color="auto" w:fill="auto"/>
            <w:vAlign w:val="center"/>
          </w:tcPr>
          <w:p>
            <w:pPr>
              <w:jc w:val="left"/>
              <w:rPr>
                <w:rFonts w:ascii="宋体" w:hAnsi="宋体" w:cs="宋体"/>
                <w:kern w:val="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Cs w:val="21"/>
              </w:rPr>
            </w:pPr>
            <w:r>
              <w:rPr>
                <w:rFonts w:hint="eastAsia" w:ascii="宋体" w:hAnsi="宋体" w:cs="宋体"/>
                <w:kern w:val="0"/>
                <w:szCs w:val="21"/>
              </w:rPr>
              <w:t>高清周界监控数据服务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项</w:t>
            </w:r>
          </w:p>
        </w:tc>
        <w:tc>
          <w:tcPr>
            <w:tcW w:w="709"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3402" w:type="dxa"/>
            <w:vMerge w:val="continue"/>
            <w:tcBorders>
              <w:left w:val="single" w:color="auto" w:sz="4" w:space="0"/>
              <w:right w:val="single" w:color="000000" w:sz="8" w:space="0"/>
            </w:tcBorders>
            <w:shd w:val="clear" w:color="auto" w:fill="auto"/>
            <w:vAlign w:val="center"/>
          </w:tcPr>
          <w:p>
            <w:pPr>
              <w:jc w:val="left"/>
              <w:rPr>
                <w:rFonts w:ascii="宋体" w:hAnsi="宋体" w:cs="宋体"/>
                <w:kern w:val="0"/>
                <w:szCs w:val="21"/>
              </w:rPr>
            </w:pPr>
          </w:p>
        </w:tc>
      </w:tr>
      <w:tr>
        <w:trPr>
          <w:trHeight w:val="134" w:hRule="atLeast"/>
        </w:trPr>
        <w:tc>
          <w:tcPr>
            <w:tcW w:w="699" w:type="dxa"/>
            <w:tcBorders>
              <w:top w:val="single" w:color="auto" w:sz="4" w:space="0"/>
              <w:left w:val="single" w:color="000000" w:sz="8" w:space="0"/>
              <w:bottom w:val="single" w:color="auto" w:sz="4" w:space="0"/>
              <w:right w:val="nil"/>
            </w:tcBorders>
            <w:shd w:val="clear" w:color="auto" w:fill="auto"/>
            <w:vAlign w:val="center"/>
          </w:tcPr>
          <w:p>
            <w:pPr>
              <w:jc w:val="center"/>
              <w:rPr>
                <w:rFonts w:ascii="宋体" w:hAnsi="宋体" w:cs="宋体"/>
                <w:b/>
                <w:bCs/>
                <w:kern w:val="0"/>
                <w:szCs w:val="21"/>
              </w:rPr>
            </w:pPr>
            <w:r>
              <w:rPr>
                <w:rFonts w:hint="eastAsia" w:ascii="宋体" w:hAnsi="宋体" w:cs="宋体"/>
                <w:b/>
                <w:bCs/>
                <w:kern w:val="0"/>
                <w:szCs w:val="21"/>
              </w:rPr>
              <w:t>3</w:t>
            </w:r>
          </w:p>
        </w:tc>
        <w:tc>
          <w:tcPr>
            <w:tcW w:w="1134" w:type="dxa"/>
            <w:vMerge w:val="continue"/>
            <w:tcBorders>
              <w:left w:val="single" w:color="auto" w:sz="8" w:space="0"/>
              <w:right w:val="single" w:color="auto" w:sz="4" w:space="0"/>
            </w:tcBorders>
            <w:shd w:val="clear" w:color="auto" w:fill="auto"/>
            <w:vAlign w:val="center"/>
          </w:tcPr>
          <w:p>
            <w:pPr>
              <w:jc w:val="left"/>
              <w:rPr>
                <w:rFonts w:ascii="宋体" w:hAnsi="宋体" w:cs="宋体"/>
                <w:kern w:val="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Cs w:val="21"/>
              </w:rPr>
            </w:pPr>
            <w:r>
              <w:rPr>
                <w:rFonts w:hint="eastAsia" w:ascii="宋体" w:hAnsi="宋体" w:cs="宋体"/>
                <w:kern w:val="0"/>
                <w:szCs w:val="21"/>
              </w:rPr>
              <w:t>常规监控数据服务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项</w:t>
            </w:r>
          </w:p>
        </w:tc>
        <w:tc>
          <w:tcPr>
            <w:tcW w:w="709"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3402" w:type="dxa"/>
            <w:vMerge w:val="continue"/>
            <w:tcBorders>
              <w:left w:val="single" w:color="auto" w:sz="4" w:space="0"/>
              <w:right w:val="single" w:color="000000" w:sz="8" w:space="0"/>
            </w:tcBorders>
            <w:shd w:val="clear" w:color="auto" w:fill="auto"/>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274" w:hRule="atLeast"/>
        </w:trPr>
        <w:tc>
          <w:tcPr>
            <w:tcW w:w="699" w:type="dxa"/>
            <w:vMerge w:val="restart"/>
            <w:tcBorders>
              <w:top w:val="single" w:color="auto" w:sz="4" w:space="0"/>
              <w:left w:val="single" w:color="000000" w:sz="8" w:space="0"/>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4</w:t>
            </w:r>
          </w:p>
        </w:tc>
        <w:tc>
          <w:tcPr>
            <w:tcW w:w="1134" w:type="dxa"/>
            <w:vMerge w:val="continue"/>
            <w:tcBorders>
              <w:left w:val="single" w:color="auto" w:sz="8" w:space="0"/>
              <w:right w:val="single" w:color="auto" w:sz="4" w:space="0"/>
            </w:tcBorders>
            <w:shd w:val="clear" w:color="auto" w:fill="auto"/>
            <w:vAlign w:val="center"/>
          </w:tcPr>
          <w:p>
            <w:pPr>
              <w:jc w:val="left"/>
              <w:rPr>
                <w:rFonts w:ascii="宋体" w:hAnsi="宋体" w:cs="宋体"/>
                <w:kern w:val="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Cs w:val="21"/>
              </w:rPr>
            </w:pPr>
            <w:r>
              <w:rPr>
                <w:rFonts w:hint="eastAsia" w:ascii="宋体" w:hAnsi="宋体" w:cs="宋体"/>
                <w:kern w:val="0"/>
                <w:szCs w:val="21"/>
              </w:rPr>
              <w:t>高位全景AI监控数据服务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项</w:t>
            </w:r>
          </w:p>
        </w:tc>
        <w:tc>
          <w:tcPr>
            <w:tcW w:w="709"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3402" w:type="dxa"/>
            <w:vMerge w:val="continue"/>
            <w:tcBorders>
              <w:left w:val="single" w:color="auto" w:sz="4" w:space="0"/>
              <w:right w:val="single" w:color="000000" w:sz="8" w:space="0"/>
            </w:tcBorders>
            <w:shd w:val="clear" w:color="auto" w:fill="auto"/>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266" w:hRule="atLeast"/>
        </w:trPr>
        <w:tc>
          <w:tcPr>
            <w:tcW w:w="699" w:type="dxa"/>
            <w:vMerge w:val="continue"/>
            <w:tcBorders>
              <w:left w:val="single" w:color="000000" w:sz="8" w:space="0"/>
              <w:bottom w:val="single" w:color="auto" w:sz="4" w:space="0"/>
              <w:right w:val="nil"/>
            </w:tcBorders>
            <w:shd w:val="clear" w:color="auto" w:fill="auto"/>
            <w:vAlign w:val="center"/>
          </w:tcPr>
          <w:p>
            <w:pPr>
              <w:widowControl/>
              <w:jc w:val="center"/>
              <w:rPr>
                <w:rFonts w:ascii="宋体" w:hAnsi="宋体" w:cs="宋体"/>
                <w:b/>
                <w:bCs/>
                <w:kern w:val="0"/>
                <w:szCs w:val="21"/>
              </w:rPr>
            </w:pPr>
          </w:p>
        </w:tc>
        <w:tc>
          <w:tcPr>
            <w:tcW w:w="1134" w:type="dxa"/>
            <w:vMerge w:val="continue"/>
            <w:tcBorders>
              <w:left w:val="single" w:color="auto" w:sz="8" w:space="0"/>
              <w:bottom w:val="single" w:color="auto" w:sz="4" w:space="0"/>
              <w:right w:val="single" w:color="auto" w:sz="4" w:space="0"/>
            </w:tcBorders>
            <w:shd w:val="clear" w:color="auto" w:fill="auto"/>
            <w:vAlign w:val="center"/>
          </w:tcPr>
          <w:p>
            <w:pPr>
              <w:jc w:val="left"/>
              <w:rPr>
                <w:rFonts w:ascii="宋体" w:hAnsi="宋体" w:cs="宋体"/>
                <w:kern w:val="0"/>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Cs w:val="21"/>
              </w:rPr>
            </w:pPr>
            <w:r>
              <w:rPr>
                <w:rFonts w:hint="eastAsia" w:ascii="宋体" w:hAnsi="宋体" w:cs="宋体"/>
                <w:kern w:val="0"/>
                <w:szCs w:val="21"/>
              </w:rPr>
              <w:t>双光人脸警戒变焦监控数据服务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项</w:t>
            </w:r>
          </w:p>
        </w:tc>
        <w:tc>
          <w:tcPr>
            <w:tcW w:w="70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3402" w:type="dxa"/>
            <w:vMerge w:val="continue"/>
            <w:tcBorders>
              <w:left w:val="single" w:color="auto" w:sz="4" w:space="0"/>
              <w:bottom w:val="single" w:color="auto" w:sz="4" w:space="0"/>
              <w:right w:val="single" w:color="000000" w:sz="8" w:space="0"/>
            </w:tcBorders>
            <w:shd w:val="clear" w:color="auto" w:fill="auto"/>
            <w:vAlign w:val="center"/>
          </w:tcPr>
          <w:p>
            <w:pPr>
              <w:jc w:val="left"/>
              <w:rPr>
                <w:rFonts w:ascii="宋体" w:hAnsi="宋体" w:cs="宋体"/>
                <w:kern w:val="0"/>
                <w:szCs w:val="21"/>
              </w:rPr>
            </w:pPr>
          </w:p>
        </w:tc>
      </w:tr>
      <w:tr>
        <w:trPr>
          <w:trHeight w:val="480" w:hRule="atLeast"/>
        </w:trPr>
        <w:tc>
          <w:tcPr>
            <w:tcW w:w="699" w:type="dxa"/>
            <w:tcBorders>
              <w:top w:val="single" w:color="auto" w:sz="4" w:space="0"/>
              <w:left w:val="single" w:color="000000" w:sz="8" w:space="0"/>
              <w:bottom w:val="single" w:color="auto" w:sz="4" w:space="0"/>
              <w:right w:val="nil"/>
            </w:tcBorders>
            <w:shd w:val="clear" w:color="auto" w:fill="auto"/>
            <w:vAlign w:val="center"/>
          </w:tcPr>
          <w:p>
            <w:pPr>
              <w:jc w:val="center"/>
              <w:rPr>
                <w:rFonts w:ascii="宋体" w:hAnsi="宋体" w:cs="宋体"/>
                <w:b/>
                <w:bCs/>
                <w:kern w:val="0"/>
                <w:szCs w:val="21"/>
              </w:rPr>
            </w:pPr>
            <w:r>
              <w:rPr>
                <w:rFonts w:hint="eastAsia" w:ascii="宋体" w:hAnsi="宋体" w:cs="宋体"/>
                <w:b/>
                <w:bCs/>
                <w:kern w:val="0"/>
                <w:szCs w:val="21"/>
              </w:rPr>
              <w:t>5</w:t>
            </w:r>
          </w:p>
        </w:tc>
        <w:tc>
          <w:tcPr>
            <w:tcW w:w="269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ascii="宋体" w:hAnsi="宋体" w:cs="宋体"/>
                <w:kern w:val="0"/>
                <w:szCs w:val="21"/>
              </w:rPr>
            </w:pPr>
            <w:r>
              <w:rPr>
                <w:rFonts w:hint="eastAsia" w:ascii="宋体" w:hAnsi="宋体" w:cs="宋体"/>
                <w:kern w:val="0"/>
                <w:szCs w:val="21"/>
              </w:rPr>
              <w:t>热成像周界防范技术数据服务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项</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8</w:t>
            </w:r>
          </w:p>
        </w:tc>
        <w:tc>
          <w:tcPr>
            <w:tcW w:w="3402" w:type="dxa"/>
            <w:tcBorders>
              <w:top w:val="single" w:color="auto" w:sz="4" w:space="0"/>
              <w:left w:val="single" w:color="auto" w:sz="4" w:space="0"/>
              <w:bottom w:val="single" w:color="auto" w:sz="4" w:space="0"/>
              <w:right w:val="single" w:color="000000" w:sz="8" w:space="0"/>
            </w:tcBorders>
            <w:shd w:val="clear" w:color="auto" w:fill="auto"/>
            <w:vAlign w:val="center"/>
          </w:tcPr>
          <w:p>
            <w:pPr>
              <w:jc w:val="left"/>
              <w:rPr>
                <w:rFonts w:ascii="宋体" w:hAnsi="宋体" w:cs="宋体"/>
                <w:kern w:val="0"/>
                <w:szCs w:val="21"/>
              </w:rPr>
            </w:pPr>
            <w:r>
              <w:rPr>
                <w:rFonts w:hint="eastAsia" w:ascii="宋体" w:hAnsi="宋体" w:cs="宋体"/>
                <w:kern w:val="0"/>
                <w:szCs w:val="21"/>
              </w:rPr>
              <w:t>应用于电子围栏数据采购服务的相关视频监控设施设备建设。</w:t>
            </w:r>
          </w:p>
        </w:tc>
      </w:tr>
      <w:tr>
        <w:tblPrEx>
          <w:tblCellMar>
            <w:top w:w="0" w:type="dxa"/>
            <w:left w:w="108" w:type="dxa"/>
            <w:bottom w:w="0" w:type="dxa"/>
            <w:right w:w="108" w:type="dxa"/>
          </w:tblCellMar>
        </w:tblPrEx>
        <w:trPr>
          <w:trHeight w:val="180" w:hRule="atLeast"/>
        </w:trPr>
        <w:tc>
          <w:tcPr>
            <w:tcW w:w="699" w:type="dxa"/>
            <w:tcBorders>
              <w:top w:val="single" w:color="auto" w:sz="4" w:space="0"/>
              <w:left w:val="single" w:color="000000" w:sz="8" w:space="0"/>
              <w:bottom w:val="single" w:color="auto" w:sz="4" w:space="0"/>
              <w:right w:val="nil"/>
            </w:tcBorders>
            <w:shd w:val="clear" w:color="auto" w:fill="auto"/>
            <w:vAlign w:val="center"/>
          </w:tcPr>
          <w:p>
            <w:pPr>
              <w:jc w:val="center"/>
              <w:rPr>
                <w:rFonts w:ascii="宋体" w:hAnsi="宋体" w:cs="宋体"/>
                <w:b/>
                <w:bCs/>
                <w:kern w:val="0"/>
                <w:szCs w:val="21"/>
              </w:rPr>
            </w:pPr>
            <w:r>
              <w:rPr>
                <w:rFonts w:hint="eastAsia" w:ascii="宋体" w:hAnsi="宋体" w:cs="宋体"/>
                <w:b/>
                <w:bCs/>
                <w:kern w:val="0"/>
                <w:szCs w:val="21"/>
              </w:rPr>
              <w:t>6</w:t>
            </w:r>
          </w:p>
        </w:tc>
        <w:tc>
          <w:tcPr>
            <w:tcW w:w="269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ascii="宋体" w:hAnsi="宋体" w:cs="宋体"/>
                <w:kern w:val="0"/>
                <w:szCs w:val="21"/>
              </w:rPr>
            </w:pPr>
            <w:r>
              <w:rPr>
                <w:rFonts w:hint="eastAsia" w:ascii="宋体" w:hAnsi="宋体" w:cs="宋体"/>
                <w:kern w:val="0"/>
                <w:szCs w:val="21"/>
              </w:rPr>
              <w:t>雷球防范技术数据服务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项</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6</w:t>
            </w:r>
          </w:p>
        </w:tc>
        <w:tc>
          <w:tcPr>
            <w:tcW w:w="3402" w:type="dxa"/>
            <w:tcBorders>
              <w:top w:val="single" w:color="auto" w:sz="4" w:space="0"/>
              <w:left w:val="single" w:color="auto" w:sz="4" w:space="0"/>
              <w:bottom w:val="single" w:color="auto" w:sz="4" w:space="0"/>
              <w:right w:val="single" w:color="000000" w:sz="8" w:space="0"/>
            </w:tcBorders>
            <w:shd w:val="clear" w:color="auto" w:fill="auto"/>
            <w:vAlign w:val="center"/>
          </w:tcPr>
          <w:p>
            <w:pPr>
              <w:jc w:val="left"/>
              <w:rPr>
                <w:rFonts w:ascii="宋体" w:hAnsi="宋体" w:cs="宋体"/>
                <w:kern w:val="0"/>
                <w:szCs w:val="21"/>
              </w:rPr>
            </w:pPr>
            <w:r>
              <w:rPr>
                <w:rFonts w:hint="eastAsia" w:ascii="宋体" w:hAnsi="宋体" w:cs="宋体"/>
                <w:kern w:val="0"/>
                <w:szCs w:val="21"/>
              </w:rPr>
              <w:t>应用于电子围栏数据采购服务的相关视频监控设施设备建设。</w:t>
            </w:r>
          </w:p>
        </w:tc>
      </w:tr>
      <w:tr>
        <w:tblPrEx>
          <w:tblCellMar>
            <w:top w:w="0" w:type="dxa"/>
            <w:left w:w="108" w:type="dxa"/>
            <w:bottom w:w="0" w:type="dxa"/>
            <w:right w:w="108" w:type="dxa"/>
          </w:tblCellMar>
        </w:tblPrEx>
        <w:trPr>
          <w:trHeight w:val="617" w:hRule="atLeast"/>
        </w:trPr>
        <w:tc>
          <w:tcPr>
            <w:tcW w:w="699" w:type="dxa"/>
            <w:tcBorders>
              <w:top w:val="single" w:color="auto" w:sz="4" w:space="0"/>
              <w:left w:val="single" w:color="000000" w:sz="8" w:space="0"/>
              <w:bottom w:val="single" w:color="auto" w:sz="4" w:space="0"/>
              <w:right w:val="nil"/>
            </w:tcBorders>
            <w:shd w:val="clear" w:color="auto" w:fill="auto"/>
            <w:vAlign w:val="center"/>
          </w:tcPr>
          <w:p>
            <w:pPr>
              <w:jc w:val="center"/>
              <w:rPr>
                <w:rFonts w:ascii="宋体" w:hAnsi="宋体" w:cs="宋体"/>
                <w:b/>
                <w:bCs/>
                <w:color w:val="auto"/>
                <w:kern w:val="0"/>
                <w:szCs w:val="21"/>
              </w:rPr>
            </w:pPr>
            <w:r>
              <w:rPr>
                <w:rFonts w:hint="eastAsia" w:ascii="宋体" w:hAnsi="宋体" w:cs="宋体"/>
                <w:b/>
                <w:bCs/>
                <w:color w:val="auto"/>
                <w:kern w:val="0"/>
                <w:szCs w:val="21"/>
              </w:rPr>
              <w:t>7</w:t>
            </w:r>
          </w:p>
        </w:tc>
        <w:tc>
          <w:tcPr>
            <w:tcW w:w="269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jc w:val="left"/>
              <w:rPr>
                <w:rFonts w:ascii="宋体" w:hAnsi="宋体" w:cs="宋体"/>
                <w:color w:val="auto"/>
                <w:kern w:val="0"/>
                <w:szCs w:val="21"/>
              </w:rPr>
            </w:pPr>
            <w:r>
              <w:rPr>
                <w:rFonts w:hint="eastAsia" w:ascii="宋体" w:hAnsi="宋体" w:cs="宋体"/>
                <w:color w:val="auto"/>
                <w:kern w:val="0"/>
                <w:szCs w:val="21"/>
              </w:rPr>
              <w:t>警报处理及对接服务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kern w:val="0"/>
                <w:szCs w:val="21"/>
              </w:rPr>
            </w:pPr>
            <w:r>
              <w:rPr>
                <w:rFonts w:hint="eastAsia" w:ascii="宋体" w:hAnsi="宋体" w:cs="宋体"/>
                <w:color w:val="auto"/>
                <w:kern w:val="0"/>
                <w:szCs w:val="21"/>
              </w:rPr>
              <w:t>项</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kern w:val="0"/>
                <w:szCs w:val="21"/>
              </w:rPr>
            </w:pPr>
            <w:r>
              <w:rPr>
                <w:rFonts w:hint="eastAsia" w:ascii="宋体" w:hAnsi="宋体" w:cs="宋体"/>
                <w:color w:val="auto"/>
                <w:kern w:val="0"/>
                <w:szCs w:val="21"/>
              </w:rPr>
              <w:t>1</w:t>
            </w:r>
          </w:p>
        </w:tc>
        <w:tc>
          <w:tcPr>
            <w:tcW w:w="3402" w:type="dxa"/>
            <w:tcBorders>
              <w:top w:val="single" w:color="auto" w:sz="4" w:space="0"/>
              <w:left w:val="single" w:color="auto" w:sz="4" w:space="0"/>
              <w:bottom w:val="single" w:color="auto" w:sz="4" w:space="0"/>
              <w:right w:val="single" w:color="000000" w:sz="8" w:space="0"/>
            </w:tcBorders>
            <w:shd w:val="clear" w:color="auto" w:fill="auto"/>
            <w:vAlign w:val="center"/>
          </w:tcPr>
          <w:p>
            <w:pPr>
              <w:jc w:val="left"/>
              <w:rPr>
                <w:rFonts w:ascii="宋体" w:hAnsi="宋体" w:cs="宋体"/>
                <w:color w:val="auto"/>
                <w:kern w:val="0"/>
                <w:szCs w:val="21"/>
              </w:rPr>
            </w:pPr>
            <w:r>
              <w:rPr>
                <w:rFonts w:hint="eastAsia" w:ascii="宋体" w:hAnsi="宋体" w:cs="宋体"/>
                <w:color w:val="auto"/>
                <w:kern w:val="0"/>
                <w:szCs w:val="21"/>
              </w:rPr>
              <w:t>平台软件功能描述详见软件平台定制化开发功能需求。含平台的对接展示费用。</w:t>
            </w:r>
          </w:p>
        </w:tc>
      </w:tr>
      <w:tr>
        <w:tblPrEx>
          <w:tblCellMar>
            <w:top w:w="0" w:type="dxa"/>
            <w:left w:w="108" w:type="dxa"/>
            <w:bottom w:w="0" w:type="dxa"/>
            <w:right w:w="108" w:type="dxa"/>
          </w:tblCellMar>
        </w:tblPrEx>
        <w:trPr>
          <w:trHeight w:val="285" w:hRule="atLeast"/>
        </w:trPr>
        <w:tc>
          <w:tcPr>
            <w:tcW w:w="699" w:type="dxa"/>
            <w:tcBorders>
              <w:top w:val="single" w:color="auto" w:sz="4" w:space="0"/>
              <w:left w:val="single" w:color="000000" w:sz="8" w:space="0"/>
              <w:bottom w:val="single" w:color="auto" w:sz="4" w:space="0"/>
              <w:right w:val="nil"/>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8</w:t>
            </w:r>
          </w:p>
        </w:tc>
        <w:tc>
          <w:tcPr>
            <w:tcW w:w="269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环境核查服务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3402"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left"/>
              <w:rPr>
                <w:rFonts w:ascii="宋体" w:hAnsi="宋体" w:cs="宋体"/>
                <w:color w:val="auto"/>
                <w:kern w:val="0"/>
                <w:szCs w:val="21"/>
              </w:rPr>
            </w:pPr>
            <w:r>
              <w:rPr>
                <w:rFonts w:hint="eastAsia" w:ascii="宋体" w:hAnsi="宋体" w:cs="宋体"/>
                <w:color w:val="auto"/>
                <w:kern w:val="0"/>
                <w:szCs w:val="21"/>
              </w:rPr>
              <w:t>通过无人机、遥感、人工外业核查技术手段进行水源地环境核查。</w:t>
            </w:r>
          </w:p>
        </w:tc>
      </w:tr>
      <w:tr>
        <w:tblPrEx>
          <w:tblCellMar>
            <w:top w:w="0" w:type="dxa"/>
            <w:left w:w="108" w:type="dxa"/>
            <w:bottom w:w="0" w:type="dxa"/>
            <w:right w:w="108" w:type="dxa"/>
          </w:tblCellMar>
        </w:tblPrEx>
        <w:trPr>
          <w:trHeight w:val="567" w:hRule="atLeast"/>
        </w:trPr>
        <w:tc>
          <w:tcPr>
            <w:tcW w:w="699" w:type="dxa"/>
            <w:tcBorders>
              <w:top w:val="single" w:color="auto" w:sz="4" w:space="0"/>
              <w:left w:val="single" w:color="000000" w:sz="8" w:space="0"/>
              <w:bottom w:val="single" w:color="auto" w:sz="4" w:space="0"/>
              <w:right w:val="nil"/>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9</w:t>
            </w:r>
          </w:p>
        </w:tc>
        <w:tc>
          <w:tcPr>
            <w:tcW w:w="269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rPr>
            </w:pPr>
            <w:r>
              <w:rPr>
                <w:rFonts w:hint="eastAsia" w:ascii="宋体" w:hAnsi="宋体" w:cs="宋体"/>
                <w:color w:val="auto"/>
                <w:kern w:val="0"/>
                <w:szCs w:val="21"/>
              </w:rPr>
              <w:t>数据运维服务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3402"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left"/>
              <w:rPr>
                <w:rFonts w:ascii="宋体" w:hAnsi="宋体" w:cs="宋体"/>
                <w:color w:val="auto"/>
                <w:kern w:val="0"/>
                <w:szCs w:val="21"/>
              </w:rPr>
            </w:pPr>
            <w:r>
              <w:rPr>
                <w:rFonts w:hint="eastAsia" w:ascii="宋体" w:hAnsi="宋体" w:cs="宋体"/>
                <w:color w:val="auto"/>
                <w:kern w:val="0"/>
                <w:szCs w:val="21"/>
              </w:rPr>
              <w:t>提供2名运维人员完成系统运行情况监控和数据问题发现处置服务</w:t>
            </w:r>
          </w:p>
        </w:tc>
      </w:tr>
      <w:tr>
        <w:trPr>
          <w:trHeight w:val="95" w:hRule="atLeast"/>
        </w:trPr>
        <w:tc>
          <w:tcPr>
            <w:tcW w:w="699" w:type="dxa"/>
            <w:tcBorders>
              <w:top w:val="single" w:color="auto" w:sz="4" w:space="0"/>
              <w:left w:val="single" w:color="000000" w:sz="8" w:space="0"/>
              <w:bottom w:val="single" w:color="000000" w:sz="8" w:space="0"/>
              <w:right w:val="nil"/>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10</w:t>
            </w:r>
          </w:p>
        </w:tc>
        <w:tc>
          <w:tcPr>
            <w:tcW w:w="2693" w:type="dxa"/>
            <w:gridSpan w:val="2"/>
            <w:tcBorders>
              <w:top w:val="single" w:color="auto" w:sz="4" w:space="0"/>
              <w:left w:val="single" w:color="auto" w:sz="8" w:space="0"/>
              <w:bottom w:val="single" w:color="000000" w:sz="8" w:space="0"/>
              <w:right w:val="single" w:color="auto" w:sz="4" w:space="0"/>
            </w:tcBorders>
            <w:shd w:val="clear" w:color="auto" w:fill="auto"/>
            <w:vAlign w:val="center"/>
          </w:tcPr>
          <w:p>
            <w:pPr>
              <w:widowControl/>
              <w:jc w:val="left"/>
              <w:rPr>
                <w:rFonts w:ascii="宋体" w:hAnsi="宋体" w:cs="宋体"/>
                <w:color w:val="auto"/>
                <w:kern w:val="0"/>
                <w:szCs w:val="21"/>
              </w:rPr>
            </w:pPr>
            <w:r>
              <w:rPr>
                <w:rFonts w:hint="eastAsia" w:ascii="宋体" w:hAnsi="宋体" w:cs="宋体"/>
                <w:color w:val="auto"/>
                <w:kern w:val="0"/>
                <w:szCs w:val="21"/>
              </w:rPr>
              <w:t>数据传输服务</w:t>
            </w:r>
          </w:p>
        </w:tc>
        <w:tc>
          <w:tcPr>
            <w:tcW w:w="709" w:type="dxa"/>
            <w:tcBorders>
              <w:top w:val="single" w:color="auto" w:sz="4" w:space="0"/>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批</w:t>
            </w:r>
          </w:p>
        </w:tc>
        <w:tc>
          <w:tcPr>
            <w:tcW w:w="709" w:type="dxa"/>
            <w:tcBorders>
              <w:top w:val="single" w:color="auto" w:sz="4" w:space="0"/>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3402"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left"/>
              <w:rPr>
                <w:rFonts w:ascii="宋体" w:hAnsi="宋体" w:cs="宋体"/>
                <w:color w:val="auto"/>
                <w:kern w:val="0"/>
                <w:szCs w:val="21"/>
              </w:rPr>
            </w:pPr>
            <w:r>
              <w:rPr>
                <w:rFonts w:hint="eastAsia" w:ascii="宋体" w:hAnsi="宋体" w:cs="宋体"/>
                <w:color w:val="auto"/>
                <w:kern w:val="0"/>
                <w:szCs w:val="21"/>
              </w:rPr>
              <w:t>将所有水库各类监测数据通过VPN专线或4G无线方式接入总点。</w:t>
            </w:r>
          </w:p>
        </w:tc>
      </w:tr>
      <w:bookmarkEnd w:id="33"/>
    </w:tbl>
    <w:p>
      <w:pPr>
        <w:pStyle w:val="391"/>
        <w:spacing w:before="120"/>
        <w:ind w:firstLine="420"/>
        <w:rPr>
          <w:rFonts w:cs="宋体"/>
          <w:color w:val="auto"/>
          <w:sz w:val="21"/>
          <w:szCs w:val="21"/>
          <w:lang w:val="en-US"/>
        </w:rPr>
      </w:pPr>
      <w:r>
        <w:rPr>
          <w:rFonts w:hint="eastAsia" w:cs="宋体"/>
          <w:color w:val="auto"/>
          <w:sz w:val="21"/>
          <w:szCs w:val="21"/>
        </w:rPr>
        <w:t>注：供应商在投标响应文件中必须明确每类监控服务的数量和点位，制定施工方案。自合同签订之日起至2022年12月底前完成前端设备建设。服务平台搭建完成，具备运行条件后，进入服务期，提供各类数据服务，服务期为3年。服务期间应保障数据服务正常，并满足业务管理要求。</w:t>
      </w:r>
    </w:p>
    <w:p>
      <w:pPr>
        <w:numPr>
          <w:ilvl w:val="0"/>
          <w:numId w:val="2"/>
        </w:numPr>
        <w:adjustRightInd w:val="0"/>
        <w:snapToGrid w:val="0"/>
        <w:spacing w:line="560" w:lineRule="exact"/>
        <w:ind w:left="1055"/>
        <w:rPr>
          <w:rFonts w:ascii="宋体" w:hAnsi="宋体" w:cs="宋体"/>
          <w:b/>
          <w:bCs/>
          <w:color w:val="auto"/>
          <w:szCs w:val="21"/>
          <w:highlight w:val="none"/>
        </w:rPr>
      </w:pPr>
      <w:r>
        <w:rPr>
          <w:rFonts w:hint="eastAsia" w:ascii="宋体" w:hAnsi="宋体" w:cs="宋体"/>
          <w:b/>
          <w:bCs/>
          <w:color w:val="auto"/>
          <w:kern w:val="0"/>
          <w:szCs w:val="21"/>
        </w:rPr>
        <w:t>视频监控服务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饮用水水源保护区范围内安装视频监控系统，可远程监视饮用水水源保护区周围</w:t>
      </w:r>
      <w:r>
        <w:rPr>
          <w:rFonts w:hint="eastAsia" w:ascii="宋体" w:hAnsi="宋体" w:cs="宋体"/>
          <w:color w:val="auto"/>
          <w:szCs w:val="21"/>
          <w:highlight w:val="none"/>
          <w:lang w:eastAsia="zh-CN"/>
        </w:rPr>
        <w:t>与保护水源无关的人类活动</w:t>
      </w:r>
      <w:r>
        <w:rPr>
          <w:rFonts w:hint="eastAsia" w:ascii="宋体" w:hAnsi="宋体" w:cs="宋体"/>
          <w:color w:val="auto"/>
          <w:szCs w:val="21"/>
          <w:highlight w:val="none"/>
        </w:rPr>
        <w:t>，观察瞭望饮用水水源水面概况、区域环境等。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本项视频监控服务含</w:t>
      </w:r>
      <w:r>
        <w:rPr>
          <w:rFonts w:hint="eastAsia" w:ascii="宋体" w:hAnsi="宋体" w:cs="宋体"/>
          <w:color w:val="auto"/>
          <w:kern w:val="0"/>
          <w:szCs w:val="21"/>
          <w:highlight w:val="none"/>
        </w:rPr>
        <w:t>电子围栏普通视频、高清周界、常规监控、双光人脸警戒、热成像、高位全景、雷球监控数据服务等种类。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利用视频监控设备、云计算、大数据和人工智能等新技术，建设饮用水水源保护区电子围栏，实现“智能发现－智能预警－实时监控－抓拍取证”闭环管理，提升智能监管能力。</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①服务所需设备组成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电子围栏由普通高清监控摄像机、热成像摄像机、雷球型摄像机、高位全景AI摄像机、常规监控摄像机、双光人脸警戒变焦摄像机管理平台系统等组成。数量根据保护区实际情况确定。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其中高空全景AI监控设备：安装在视野开阔处，已取水口周围为主，用于监控保护区水面环境及整体概况为主。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其他监控设备：安装在取水口周围、水库大坝、出入保护区道路两侧、跨水域桥梁等区域，主要用于监控保护区内人员、车辆活动。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②监控范围</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电子围栏监控范围主要为饮用水水源保护区内可能涉及</w:t>
      </w:r>
      <w:r>
        <w:rPr>
          <w:rFonts w:hint="eastAsia" w:ascii="宋体" w:hAnsi="宋体" w:cs="宋体"/>
          <w:color w:val="auto"/>
          <w:szCs w:val="21"/>
          <w:highlight w:val="none"/>
          <w:lang w:eastAsia="zh-CN"/>
        </w:rPr>
        <w:t>与保护水源无关的人类活动</w:t>
      </w:r>
      <w:r>
        <w:rPr>
          <w:rFonts w:hint="eastAsia" w:ascii="宋体" w:hAnsi="宋体" w:cs="宋体"/>
          <w:color w:val="auto"/>
          <w:szCs w:val="21"/>
          <w:highlight w:val="none"/>
        </w:rPr>
        <w:t>及其他重点水域。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③监控对象</w:t>
      </w:r>
    </w:p>
    <w:p>
      <w:pPr>
        <w:spacing w:line="360" w:lineRule="auto"/>
        <w:ind w:firstLine="420" w:firstLineChars="200"/>
        <w:rPr>
          <w:rFonts w:ascii="宋体" w:hAnsi="宋体" w:cs="宋体"/>
          <w:szCs w:val="21"/>
        </w:rPr>
      </w:pPr>
      <w:r>
        <w:rPr>
          <w:rFonts w:hint="eastAsia" w:ascii="宋体" w:hAnsi="宋体" w:cs="宋体"/>
          <w:szCs w:val="21"/>
        </w:rPr>
        <w:t>电子围栏主要监控对象为非工作人员违规进入保护区范围。</w:t>
      </w:r>
    </w:p>
    <w:p>
      <w:pPr>
        <w:spacing w:line="360" w:lineRule="auto"/>
        <w:ind w:firstLine="420" w:firstLineChars="200"/>
        <w:rPr>
          <w:rFonts w:ascii="宋体" w:hAnsi="宋体" w:cs="宋体"/>
          <w:szCs w:val="21"/>
        </w:rPr>
      </w:pPr>
      <w:r>
        <w:rPr>
          <w:rFonts w:hint="eastAsia" w:ascii="宋体" w:hAnsi="宋体" w:cs="宋体"/>
          <w:szCs w:val="21"/>
        </w:rPr>
        <w:t>④监控场景</w:t>
      </w:r>
    </w:p>
    <w:p>
      <w:pPr>
        <w:spacing w:line="360" w:lineRule="auto"/>
        <w:ind w:firstLine="420" w:firstLineChars="200"/>
        <w:rPr>
          <w:rFonts w:ascii="宋体" w:hAnsi="宋体" w:cs="宋体"/>
          <w:szCs w:val="21"/>
        </w:rPr>
      </w:pPr>
      <w:r>
        <w:rPr>
          <w:rFonts w:hint="eastAsia" w:ascii="宋体" w:hAnsi="宋体" w:cs="宋体"/>
          <w:szCs w:val="21"/>
        </w:rPr>
        <w:t>★监控场景按实际情况可分为数据4G无线回传场景和数据有线VPN回传场景，投标人应承诺按业主要求在合适位置选用相应的视频监控设备。</w:t>
      </w:r>
    </w:p>
    <w:p>
      <w:pPr>
        <w:numPr>
          <w:ilvl w:val="0"/>
          <w:numId w:val="2"/>
        </w:numPr>
        <w:adjustRightInd w:val="0"/>
        <w:snapToGrid w:val="0"/>
        <w:spacing w:line="560" w:lineRule="exact"/>
        <w:ind w:left="1055"/>
        <w:rPr>
          <w:rFonts w:ascii="宋体" w:hAnsi="宋体" w:cs="宋体"/>
          <w:b/>
          <w:bCs/>
          <w:szCs w:val="21"/>
        </w:rPr>
      </w:pPr>
      <w:r>
        <w:rPr>
          <w:rFonts w:hint="eastAsia" w:ascii="宋体" w:hAnsi="宋体" w:cs="宋体"/>
          <w:b/>
          <w:bCs/>
          <w:kern w:val="0"/>
          <w:szCs w:val="21"/>
        </w:rPr>
        <w:t>警报处理及对接服务</w:t>
      </w:r>
    </w:p>
    <w:p>
      <w:pPr>
        <w:spacing w:line="360" w:lineRule="auto"/>
        <w:ind w:firstLine="420" w:firstLineChars="200"/>
        <w:rPr>
          <w:rFonts w:ascii="宋体" w:hAnsi="宋体" w:cs="宋体"/>
          <w:color w:val="auto"/>
          <w:kern w:val="0"/>
          <w:szCs w:val="21"/>
          <w:lang w:bidi="ar"/>
        </w:rPr>
      </w:pPr>
      <w:r>
        <w:rPr>
          <w:rFonts w:hint="eastAsia" w:ascii="宋体" w:hAnsi="宋体" w:cs="宋体"/>
          <w:color w:val="000000"/>
          <w:kern w:val="0"/>
          <w:szCs w:val="21"/>
          <w:lang w:bidi="ar"/>
        </w:rPr>
        <w:t>通过AI智算服务功能提供警报处理及相关功能，该服务功能要求实现包括站点分布图、站点信息查询、远程监管功能、查看实时视频、告警信息、告警信息处理、绘制</w:t>
      </w:r>
      <w:r>
        <w:rPr>
          <w:rFonts w:hint="eastAsia" w:ascii="宋体" w:hAnsi="宋体" w:cs="宋体"/>
          <w:color w:val="auto"/>
          <w:kern w:val="0"/>
          <w:szCs w:val="21"/>
          <w:lang w:bidi="ar"/>
        </w:rPr>
        <w:t>越界线以及告警分析报告等功能。具备移动端“浙政钉”应用，可通过移动端应用推送和处理告警信息，告警信息由系统平台通过移动端方式推送至相关管理人员，管理人对各个异常信息进行人为干预，处理完成后反馈核查处理情况，需要做到快速反应、快速处置。实现告警处理的闭环。</w:t>
      </w:r>
    </w:p>
    <w:p>
      <w:pPr>
        <w:spacing w:line="360" w:lineRule="auto"/>
        <w:ind w:firstLine="420" w:firstLineChars="200"/>
        <w:rPr>
          <w:rFonts w:ascii="宋体" w:hAnsi="宋体" w:cs="宋体"/>
          <w:color w:val="auto"/>
          <w:kern w:val="0"/>
          <w:szCs w:val="21"/>
          <w:lang w:bidi="ar"/>
        </w:rPr>
      </w:pPr>
      <w:r>
        <w:rPr>
          <w:rFonts w:hint="eastAsia" w:ascii="宋体" w:hAnsi="宋体" w:cs="宋体"/>
          <w:color w:val="auto"/>
          <w:szCs w:val="21"/>
        </w:rPr>
        <w:t>★</w:t>
      </w:r>
      <w:r>
        <w:rPr>
          <w:rFonts w:hint="eastAsia" w:ascii="宋体" w:hAnsi="宋体" w:cs="宋体"/>
          <w:color w:val="auto"/>
          <w:kern w:val="0"/>
          <w:szCs w:val="21"/>
          <w:lang w:bidi="ar"/>
        </w:rPr>
        <w:t>完成本系统与宁波市生态环境综合监管与协同平台的数据对接。</w:t>
      </w:r>
    </w:p>
    <w:p>
      <w:pPr>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根据业主需求，完成非本项目清单内水源地电子围栏数据的对接。</w:t>
      </w:r>
    </w:p>
    <w:p>
      <w:pPr>
        <w:numPr>
          <w:ilvl w:val="0"/>
          <w:numId w:val="2"/>
        </w:numPr>
        <w:adjustRightInd w:val="0"/>
        <w:snapToGrid w:val="0"/>
        <w:spacing w:line="560" w:lineRule="exact"/>
        <w:ind w:left="1055"/>
        <w:rPr>
          <w:rFonts w:ascii="宋体" w:hAnsi="宋体" w:cs="宋体"/>
          <w:b/>
          <w:bCs/>
          <w:color w:val="auto"/>
          <w:szCs w:val="21"/>
        </w:rPr>
      </w:pPr>
      <w:r>
        <w:rPr>
          <w:rFonts w:hint="eastAsia" w:ascii="宋体" w:hAnsi="宋体" w:cs="宋体"/>
          <w:b/>
          <w:bCs/>
          <w:color w:val="auto"/>
          <w:kern w:val="0"/>
          <w:szCs w:val="21"/>
        </w:rPr>
        <w:t>环境核查服务</w:t>
      </w:r>
    </w:p>
    <w:p>
      <w:pPr>
        <w:spacing w:line="360" w:lineRule="auto"/>
        <w:ind w:firstLine="420" w:firstLineChars="200"/>
        <w:rPr>
          <w:rFonts w:ascii="宋体" w:hAnsi="宋体" w:cs="宋体"/>
          <w:szCs w:val="21"/>
        </w:rPr>
      </w:pPr>
      <w:r>
        <w:rPr>
          <w:rFonts w:hint="eastAsia" w:ascii="宋体" w:hAnsi="宋体" w:cs="宋体"/>
          <w:color w:val="000000"/>
          <w:kern w:val="0"/>
          <w:szCs w:val="21"/>
          <w:lang w:bidi="ar"/>
        </w:rPr>
        <w:t>根据日常数据分析和招标方的要求，</w:t>
      </w:r>
      <w:r>
        <w:rPr>
          <w:rFonts w:hint="eastAsia" w:ascii="宋体" w:hAnsi="宋体" w:cs="宋体"/>
          <w:szCs w:val="21"/>
        </w:rPr>
        <w:t>通过无人机航飞巡查、遥感数据内业解译和人工现场核查相结合的方式，开展宁波市13个县级以上饮用水源地保护区范围内的风险源遥感解译及变化监测分析工作，完成特定类别信息提取、现场复核、报告制作等工作，提供相关报告、信息统计表和成果图件。</w:t>
      </w:r>
    </w:p>
    <w:p>
      <w:pPr>
        <w:numPr>
          <w:ilvl w:val="0"/>
          <w:numId w:val="2"/>
        </w:numPr>
        <w:adjustRightInd w:val="0"/>
        <w:snapToGrid w:val="0"/>
        <w:spacing w:line="560" w:lineRule="exact"/>
        <w:ind w:left="1055"/>
        <w:rPr>
          <w:rFonts w:ascii="宋体" w:hAnsi="宋体" w:cs="宋体"/>
          <w:b/>
          <w:szCs w:val="21"/>
        </w:rPr>
      </w:pPr>
      <w:r>
        <w:rPr>
          <w:rFonts w:hint="eastAsia" w:ascii="宋体" w:hAnsi="宋体" w:cs="宋体"/>
          <w:b/>
          <w:szCs w:val="21"/>
        </w:rPr>
        <w:t>数据运维服务</w:t>
      </w:r>
    </w:p>
    <w:p>
      <w:pPr>
        <w:spacing w:line="360" w:lineRule="auto"/>
        <w:ind w:firstLine="420" w:firstLineChars="200"/>
        <w:rPr>
          <w:rFonts w:ascii="宋体" w:hAnsi="宋体" w:cs="宋体"/>
          <w:szCs w:val="21"/>
        </w:rPr>
      </w:pPr>
      <w:r>
        <w:rPr>
          <w:rFonts w:hint="eastAsia" w:ascii="宋体" w:hAnsi="宋体" w:cs="宋体"/>
          <w:szCs w:val="21"/>
        </w:rPr>
        <w:t>根据采购方实际工作安排提供2名运维人员完成系统运行情况监控和问题发现处置服务，项目运维实施人员需包括常驻驻场服务人员和远程维护人员各1名。</w:t>
      </w:r>
    </w:p>
    <w:p>
      <w:pPr>
        <w:numPr>
          <w:ilvl w:val="0"/>
          <w:numId w:val="2"/>
        </w:numPr>
        <w:adjustRightInd w:val="0"/>
        <w:snapToGrid w:val="0"/>
        <w:spacing w:line="560" w:lineRule="exact"/>
        <w:ind w:left="1055"/>
        <w:rPr>
          <w:rFonts w:ascii="宋体" w:hAnsi="宋体" w:cs="宋体"/>
          <w:b/>
          <w:bCs/>
          <w:szCs w:val="21"/>
        </w:rPr>
      </w:pPr>
      <w:r>
        <w:rPr>
          <w:rFonts w:hint="eastAsia" w:ascii="宋体" w:hAnsi="宋体" w:cs="宋体"/>
          <w:b/>
          <w:bCs/>
          <w:kern w:val="0"/>
          <w:szCs w:val="21"/>
        </w:rPr>
        <w:t>数据传输</w:t>
      </w:r>
      <w:r>
        <w:rPr>
          <w:rFonts w:hint="eastAsia" w:ascii="宋体" w:hAnsi="宋体" w:cs="宋体"/>
          <w:b/>
          <w:bCs/>
          <w:szCs w:val="21"/>
        </w:rPr>
        <w:t>服务</w:t>
      </w:r>
    </w:p>
    <w:p>
      <w:pPr>
        <w:spacing w:line="360" w:lineRule="auto"/>
        <w:ind w:firstLine="420" w:firstLineChars="200"/>
        <w:rPr>
          <w:rFonts w:ascii="宋体" w:hAnsi="宋体" w:cs="宋体"/>
          <w:szCs w:val="21"/>
        </w:rPr>
      </w:pPr>
      <w:r>
        <w:rPr>
          <w:rFonts w:hint="eastAsia" w:ascii="宋体" w:hAnsi="宋体" w:cs="宋体"/>
          <w:szCs w:val="21"/>
        </w:rPr>
        <w:t>★根据实际服务场景不同，需提供足够数量的4G无线回传服务和有线VPN回传线路。</w:t>
      </w:r>
    </w:p>
    <w:p>
      <w:pPr>
        <w:pStyle w:val="283"/>
        <w:tabs>
          <w:tab w:val="left" w:pos="0"/>
          <w:tab w:val="left" w:pos="360"/>
          <w:tab w:val="clear" w:pos="860"/>
        </w:tabs>
        <w:spacing w:before="120" w:after="120"/>
        <w:rPr>
          <w:rFonts w:ascii="宋体" w:hAnsi="宋体" w:eastAsia="宋体" w:cs="宋体"/>
          <w:sz w:val="21"/>
          <w:szCs w:val="21"/>
        </w:rPr>
      </w:pPr>
      <w:r>
        <w:rPr>
          <w:rFonts w:hint="eastAsia" w:ascii="宋体" w:hAnsi="宋体" w:eastAsia="宋体" w:cs="宋体"/>
          <w:sz w:val="21"/>
          <w:szCs w:val="21"/>
        </w:rPr>
        <w:t>（四）拟采购服务区域清单</w:t>
      </w:r>
    </w:p>
    <w:p>
      <w:pPr>
        <w:spacing w:line="360" w:lineRule="auto"/>
        <w:ind w:firstLine="420" w:firstLineChars="200"/>
        <w:rPr>
          <w:rFonts w:ascii="宋体" w:hAnsi="宋体" w:cs="宋体"/>
          <w:szCs w:val="21"/>
        </w:rPr>
      </w:pPr>
      <w:r>
        <w:rPr>
          <w:rFonts w:hint="eastAsia" w:ascii="宋体" w:hAnsi="宋体" w:cs="宋体"/>
          <w:szCs w:val="21"/>
        </w:rPr>
        <w:t>本项目全面应用视频监控新技术和市内外其他相关领域先进做法，结合自动监测站运行保障和生态环保工作实际，强化顶层设计和系统衔接，突出经济实用和实战应用，以较小的投入实现监控预警目标，形成可复制、可推广的制度和经验。</w:t>
      </w:r>
    </w:p>
    <w:p>
      <w:pPr>
        <w:spacing w:line="360" w:lineRule="auto"/>
        <w:ind w:firstLine="420" w:firstLineChars="200"/>
        <w:rPr>
          <w:rFonts w:ascii="宋体" w:hAnsi="宋体" w:cs="宋体"/>
          <w:szCs w:val="21"/>
        </w:rPr>
      </w:pPr>
      <w:r>
        <w:rPr>
          <w:rFonts w:hint="eastAsia" w:ascii="宋体" w:hAnsi="宋体" w:cs="宋体"/>
          <w:szCs w:val="21"/>
        </w:rPr>
        <w:t>本项目要求提供电子围栏监测服务的区域清单如下：（具体点位由供应商在投标文件中确定）。</w:t>
      </w:r>
    </w:p>
    <w:tbl>
      <w:tblPr>
        <w:tblStyle w:val="44"/>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49"/>
        <w:gridCol w:w="1528"/>
        <w:gridCol w:w="2223"/>
        <w:gridCol w:w="1918"/>
        <w:gridCol w:w="1272"/>
        <w:gridCol w:w="12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6" w:hRule="atLeast"/>
          <w:tblHeader/>
          <w:jc w:val="center"/>
        </w:trPr>
        <w:tc>
          <w:tcPr>
            <w:tcW w:w="468" w:type="pct"/>
            <w:vAlign w:val="center"/>
          </w:tcPr>
          <w:p>
            <w:pPr>
              <w:pStyle w:val="392"/>
              <w:spacing w:before="0" w:beforeAutospacing="0" w:after="0" w:afterAutospacing="0" w:line="240" w:lineRule="atLeast"/>
              <w:rPr>
                <w:rFonts w:ascii="宋体" w:hAnsi="宋体" w:cs="宋体"/>
                <w:sz w:val="21"/>
                <w:szCs w:val="21"/>
                <w:lang w:val="zh-CN"/>
              </w:rPr>
            </w:pPr>
            <w:r>
              <w:rPr>
                <w:rFonts w:hint="eastAsia" w:ascii="宋体" w:hAnsi="宋体" w:cs="宋体"/>
                <w:sz w:val="21"/>
                <w:szCs w:val="21"/>
                <w:lang w:val="zh-CN"/>
              </w:rPr>
              <w:t>序号</w:t>
            </w:r>
          </w:p>
        </w:tc>
        <w:tc>
          <w:tcPr>
            <w:tcW w:w="842" w:type="pct"/>
            <w:vAlign w:val="center"/>
          </w:tcPr>
          <w:p>
            <w:pPr>
              <w:pStyle w:val="392"/>
              <w:spacing w:before="0" w:beforeAutospacing="0" w:after="0" w:afterAutospacing="0" w:line="240" w:lineRule="atLeast"/>
              <w:rPr>
                <w:rFonts w:ascii="宋体" w:hAnsi="宋体" w:cs="宋体"/>
                <w:sz w:val="21"/>
                <w:szCs w:val="21"/>
                <w:lang w:val="zh-CN"/>
              </w:rPr>
            </w:pPr>
            <w:r>
              <w:rPr>
                <w:rFonts w:hint="eastAsia" w:ascii="宋体" w:hAnsi="宋体" w:cs="宋体"/>
                <w:sz w:val="21"/>
                <w:szCs w:val="21"/>
                <w:lang w:val="zh-CN"/>
              </w:rPr>
              <w:t>区县（市）</w:t>
            </w:r>
          </w:p>
        </w:tc>
        <w:tc>
          <w:tcPr>
            <w:tcW w:w="1225" w:type="pct"/>
            <w:vAlign w:val="center"/>
          </w:tcPr>
          <w:p>
            <w:pPr>
              <w:pStyle w:val="392"/>
              <w:spacing w:before="0" w:beforeAutospacing="0" w:after="0" w:afterAutospacing="0" w:line="240" w:lineRule="atLeast"/>
              <w:rPr>
                <w:rFonts w:ascii="宋体" w:hAnsi="宋体" w:cs="宋体"/>
                <w:sz w:val="21"/>
                <w:szCs w:val="21"/>
                <w:lang w:val="zh-CN"/>
              </w:rPr>
            </w:pPr>
            <w:r>
              <w:rPr>
                <w:rFonts w:hint="eastAsia" w:ascii="宋体" w:hAnsi="宋体" w:cs="宋体"/>
                <w:sz w:val="21"/>
                <w:szCs w:val="21"/>
                <w:lang w:val="zh-CN"/>
              </w:rPr>
              <w:t>水源名称</w:t>
            </w:r>
          </w:p>
        </w:tc>
        <w:tc>
          <w:tcPr>
            <w:tcW w:w="1057" w:type="pct"/>
            <w:vAlign w:val="center"/>
          </w:tcPr>
          <w:p>
            <w:pPr>
              <w:pStyle w:val="392"/>
              <w:spacing w:before="0" w:beforeAutospacing="0" w:after="0" w:afterAutospacing="0" w:line="240" w:lineRule="atLeast"/>
              <w:rPr>
                <w:rFonts w:ascii="宋体" w:hAnsi="宋体" w:cs="宋体"/>
                <w:sz w:val="21"/>
                <w:szCs w:val="21"/>
                <w:lang w:val="zh-CN"/>
              </w:rPr>
            </w:pPr>
            <w:r>
              <w:rPr>
                <w:rFonts w:hint="eastAsia" w:ascii="宋体" w:hAnsi="宋体" w:cs="宋体"/>
                <w:sz w:val="21"/>
                <w:szCs w:val="21"/>
                <w:lang w:val="zh-CN"/>
              </w:rPr>
              <w:t>所在乡镇</w:t>
            </w:r>
          </w:p>
        </w:tc>
        <w:tc>
          <w:tcPr>
            <w:tcW w:w="701" w:type="pct"/>
            <w:vAlign w:val="center"/>
          </w:tcPr>
          <w:p>
            <w:pPr>
              <w:pStyle w:val="392"/>
              <w:spacing w:before="0" w:beforeAutospacing="0" w:after="0" w:afterAutospacing="0" w:line="240" w:lineRule="atLeast"/>
              <w:rPr>
                <w:rFonts w:ascii="宋体" w:hAnsi="宋体" w:cs="宋体"/>
                <w:sz w:val="21"/>
                <w:szCs w:val="21"/>
                <w:lang w:val="zh-CN"/>
              </w:rPr>
            </w:pPr>
            <w:r>
              <w:rPr>
                <w:rFonts w:hint="eastAsia" w:ascii="宋体" w:hAnsi="宋体" w:cs="宋体"/>
                <w:sz w:val="21"/>
                <w:szCs w:val="21"/>
                <w:lang w:val="zh-CN"/>
              </w:rPr>
              <w:t>水源类型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lang w:val="zh-CN"/>
              </w:rPr>
            </w:pPr>
            <w:r>
              <w:rPr>
                <w:rFonts w:hint="eastAsia" w:ascii="宋体" w:hAnsi="宋体" w:cs="宋体"/>
                <w:sz w:val="21"/>
                <w:szCs w:val="21"/>
                <w:lang w:val="zh-CN"/>
              </w:rPr>
              <w:t>水源等级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lang w:val="zh-CN"/>
              </w:rPr>
            </w:pPr>
            <w:r>
              <w:rPr>
                <w:rFonts w:hint="eastAsia" w:ascii="宋体" w:hAnsi="宋体" w:cs="宋体"/>
                <w:sz w:val="21"/>
                <w:szCs w:val="21"/>
                <w:lang w:val="zh-CN"/>
              </w:rPr>
              <w:t>1</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海曙区</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皎口-周公宅水库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章水镇</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市级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2</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奉化区</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亭下水库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溪口镇</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市级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3</w:t>
            </w:r>
          </w:p>
        </w:tc>
        <w:tc>
          <w:tcPr>
            <w:tcW w:w="842" w:type="pct"/>
            <w:vAlign w:val="center"/>
          </w:tcPr>
          <w:p>
            <w:pPr>
              <w:pStyle w:val="392"/>
              <w:spacing w:before="0" w:beforeAutospacing="0" w:after="0" w:afterAutospacing="0" w:line="240" w:lineRule="atLeast"/>
              <w:rPr>
                <w:rFonts w:ascii="宋体" w:hAnsi="宋体" w:cs="宋体"/>
                <w:color w:val="FF0000"/>
                <w:sz w:val="21"/>
                <w:szCs w:val="21"/>
              </w:rPr>
            </w:pPr>
            <w:r>
              <w:rPr>
                <w:rFonts w:hint="eastAsia" w:ascii="宋体" w:hAnsi="宋体" w:cs="宋体"/>
                <w:sz w:val="21"/>
                <w:szCs w:val="21"/>
              </w:rPr>
              <w:t>奉化区</w:t>
            </w:r>
          </w:p>
        </w:tc>
        <w:tc>
          <w:tcPr>
            <w:tcW w:w="1225" w:type="pct"/>
            <w:vAlign w:val="center"/>
          </w:tcPr>
          <w:p>
            <w:pPr>
              <w:pStyle w:val="392"/>
              <w:spacing w:before="0" w:beforeAutospacing="0" w:after="0" w:afterAutospacing="0" w:line="240" w:lineRule="atLeast"/>
              <w:rPr>
                <w:rFonts w:ascii="宋体" w:hAnsi="宋体" w:cs="宋体"/>
                <w:color w:val="FF0000"/>
                <w:sz w:val="21"/>
                <w:szCs w:val="21"/>
              </w:rPr>
            </w:pPr>
            <w:r>
              <w:rPr>
                <w:rFonts w:hint="eastAsia" w:ascii="宋体" w:hAnsi="宋体" w:cs="宋体"/>
                <w:sz w:val="21"/>
                <w:szCs w:val="21"/>
              </w:rPr>
              <w:t>横山水库</w:t>
            </w:r>
          </w:p>
        </w:tc>
        <w:tc>
          <w:tcPr>
            <w:tcW w:w="1057" w:type="pct"/>
            <w:vAlign w:val="center"/>
          </w:tcPr>
          <w:p>
            <w:pPr>
              <w:pStyle w:val="392"/>
              <w:spacing w:before="0" w:beforeAutospacing="0" w:after="0" w:afterAutospacing="0" w:line="240" w:lineRule="atLeast"/>
              <w:rPr>
                <w:rFonts w:ascii="宋体" w:hAnsi="宋体" w:cs="宋体"/>
                <w:color w:val="FF0000"/>
                <w:sz w:val="21"/>
                <w:szCs w:val="21"/>
              </w:rPr>
            </w:pPr>
            <w:r>
              <w:rPr>
                <w:rFonts w:hint="eastAsia" w:ascii="宋体" w:hAnsi="宋体" w:cs="宋体"/>
                <w:sz w:val="21"/>
                <w:szCs w:val="21"/>
              </w:rPr>
              <w:t>尚田街道</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市级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4</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余姚市</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四明湖水库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梁弄镇</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县级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5</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余姚市</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双溪口水库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大隐镇</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县级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6</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余姚市</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梁辉水库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梨洲街道</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县级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7</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余姚市</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陆埠水库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陆埠镇</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县级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8</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慈溪市</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上林湖水库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匡堰镇</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县级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9</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宁海县</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白溪水库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岔路镇</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市级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10</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宁海县</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西溪（黄坛）水库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黄坛镇</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县级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11</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象山县</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仓岙水库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墙头镇</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县级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12</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象山县</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溪口水库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茅洋乡</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县级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 w:hRule="atLeast"/>
          <w:jc w:val="center"/>
        </w:trPr>
        <w:tc>
          <w:tcPr>
            <w:tcW w:w="468"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13</w:t>
            </w:r>
          </w:p>
        </w:tc>
        <w:tc>
          <w:tcPr>
            <w:tcW w:w="842"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象山县</w:t>
            </w:r>
          </w:p>
        </w:tc>
        <w:tc>
          <w:tcPr>
            <w:tcW w:w="1225"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上张-隔溪张水库</w:t>
            </w:r>
          </w:p>
        </w:tc>
        <w:tc>
          <w:tcPr>
            <w:tcW w:w="1057"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西周镇</w:t>
            </w:r>
          </w:p>
        </w:tc>
        <w:tc>
          <w:tcPr>
            <w:tcW w:w="701" w:type="pct"/>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湖库型</w:t>
            </w:r>
          </w:p>
        </w:tc>
        <w:tc>
          <w:tcPr>
            <w:tcW w:w="704" w:type="pct"/>
            <w:tcBorders>
              <w:right w:val="single" w:color="auto" w:sz="4" w:space="0"/>
            </w:tcBorders>
            <w:vAlign w:val="center"/>
          </w:tcPr>
          <w:p>
            <w:pPr>
              <w:pStyle w:val="392"/>
              <w:spacing w:before="0" w:beforeAutospacing="0" w:after="0" w:afterAutospacing="0" w:line="240" w:lineRule="atLeast"/>
              <w:rPr>
                <w:rFonts w:ascii="宋体" w:hAnsi="宋体" w:cs="宋体"/>
                <w:sz w:val="21"/>
                <w:szCs w:val="21"/>
              </w:rPr>
            </w:pPr>
            <w:r>
              <w:rPr>
                <w:rFonts w:hint="eastAsia" w:ascii="宋体" w:hAnsi="宋体" w:cs="宋体"/>
                <w:sz w:val="21"/>
                <w:szCs w:val="21"/>
              </w:rPr>
              <w:t>县级</w:t>
            </w:r>
          </w:p>
        </w:tc>
      </w:tr>
    </w:tbl>
    <w:p>
      <w:pPr>
        <w:spacing w:line="360" w:lineRule="auto"/>
        <w:rPr>
          <w:rFonts w:ascii="宋体" w:hAnsi="宋体" w:cs="宋体"/>
          <w:szCs w:val="21"/>
        </w:rPr>
      </w:pPr>
    </w:p>
    <w:p>
      <w:pPr>
        <w:pStyle w:val="283"/>
        <w:tabs>
          <w:tab w:val="left" w:pos="0"/>
          <w:tab w:val="left" w:pos="360"/>
          <w:tab w:val="clear" w:pos="860"/>
        </w:tabs>
        <w:spacing w:before="120" w:after="120"/>
        <w:rPr>
          <w:rFonts w:ascii="宋体" w:hAnsi="宋体" w:eastAsia="宋体" w:cs="宋体"/>
          <w:sz w:val="21"/>
          <w:szCs w:val="21"/>
        </w:rPr>
      </w:pPr>
      <w:r>
        <w:rPr>
          <w:rFonts w:hint="eastAsia" w:ascii="宋体" w:hAnsi="宋体" w:eastAsia="宋体" w:cs="宋体"/>
          <w:sz w:val="21"/>
          <w:szCs w:val="21"/>
        </w:rPr>
        <w:t>（五）为满足本项目服务要求的主要技术参数及服务要求</w:t>
      </w:r>
    </w:p>
    <w:p>
      <w:pPr>
        <w:pStyle w:val="189"/>
        <w:tabs>
          <w:tab w:val="left" w:pos="0"/>
          <w:tab w:val="clear" w:pos="720"/>
          <w:tab w:val="clear" w:pos="1740"/>
        </w:tabs>
        <w:spacing w:before="120" w:after="120"/>
        <w:ind w:left="0" w:firstLine="422" w:firstLineChars="200"/>
        <w:rPr>
          <w:rFonts w:ascii="宋体" w:hAnsi="宋体" w:eastAsia="宋体" w:cs="宋体"/>
          <w:sz w:val="21"/>
          <w:szCs w:val="21"/>
        </w:rPr>
      </w:pPr>
      <w:r>
        <w:rPr>
          <w:rFonts w:hint="eastAsia" w:ascii="宋体" w:hAnsi="宋体" w:eastAsia="宋体" w:cs="宋体"/>
          <w:sz w:val="21"/>
          <w:szCs w:val="21"/>
        </w:rPr>
        <w:t>1、整体技术规范</w:t>
      </w:r>
    </w:p>
    <w:p>
      <w:pPr>
        <w:pStyle w:val="391"/>
        <w:spacing w:before="120"/>
        <w:ind w:firstLine="420"/>
        <w:rPr>
          <w:rFonts w:cs="宋体"/>
          <w:sz w:val="21"/>
          <w:szCs w:val="21"/>
        </w:rPr>
      </w:pPr>
      <w:r>
        <w:rPr>
          <w:rFonts w:hint="eastAsia" w:cs="宋体"/>
          <w:sz w:val="21"/>
          <w:szCs w:val="21"/>
        </w:rPr>
        <w:t>（</w:t>
      </w:r>
      <w:r>
        <w:rPr>
          <w:rFonts w:hint="eastAsia" w:cs="宋体"/>
          <w:sz w:val="21"/>
          <w:szCs w:val="21"/>
          <w:lang w:val="en-US"/>
        </w:rPr>
        <w:t>1</w:t>
      </w:r>
      <w:r>
        <w:rPr>
          <w:rFonts w:hint="eastAsia" w:cs="宋体"/>
          <w:sz w:val="21"/>
          <w:szCs w:val="21"/>
        </w:rPr>
        <w:t>）系统设备安装（包括所使用的设备、材料、</w:t>
      </w:r>
      <w:r>
        <w:rPr>
          <w:rFonts w:hint="eastAsia" w:cs="宋体"/>
          <w:sz w:val="21"/>
          <w:szCs w:val="21"/>
          <w:lang w:val="en-US"/>
        </w:rPr>
        <w:t>布线</w:t>
      </w:r>
      <w:r>
        <w:rPr>
          <w:rFonts w:hint="eastAsia" w:cs="宋体"/>
          <w:sz w:val="21"/>
          <w:szCs w:val="21"/>
        </w:rPr>
        <w:t>方法、安装工艺、调试开通等）必须符合国家、行业法规和规范要求。</w:t>
      </w:r>
    </w:p>
    <w:p>
      <w:pPr>
        <w:pStyle w:val="391"/>
        <w:spacing w:before="120"/>
        <w:ind w:firstLine="420"/>
        <w:rPr>
          <w:rFonts w:cs="宋体"/>
          <w:sz w:val="21"/>
          <w:szCs w:val="21"/>
        </w:rPr>
      </w:pPr>
      <w:r>
        <w:rPr>
          <w:rFonts w:hint="eastAsia" w:cs="宋体"/>
          <w:sz w:val="21"/>
          <w:szCs w:val="21"/>
        </w:rPr>
        <w:t>（</w:t>
      </w:r>
      <w:r>
        <w:rPr>
          <w:rFonts w:hint="eastAsia" w:cs="宋体"/>
          <w:sz w:val="21"/>
          <w:szCs w:val="21"/>
          <w:lang w:val="en-US"/>
        </w:rPr>
        <w:t>2</w:t>
      </w:r>
      <w:r>
        <w:rPr>
          <w:rFonts w:hint="eastAsia" w:cs="宋体"/>
          <w:sz w:val="21"/>
          <w:szCs w:val="21"/>
        </w:rPr>
        <w:t>）提供的设备、配件的生产厂家必须是信誉可靠，技术先进并经国家有关部门批准在中国境内合法使用的，并提供随机资料。其他附件及材料必须符合国家有关标准。</w:t>
      </w:r>
    </w:p>
    <w:p>
      <w:pPr>
        <w:pStyle w:val="391"/>
        <w:spacing w:before="120"/>
        <w:ind w:firstLine="420"/>
        <w:rPr>
          <w:rFonts w:cs="宋体"/>
          <w:sz w:val="21"/>
          <w:szCs w:val="21"/>
          <w:lang w:val="en-US"/>
        </w:rPr>
      </w:pPr>
      <w:r>
        <w:rPr>
          <w:rFonts w:hint="eastAsia" w:cs="宋体"/>
          <w:sz w:val="21"/>
          <w:szCs w:val="21"/>
          <w:lang w:val="en-US"/>
        </w:rPr>
        <w:t>采用高清摄像头，提供精准侦测、报警、联动跟踪，可方便实现电子围栏区域设置可通过智能算法有效剔除飞鸟、动物、树叶等干扰，可针对1公里的100m×100m的范围进行电子围栏识别；识别物体的大小不小于0.5m×0.5m。具备声光警戒功能，内置扬声器，声音内容可自定义。可通过人脸识别、移动端和管理系统三种方式进行电子围栏功能的开启或关闭。管理系统具有远程监管、查看实时视频、人员越界告警、绘制越界线以及告警分析报告等功能。</w:t>
      </w:r>
    </w:p>
    <w:p>
      <w:pPr>
        <w:pStyle w:val="391"/>
        <w:spacing w:before="120"/>
        <w:ind w:firstLine="420"/>
        <w:rPr>
          <w:rFonts w:cs="宋体"/>
          <w:sz w:val="21"/>
          <w:szCs w:val="21"/>
          <w:lang w:val="en-US"/>
        </w:rPr>
      </w:pPr>
      <w:r>
        <w:rPr>
          <w:rFonts w:hint="eastAsia" w:cs="宋体"/>
          <w:sz w:val="21"/>
          <w:szCs w:val="21"/>
          <w:lang w:val="en-US"/>
        </w:rPr>
        <w:t>所有监测设施需满足30天的视频存储。</w:t>
      </w:r>
    </w:p>
    <w:p>
      <w:pPr>
        <w:pStyle w:val="189"/>
        <w:tabs>
          <w:tab w:val="left" w:pos="0"/>
          <w:tab w:val="clear" w:pos="720"/>
          <w:tab w:val="clear" w:pos="1740"/>
        </w:tabs>
        <w:spacing w:before="120" w:after="120"/>
        <w:rPr>
          <w:rFonts w:ascii="宋体" w:hAnsi="宋体" w:eastAsia="宋体" w:cs="宋体"/>
          <w:sz w:val="21"/>
          <w:szCs w:val="21"/>
        </w:rPr>
      </w:pPr>
      <w:r>
        <w:rPr>
          <w:rFonts w:hint="eastAsia" w:ascii="宋体" w:hAnsi="宋体" w:eastAsia="宋体" w:cs="宋体"/>
          <w:sz w:val="21"/>
          <w:szCs w:val="21"/>
        </w:rPr>
        <w:t>2、视频监控服</w:t>
      </w:r>
      <w:r>
        <w:rPr>
          <w:rFonts w:hint="eastAsia" w:ascii="宋体" w:hAnsi="宋体" w:eastAsia="宋体" w:cs="宋体"/>
          <w:color w:val="auto"/>
          <w:sz w:val="21"/>
          <w:szCs w:val="21"/>
        </w:rPr>
        <w:t>务功能所需设备及服务要求</w:t>
      </w:r>
    </w:p>
    <w:tbl>
      <w:tblPr>
        <w:tblStyle w:val="44"/>
        <w:tblpPr w:leftFromText="180" w:rightFromText="180" w:vertAnchor="text" w:horzAnchor="page" w:tblpX="1780" w:tblpY="305"/>
        <w:tblOverlap w:val="never"/>
        <w:tblW w:w="4799" w:type="pct"/>
        <w:tblInd w:w="0" w:type="dxa"/>
        <w:tblLayout w:type="autofit"/>
        <w:tblCellMar>
          <w:top w:w="0" w:type="dxa"/>
          <w:left w:w="108" w:type="dxa"/>
          <w:bottom w:w="0" w:type="dxa"/>
          <w:right w:w="108" w:type="dxa"/>
        </w:tblCellMar>
      </w:tblPr>
      <w:tblGrid>
        <w:gridCol w:w="1698"/>
        <w:gridCol w:w="2791"/>
        <w:gridCol w:w="932"/>
        <w:gridCol w:w="1084"/>
        <w:gridCol w:w="2202"/>
      </w:tblGrid>
      <w:tr>
        <w:tblPrEx>
          <w:tblCellMar>
            <w:top w:w="0" w:type="dxa"/>
            <w:left w:w="108" w:type="dxa"/>
            <w:bottom w:w="0" w:type="dxa"/>
            <w:right w:w="108" w:type="dxa"/>
          </w:tblCellMar>
        </w:tblPrEx>
        <w:trPr>
          <w:trHeight w:val="315" w:hRule="atLeast"/>
        </w:trPr>
        <w:tc>
          <w:tcPr>
            <w:tcW w:w="9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服务内容</w:t>
            </w:r>
          </w:p>
        </w:tc>
        <w:tc>
          <w:tcPr>
            <w:tcW w:w="16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产品名称</w:t>
            </w:r>
          </w:p>
        </w:tc>
        <w:tc>
          <w:tcPr>
            <w:tcW w:w="5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6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12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189" w:hRule="atLeast"/>
        </w:trPr>
        <w:tc>
          <w:tcPr>
            <w:tcW w:w="97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视频监控数据服务</w:t>
            </w:r>
          </w:p>
        </w:tc>
        <w:tc>
          <w:tcPr>
            <w:tcW w:w="16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普通高清监控摄像机</w:t>
            </w:r>
          </w:p>
        </w:tc>
        <w:tc>
          <w:tcPr>
            <w:tcW w:w="535" w:type="pct"/>
            <w:vMerge w:val="restart"/>
            <w:tcBorders>
              <w:top w:val="nil"/>
              <w:left w:val="nil"/>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c>
          <w:tcPr>
            <w:tcW w:w="622" w:type="pct"/>
            <w:vMerge w:val="restart"/>
            <w:tcBorders>
              <w:top w:val="nil"/>
              <w:left w:val="nil"/>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200</w:t>
            </w:r>
          </w:p>
        </w:tc>
        <w:tc>
          <w:tcPr>
            <w:tcW w:w="1264" w:type="pct"/>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kern w:val="0"/>
                <w:szCs w:val="21"/>
              </w:rPr>
              <w:t>根据不同场景经业主确认后按需配置数量。</w:t>
            </w:r>
          </w:p>
        </w:tc>
      </w:tr>
      <w:tr>
        <w:tblPrEx>
          <w:tblCellMar>
            <w:top w:w="0" w:type="dxa"/>
            <w:left w:w="108" w:type="dxa"/>
            <w:bottom w:w="0" w:type="dxa"/>
            <w:right w:w="108" w:type="dxa"/>
          </w:tblCellMar>
        </w:tblPrEx>
        <w:trPr>
          <w:trHeight w:val="155" w:hRule="atLeast"/>
        </w:trPr>
        <w:tc>
          <w:tcPr>
            <w:tcW w:w="975"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6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高清周界摄像机</w:t>
            </w:r>
          </w:p>
        </w:tc>
        <w:tc>
          <w:tcPr>
            <w:tcW w:w="535" w:type="pct"/>
            <w:vMerge w:val="continue"/>
            <w:tcBorders>
              <w:left w:val="nil"/>
              <w:right w:val="single" w:color="auto" w:sz="4" w:space="0"/>
            </w:tcBorders>
            <w:shd w:val="clear" w:color="auto" w:fill="auto"/>
            <w:noWrap/>
            <w:vAlign w:val="center"/>
          </w:tcPr>
          <w:p>
            <w:pPr>
              <w:jc w:val="center"/>
              <w:rPr>
                <w:rFonts w:ascii="宋体" w:hAnsi="宋体" w:cs="宋体"/>
                <w:color w:val="000000"/>
                <w:kern w:val="0"/>
                <w:szCs w:val="21"/>
              </w:rPr>
            </w:pPr>
          </w:p>
        </w:tc>
        <w:tc>
          <w:tcPr>
            <w:tcW w:w="622" w:type="pct"/>
            <w:vMerge w:val="continue"/>
            <w:tcBorders>
              <w:left w:val="nil"/>
              <w:right w:val="single" w:color="auto" w:sz="4" w:space="0"/>
            </w:tcBorders>
            <w:shd w:val="clear" w:color="auto" w:fill="auto"/>
            <w:noWrap/>
            <w:vAlign w:val="center"/>
          </w:tcPr>
          <w:p>
            <w:pPr>
              <w:jc w:val="center"/>
              <w:rPr>
                <w:rFonts w:ascii="宋体" w:hAnsi="宋体" w:cs="宋体"/>
                <w:color w:val="000000"/>
                <w:kern w:val="0"/>
                <w:szCs w:val="21"/>
              </w:rPr>
            </w:pPr>
          </w:p>
        </w:tc>
        <w:tc>
          <w:tcPr>
            <w:tcW w:w="1264" w:type="pct"/>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171" w:hRule="atLeast"/>
        </w:trPr>
        <w:tc>
          <w:tcPr>
            <w:tcW w:w="975" w:type="pct"/>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6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常规监控摄像机</w:t>
            </w:r>
          </w:p>
        </w:tc>
        <w:tc>
          <w:tcPr>
            <w:tcW w:w="535" w:type="pct"/>
            <w:vMerge w:val="continue"/>
            <w:tcBorders>
              <w:left w:val="nil"/>
              <w:right w:val="single" w:color="auto" w:sz="4" w:space="0"/>
            </w:tcBorders>
            <w:shd w:val="clear" w:color="auto" w:fill="auto"/>
            <w:noWrap/>
            <w:vAlign w:val="center"/>
          </w:tcPr>
          <w:p>
            <w:pPr>
              <w:jc w:val="center"/>
              <w:rPr>
                <w:rFonts w:ascii="宋体" w:hAnsi="宋体" w:cs="宋体"/>
                <w:color w:val="000000"/>
                <w:kern w:val="0"/>
                <w:szCs w:val="21"/>
              </w:rPr>
            </w:pPr>
          </w:p>
        </w:tc>
        <w:tc>
          <w:tcPr>
            <w:tcW w:w="622" w:type="pct"/>
            <w:vMerge w:val="continue"/>
            <w:tcBorders>
              <w:left w:val="nil"/>
              <w:right w:val="single" w:color="auto" w:sz="4" w:space="0"/>
            </w:tcBorders>
            <w:shd w:val="clear" w:color="auto" w:fill="auto"/>
            <w:noWrap/>
            <w:vAlign w:val="center"/>
          </w:tcPr>
          <w:p>
            <w:pPr>
              <w:jc w:val="center"/>
              <w:rPr>
                <w:rFonts w:ascii="宋体" w:hAnsi="宋体" w:cs="宋体"/>
                <w:color w:val="000000"/>
                <w:kern w:val="0"/>
                <w:szCs w:val="21"/>
              </w:rPr>
            </w:pPr>
          </w:p>
        </w:tc>
        <w:tc>
          <w:tcPr>
            <w:tcW w:w="1264" w:type="pct"/>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137" w:hRule="atLeast"/>
        </w:trPr>
        <w:tc>
          <w:tcPr>
            <w:tcW w:w="97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6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高位全景AI监控摄像机</w:t>
            </w:r>
          </w:p>
        </w:tc>
        <w:tc>
          <w:tcPr>
            <w:tcW w:w="535" w:type="pct"/>
            <w:vMerge w:val="continue"/>
            <w:tcBorders>
              <w:left w:val="nil"/>
              <w:right w:val="single" w:color="auto" w:sz="4" w:space="0"/>
            </w:tcBorders>
            <w:shd w:val="clear" w:color="auto" w:fill="auto"/>
            <w:noWrap/>
            <w:vAlign w:val="center"/>
          </w:tcPr>
          <w:p>
            <w:pPr>
              <w:widowControl/>
              <w:jc w:val="center"/>
              <w:rPr>
                <w:rFonts w:ascii="宋体" w:hAnsi="宋体" w:cs="宋体"/>
                <w:color w:val="000000"/>
                <w:kern w:val="0"/>
                <w:szCs w:val="21"/>
              </w:rPr>
            </w:pPr>
          </w:p>
        </w:tc>
        <w:tc>
          <w:tcPr>
            <w:tcW w:w="622" w:type="pct"/>
            <w:vMerge w:val="continue"/>
            <w:tcBorders>
              <w:left w:val="nil"/>
              <w:right w:val="single" w:color="auto" w:sz="4" w:space="0"/>
            </w:tcBorders>
            <w:shd w:val="clear" w:color="auto" w:fill="auto"/>
            <w:noWrap/>
            <w:vAlign w:val="center"/>
          </w:tcPr>
          <w:p>
            <w:pPr>
              <w:widowControl/>
              <w:jc w:val="center"/>
              <w:rPr>
                <w:rFonts w:ascii="宋体" w:hAnsi="宋体" w:cs="宋体"/>
                <w:color w:val="000000"/>
                <w:kern w:val="0"/>
                <w:szCs w:val="21"/>
              </w:rPr>
            </w:pPr>
          </w:p>
        </w:tc>
        <w:tc>
          <w:tcPr>
            <w:tcW w:w="1264" w:type="pct"/>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139" w:hRule="atLeast"/>
        </w:trPr>
        <w:tc>
          <w:tcPr>
            <w:tcW w:w="97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6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双光人脸警戒变焦枪型网络摄像机</w:t>
            </w:r>
          </w:p>
        </w:tc>
        <w:tc>
          <w:tcPr>
            <w:tcW w:w="535" w:type="pct"/>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p>
        </w:tc>
        <w:tc>
          <w:tcPr>
            <w:tcW w:w="622" w:type="pct"/>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p>
        </w:tc>
        <w:tc>
          <w:tcPr>
            <w:tcW w:w="1264"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97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6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热成像监控摄像机</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c>
          <w:tcPr>
            <w:tcW w:w="6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2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505" w:hRule="atLeast"/>
        </w:trPr>
        <w:tc>
          <w:tcPr>
            <w:tcW w:w="97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6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雷球监控摄像机</w:t>
            </w:r>
          </w:p>
        </w:tc>
        <w:tc>
          <w:tcPr>
            <w:tcW w:w="5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c>
          <w:tcPr>
            <w:tcW w:w="6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2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bl>
    <w:p>
      <w:pPr>
        <w:pStyle w:val="255"/>
        <w:tabs>
          <w:tab w:val="left" w:pos="0"/>
          <w:tab w:val="left" w:pos="360"/>
          <w:tab w:val="clear" w:pos="2160"/>
        </w:tabs>
        <w:spacing w:before="156"/>
        <w:rPr>
          <w:rFonts w:ascii="宋体" w:hAnsi="宋体" w:eastAsia="宋体" w:cs="宋体"/>
          <w:sz w:val="21"/>
          <w:szCs w:val="21"/>
        </w:rPr>
      </w:pPr>
      <w:r>
        <w:rPr>
          <w:rFonts w:hint="eastAsia" w:ascii="宋体" w:hAnsi="宋体" w:eastAsia="宋体" w:cs="宋体"/>
          <w:sz w:val="21"/>
          <w:szCs w:val="21"/>
        </w:rPr>
        <w:t>服务设备主要技术参数要求</w:t>
      </w:r>
    </w:p>
    <w:tbl>
      <w:tblPr>
        <w:tblStyle w:val="45"/>
        <w:tblW w:w="8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1272"/>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rPr>
                <w:rFonts w:ascii="宋体" w:hAnsi="宋体" w:cs="宋体"/>
                <w:b/>
                <w:color w:val="000000"/>
                <w:kern w:val="0"/>
                <w:szCs w:val="21"/>
              </w:rPr>
            </w:pPr>
            <w:r>
              <w:rPr>
                <w:rFonts w:hint="eastAsia" w:ascii="宋体" w:hAnsi="宋体" w:cs="宋体"/>
                <w:b/>
                <w:color w:val="000000"/>
                <w:kern w:val="0"/>
                <w:szCs w:val="21"/>
              </w:rPr>
              <w:t>序号</w:t>
            </w:r>
          </w:p>
        </w:tc>
        <w:tc>
          <w:tcPr>
            <w:tcW w:w="1272" w:type="dxa"/>
            <w:vAlign w:val="center"/>
          </w:tcPr>
          <w:p>
            <w:pPr>
              <w:jc w:val="center"/>
              <w:rPr>
                <w:rFonts w:ascii="宋体" w:hAnsi="宋体" w:cs="宋体"/>
                <w:b/>
                <w:color w:val="000000"/>
                <w:kern w:val="0"/>
                <w:szCs w:val="21"/>
              </w:rPr>
            </w:pPr>
            <w:r>
              <w:rPr>
                <w:rFonts w:hint="eastAsia" w:ascii="宋体" w:hAnsi="宋体" w:cs="宋体"/>
                <w:b/>
                <w:color w:val="000000"/>
                <w:kern w:val="0"/>
                <w:szCs w:val="21"/>
              </w:rPr>
              <w:t>设备名称</w:t>
            </w:r>
          </w:p>
        </w:tc>
        <w:tc>
          <w:tcPr>
            <w:tcW w:w="6379" w:type="dxa"/>
            <w:vAlign w:val="center"/>
          </w:tcPr>
          <w:p>
            <w:pPr>
              <w:jc w:val="center"/>
              <w:rPr>
                <w:rFonts w:ascii="宋体" w:hAnsi="宋体" w:cs="宋体"/>
                <w:b/>
                <w:kern w:val="0"/>
                <w:szCs w:val="21"/>
              </w:rPr>
            </w:pPr>
            <w:r>
              <w:rPr>
                <w:rFonts w:hint="eastAsia" w:ascii="宋体" w:hAnsi="宋体" w:cs="宋体"/>
                <w:b/>
                <w:kern w:val="0"/>
                <w:szCs w:val="21"/>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7" w:hRule="atLeast"/>
        </w:trPr>
        <w:tc>
          <w:tcPr>
            <w:tcW w:w="708" w:type="dxa"/>
            <w:tcBorders>
              <w:bottom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1272" w:type="dxa"/>
            <w:tcBorders>
              <w:bottom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普通高清监控摄像机</w:t>
            </w:r>
          </w:p>
        </w:tc>
        <w:tc>
          <w:tcPr>
            <w:tcW w:w="6379" w:type="dxa"/>
            <w:tcBorders>
              <w:bottom w:val="single" w:color="auto" w:sz="4" w:space="0"/>
            </w:tcBorders>
            <w:vAlign w:val="center"/>
          </w:tcPr>
          <w:p>
            <w:pPr>
              <w:rPr>
                <w:rFonts w:ascii="宋体" w:hAnsi="宋体" w:cs="宋体"/>
                <w:kern w:val="0"/>
                <w:szCs w:val="21"/>
              </w:rPr>
            </w:pPr>
            <w:r>
              <w:rPr>
                <w:rFonts w:hint="eastAsia" w:ascii="宋体" w:hAnsi="宋体" w:cs="宋体"/>
                <w:kern w:val="0"/>
                <w:szCs w:val="21"/>
              </w:rPr>
              <w:t>传感器类型：1/2.8英寸CMOS；</w:t>
            </w:r>
          </w:p>
          <w:p>
            <w:pPr>
              <w:rPr>
                <w:rFonts w:ascii="宋体" w:hAnsi="宋体" w:cs="宋体"/>
                <w:kern w:val="0"/>
                <w:szCs w:val="21"/>
              </w:rPr>
            </w:pPr>
            <w:r>
              <w:rPr>
                <w:rFonts w:hint="eastAsia" w:ascii="宋体" w:hAnsi="宋体" w:cs="宋体"/>
                <w:kern w:val="0"/>
                <w:szCs w:val="21"/>
              </w:rPr>
              <w:t>像素：200万；</w:t>
            </w:r>
          </w:p>
          <w:p>
            <w:pPr>
              <w:rPr>
                <w:rFonts w:ascii="宋体" w:hAnsi="宋体" w:cs="宋体"/>
                <w:kern w:val="0"/>
                <w:szCs w:val="21"/>
              </w:rPr>
            </w:pPr>
            <w:r>
              <w:rPr>
                <w:rFonts w:hint="eastAsia" w:ascii="宋体" w:hAnsi="宋体" w:cs="宋体"/>
                <w:kern w:val="0"/>
                <w:szCs w:val="21"/>
              </w:rPr>
              <w:t>最大分辨率：1920×1080；</w:t>
            </w:r>
          </w:p>
          <w:p>
            <w:pPr>
              <w:rPr>
                <w:rFonts w:ascii="宋体" w:hAnsi="宋体" w:cs="宋体"/>
                <w:kern w:val="0"/>
                <w:szCs w:val="21"/>
              </w:rPr>
            </w:pPr>
            <w:r>
              <w:rPr>
                <w:rFonts w:hint="eastAsia" w:ascii="宋体" w:hAnsi="宋体" w:cs="宋体"/>
                <w:kern w:val="0"/>
                <w:szCs w:val="21"/>
              </w:rPr>
              <w:t>最低照度：0.002Lux（彩色模式）;0.0002Lux（黑白模式）;0Lux（补光灯开启）；</w:t>
            </w:r>
          </w:p>
          <w:p>
            <w:pPr>
              <w:rPr>
                <w:rFonts w:ascii="宋体" w:hAnsi="宋体" w:cs="宋体"/>
                <w:kern w:val="0"/>
                <w:szCs w:val="21"/>
              </w:rPr>
            </w:pPr>
            <w:r>
              <w:rPr>
                <w:rFonts w:hint="eastAsia" w:ascii="宋体" w:hAnsi="宋体" w:cs="宋体"/>
                <w:kern w:val="0"/>
                <w:szCs w:val="21"/>
              </w:rPr>
              <w:t>最大补光距离：50m（红外）；</w:t>
            </w:r>
          </w:p>
          <w:p>
            <w:pPr>
              <w:rPr>
                <w:rFonts w:ascii="宋体" w:hAnsi="宋体" w:cs="宋体"/>
                <w:kern w:val="0"/>
                <w:szCs w:val="21"/>
              </w:rPr>
            </w:pPr>
            <w:r>
              <w:rPr>
                <w:rFonts w:hint="eastAsia" w:ascii="宋体" w:hAnsi="宋体" w:cs="宋体"/>
                <w:kern w:val="0"/>
                <w:szCs w:val="21"/>
              </w:rPr>
              <w:t>镜头类型：定焦；</w:t>
            </w:r>
          </w:p>
          <w:p>
            <w:pPr>
              <w:rPr>
                <w:rFonts w:ascii="宋体" w:hAnsi="宋体" w:cs="宋体"/>
                <w:kern w:val="0"/>
                <w:szCs w:val="21"/>
              </w:rPr>
            </w:pPr>
            <w:r>
              <w:rPr>
                <w:rFonts w:hint="eastAsia" w:ascii="宋体" w:hAnsi="宋体" w:cs="宋体"/>
                <w:kern w:val="0"/>
                <w:szCs w:val="21"/>
              </w:rPr>
              <w:t>镜头焦距：3.6mm；6mm；8mm；12mm（可选）</w:t>
            </w:r>
          </w:p>
          <w:p>
            <w:pPr>
              <w:rPr>
                <w:rFonts w:ascii="宋体" w:hAnsi="宋体" w:cs="宋体"/>
                <w:kern w:val="0"/>
                <w:szCs w:val="21"/>
              </w:rPr>
            </w:pPr>
            <w:r>
              <w:rPr>
                <w:rFonts w:hint="eastAsia" w:ascii="宋体" w:hAnsi="宋体" w:cs="宋体"/>
                <w:kern w:val="0"/>
                <w:szCs w:val="21"/>
              </w:rPr>
              <w:t>通用行为分析：绊线入侵;区域入侵；</w:t>
            </w:r>
          </w:p>
          <w:p>
            <w:pPr>
              <w:rPr>
                <w:rFonts w:ascii="宋体" w:hAnsi="宋体" w:cs="宋体"/>
                <w:kern w:val="0"/>
                <w:szCs w:val="21"/>
              </w:rPr>
            </w:pPr>
            <w:r>
              <w:rPr>
                <w:rFonts w:hint="eastAsia" w:ascii="宋体" w:hAnsi="宋体" w:cs="宋体"/>
                <w:kern w:val="0"/>
                <w:szCs w:val="21"/>
              </w:rPr>
              <w:t>视频压缩标准：H.265;H.264;H.264B;MJPEG（仅辅码流支持）；</w:t>
            </w:r>
          </w:p>
          <w:p>
            <w:pPr>
              <w:rPr>
                <w:rFonts w:ascii="宋体" w:hAnsi="宋体" w:cs="宋体"/>
                <w:kern w:val="0"/>
                <w:szCs w:val="21"/>
              </w:rPr>
            </w:pPr>
            <w:r>
              <w:rPr>
                <w:rFonts w:hint="eastAsia" w:ascii="宋体" w:hAnsi="宋体" w:cs="宋体"/>
                <w:kern w:val="0"/>
                <w:szCs w:val="21"/>
              </w:rPr>
              <w:t>智能编码：H.264：支持H.265：支持；</w:t>
            </w:r>
          </w:p>
          <w:p>
            <w:pPr>
              <w:rPr>
                <w:rFonts w:ascii="宋体" w:hAnsi="宋体" w:cs="宋体"/>
                <w:kern w:val="0"/>
                <w:szCs w:val="21"/>
              </w:rPr>
            </w:pPr>
            <w:r>
              <w:rPr>
                <w:rFonts w:hint="eastAsia" w:ascii="宋体" w:hAnsi="宋体" w:cs="宋体"/>
                <w:kern w:val="0"/>
                <w:szCs w:val="21"/>
              </w:rPr>
              <w:t>宽动态：120dB；</w:t>
            </w:r>
          </w:p>
          <w:p>
            <w:pPr>
              <w:rPr>
                <w:rFonts w:ascii="宋体" w:hAnsi="宋体" w:cs="宋体"/>
                <w:kern w:val="0"/>
                <w:szCs w:val="21"/>
              </w:rPr>
            </w:pPr>
            <w:r>
              <w:rPr>
                <w:rFonts w:hint="eastAsia" w:ascii="宋体" w:hAnsi="宋体" w:cs="宋体"/>
                <w:kern w:val="0"/>
                <w:szCs w:val="21"/>
              </w:rPr>
              <w:t>报警事件：网络断开;IP冲突;非法访问;动态检测;视频遮挡;绊线入侵;区域入侵;电压检测;智能动检（人）;安全异常；</w:t>
            </w:r>
          </w:p>
          <w:p>
            <w:pPr>
              <w:rPr>
                <w:rFonts w:ascii="宋体" w:hAnsi="宋体" w:cs="宋体"/>
                <w:kern w:val="0"/>
                <w:szCs w:val="21"/>
              </w:rPr>
            </w:pPr>
            <w:r>
              <w:rPr>
                <w:rFonts w:hint="eastAsia" w:ascii="宋体" w:hAnsi="宋体" w:cs="宋体"/>
                <w:kern w:val="0"/>
                <w:szCs w:val="21"/>
              </w:rPr>
              <w:t>接入标准：ONVIF（Profile S/Profile T）; CGI;GB/T28181（双国标）;</w:t>
            </w:r>
          </w:p>
          <w:p>
            <w:pPr>
              <w:rPr>
                <w:rFonts w:ascii="宋体" w:hAnsi="宋体" w:cs="宋体"/>
                <w:kern w:val="0"/>
                <w:szCs w:val="21"/>
              </w:rPr>
            </w:pPr>
            <w:r>
              <w:rPr>
                <w:rFonts w:hint="eastAsia" w:ascii="宋体" w:hAnsi="宋体" w:cs="宋体"/>
                <w:kern w:val="0"/>
                <w:szCs w:val="21"/>
              </w:rPr>
              <w:t>供电方式：DC12V/POE；</w:t>
            </w:r>
          </w:p>
          <w:p>
            <w:pPr>
              <w:rPr>
                <w:rFonts w:ascii="宋体" w:hAnsi="宋体" w:cs="宋体"/>
                <w:kern w:val="0"/>
                <w:szCs w:val="21"/>
              </w:rPr>
            </w:pPr>
            <w:r>
              <w:rPr>
                <w:rFonts w:hint="eastAsia" w:ascii="宋体" w:hAnsi="宋体" w:cs="宋体"/>
                <w:kern w:val="0"/>
                <w:szCs w:val="21"/>
              </w:rPr>
              <w:t>防护等级：IP67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trPr>
        <w:tc>
          <w:tcPr>
            <w:tcW w:w="708" w:type="dxa"/>
            <w:tcBorders>
              <w:top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1272" w:type="dxa"/>
            <w:tcBorders>
              <w:top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高清周界摄像机</w:t>
            </w:r>
          </w:p>
        </w:tc>
        <w:tc>
          <w:tcPr>
            <w:tcW w:w="6379" w:type="dxa"/>
            <w:tcBorders>
              <w:top w:val="single" w:color="auto" w:sz="4" w:space="0"/>
            </w:tcBorders>
            <w:vAlign w:val="center"/>
          </w:tcPr>
          <w:p>
            <w:pPr>
              <w:rPr>
                <w:rFonts w:ascii="宋体" w:hAnsi="宋体" w:cs="宋体"/>
                <w:kern w:val="0"/>
                <w:szCs w:val="21"/>
              </w:rPr>
            </w:pPr>
            <w:bookmarkStart w:id="61" w:name="_GoBack"/>
            <w:bookmarkEnd w:id="61"/>
            <w:r>
              <w:rPr>
                <w:rFonts w:hint="eastAsia" w:ascii="宋体" w:hAnsi="宋体" w:cs="宋体"/>
                <w:kern w:val="0"/>
                <w:szCs w:val="21"/>
              </w:rPr>
              <w:t>像素：400万；</w:t>
            </w:r>
          </w:p>
          <w:p>
            <w:pPr>
              <w:rPr>
                <w:rFonts w:ascii="宋体" w:hAnsi="宋体" w:cs="宋体"/>
                <w:kern w:val="0"/>
                <w:szCs w:val="21"/>
              </w:rPr>
            </w:pPr>
            <w:r>
              <w:rPr>
                <w:rFonts w:hint="eastAsia" w:ascii="宋体" w:hAnsi="宋体" w:cs="宋体"/>
                <w:kern w:val="0"/>
                <w:szCs w:val="21"/>
              </w:rPr>
              <w:t>最大分辨率：2688×1520；</w:t>
            </w:r>
          </w:p>
          <w:p>
            <w:pPr>
              <w:rPr>
                <w:rFonts w:ascii="宋体" w:hAnsi="宋体" w:cs="宋体"/>
                <w:kern w:val="0"/>
                <w:szCs w:val="21"/>
              </w:rPr>
            </w:pPr>
            <w:r>
              <w:rPr>
                <w:rFonts w:hint="eastAsia" w:ascii="宋体" w:hAnsi="宋体" w:cs="宋体"/>
                <w:kern w:val="0"/>
                <w:szCs w:val="21"/>
              </w:rPr>
              <w:t>最低照度：0.002Lux(彩色模式);0.0002Lux(黑白模式);0Lux(补光灯开启)。；</w:t>
            </w:r>
          </w:p>
          <w:p>
            <w:pPr>
              <w:rPr>
                <w:rFonts w:ascii="宋体" w:hAnsi="宋体" w:cs="宋体"/>
                <w:kern w:val="0"/>
                <w:szCs w:val="21"/>
              </w:rPr>
            </w:pPr>
            <w:r>
              <w:rPr>
                <w:rFonts w:hint="eastAsia" w:ascii="宋体" w:hAnsi="宋体" w:cs="宋体"/>
                <w:kern w:val="0"/>
                <w:szCs w:val="21"/>
              </w:rPr>
              <w:t>最大补光距离：60m（红外视频监控距离）30m（暖光视频监控距离）10m（暖光人脸检测距离）；</w:t>
            </w:r>
          </w:p>
          <w:p>
            <w:pPr>
              <w:rPr>
                <w:rFonts w:ascii="宋体" w:hAnsi="宋体" w:cs="宋体"/>
                <w:kern w:val="0"/>
                <w:szCs w:val="21"/>
              </w:rPr>
            </w:pPr>
            <w:r>
              <w:rPr>
                <w:rFonts w:hint="eastAsia" w:ascii="宋体" w:hAnsi="宋体" w:cs="宋体"/>
                <w:kern w:val="0"/>
                <w:szCs w:val="21"/>
              </w:rPr>
              <w:t>镜头类型：电动变焦；</w:t>
            </w:r>
          </w:p>
          <w:p>
            <w:pPr>
              <w:rPr>
                <w:rFonts w:ascii="宋体" w:hAnsi="宋体" w:cs="宋体"/>
                <w:kern w:val="0"/>
                <w:szCs w:val="21"/>
              </w:rPr>
            </w:pPr>
            <w:r>
              <w:rPr>
                <w:rFonts w:hint="eastAsia" w:ascii="宋体" w:hAnsi="宋体" w:cs="宋体"/>
                <w:kern w:val="0"/>
                <w:szCs w:val="21"/>
              </w:rPr>
              <w:t>镜头焦距：2.7mm~13.5mm；</w:t>
            </w:r>
          </w:p>
          <w:p>
            <w:pPr>
              <w:rPr>
                <w:rFonts w:ascii="宋体" w:hAnsi="宋体" w:cs="宋体"/>
                <w:kern w:val="0"/>
                <w:szCs w:val="21"/>
              </w:rPr>
            </w:pPr>
            <w:r>
              <w:rPr>
                <w:rFonts w:hint="eastAsia" w:ascii="宋体" w:hAnsi="宋体" w:cs="宋体"/>
                <w:kern w:val="0"/>
                <w:szCs w:val="21"/>
              </w:rPr>
              <w:t>通用行为分析：物品遗留；物品搬移；</w:t>
            </w:r>
          </w:p>
          <w:p>
            <w:pPr>
              <w:rPr>
                <w:rFonts w:ascii="宋体" w:hAnsi="宋体" w:cs="宋体"/>
                <w:kern w:val="0"/>
                <w:szCs w:val="21"/>
              </w:rPr>
            </w:pPr>
            <w:r>
              <w:rPr>
                <w:rFonts w:hint="eastAsia" w:ascii="宋体" w:hAnsi="宋体" w:cs="宋体"/>
                <w:kern w:val="0"/>
                <w:szCs w:val="21"/>
              </w:rPr>
              <w:t>热度图：支持；</w:t>
            </w:r>
          </w:p>
          <w:p>
            <w:pPr>
              <w:rPr>
                <w:rFonts w:ascii="宋体" w:hAnsi="宋体" w:cs="宋体"/>
                <w:kern w:val="0"/>
                <w:szCs w:val="21"/>
              </w:rPr>
            </w:pPr>
            <w:r>
              <w:rPr>
                <w:rFonts w:hint="eastAsia" w:ascii="宋体" w:hAnsi="宋体" w:cs="宋体"/>
                <w:kern w:val="0"/>
                <w:szCs w:val="21"/>
              </w:rPr>
              <w:t>周界防范：绊线入侵；区域入侵；快速移动（三项均支持人车分类及精准检测）；徘徊检测；人员聚集；停车检测；</w:t>
            </w:r>
          </w:p>
          <w:p>
            <w:pPr>
              <w:rPr>
                <w:rFonts w:ascii="宋体" w:hAnsi="宋体" w:cs="宋体"/>
                <w:kern w:val="0"/>
                <w:szCs w:val="21"/>
              </w:rPr>
            </w:pPr>
            <w:r>
              <w:rPr>
                <w:rFonts w:hint="eastAsia" w:ascii="宋体" w:hAnsi="宋体" w:cs="宋体"/>
                <w:kern w:val="0"/>
                <w:szCs w:val="21"/>
              </w:rPr>
              <w:t>人脸检测：支持人脸检测；支持跟踪；支持优选；支持抓拍；支持上报最优的人脸抓图；支持人脸增强，支持人脸曝光；支持人脸抠图区域可设：人脸，单寸照；支持实时抓拍、优选抓拍、质量优先三种抓拍策略；支持人脸角度过滤功能；支持优选时长可设；</w:t>
            </w:r>
          </w:p>
          <w:p>
            <w:pPr>
              <w:rPr>
                <w:rFonts w:ascii="宋体" w:hAnsi="宋体" w:cs="宋体"/>
                <w:kern w:val="0"/>
                <w:szCs w:val="21"/>
              </w:rPr>
            </w:pPr>
            <w:r>
              <w:rPr>
                <w:rFonts w:hint="eastAsia" w:ascii="宋体" w:hAnsi="宋体" w:cs="宋体"/>
                <w:kern w:val="0"/>
                <w:szCs w:val="21"/>
              </w:rPr>
              <w:t>人数统计：支持对进入、离开以及经过的人员进行数量统计，并可显示及输出日、月、年统计报表；支持区域内人员进行数量统计，支持4条规则配置，对限定的区域内人数和滞留时间进行统计并联动报警；支持排队管理，支持4条规则配置，对限定的排队人数和排队时间进行统计并联动报警；</w:t>
            </w:r>
          </w:p>
          <w:p>
            <w:pPr>
              <w:rPr>
                <w:rFonts w:ascii="宋体" w:hAnsi="宋体" w:cs="宋体"/>
                <w:kern w:val="0"/>
                <w:szCs w:val="21"/>
              </w:rPr>
            </w:pPr>
            <w:r>
              <w:rPr>
                <w:rFonts w:hint="eastAsia" w:ascii="宋体" w:hAnsi="宋体" w:cs="宋体"/>
                <w:kern w:val="0"/>
                <w:szCs w:val="21"/>
              </w:rPr>
              <w:t>视频压缩标准：H.265；H.264；H.264H；H.264B；MJPEG（仅辅码流支持）；</w:t>
            </w:r>
          </w:p>
          <w:p>
            <w:pPr>
              <w:rPr>
                <w:rFonts w:ascii="宋体" w:hAnsi="宋体" w:cs="宋体"/>
                <w:kern w:val="0"/>
                <w:szCs w:val="21"/>
              </w:rPr>
            </w:pPr>
            <w:r>
              <w:rPr>
                <w:rFonts w:hint="eastAsia" w:ascii="宋体" w:hAnsi="宋体" w:cs="宋体"/>
                <w:kern w:val="0"/>
                <w:szCs w:val="21"/>
              </w:rPr>
              <w:t>智能编码：H.264：支持H.265：支持；</w:t>
            </w:r>
          </w:p>
          <w:p>
            <w:pPr>
              <w:rPr>
                <w:rFonts w:ascii="宋体" w:hAnsi="宋体" w:cs="宋体"/>
                <w:kern w:val="0"/>
                <w:szCs w:val="21"/>
              </w:rPr>
            </w:pPr>
            <w:r>
              <w:rPr>
                <w:rFonts w:hint="eastAsia" w:ascii="宋体" w:hAnsi="宋体" w:cs="宋体"/>
                <w:kern w:val="0"/>
                <w:szCs w:val="21"/>
              </w:rPr>
              <w:t>宽动态：120dB；</w:t>
            </w:r>
          </w:p>
          <w:p>
            <w:pPr>
              <w:rPr>
                <w:rFonts w:ascii="宋体" w:hAnsi="宋体" w:cs="宋体"/>
                <w:kern w:val="0"/>
                <w:szCs w:val="21"/>
              </w:rPr>
            </w:pPr>
            <w:r>
              <w:rPr>
                <w:rFonts w:hint="eastAsia" w:ascii="宋体" w:hAnsi="宋体" w:cs="宋体"/>
                <w:kern w:val="0"/>
                <w:szCs w:val="21"/>
              </w:rPr>
              <w:t>透雾功能：支持；</w:t>
            </w:r>
          </w:p>
          <w:p>
            <w:pPr>
              <w:rPr>
                <w:rFonts w:ascii="宋体" w:hAnsi="宋体" w:cs="宋体"/>
                <w:kern w:val="0"/>
                <w:szCs w:val="21"/>
              </w:rPr>
            </w:pPr>
            <w:r>
              <w:rPr>
                <w:rFonts w:hint="eastAsia" w:ascii="宋体" w:hAnsi="宋体" w:cs="宋体"/>
                <w:kern w:val="0"/>
                <w:szCs w:val="21"/>
              </w:rPr>
              <w:t>内置MIC：支持；</w:t>
            </w:r>
          </w:p>
          <w:p>
            <w:pPr>
              <w:rPr>
                <w:rFonts w:ascii="宋体" w:hAnsi="宋体" w:cs="宋体"/>
                <w:kern w:val="0"/>
                <w:szCs w:val="21"/>
              </w:rPr>
            </w:pPr>
            <w:r>
              <w:rPr>
                <w:rFonts w:hint="eastAsia" w:ascii="宋体" w:hAnsi="宋体" w:cs="宋体"/>
                <w:kern w:val="0"/>
                <w:szCs w:val="21"/>
              </w:rPr>
              <w:t>内置扬声器：支持；</w:t>
            </w:r>
          </w:p>
          <w:p>
            <w:pPr>
              <w:rPr>
                <w:rFonts w:ascii="宋体" w:hAnsi="宋体" w:cs="宋体"/>
                <w:kern w:val="0"/>
                <w:szCs w:val="21"/>
              </w:rPr>
            </w:pPr>
            <w:r>
              <w:rPr>
                <w:rFonts w:hint="eastAsia" w:ascii="宋体" w:hAnsi="宋体" w:cs="宋体"/>
                <w:kern w:val="0"/>
                <w:szCs w:val="21"/>
              </w:rPr>
              <w:t>报警事件：无SD卡；SD卡空间不足；SD卡出错；网络断开；IP冲突；非法访问；动态检测；视频遮挡；绊线入侵；区域入侵；快速移动；物品遗留；物品搬移；徘徊检测；人员聚集；停车检测；场景变更；音频异常侦测；电压检测；虚焦侦测；外部报警；人脸检测；SMD；区域内人数统计；滞留报警；人数统计；人数异常检测；排队人数；排队时间；安全异常；灯光报警；声音报警（内置21种语音可选，支持用户自定义语音导入）；</w:t>
            </w:r>
          </w:p>
          <w:p>
            <w:pPr>
              <w:rPr>
                <w:rFonts w:ascii="宋体" w:hAnsi="宋体" w:cs="宋体"/>
                <w:kern w:val="0"/>
                <w:szCs w:val="21"/>
              </w:rPr>
            </w:pPr>
            <w:r>
              <w:rPr>
                <w:rFonts w:hint="eastAsia" w:ascii="宋体" w:hAnsi="宋体" w:cs="宋体"/>
                <w:kern w:val="0"/>
                <w:szCs w:val="21"/>
              </w:rPr>
              <w:t>接入标准：ONVIF（Profile S/Profile G/Profile T）;CGI;GB/T28181（双国标）;GA/T1400;</w:t>
            </w:r>
          </w:p>
          <w:p>
            <w:pPr>
              <w:rPr>
                <w:rFonts w:ascii="宋体" w:hAnsi="宋体" w:cs="宋体"/>
                <w:kern w:val="0"/>
                <w:szCs w:val="21"/>
              </w:rPr>
            </w:pPr>
            <w:r>
              <w:rPr>
                <w:rFonts w:hint="eastAsia" w:ascii="宋体" w:hAnsi="宋体" w:cs="宋体"/>
                <w:kern w:val="0"/>
                <w:szCs w:val="21"/>
              </w:rPr>
              <w:t>最大Micro SD卡：256GB；</w:t>
            </w:r>
          </w:p>
          <w:p>
            <w:pPr>
              <w:rPr>
                <w:rFonts w:ascii="宋体" w:hAnsi="宋体" w:cs="宋体"/>
                <w:kern w:val="0"/>
                <w:szCs w:val="21"/>
              </w:rPr>
            </w:pPr>
            <w:r>
              <w:rPr>
                <w:rFonts w:hint="eastAsia" w:ascii="宋体" w:hAnsi="宋体" w:cs="宋体"/>
                <w:kern w:val="0"/>
                <w:szCs w:val="21"/>
              </w:rPr>
              <w:t>音频输入：1路（RCA头）；</w:t>
            </w:r>
          </w:p>
          <w:p>
            <w:pPr>
              <w:rPr>
                <w:rFonts w:ascii="宋体" w:hAnsi="宋体" w:cs="宋体"/>
                <w:kern w:val="0"/>
                <w:szCs w:val="21"/>
              </w:rPr>
            </w:pPr>
            <w:r>
              <w:rPr>
                <w:rFonts w:hint="eastAsia" w:ascii="宋体" w:hAnsi="宋体" w:cs="宋体"/>
                <w:kern w:val="0"/>
                <w:szCs w:val="21"/>
              </w:rPr>
              <w:t>音频输出：1路（RCA头）；</w:t>
            </w:r>
          </w:p>
          <w:p>
            <w:pPr>
              <w:rPr>
                <w:rFonts w:ascii="宋体" w:hAnsi="宋体" w:cs="宋体"/>
                <w:kern w:val="0"/>
                <w:szCs w:val="21"/>
              </w:rPr>
            </w:pPr>
            <w:r>
              <w:rPr>
                <w:rFonts w:hint="eastAsia" w:ascii="宋体" w:hAnsi="宋体" w:cs="宋体"/>
                <w:kern w:val="0"/>
                <w:szCs w:val="21"/>
              </w:rPr>
              <w:t>报警输入：3路（湿节点,支持直流3V~5V电位,5mA电流）；</w:t>
            </w:r>
          </w:p>
          <w:p>
            <w:pPr>
              <w:rPr>
                <w:rFonts w:ascii="宋体" w:hAnsi="宋体" w:cs="宋体"/>
                <w:kern w:val="0"/>
                <w:szCs w:val="21"/>
              </w:rPr>
            </w:pPr>
            <w:r>
              <w:rPr>
                <w:rFonts w:hint="eastAsia" w:ascii="宋体" w:hAnsi="宋体" w:cs="宋体"/>
                <w:kern w:val="0"/>
                <w:szCs w:val="21"/>
              </w:rPr>
              <w:t>报警输出：2路（湿节点,支持直流最大12V电位,0.3A电流）；</w:t>
            </w:r>
          </w:p>
          <w:p>
            <w:pPr>
              <w:rPr>
                <w:rFonts w:ascii="宋体" w:hAnsi="宋体" w:cs="宋体"/>
                <w:kern w:val="0"/>
                <w:szCs w:val="21"/>
              </w:rPr>
            </w:pPr>
            <w:r>
              <w:rPr>
                <w:rFonts w:hint="eastAsia" w:ascii="宋体" w:hAnsi="宋体" w:cs="宋体"/>
                <w:kern w:val="0"/>
                <w:szCs w:val="21"/>
              </w:rPr>
              <w:t>供电方式：DC12V/POE；</w:t>
            </w:r>
          </w:p>
          <w:p>
            <w:pPr>
              <w:rPr>
                <w:rFonts w:ascii="宋体" w:hAnsi="宋体" w:cs="宋体"/>
                <w:kern w:val="0"/>
                <w:szCs w:val="21"/>
              </w:rPr>
            </w:pPr>
            <w:r>
              <w:rPr>
                <w:rFonts w:hint="eastAsia" w:ascii="宋体" w:hAnsi="宋体" w:cs="宋体"/>
                <w:kern w:val="0"/>
                <w:szCs w:val="21"/>
              </w:rPr>
              <w:t>防护等级：IP67</w:t>
            </w:r>
          </w:p>
          <w:p>
            <w:pPr>
              <w:rPr>
                <w:rFonts w:ascii="宋体" w:hAnsi="宋体" w:cs="宋体"/>
                <w:kern w:val="0"/>
                <w:szCs w:val="21"/>
              </w:rPr>
            </w:pPr>
            <w:r>
              <w:rPr>
                <w:rFonts w:hint="eastAsia" w:ascii="宋体" w:hAnsi="宋体" w:cs="宋体"/>
                <w:kern w:val="0"/>
                <w:szCs w:val="21"/>
              </w:rPr>
              <w:t>★靶面尺寸为1/1.8英寸,内置一个GPU芯片,具有1个100/1000M RJ45网络接口、3个报警输入接口、2个报警输出接口、1个音频 输入接口、1个音频输出接口、1个内置麦克风、1个内置扬声器、1个RS232接口、1个复位键和1个SD卡槽，采用DC12V供电。（提供公安部有效检测报告复印件加盖原厂公章）</w:t>
            </w:r>
          </w:p>
          <w:p>
            <w:pPr>
              <w:rPr>
                <w:rFonts w:ascii="宋体" w:hAnsi="宋体" w:cs="宋体"/>
                <w:kern w:val="0"/>
                <w:szCs w:val="21"/>
              </w:rPr>
            </w:pPr>
            <w:r>
              <w:rPr>
                <w:rFonts w:hint="eastAsia" w:ascii="宋体" w:hAnsi="宋体" w:cs="宋体"/>
                <w:kern w:val="0"/>
                <w:szCs w:val="21"/>
              </w:rPr>
              <w:t>★可将人脸抓拍图片分别存储为场景图和人脸图，场景图和人脸图可关联存储，并可通过IE浏览器或客户端查看和检索存储的图片（提供公安部有效检测报告复印件加盖原厂公章）</w:t>
            </w:r>
          </w:p>
          <w:p>
            <w:pPr>
              <w:rPr>
                <w:rFonts w:ascii="宋体" w:hAnsi="宋体" w:cs="宋体"/>
                <w:kern w:val="0"/>
                <w:szCs w:val="21"/>
              </w:rPr>
            </w:pPr>
            <w:r>
              <w:rPr>
                <w:rFonts w:hint="eastAsia" w:ascii="宋体" w:hAnsi="宋体" w:cs="宋体"/>
                <w:kern w:val="0"/>
                <w:szCs w:val="21"/>
              </w:rPr>
              <w:t>★支持人脸区域曝光功能，可根据根据人脸区域光照变化自动调节曝光参数（提供公安部有效检测报告复印件加盖原厂公章）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127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常规监控摄像机</w:t>
            </w:r>
          </w:p>
        </w:tc>
        <w:tc>
          <w:tcPr>
            <w:tcW w:w="6379" w:type="dxa"/>
            <w:vAlign w:val="center"/>
          </w:tcPr>
          <w:p>
            <w:pPr>
              <w:widowControl/>
              <w:jc w:val="left"/>
              <w:rPr>
                <w:rFonts w:ascii="宋体" w:hAnsi="宋体" w:cs="宋体"/>
                <w:kern w:val="0"/>
                <w:szCs w:val="21"/>
              </w:rPr>
            </w:pPr>
            <w:r>
              <w:rPr>
                <w:rFonts w:hint="eastAsia" w:ascii="宋体" w:hAnsi="宋体" w:cs="宋体"/>
                <w:kern w:val="0"/>
                <w:szCs w:val="21"/>
              </w:rPr>
              <w:t xml:space="preserve">1. 200万像素1/2.8"筒型网络摄像机；4.0/6.0/8.0/12.0mm定焦，设备采用DC12V供电。 </w:t>
            </w:r>
          </w:p>
          <w:p>
            <w:pPr>
              <w:widowControl/>
              <w:jc w:val="left"/>
              <w:rPr>
                <w:rFonts w:ascii="宋体" w:hAnsi="宋体" w:cs="宋体"/>
                <w:kern w:val="0"/>
                <w:szCs w:val="21"/>
              </w:rPr>
            </w:pPr>
            <w:r>
              <w:rPr>
                <w:rFonts w:hint="eastAsia" w:ascii="宋体" w:hAnsi="宋体" w:cs="宋体"/>
                <w:kern w:val="0"/>
                <w:szCs w:val="21"/>
              </w:rPr>
              <w:t>2. 最低照度：彩色：0.0005lux（AGC ON, 应能分辨反射式视频矩阵测试卡中彩色色块）；黑色：0.0001 lux（AGC ON，RJ45输出，能分辨反射式视频分辨率测试卡中圆形轮廓）</w:t>
            </w:r>
          </w:p>
          <w:p>
            <w:pPr>
              <w:widowControl/>
              <w:jc w:val="left"/>
              <w:rPr>
                <w:rFonts w:ascii="宋体" w:hAnsi="宋体" w:cs="宋体"/>
                <w:kern w:val="0"/>
                <w:szCs w:val="21"/>
              </w:rPr>
            </w:pPr>
            <w:r>
              <w:rPr>
                <w:rFonts w:hint="eastAsia" w:ascii="宋体" w:hAnsi="宋体" w:cs="宋体"/>
                <w:kern w:val="0"/>
                <w:szCs w:val="21"/>
              </w:rPr>
              <w:t>3. 支持五码流技术：在IE浏览器下，五码流分辨率、帧率与码率可设置为：主码流：1920×1080, 30帧/s， 2Mbps；子码流：1280x720, 30帧/s， 2Mbps；第三码流：720×576，30帧/s， 1Mbps；第四码流：1280x720, 30帧/s， 2Mbps；第五码流：720×576, 30帧/s， 1Mbps；。</w:t>
            </w:r>
          </w:p>
          <w:p>
            <w:pPr>
              <w:widowControl/>
              <w:jc w:val="left"/>
              <w:rPr>
                <w:rFonts w:ascii="宋体" w:hAnsi="宋体" w:cs="宋体"/>
                <w:kern w:val="0"/>
                <w:szCs w:val="21"/>
              </w:rPr>
            </w:pPr>
            <w:r>
              <w:rPr>
                <w:rFonts w:hint="eastAsia" w:ascii="宋体" w:hAnsi="宋体" w:cs="宋体"/>
                <w:kern w:val="0"/>
                <w:szCs w:val="21"/>
              </w:rPr>
              <w:t xml:space="preserve">4. ★夜视距离：设备红外补光灯可定时或自动开启，开启后可识别距离样机150m处人体（1.7m×0.5m）轮廓。（提供公安部权威机构检测报告并加盖公章为证） </w:t>
            </w:r>
          </w:p>
          <w:p>
            <w:pPr>
              <w:widowControl/>
              <w:jc w:val="left"/>
              <w:rPr>
                <w:rFonts w:ascii="宋体" w:hAnsi="宋体" w:cs="宋体"/>
                <w:kern w:val="0"/>
                <w:szCs w:val="21"/>
              </w:rPr>
            </w:pPr>
            <w:r>
              <w:rPr>
                <w:rFonts w:hint="eastAsia" w:ascii="宋体" w:hAnsi="宋体" w:cs="宋体"/>
                <w:kern w:val="0"/>
                <w:szCs w:val="21"/>
              </w:rPr>
              <w:t xml:space="preserve">5. 宽动态自动切换功能：在IE浏览器下，样机具有宽动态自动切换设置选项。在环境亮度变化时，可自动进行关闭/开启切换 </w:t>
            </w:r>
          </w:p>
          <w:p>
            <w:pPr>
              <w:widowControl/>
              <w:jc w:val="left"/>
              <w:rPr>
                <w:rFonts w:ascii="宋体" w:hAnsi="宋体" w:cs="宋体"/>
                <w:kern w:val="0"/>
                <w:szCs w:val="21"/>
              </w:rPr>
            </w:pPr>
            <w:r>
              <w:rPr>
                <w:rFonts w:hint="eastAsia" w:ascii="宋体" w:hAnsi="宋体" w:cs="宋体"/>
                <w:kern w:val="0"/>
                <w:szCs w:val="21"/>
              </w:rPr>
              <w:t>6. 智能行为分析功能：当以下的智能行为分析达到设定的阀值时，可通过客户端软件或IE浏览器给出报警提示；a)区域入侵； b)停车；c)越界入侵；d)人员聚集；e)进入区域；f)离开区域；g)快速移动；h)物品移除；i)物品遗留；j)徘徊；k)监控区域内出现人脸；样机支持行为分析触发后报警上传，发送邮件，联动录像，辅助输出等多种报警触发方式</w:t>
            </w:r>
          </w:p>
          <w:p>
            <w:pPr>
              <w:widowControl/>
              <w:jc w:val="left"/>
              <w:rPr>
                <w:rFonts w:ascii="宋体" w:hAnsi="宋体" w:cs="宋体"/>
                <w:kern w:val="0"/>
                <w:szCs w:val="21"/>
              </w:rPr>
            </w:pPr>
            <w:r>
              <w:rPr>
                <w:rFonts w:hint="eastAsia" w:ascii="宋体" w:hAnsi="宋体" w:cs="宋体"/>
                <w:kern w:val="0"/>
                <w:szCs w:val="21"/>
              </w:rPr>
              <w:t xml:space="preserve">7. ★非机动车、机动车及行人抓拍功能：可对监控区域内出现的单辆自行车、电瓶车、三轮车、机动车及行人进行抓拍。（提供公安部权威机构检测报告并加盖公章为证） </w:t>
            </w:r>
          </w:p>
          <w:p>
            <w:pPr>
              <w:widowControl/>
              <w:jc w:val="left"/>
              <w:rPr>
                <w:rFonts w:ascii="宋体" w:hAnsi="宋体" w:cs="宋体"/>
                <w:kern w:val="0"/>
                <w:szCs w:val="21"/>
              </w:rPr>
            </w:pPr>
            <w:r>
              <w:rPr>
                <w:rFonts w:hint="eastAsia" w:ascii="宋体" w:hAnsi="宋体" w:cs="宋体"/>
                <w:kern w:val="0"/>
                <w:szCs w:val="21"/>
              </w:rPr>
              <w:t xml:space="preserve">8. 网关ARP绑定功能：设备可通过IE浏览器添加并绑定设备所在网段网关的MAC地址，当其它终端设备访问设备时，若使用正确的网关MAC地址即设备绑定的MAC地址则可以正常访问设备；当使用错误的网关MAC地址即不是设备绑定的MAC地址则不能访问设备 </w:t>
            </w:r>
          </w:p>
          <w:p>
            <w:pPr>
              <w:widowControl/>
              <w:jc w:val="left"/>
              <w:rPr>
                <w:rFonts w:ascii="宋体" w:hAnsi="宋体" w:cs="宋体"/>
                <w:kern w:val="0"/>
                <w:szCs w:val="21"/>
              </w:rPr>
            </w:pPr>
            <w:r>
              <w:rPr>
                <w:rFonts w:hint="eastAsia" w:ascii="宋体" w:hAnsi="宋体" w:cs="宋体"/>
                <w:kern w:val="0"/>
                <w:szCs w:val="21"/>
              </w:rPr>
              <w:t xml:space="preserve">9. 友好密码功能：启用友好密码功能策略时，与设备处于同一网段的地址可以使用设备出厂密码登录和访问设备；跨网段的地址只能使用复杂度为高的密码（至少8位，由大小写字母、数字和特殊字符组成）登录和访问设备；关闭友好密码功能策略时，与设备处于同一网段的地址和跨网段的地址都只能使用复杂度为高的密码（至少8位，由大小写字母、数字和特殊字符组成）登录和访问设备 </w:t>
            </w:r>
          </w:p>
          <w:p>
            <w:pPr>
              <w:widowControl/>
              <w:jc w:val="left"/>
              <w:rPr>
                <w:rFonts w:ascii="宋体" w:hAnsi="宋体" w:cs="宋体"/>
                <w:kern w:val="0"/>
                <w:szCs w:val="21"/>
              </w:rPr>
            </w:pPr>
            <w:r>
              <w:rPr>
                <w:rFonts w:hint="eastAsia" w:ascii="宋体" w:hAnsi="宋体" w:cs="宋体"/>
                <w:kern w:val="0"/>
                <w:szCs w:val="21"/>
              </w:rPr>
              <w:t xml:space="preserve">10. ★视频内容保护功能：启用该功能时可对视屏图像码流进行随机混淆处理，提取设备网络通信数据包获得的视频码流无法正常播放，从设备存储介质拷贝和下载的文件需解码密钥才可播放；通过平台播放、回放下载设备的视频需要解码密钥；解码密钥应能周期性变化。（提供公安部权威机构检测报告并加盖公章为证） </w:t>
            </w:r>
          </w:p>
          <w:p>
            <w:pPr>
              <w:widowControl/>
              <w:jc w:val="left"/>
              <w:rPr>
                <w:rFonts w:ascii="宋体" w:hAnsi="宋体" w:cs="宋体"/>
                <w:kern w:val="0"/>
                <w:szCs w:val="21"/>
              </w:rPr>
            </w:pPr>
            <w:r>
              <w:rPr>
                <w:rFonts w:hint="eastAsia" w:ascii="宋体" w:hAnsi="宋体" w:cs="宋体"/>
                <w:kern w:val="0"/>
                <w:szCs w:val="21"/>
              </w:rPr>
              <w:t xml:space="preserve">11. 电源适应性：未使用适配器的情况下，电源电压在DC12V±35%范围内变化时，设备应能正常工作 </w:t>
            </w:r>
          </w:p>
          <w:p>
            <w:pPr>
              <w:jc w:val="left"/>
              <w:rPr>
                <w:rFonts w:ascii="宋体" w:hAnsi="宋体" w:cs="宋体"/>
                <w:kern w:val="0"/>
                <w:szCs w:val="21"/>
              </w:rPr>
            </w:pPr>
            <w:r>
              <w:rPr>
                <w:rFonts w:hint="eastAsia" w:ascii="宋体" w:hAnsi="宋体" w:cs="宋体"/>
                <w:kern w:val="0"/>
                <w:szCs w:val="21"/>
              </w:rPr>
              <w:t>12. 外壳防护能力：应符合GB/T4208-2017中IP68的要求（水下1m，持续时间1h）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1272" w:type="dxa"/>
            <w:vAlign w:val="center"/>
          </w:tcPr>
          <w:p>
            <w:pPr>
              <w:jc w:val="center"/>
              <w:rPr>
                <w:rFonts w:ascii="宋体" w:hAnsi="宋体" w:cs="宋体"/>
                <w:color w:val="000000"/>
                <w:kern w:val="0"/>
                <w:szCs w:val="21"/>
              </w:rPr>
            </w:pPr>
            <w:r>
              <w:rPr>
                <w:rFonts w:hint="eastAsia" w:ascii="宋体" w:hAnsi="宋体" w:cs="宋体"/>
                <w:color w:val="000000"/>
                <w:kern w:val="0"/>
                <w:szCs w:val="21"/>
              </w:rPr>
              <w:t>高位全景AI监控摄像机</w:t>
            </w:r>
          </w:p>
        </w:tc>
        <w:tc>
          <w:tcPr>
            <w:tcW w:w="6379" w:type="dxa"/>
            <w:vAlign w:val="center"/>
          </w:tcPr>
          <w:p>
            <w:pPr>
              <w:rPr>
                <w:rFonts w:ascii="宋体" w:hAnsi="宋体" w:cs="宋体"/>
                <w:kern w:val="0"/>
                <w:szCs w:val="21"/>
              </w:rPr>
            </w:pPr>
            <w:r>
              <w:rPr>
                <w:rFonts w:hint="eastAsia" w:ascii="宋体" w:hAnsi="宋体" w:cs="宋体"/>
                <w:kern w:val="0"/>
                <w:szCs w:val="21"/>
              </w:rPr>
              <w:t>传感器类型：1/1.8英寸CMOS；</w:t>
            </w:r>
          </w:p>
          <w:p>
            <w:pPr>
              <w:rPr>
                <w:rFonts w:ascii="宋体" w:hAnsi="宋体" w:cs="宋体"/>
                <w:kern w:val="0"/>
                <w:szCs w:val="21"/>
              </w:rPr>
            </w:pPr>
            <w:r>
              <w:rPr>
                <w:rFonts w:hint="eastAsia" w:ascii="宋体" w:hAnsi="宋体" w:cs="宋体"/>
                <w:kern w:val="0"/>
                <w:szCs w:val="21"/>
              </w:rPr>
              <w:t>像素：全景：1600万；球机：400万；</w:t>
            </w:r>
          </w:p>
          <w:p>
            <w:pPr>
              <w:rPr>
                <w:rFonts w:ascii="宋体" w:hAnsi="宋体" w:cs="宋体"/>
                <w:kern w:val="0"/>
                <w:szCs w:val="21"/>
              </w:rPr>
            </w:pPr>
            <w:r>
              <w:rPr>
                <w:rFonts w:hint="eastAsia" w:ascii="宋体" w:hAnsi="宋体" w:cs="宋体"/>
                <w:kern w:val="0"/>
                <w:szCs w:val="21"/>
              </w:rPr>
              <w:t>最大分辨率：8192×1800；</w:t>
            </w:r>
          </w:p>
          <w:p>
            <w:pPr>
              <w:rPr>
                <w:rFonts w:ascii="宋体" w:hAnsi="宋体" w:cs="宋体"/>
                <w:kern w:val="0"/>
                <w:szCs w:val="21"/>
              </w:rPr>
            </w:pPr>
            <w:r>
              <w:rPr>
                <w:rFonts w:hint="eastAsia" w:ascii="宋体" w:hAnsi="宋体" w:cs="宋体"/>
                <w:kern w:val="0"/>
                <w:szCs w:val="21"/>
              </w:rPr>
              <w:t>最低照度：全景：0.0005Lux（彩色模式）；0.0002Lux（黑白模式）；球机：0. 001Lux F1.4（彩色模式）；0.0005Lux F1.4（黑白模式）；0Lux（红外灯开启）；</w:t>
            </w:r>
          </w:p>
          <w:p>
            <w:pPr>
              <w:rPr>
                <w:rFonts w:ascii="宋体" w:hAnsi="宋体" w:cs="宋体"/>
                <w:kern w:val="0"/>
                <w:szCs w:val="21"/>
              </w:rPr>
            </w:pPr>
            <w:r>
              <w:rPr>
                <w:rFonts w:hint="eastAsia" w:ascii="宋体" w:hAnsi="宋体" w:cs="宋体"/>
                <w:kern w:val="0"/>
                <w:szCs w:val="21"/>
              </w:rPr>
              <w:t>最大补光距离：全景：NA；球机：≥400米；；</w:t>
            </w:r>
          </w:p>
          <w:p>
            <w:pPr>
              <w:rPr>
                <w:rFonts w:ascii="宋体" w:hAnsi="宋体" w:cs="宋体"/>
                <w:kern w:val="0"/>
                <w:szCs w:val="21"/>
              </w:rPr>
            </w:pPr>
            <w:r>
              <w:rPr>
                <w:rFonts w:hint="eastAsia" w:ascii="宋体" w:hAnsi="宋体" w:cs="宋体"/>
                <w:kern w:val="0"/>
                <w:szCs w:val="21"/>
              </w:rPr>
              <w:t>镜头类型：全景：定焦 球机：变焦；</w:t>
            </w:r>
          </w:p>
          <w:p>
            <w:pPr>
              <w:rPr>
                <w:rFonts w:ascii="宋体" w:hAnsi="宋体" w:cs="宋体"/>
                <w:kern w:val="0"/>
                <w:szCs w:val="21"/>
              </w:rPr>
            </w:pPr>
            <w:r>
              <w:rPr>
                <w:rFonts w:hint="eastAsia" w:ascii="宋体" w:hAnsi="宋体" w:cs="宋体"/>
                <w:kern w:val="0"/>
                <w:szCs w:val="21"/>
              </w:rPr>
              <w:t>镜头焦距：全景：2.8mm 球机：5.5mm～220mm；</w:t>
            </w:r>
          </w:p>
          <w:p>
            <w:pPr>
              <w:rPr>
                <w:rFonts w:ascii="宋体" w:hAnsi="宋体" w:cs="宋体"/>
                <w:kern w:val="0"/>
                <w:szCs w:val="21"/>
              </w:rPr>
            </w:pPr>
            <w:r>
              <w:rPr>
                <w:rFonts w:hint="eastAsia" w:ascii="宋体" w:hAnsi="宋体" w:cs="宋体"/>
                <w:kern w:val="0"/>
                <w:szCs w:val="21"/>
              </w:rPr>
              <w:t>周界防范：绊线入侵；区域入侵；停车检测；</w:t>
            </w:r>
          </w:p>
          <w:p>
            <w:pPr>
              <w:rPr>
                <w:rFonts w:ascii="宋体" w:hAnsi="宋体" w:cs="宋体"/>
                <w:kern w:val="0"/>
                <w:szCs w:val="21"/>
              </w:rPr>
            </w:pPr>
            <w:r>
              <w:rPr>
                <w:rFonts w:hint="eastAsia" w:ascii="宋体" w:hAnsi="宋体" w:cs="宋体"/>
                <w:kern w:val="0"/>
                <w:szCs w:val="21"/>
              </w:rPr>
              <w:t>视频压缩标准：H.265；H.264；H.264H；H.264B；MJPEG（仅辅码流支持）；</w:t>
            </w:r>
          </w:p>
          <w:p>
            <w:pPr>
              <w:rPr>
                <w:rFonts w:ascii="宋体" w:hAnsi="宋体" w:cs="宋体"/>
                <w:kern w:val="0"/>
                <w:szCs w:val="21"/>
              </w:rPr>
            </w:pPr>
            <w:r>
              <w:rPr>
                <w:rFonts w:hint="eastAsia" w:ascii="宋体" w:hAnsi="宋体" w:cs="宋体"/>
                <w:kern w:val="0"/>
                <w:szCs w:val="21"/>
              </w:rPr>
              <w:t>智能编码：H.264:支持；H.265:支持；</w:t>
            </w:r>
          </w:p>
          <w:p>
            <w:pPr>
              <w:rPr>
                <w:rFonts w:ascii="宋体" w:hAnsi="宋体" w:cs="宋体"/>
                <w:kern w:val="0"/>
                <w:szCs w:val="21"/>
              </w:rPr>
            </w:pPr>
            <w:r>
              <w:rPr>
                <w:rFonts w:hint="eastAsia" w:ascii="宋体" w:hAnsi="宋体" w:cs="宋体"/>
                <w:kern w:val="0"/>
                <w:szCs w:val="21"/>
              </w:rPr>
              <w:t>宽动态：全景：120dB；球机：120dB；；</w:t>
            </w:r>
          </w:p>
          <w:p>
            <w:pPr>
              <w:rPr>
                <w:rFonts w:ascii="宋体" w:hAnsi="宋体" w:cs="宋体"/>
                <w:kern w:val="0"/>
                <w:szCs w:val="21"/>
              </w:rPr>
            </w:pPr>
            <w:r>
              <w:rPr>
                <w:rFonts w:hint="eastAsia" w:ascii="宋体" w:hAnsi="宋体" w:cs="宋体"/>
                <w:kern w:val="0"/>
                <w:szCs w:val="21"/>
              </w:rPr>
              <w:t>透雾功能：全景：NA；球机：光学透雾；</w:t>
            </w:r>
          </w:p>
          <w:p>
            <w:pPr>
              <w:rPr>
                <w:rFonts w:ascii="宋体" w:hAnsi="宋体" w:cs="宋体"/>
                <w:kern w:val="0"/>
                <w:szCs w:val="21"/>
              </w:rPr>
            </w:pPr>
            <w:r>
              <w:rPr>
                <w:rFonts w:hint="eastAsia" w:ascii="宋体" w:hAnsi="宋体" w:cs="宋体"/>
                <w:kern w:val="0"/>
                <w:szCs w:val="21"/>
              </w:rPr>
              <w:t>接入标准：ONVIF（Profile S/Profile G/Profile T）；CGI；GB/T28181（双国标）；GA/T1400（只有中文带人脸或结构化才有）；GB/35114；</w:t>
            </w:r>
          </w:p>
          <w:p>
            <w:pPr>
              <w:rPr>
                <w:rFonts w:ascii="宋体" w:hAnsi="宋体" w:cs="宋体"/>
                <w:kern w:val="0"/>
                <w:szCs w:val="21"/>
              </w:rPr>
            </w:pPr>
            <w:r>
              <w:rPr>
                <w:rFonts w:hint="eastAsia" w:ascii="宋体" w:hAnsi="宋体" w:cs="宋体"/>
                <w:kern w:val="0"/>
                <w:szCs w:val="21"/>
              </w:rPr>
              <w:t>最大Micro SD卡：512GB；</w:t>
            </w:r>
          </w:p>
          <w:p>
            <w:pPr>
              <w:rPr>
                <w:rFonts w:ascii="宋体" w:hAnsi="宋体" w:cs="宋体"/>
                <w:kern w:val="0"/>
                <w:szCs w:val="21"/>
              </w:rPr>
            </w:pPr>
            <w:r>
              <w:rPr>
                <w:rFonts w:hint="eastAsia" w:ascii="宋体" w:hAnsi="宋体" w:cs="宋体"/>
                <w:kern w:val="0"/>
                <w:szCs w:val="21"/>
              </w:rPr>
              <w:t>RS-485接口：1个（波特率范围:1200bps~115200bps）；</w:t>
            </w:r>
          </w:p>
          <w:p>
            <w:pPr>
              <w:rPr>
                <w:rFonts w:ascii="宋体" w:hAnsi="宋体" w:cs="宋体"/>
                <w:kern w:val="0"/>
                <w:szCs w:val="21"/>
              </w:rPr>
            </w:pPr>
            <w:r>
              <w:rPr>
                <w:rFonts w:hint="eastAsia" w:ascii="宋体" w:hAnsi="宋体" w:cs="宋体"/>
                <w:kern w:val="0"/>
                <w:szCs w:val="21"/>
              </w:rPr>
              <w:t>音频输入：2路（接线端子）；</w:t>
            </w:r>
          </w:p>
          <w:p>
            <w:pPr>
              <w:rPr>
                <w:rFonts w:ascii="宋体" w:hAnsi="宋体" w:cs="宋体"/>
                <w:kern w:val="0"/>
                <w:szCs w:val="21"/>
              </w:rPr>
            </w:pPr>
            <w:r>
              <w:rPr>
                <w:rFonts w:hint="eastAsia" w:ascii="宋体" w:hAnsi="宋体" w:cs="宋体"/>
                <w:kern w:val="0"/>
                <w:szCs w:val="21"/>
              </w:rPr>
              <w:t>音频输出：2路（接线端子）；</w:t>
            </w:r>
          </w:p>
          <w:p>
            <w:pPr>
              <w:rPr>
                <w:rFonts w:ascii="宋体" w:hAnsi="宋体" w:cs="宋体"/>
                <w:kern w:val="0"/>
                <w:szCs w:val="21"/>
              </w:rPr>
            </w:pPr>
            <w:r>
              <w:rPr>
                <w:rFonts w:hint="eastAsia" w:ascii="宋体" w:hAnsi="宋体" w:cs="宋体"/>
                <w:kern w:val="0"/>
                <w:szCs w:val="21"/>
              </w:rPr>
              <w:t>报警输入：7路（湿节点,支持直流3V~5V电位,5mA电流）；</w:t>
            </w:r>
          </w:p>
          <w:p>
            <w:pPr>
              <w:rPr>
                <w:rFonts w:ascii="宋体" w:hAnsi="宋体" w:cs="宋体"/>
                <w:kern w:val="0"/>
                <w:szCs w:val="21"/>
              </w:rPr>
            </w:pPr>
            <w:r>
              <w:rPr>
                <w:rFonts w:hint="eastAsia" w:ascii="宋体" w:hAnsi="宋体" w:cs="宋体"/>
                <w:kern w:val="0"/>
                <w:szCs w:val="21"/>
              </w:rPr>
              <w:t>报警输出：3路（干节点,支持直流最大30V电位,1A电流/交流最大50V电位,0.5A电流）；</w:t>
            </w:r>
          </w:p>
          <w:p>
            <w:pPr>
              <w:rPr>
                <w:rFonts w:ascii="宋体" w:hAnsi="宋体" w:cs="宋体"/>
                <w:kern w:val="0"/>
                <w:szCs w:val="21"/>
              </w:rPr>
            </w:pPr>
            <w:r>
              <w:rPr>
                <w:rFonts w:hint="eastAsia" w:ascii="宋体" w:hAnsi="宋体" w:cs="宋体"/>
                <w:kern w:val="0"/>
                <w:szCs w:val="21"/>
              </w:rPr>
              <w:t>模拟输出接口：1路（CVBS输出 BNC接口）；</w:t>
            </w:r>
          </w:p>
          <w:p>
            <w:pPr>
              <w:rPr>
                <w:rFonts w:ascii="宋体" w:hAnsi="宋体" w:cs="宋体"/>
                <w:kern w:val="0"/>
                <w:szCs w:val="21"/>
              </w:rPr>
            </w:pPr>
            <w:r>
              <w:rPr>
                <w:rFonts w:hint="eastAsia" w:ascii="宋体" w:hAnsi="宋体" w:cs="宋体"/>
                <w:kern w:val="0"/>
                <w:szCs w:val="21"/>
              </w:rPr>
              <w:t>供电方式：DC36V；</w:t>
            </w:r>
          </w:p>
          <w:p>
            <w:pPr>
              <w:rPr>
                <w:rFonts w:ascii="宋体" w:hAnsi="宋体" w:cs="宋体"/>
                <w:kern w:val="0"/>
                <w:szCs w:val="21"/>
              </w:rPr>
            </w:pPr>
            <w:r>
              <w:rPr>
                <w:rFonts w:hint="eastAsia" w:ascii="宋体" w:hAnsi="宋体" w:cs="宋体"/>
                <w:kern w:val="0"/>
                <w:szCs w:val="21"/>
              </w:rPr>
              <w:t>防护等级：IP66</w:t>
            </w:r>
          </w:p>
          <w:p>
            <w:pPr>
              <w:rPr>
                <w:rFonts w:ascii="宋体" w:hAnsi="宋体" w:cs="宋体"/>
                <w:kern w:val="0"/>
                <w:szCs w:val="21"/>
              </w:rPr>
            </w:pPr>
            <w:r>
              <w:rPr>
                <w:rFonts w:hint="eastAsia" w:ascii="宋体" w:hAnsi="宋体" w:cs="宋体"/>
                <w:kern w:val="0"/>
                <w:szCs w:val="21"/>
              </w:rPr>
              <w:t>★设备自带防水透气膜，内部水气可通过防水透气膜排出，外部的水气无法进入（提供公安部有效检测报告复印件加盖原厂公章）</w:t>
            </w:r>
          </w:p>
          <w:p>
            <w:pPr>
              <w:rPr>
                <w:rFonts w:ascii="宋体" w:hAnsi="宋体" w:cs="宋体"/>
                <w:kern w:val="0"/>
                <w:szCs w:val="21"/>
              </w:rPr>
            </w:pPr>
            <w:r>
              <w:rPr>
                <w:rFonts w:hint="eastAsia" w:ascii="宋体" w:hAnsi="宋体" w:cs="宋体"/>
                <w:kern w:val="0"/>
                <w:szCs w:val="21"/>
              </w:rPr>
              <w:t>★具有1个RJ45网络接口、1个CVBS模拟视频输出接口、1个光纤接口、2路音频输入、2 路音频输出、7路报警输入、3路报警输出、2个RS232接口、1个RS485接口、1个复位按钮、1个SD卡槽、1个DC12V输出接口（提供公安部有效检测报告复印件加盖原厂公章）</w:t>
            </w:r>
          </w:p>
          <w:p>
            <w:pPr>
              <w:rPr>
                <w:rFonts w:ascii="宋体" w:hAnsi="宋体" w:cs="宋体"/>
                <w:kern w:val="0"/>
                <w:szCs w:val="21"/>
              </w:rPr>
            </w:pPr>
            <w:r>
              <w:rPr>
                <w:rFonts w:hint="eastAsia" w:ascii="宋体" w:hAnsi="宋体" w:cs="宋体"/>
                <w:kern w:val="0"/>
                <w:szCs w:val="21"/>
              </w:rPr>
              <w:t>★设备自身重量应≤14.5kg（提供公安部有效检测报告复印件加盖原厂公章）</w:t>
            </w:r>
          </w:p>
          <w:p>
            <w:pPr>
              <w:rPr>
                <w:rFonts w:ascii="宋体" w:hAnsi="宋体" w:cs="宋体"/>
                <w:kern w:val="0"/>
                <w:szCs w:val="21"/>
              </w:rPr>
            </w:pPr>
            <w:r>
              <w:rPr>
                <w:rFonts w:hint="eastAsia" w:ascii="宋体" w:hAnsi="宋体" w:cs="宋体"/>
                <w:kern w:val="0"/>
                <w:szCs w:val="21"/>
              </w:rPr>
              <w:t>★具有智能风控除雾功能，可自动去除内部水状和雾状附着物（提供公安部有效检测报告复印件加盖原厂公章）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 w:hRule="atLeast"/>
        </w:trPr>
        <w:tc>
          <w:tcPr>
            <w:tcW w:w="708" w:type="dxa"/>
            <w:tcBorders>
              <w:bottom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1272" w:type="dxa"/>
            <w:tcBorders>
              <w:bottom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400万双光人脸警戒变焦枪型网络摄像机</w:t>
            </w:r>
          </w:p>
        </w:tc>
        <w:tc>
          <w:tcPr>
            <w:tcW w:w="6379" w:type="dxa"/>
            <w:tcBorders>
              <w:bottom w:val="single" w:color="auto" w:sz="4" w:space="0"/>
            </w:tcBorders>
            <w:vAlign w:val="center"/>
          </w:tcPr>
          <w:p>
            <w:pPr>
              <w:rPr>
                <w:rFonts w:ascii="宋体" w:hAnsi="宋体" w:cs="宋体"/>
                <w:kern w:val="0"/>
                <w:szCs w:val="21"/>
              </w:rPr>
            </w:pPr>
            <w:r>
              <w:rPr>
                <w:rFonts w:hint="eastAsia" w:ascii="宋体" w:hAnsi="宋体" w:cs="宋体"/>
                <w:kern w:val="0"/>
                <w:szCs w:val="21"/>
              </w:rPr>
              <w:t>1. 采用≥1/1.8”逐行扫描400万像素CMOS图像传感器，焦距范围：2.8-12mm，电动变焦。</w:t>
            </w:r>
          </w:p>
          <w:p>
            <w:pPr>
              <w:rPr>
                <w:rFonts w:ascii="宋体" w:hAnsi="宋体" w:cs="宋体"/>
                <w:kern w:val="0"/>
                <w:szCs w:val="21"/>
              </w:rPr>
            </w:pPr>
            <w:r>
              <w:rPr>
                <w:rFonts w:hint="eastAsia" w:ascii="宋体" w:hAnsi="宋体" w:cs="宋体"/>
                <w:kern w:val="0"/>
                <w:szCs w:val="21"/>
              </w:rPr>
              <w:t>2. 最低照度：彩色：≤0.0005lx，黑白：≤0.0001lx。</w:t>
            </w:r>
          </w:p>
          <w:p>
            <w:pPr>
              <w:rPr>
                <w:rFonts w:ascii="宋体" w:hAnsi="宋体" w:cs="宋体"/>
                <w:kern w:val="0"/>
                <w:szCs w:val="21"/>
              </w:rPr>
            </w:pPr>
            <w:r>
              <w:rPr>
                <w:rFonts w:hint="eastAsia" w:ascii="宋体" w:hAnsi="宋体" w:cs="宋体"/>
                <w:kern w:val="0"/>
                <w:szCs w:val="21"/>
              </w:rPr>
              <w:t>3. 内置1个拾音器和1个扬声器，具有≥1个RJ45网口、1路音频输入、1路音频输出、1路报警输入、1路报警输出、1个SD卡接口。</w:t>
            </w:r>
          </w:p>
          <w:p>
            <w:pPr>
              <w:rPr>
                <w:rFonts w:ascii="宋体" w:hAnsi="宋体" w:cs="宋体"/>
                <w:kern w:val="0"/>
                <w:szCs w:val="21"/>
              </w:rPr>
            </w:pPr>
            <w:r>
              <w:rPr>
                <w:rFonts w:hint="eastAsia" w:ascii="宋体" w:hAnsi="宋体" w:cs="宋体"/>
                <w:kern w:val="0"/>
                <w:szCs w:val="21"/>
              </w:rPr>
              <w:t>4. 支持H.265、MJPEG、H.264设置选项，可将H.264/H.265格式设置为Baseline/Main/HighProfile。</w:t>
            </w:r>
          </w:p>
          <w:p>
            <w:pPr>
              <w:rPr>
                <w:rFonts w:ascii="宋体" w:hAnsi="宋体" w:cs="宋体"/>
                <w:kern w:val="0"/>
                <w:szCs w:val="21"/>
              </w:rPr>
            </w:pPr>
            <w:r>
              <w:rPr>
                <w:rFonts w:hint="eastAsia" w:ascii="宋体" w:hAnsi="宋体" w:cs="宋体"/>
                <w:kern w:val="0"/>
                <w:szCs w:val="21"/>
              </w:rPr>
              <w:t>5. ★支持双光谱补光，夜晚开启红外补光的情况下，可识别距设备≥150m处的人体轮廓；夜晚开启白光补光的情况下，可识别距设备≥100m处的人体轮廓。（提供公安部权威机构检测报告复印件并加盖公章为证）</w:t>
            </w:r>
          </w:p>
          <w:p>
            <w:pPr>
              <w:rPr>
                <w:rFonts w:ascii="宋体" w:hAnsi="宋体" w:cs="宋体"/>
                <w:kern w:val="0"/>
                <w:szCs w:val="21"/>
              </w:rPr>
            </w:pPr>
            <w:r>
              <w:rPr>
                <w:rFonts w:hint="eastAsia" w:ascii="宋体" w:hAnsi="宋体" w:cs="宋体"/>
                <w:kern w:val="0"/>
                <w:szCs w:val="21"/>
              </w:rPr>
              <w:t>6. 支持五码流功能：主码流分辨率为2688x1520，帧率为30帧/s，码率为5Mbps；子码流分辨率为1280x720，帧率为30帧/s，码率为2Mbps；第三码流分辨率为720x576，帧率为30帧/s，码率为1Mbps；第四码流：分辨率为1280x720，帧率为30帧/s，码率为2Mbps；第五码流：分辨率为720x576，帧率为30帧/s，码率为1Mbps。</w:t>
            </w:r>
          </w:p>
          <w:p>
            <w:pPr>
              <w:rPr>
                <w:rFonts w:ascii="宋体" w:hAnsi="宋体" w:cs="宋体"/>
                <w:kern w:val="0"/>
                <w:szCs w:val="21"/>
              </w:rPr>
            </w:pPr>
            <w:r>
              <w:rPr>
                <w:rFonts w:hint="eastAsia" w:ascii="宋体" w:hAnsi="宋体" w:cs="宋体"/>
                <w:kern w:val="0"/>
                <w:szCs w:val="21"/>
              </w:rPr>
              <w:t>7. ★设备支持IPSAN或以iSCSI直存方式进行双路传输数据，存储方式可设置为高端、基础、云存储。（提供公安部权威机构检测报告复印件并加盖公章为证）</w:t>
            </w:r>
          </w:p>
          <w:p>
            <w:pPr>
              <w:rPr>
                <w:rFonts w:ascii="宋体" w:hAnsi="宋体" w:cs="宋体"/>
                <w:kern w:val="0"/>
                <w:szCs w:val="21"/>
              </w:rPr>
            </w:pPr>
            <w:r>
              <w:rPr>
                <w:rFonts w:hint="eastAsia" w:ascii="宋体" w:hAnsi="宋体" w:cs="宋体"/>
                <w:kern w:val="0"/>
                <w:szCs w:val="21"/>
              </w:rPr>
              <w:t>8. ★具有8行字符显示，字体可设置为32×32、48×48、64×64、72×72、96×96、128×128像素等模式；7×16种字体颜色、描边、背景、空心等样式可设置，叠加的OSD支持在屏幕中滚动显示，支持叠加图片格式的OSD。（提供公安部权威机构检测报告复印件并加盖公章为证）</w:t>
            </w:r>
          </w:p>
          <w:p>
            <w:pPr>
              <w:rPr>
                <w:rFonts w:ascii="宋体" w:hAnsi="宋体" w:cs="宋体"/>
                <w:kern w:val="0"/>
                <w:szCs w:val="21"/>
              </w:rPr>
            </w:pPr>
            <w:r>
              <w:rPr>
                <w:rFonts w:hint="eastAsia" w:ascii="宋体" w:hAnsi="宋体" w:cs="宋体"/>
                <w:kern w:val="0"/>
                <w:szCs w:val="21"/>
              </w:rPr>
              <w:t>9. 具备人脸抓拍功能，可对警官设定区域的行人进行人脸检测和人脸跟踪，当检测到人脸后，可抓拍人脸图片，抓拍图片数量可设，可设置抓拍人脸小图，在同一场景中可同时对8张人脸进行检测并进行图片抓拍。</w:t>
            </w:r>
          </w:p>
          <w:p>
            <w:pPr>
              <w:rPr>
                <w:rFonts w:ascii="宋体" w:hAnsi="宋体" w:cs="宋体"/>
                <w:kern w:val="0"/>
                <w:szCs w:val="21"/>
              </w:rPr>
            </w:pPr>
            <w:r>
              <w:rPr>
                <w:rFonts w:hint="eastAsia" w:ascii="宋体" w:hAnsi="宋体" w:cs="宋体"/>
                <w:kern w:val="0"/>
                <w:szCs w:val="21"/>
              </w:rPr>
              <w:t>10. ★支持分别对在监视画面中进入和离开的人数进行统计，可配置进入、离开人数报警阀值，并可再监视画面上显示当前统计人数，当人数超过设定阀值时可上报平台。采用多人依次循环通过进行试验，试验环境照度≥100lx，试验人员数量≥5人，通过速度≥1m/s，人员通过间隔时间≤1s，试验次数100人次，设备的客流量统计结果≥99次。（提供公安部权威机构检测报告复印件并加盖公章为证）</w:t>
            </w:r>
          </w:p>
          <w:p>
            <w:pPr>
              <w:rPr>
                <w:rFonts w:ascii="宋体" w:hAnsi="宋体" w:cs="宋体"/>
                <w:kern w:val="0"/>
                <w:szCs w:val="21"/>
              </w:rPr>
            </w:pPr>
            <w:r>
              <w:rPr>
                <w:rFonts w:hint="eastAsia" w:ascii="宋体" w:hAnsi="宋体" w:cs="宋体"/>
                <w:kern w:val="0"/>
                <w:szCs w:val="21"/>
              </w:rPr>
              <w:t>11. 具有区域入侵、停车、越界入侵、人员聚集、进入区域、离开区域、快速移动、物品移除、物品遗留、徘徊智能行为分析功能，支持行为分析触发后报警上报，发送邮件，联动录像等多种报警触发方式。</w:t>
            </w:r>
          </w:p>
          <w:p>
            <w:pPr>
              <w:rPr>
                <w:rFonts w:ascii="宋体" w:hAnsi="宋体" w:cs="宋体"/>
                <w:kern w:val="0"/>
                <w:szCs w:val="21"/>
              </w:rPr>
            </w:pPr>
            <w:r>
              <w:rPr>
                <w:rFonts w:hint="eastAsia" w:ascii="宋体" w:hAnsi="宋体" w:cs="宋体"/>
                <w:kern w:val="0"/>
                <w:szCs w:val="21"/>
              </w:rPr>
              <w:t>12. 支持对监控区域内出现的自行车目标、电瓶车目标、三轮车目标、机动车目标及行人目标进行检测和抓拍。</w:t>
            </w:r>
          </w:p>
          <w:p>
            <w:pPr>
              <w:rPr>
                <w:rFonts w:ascii="宋体" w:hAnsi="宋体" w:cs="宋体"/>
                <w:kern w:val="0"/>
                <w:szCs w:val="21"/>
              </w:rPr>
            </w:pPr>
            <w:r>
              <w:rPr>
                <w:rFonts w:hint="eastAsia" w:ascii="宋体" w:hAnsi="宋体" w:cs="宋体"/>
                <w:kern w:val="0"/>
                <w:szCs w:val="21"/>
              </w:rPr>
              <w:t>13. ★在设定的侦测区域内具有目标移动时，可在客户端给出报警提示，最多可设置18×22个区域移动侦测。（提供公安部权威机构检测报告复印件并加盖公章为证）</w:t>
            </w:r>
          </w:p>
          <w:p>
            <w:pPr>
              <w:rPr>
                <w:rFonts w:ascii="宋体" w:hAnsi="宋体" w:cs="宋体"/>
                <w:kern w:val="0"/>
                <w:szCs w:val="21"/>
              </w:rPr>
            </w:pPr>
            <w:r>
              <w:rPr>
                <w:rFonts w:hint="eastAsia" w:ascii="宋体" w:hAnsi="宋体" w:cs="宋体"/>
                <w:kern w:val="0"/>
                <w:szCs w:val="21"/>
              </w:rPr>
              <w:t>14. ★支持声光告警功能，设备智能行为分析触发时可联动声音告警和白光灯闪烁告警，且有红外、双光和白光三种模式可选，并可对闪烁时间和亮度进行设置。支持自定义声音文件上传，最多可上传14条语音，播放次数可配置。（提供公安部权威机构检测报告复印件并加盖公章为证）</w:t>
            </w:r>
          </w:p>
          <w:p>
            <w:pPr>
              <w:rPr>
                <w:rFonts w:ascii="宋体" w:hAnsi="宋体" w:cs="宋体"/>
                <w:kern w:val="0"/>
                <w:szCs w:val="21"/>
              </w:rPr>
            </w:pPr>
            <w:r>
              <w:rPr>
                <w:rFonts w:hint="eastAsia" w:ascii="宋体" w:hAnsi="宋体" w:cs="宋体"/>
                <w:kern w:val="0"/>
                <w:szCs w:val="21"/>
              </w:rPr>
              <w:t>15. ★设备启用视频内容保护功能后，视频码流中的解码秘钥应能够周期性动态变化，变化周期可设置为10分钟至1个月。（提供公安部权威机构检测报告复印件并加盖公章为证）</w:t>
            </w:r>
          </w:p>
          <w:p>
            <w:pPr>
              <w:rPr>
                <w:rFonts w:ascii="宋体" w:hAnsi="宋体" w:cs="宋体"/>
                <w:szCs w:val="21"/>
              </w:rPr>
            </w:pPr>
            <w:r>
              <w:rPr>
                <w:rFonts w:hint="eastAsia" w:ascii="宋体" w:hAnsi="宋体" w:cs="宋体"/>
                <w:kern w:val="0"/>
                <w:szCs w:val="21"/>
              </w:rPr>
              <w:t>16. 支持在环境温度为-45℃～70℃环境下正常工作。外壳防护等级≥IP68。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9" w:hRule="atLeast"/>
        </w:trPr>
        <w:tc>
          <w:tcPr>
            <w:tcW w:w="708" w:type="dxa"/>
            <w:tcBorders>
              <w:top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1272" w:type="dxa"/>
            <w:tcBorders>
              <w:top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热成像监控摄像机</w:t>
            </w:r>
          </w:p>
        </w:tc>
        <w:tc>
          <w:tcPr>
            <w:tcW w:w="6379" w:type="dxa"/>
            <w:tcBorders>
              <w:top w:val="single" w:color="auto" w:sz="4" w:space="0"/>
            </w:tcBorders>
            <w:vAlign w:val="center"/>
          </w:tcPr>
          <w:p>
            <w:pPr>
              <w:rPr>
                <w:rFonts w:hint="eastAsia" w:ascii="宋体" w:hAnsi="宋体" w:cs="宋体"/>
                <w:color w:val="auto"/>
                <w:kern w:val="0"/>
                <w:szCs w:val="21"/>
                <w:highlight w:val="none"/>
              </w:rPr>
            </w:pPr>
            <w:r>
              <w:rPr>
                <w:rFonts w:hint="eastAsia" w:ascii="宋体" w:hAnsi="宋体" w:cs="宋体"/>
                <w:color w:val="auto"/>
                <w:kern w:val="0"/>
                <w:szCs w:val="21"/>
                <w:highlight w:val="none"/>
              </w:rPr>
              <w:t>外观：双目中枪；</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使用类型：观测型；</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探测器类型：非制冷氧化钒焦平面探测器；</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探测器像素：400 × 300；</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热成像镜头焦距：25mm；</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热成像视场角：水平：15.5°;垂直： 11.6°；</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传感器类型：1/2.7英寸CMOS；</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最大分辨率：2688 x 1520；</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可见光像素：400万；</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透雾功能：电子透雾；</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可见光镜头焦距：8mm；</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可见光视场角：水平：41.3°;垂直：23.1°；</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补光类型：红外；</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最大补光距离：30m；</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火点侦测：支持；</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周界防范：支持绊线入侵/支持区域入侵等多种行为检测；</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目标区分：支持人，机动车分类；</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目标跟踪：支持；</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吸烟检测：支持；</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打电话检测：支持；</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烟雾检测：支持；</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模拟输出接口：1路CVBS输出，BNC接口；</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网络接口：1个，10M/100M以太网口（RJ-45）；</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报警输入：2路；</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报警输出：2路；</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音频输入：1路；</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音频输出：1路；</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RS-485接口：1路；</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供电方式：12 VDC ± 20%, PoE (802.3af), ePoE；</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功耗：基本功耗：3.96W(不开补光，不开加热，不开喇叭)；最大功耗：11W（开启补光，开启加热，开启喇叭）；</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工作温度：-30℃ ~ +70℃；</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工作湿度：≤95%；</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防护等级：IP67</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★最小可分辨温差（MRTD）检验：≤150mk（提供公安部有效检测报告复印件加盖原厂公章）</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★噪声等效温差（NETD）检验：≤8mk（提供公安部有效检测报告复印件加盖原厂公章）</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★热成像探测器分辨率检查：探测器分辨率≥400×300（提供公安部有效检测报告复印件加盖原厂公章）</w:t>
            </w:r>
          </w:p>
          <w:p>
            <w:pPr>
              <w:rPr>
                <w:rFonts w:hint="eastAsia" w:ascii="宋体" w:hAnsi="宋体" w:eastAsia="宋体" w:cs="宋体"/>
                <w:kern w:val="0"/>
                <w:szCs w:val="21"/>
                <w:lang w:eastAsia="zh-CN"/>
              </w:rPr>
            </w:pPr>
            <w:r>
              <w:rPr>
                <w:rFonts w:hint="eastAsia" w:ascii="宋体" w:hAnsi="宋体" w:cs="宋体"/>
                <w:color w:val="auto"/>
                <w:kern w:val="0"/>
                <w:szCs w:val="21"/>
                <w:highlight w:val="none"/>
              </w:rPr>
              <w:t>★射频电磁场辐射抗扰度试验 按照CB/T17626. 3-2016中等级3进行试验。样机处于工作状态,在场强为10V/m,调制频率1kHz,调制度80%的条件下,扫描频率从80MHz-1000MHz进行扫频干扰试验。试验中允许功能或性能暂时丧失或降低,但在试验停止后应能自行恢复,不需要探作者干预（提供公安部有效检测报告复印件加盖原厂公章</w:t>
            </w:r>
            <w:r>
              <w:rPr>
                <w:rFonts w:hint="eastAsia" w:ascii="宋体" w:hAnsi="宋体" w:cs="宋体"/>
                <w:color w:val="auto"/>
                <w:kern w:val="0"/>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1272" w:type="dxa"/>
            <w:vAlign w:val="center"/>
          </w:tcPr>
          <w:p>
            <w:pPr>
              <w:jc w:val="center"/>
              <w:rPr>
                <w:rFonts w:ascii="宋体" w:hAnsi="宋体" w:cs="宋体"/>
                <w:color w:val="000000"/>
                <w:kern w:val="0"/>
                <w:szCs w:val="21"/>
              </w:rPr>
            </w:pPr>
            <w:r>
              <w:rPr>
                <w:rFonts w:hint="eastAsia" w:ascii="宋体" w:hAnsi="宋体" w:cs="宋体"/>
                <w:color w:val="000000"/>
                <w:kern w:val="0"/>
                <w:szCs w:val="21"/>
              </w:rPr>
              <w:t>雷球监控摄像机套件</w:t>
            </w:r>
          </w:p>
        </w:tc>
        <w:tc>
          <w:tcPr>
            <w:tcW w:w="6379" w:type="dxa"/>
            <w:vAlign w:val="center"/>
          </w:tcPr>
          <w:p>
            <w:pPr>
              <w:rPr>
                <w:rFonts w:ascii="宋体" w:hAnsi="宋体" w:cs="宋体"/>
                <w:kern w:val="0"/>
                <w:szCs w:val="21"/>
              </w:rPr>
            </w:pPr>
            <w:r>
              <w:rPr>
                <w:rFonts w:hint="eastAsia" w:ascii="宋体" w:hAnsi="宋体" w:cs="宋体"/>
                <w:szCs w:val="21"/>
              </w:rPr>
              <w:t>支持目标定位，轨迹显示；支持探测目标距离、方向、角度等信息，上报经纬度信息；环境适应性强，支持全天时、全天候正常工作；频段：C波段</w:t>
            </w:r>
            <w:r>
              <w:rPr>
                <w:rFonts w:hint="eastAsia" w:ascii="宋体" w:hAnsi="宋体" w:cs="宋体"/>
                <w:kern w:val="0"/>
                <w:szCs w:val="21"/>
              </w:rPr>
              <w:t>；径向探测300m（@人，0°）；横穿探测240m（@人，走、跑）；横穿探测150m（@人，蹲走、匍匐）；探测角度：水平：20°   俯仰：13°；最大检测目标：32个；速度范围：径向移动：80km/h  横穿移动：36km/h；防区：10个区域、4条绊线；网络接口：1个RJ45 10M/100M自适应以太网口；功耗：≤ 20W；供电：DC 12V / AC 24V / PoE (802.3at)；颜色：白色；重量：＜3kg；工作温度：–40℃～+65℃</w:t>
            </w:r>
          </w:p>
          <w:p>
            <w:pPr>
              <w:rPr>
                <w:rFonts w:ascii="宋体" w:hAnsi="宋体" w:cs="宋体"/>
                <w:kern w:val="0"/>
                <w:szCs w:val="21"/>
              </w:rPr>
            </w:pPr>
            <w:r>
              <w:rPr>
                <w:rFonts w:hint="eastAsia" w:ascii="宋体" w:hAnsi="宋体" w:cs="宋体"/>
                <w:kern w:val="0"/>
                <w:szCs w:val="21"/>
              </w:rPr>
              <w:t>★无线发射频率在24.05GHz-24.25GHz范围内（提供公安部有效检测报告复印件加盖原厂公章）</w:t>
            </w:r>
          </w:p>
          <w:p>
            <w:pPr>
              <w:rPr>
                <w:rFonts w:ascii="宋体" w:hAnsi="宋体" w:cs="宋体"/>
                <w:kern w:val="0"/>
                <w:szCs w:val="21"/>
              </w:rPr>
            </w:pPr>
            <w:r>
              <w:rPr>
                <w:rFonts w:hint="eastAsia" w:ascii="宋体" w:hAnsi="宋体" w:cs="宋体"/>
                <w:kern w:val="0"/>
                <w:szCs w:val="21"/>
              </w:rPr>
              <w:t>★探测距离，人：350m，车370m（提供公安部有效检测报告复印件加盖原厂公章）</w:t>
            </w:r>
          </w:p>
          <w:p>
            <w:pPr>
              <w:rPr>
                <w:rFonts w:ascii="宋体" w:hAnsi="宋体" w:cs="宋体"/>
                <w:kern w:val="0"/>
                <w:szCs w:val="21"/>
              </w:rPr>
            </w:pPr>
            <w:r>
              <w:rPr>
                <w:rFonts w:hint="eastAsia" w:ascii="宋体" w:hAnsi="宋体" w:cs="宋体"/>
                <w:kern w:val="0"/>
                <w:szCs w:val="21"/>
              </w:rPr>
              <w:t>传感器类型：1/1.8英寸CMOS；</w:t>
            </w:r>
          </w:p>
          <w:p>
            <w:pPr>
              <w:rPr>
                <w:rFonts w:ascii="宋体" w:hAnsi="宋体" w:cs="宋体"/>
                <w:kern w:val="0"/>
                <w:szCs w:val="21"/>
              </w:rPr>
            </w:pPr>
            <w:r>
              <w:rPr>
                <w:rFonts w:hint="eastAsia" w:ascii="宋体" w:hAnsi="宋体" w:cs="宋体"/>
                <w:kern w:val="0"/>
                <w:szCs w:val="21"/>
              </w:rPr>
              <w:t>像素：400万；</w:t>
            </w:r>
          </w:p>
          <w:p>
            <w:pPr>
              <w:rPr>
                <w:rFonts w:ascii="宋体" w:hAnsi="宋体" w:cs="宋体"/>
                <w:kern w:val="0"/>
                <w:szCs w:val="21"/>
              </w:rPr>
            </w:pPr>
            <w:r>
              <w:rPr>
                <w:rFonts w:hint="eastAsia" w:ascii="宋体" w:hAnsi="宋体" w:cs="宋体"/>
                <w:kern w:val="0"/>
                <w:szCs w:val="21"/>
              </w:rPr>
              <w:t>最大分辨率：2560×1440；</w:t>
            </w:r>
          </w:p>
          <w:p>
            <w:pPr>
              <w:rPr>
                <w:rFonts w:ascii="宋体" w:hAnsi="宋体" w:cs="宋体"/>
                <w:kern w:val="0"/>
                <w:szCs w:val="21"/>
              </w:rPr>
            </w:pPr>
            <w:r>
              <w:rPr>
                <w:rFonts w:hint="eastAsia" w:ascii="宋体" w:hAnsi="宋体" w:cs="宋体"/>
                <w:kern w:val="0"/>
                <w:szCs w:val="21"/>
              </w:rPr>
              <w:t>最低照度：彩色：0.001Lux@F1.4黑白：0.0001Lux@F1.40Lux（红外灯开启）；</w:t>
            </w:r>
          </w:p>
          <w:p>
            <w:pPr>
              <w:rPr>
                <w:rFonts w:ascii="宋体" w:hAnsi="宋体" w:cs="宋体"/>
                <w:kern w:val="0"/>
                <w:szCs w:val="21"/>
              </w:rPr>
            </w:pPr>
            <w:r>
              <w:rPr>
                <w:rFonts w:hint="eastAsia" w:ascii="宋体" w:hAnsi="宋体" w:cs="宋体"/>
                <w:kern w:val="0"/>
                <w:szCs w:val="21"/>
              </w:rPr>
              <w:t>最大补光距离：250m（红外）；</w:t>
            </w:r>
          </w:p>
          <w:p>
            <w:pPr>
              <w:rPr>
                <w:rFonts w:ascii="宋体" w:hAnsi="宋体" w:cs="宋体"/>
                <w:kern w:val="0"/>
                <w:szCs w:val="21"/>
              </w:rPr>
            </w:pPr>
            <w:r>
              <w:rPr>
                <w:rFonts w:hint="eastAsia" w:ascii="宋体" w:hAnsi="宋体" w:cs="宋体"/>
                <w:kern w:val="0"/>
                <w:szCs w:val="21"/>
              </w:rPr>
              <w:t>补光类型：红外；</w:t>
            </w:r>
          </w:p>
          <w:p>
            <w:pPr>
              <w:rPr>
                <w:rFonts w:ascii="宋体" w:hAnsi="宋体" w:cs="宋体"/>
                <w:kern w:val="0"/>
                <w:szCs w:val="21"/>
              </w:rPr>
            </w:pPr>
            <w:r>
              <w:rPr>
                <w:rFonts w:hint="eastAsia" w:ascii="宋体" w:hAnsi="宋体" w:cs="宋体"/>
                <w:kern w:val="0"/>
                <w:szCs w:val="21"/>
              </w:rPr>
              <w:t>镜头焦距：5.5mm~220mm；</w:t>
            </w:r>
          </w:p>
          <w:p>
            <w:pPr>
              <w:rPr>
                <w:rFonts w:ascii="宋体" w:hAnsi="宋体" w:cs="宋体"/>
                <w:kern w:val="0"/>
                <w:szCs w:val="21"/>
              </w:rPr>
            </w:pPr>
            <w:r>
              <w:rPr>
                <w:rFonts w:hint="eastAsia" w:ascii="宋体" w:hAnsi="宋体" w:cs="宋体"/>
                <w:kern w:val="0"/>
                <w:szCs w:val="21"/>
              </w:rPr>
              <w:t>光学变倍：40倍；</w:t>
            </w:r>
          </w:p>
          <w:p>
            <w:pPr>
              <w:rPr>
                <w:rFonts w:ascii="宋体" w:hAnsi="宋体" w:cs="宋体"/>
                <w:kern w:val="0"/>
                <w:szCs w:val="21"/>
              </w:rPr>
            </w:pPr>
            <w:r>
              <w:rPr>
                <w:rFonts w:hint="eastAsia" w:ascii="宋体" w:hAnsi="宋体" w:cs="宋体"/>
                <w:kern w:val="0"/>
                <w:szCs w:val="21"/>
              </w:rPr>
              <w:t>视频结构化：支持机动车、非机动车、人脸、人体检测；支持跟踪；支持优选；支持抓拍；支持上报最优的抓图机动车属性（车牌，车牌颜色 ，车辆类型，车身颜色，车标，车系/年款，遮阳板，安全带，抽烟，打电话，车内饰品，年检标志）；</w:t>
            </w:r>
          </w:p>
          <w:p>
            <w:pPr>
              <w:rPr>
                <w:rFonts w:ascii="宋体" w:hAnsi="宋体" w:cs="宋体"/>
                <w:kern w:val="0"/>
                <w:szCs w:val="21"/>
              </w:rPr>
            </w:pPr>
            <w:r>
              <w:rPr>
                <w:rFonts w:hint="eastAsia" w:ascii="宋体" w:hAnsi="宋体" w:cs="宋体"/>
                <w:kern w:val="0"/>
                <w:szCs w:val="21"/>
              </w:rPr>
              <w:t>周界防范：支持区域入侵；支持穿越围栏；支持徘徊检测；支持物品遗留；支持物品搬移；支持快速移动；支持停车检测；支持人员聚集；支持人车分类报警；支持联动跟踪；</w:t>
            </w:r>
          </w:p>
          <w:p>
            <w:pPr>
              <w:rPr>
                <w:rFonts w:ascii="宋体" w:hAnsi="宋体" w:cs="宋体"/>
                <w:kern w:val="0"/>
                <w:szCs w:val="21"/>
              </w:rPr>
            </w:pPr>
            <w:r>
              <w:rPr>
                <w:rFonts w:hint="eastAsia" w:ascii="宋体" w:hAnsi="宋体" w:cs="宋体"/>
                <w:kern w:val="0"/>
                <w:szCs w:val="21"/>
              </w:rPr>
              <w:t>人脸检测：支持人脸检测；支持人脸轨迹框；支持优选；支持抓拍；支持上报最优的人脸抓图；支持人脸增强；支持人脸属性提取，支持6种属性14种表情：性别，年龄，眼镜，表情（愤怒，悲伤，厌恶，害怕，惊讶，平静，高兴，困惑），口罩，胡子；支持人脸抠图区域可设：人脸，单寸照；支持实时抓拍，优选抓拍，支持质量优先三种抓拍策略；</w:t>
            </w:r>
          </w:p>
          <w:p>
            <w:pPr>
              <w:rPr>
                <w:rFonts w:ascii="宋体" w:hAnsi="宋体" w:cs="宋体"/>
                <w:kern w:val="0"/>
                <w:szCs w:val="21"/>
              </w:rPr>
            </w:pPr>
            <w:r>
              <w:rPr>
                <w:rFonts w:hint="eastAsia" w:ascii="宋体" w:hAnsi="宋体" w:cs="宋体"/>
                <w:kern w:val="0"/>
                <w:szCs w:val="21"/>
              </w:rPr>
              <w:t>防抖功能：电子防抖；</w:t>
            </w:r>
          </w:p>
          <w:p>
            <w:pPr>
              <w:rPr>
                <w:rFonts w:ascii="宋体" w:hAnsi="宋体" w:cs="宋体"/>
                <w:kern w:val="0"/>
                <w:szCs w:val="21"/>
              </w:rPr>
            </w:pPr>
            <w:r>
              <w:rPr>
                <w:rFonts w:hint="eastAsia" w:ascii="宋体" w:hAnsi="宋体" w:cs="宋体"/>
                <w:kern w:val="0"/>
                <w:szCs w:val="21"/>
              </w:rPr>
              <w:t>透雾功能：光学透雾；</w:t>
            </w:r>
          </w:p>
          <w:p>
            <w:pPr>
              <w:rPr>
                <w:rFonts w:ascii="宋体" w:hAnsi="宋体" w:cs="宋体"/>
                <w:kern w:val="0"/>
                <w:szCs w:val="21"/>
              </w:rPr>
            </w:pPr>
            <w:r>
              <w:rPr>
                <w:rFonts w:hint="eastAsia" w:ascii="宋体" w:hAnsi="宋体" w:cs="宋体"/>
                <w:kern w:val="0"/>
                <w:szCs w:val="21"/>
              </w:rPr>
              <w:t>音频输入：1路（LINE IN；裸线）；</w:t>
            </w:r>
          </w:p>
          <w:p>
            <w:pPr>
              <w:rPr>
                <w:rFonts w:ascii="宋体" w:hAnsi="宋体" w:cs="宋体"/>
                <w:kern w:val="0"/>
                <w:szCs w:val="21"/>
              </w:rPr>
            </w:pPr>
            <w:r>
              <w:rPr>
                <w:rFonts w:hint="eastAsia" w:ascii="宋体" w:hAnsi="宋体" w:cs="宋体"/>
                <w:kern w:val="0"/>
                <w:szCs w:val="21"/>
              </w:rPr>
              <w:t>音频输出：1路（LINE OUT；裸线）；</w:t>
            </w:r>
          </w:p>
          <w:p>
            <w:pPr>
              <w:rPr>
                <w:rFonts w:ascii="宋体" w:hAnsi="宋体" w:cs="宋体"/>
                <w:kern w:val="0"/>
                <w:szCs w:val="21"/>
              </w:rPr>
            </w:pPr>
            <w:r>
              <w:rPr>
                <w:rFonts w:hint="eastAsia" w:ascii="宋体" w:hAnsi="宋体" w:cs="宋体"/>
                <w:kern w:val="0"/>
                <w:szCs w:val="21"/>
              </w:rPr>
              <w:t>语音对讲：支持；</w:t>
            </w:r>
          </w:p>
          <w:p>
            <w:pPr>
              <w:rPr>
                <w:rFonts w:ascii="宋体" w:hAnsi="宋体" w:cs="宋体"/>
                <w:kern w:val="0"/>
                <w:szCs w:val="21"/>
              </w:rPr>
            </w:pPr>
            <w:r>
              <w:rPr>
                <w:rFonts w:hint="eastAsia" w:ascii="宋体" w:hAnsi="宋体" w:cs="宋体"/>
                <w:kern w:val="0"/>
                <w:szCs w:val="21"/>
              </w:rPr>
              <w:t>报警输入：2路，开关量输入（0~5V DC）；</w:t>
            </w:r>
          </w:p>
          <w:p>
            <w:pPr>
              <w:rPr>
                <w:rFonts w:ascii="宋体" w:hAnsi="宋体" w:cs="宋体"/>
                <w:kern w:val="0"/>
                <w:szCs w:val="21"/>
              </w:rPr>
            </w:pPr>
            <w:r>
              <w:rPr>
                <w:rFonts w:hint="eastAsia" w:ascii="宋体" w:hAnsi="宋体" w:cs="宋体"/>
                <w:kern w:val="0"/>
                <w:szCs w:val="21"/>
              </w:rPr>
              <w:t>报警输出：1路；</w:t>
            </w:r>
          </w:p>
          <w:p>
            <w:pPr>
              <w:rPr>
                <w:rFonts w:ascii="宋体" w:hAnsi="宋体" w:cs="宋体"/>
                <w:kern w:val="0"/>
                <w:szCs w:val="21"/>
              </w:rPr>
            </w:pPr>
            <w:r>
              <w:rPr>
                <w:rFonts w:hint="eastAsia" w:ascii="宋体" w:hAnsi="宋体" w:cs="宋体"/>
                <w:kern w:val="0"/>
                <w:szCs w:val="21"/>
              </w:rPr>
              <w:t>供电方式：DC24V /2.5A±30%（标配）；</w:t>
            </w:r>
          </w:p>
          <w:p>
            <w:pPr>
              <w:rPr>
                <w:rFonts w:ascii="宋体" w:hAnsi="宋体" w:cs="宋体"/>
                <w:kern w:val="0"/>
                <w:szCs w:val="21"/>
              </w:rPr>
            </w:pPr>
            <w:r>
              <w:rPr>
                <w:rFonts w:hint="eastAsia" w:ascii="宋体" w:hAnsi="宋体" w:cs="宋体"/>
                <w:kern w:val="0"/>
                <w:szCs w:val="21"/>
              </w:rPr>
              <w:t>球机尺寸：8寸；</w:t>
            </w:r>
          </w:p>
          <w:p>
            <w:pPr>
              <w:rPr>
                <w:rFonts w:ascii="宋体" w:hAnsi="宋体" w:cs="宋体"/>
                <w:kern w:val="0"/>
                <w:szCs w:val="21"/>
              </w:rPr>
            </w:pPr>
            <w:r>
              <w:rPr>
                <w:rFonts w:hint="eastAsia" w:ascii="宋体" w:hAnsi="宋体" w:cs="宋体"/>
                <w:kern w:val="0"/>
                <w:szCs w:val="21"/>
              </w:rPr>
              <w:t>接口类型：RJ45接口</w:t>
            </w:r>
          </w:p>
          <w:p>
            <w:pPr>
              <w:rPr>
                <w:rFonts w:ascii="宋体" w:hAnsi="宋体" w:cs="宋体"/>
                <w:kern w:val="0"/>
                <w:szCs w:val="21"/>
              </w:rPr>
            </w:pPr>
            <w:r>
              <w:rPr>
                <w:rFonts w:hint="eastAsia" w:ascii="宋体" w:hAnsi="宋体" w:cs="宋体"/>
                <w:kern w:val="0"/>
                <w:szCs w:val="21"/>
              </w:rPr>
              <w:t>★云台定位准确度检验：云台定位准确度小于等于0.01°（提供公安部有效检测报告复印件加盖原厂公章）</w:t>
            </w:r>
          </w:p>
          <w:p>
            <w:pPr>
              <w:rPr>
                <w:rFonts w:ascii="宋体" w:hAnsi="宋体" w:cs="宋体"/>
                <w:kern w:val="0"/>
                <w:szCs w:val="21"/>
              </w:rPr>
            </w:pPr>
            <w:r>
              <w:rPr>
                <w:rFonts w:hint="eastAsia" w:ascii="宋体" w:hAnsi="宋体" w:cs="宋体"/>
                <w:kern w:val="0"/>
                <w:szCs w:val="21"/>
              </w:rPr>
              <w:t>★日夜模式功能检验：在客户端或IE浏览器下，具有彩色模式、黑白模式设置选项，具有自动感应光敏电阻出发并转换设置选项，类型可设置电子或者ICR，并具有自动、定时、报警触发转换设置选项，采用可切换的红外截止滤光片(IR-CUT)，日夜转换时支持自动后焦矫正（提供公安部有效检测报告复印件加盖原厂公章）</w:t>
            </w:r>
          </w:p>
          <w:p>
            <w:pPr>
              <w:rPr>
                <w:rFonts w:ascii="宋体" w:hAnsi="宋体" w:cs="宋体"/>
                <w:kern w:val="0"/>
                <w:szCs w:val="21"/>
              </w:rPr>
            </w:pPr>
            <w:r>
              <w:rPr>
                <w:rFonts w:hint="eastAsia" w:ascii="宋体" w:hAnsi="宋体" w:cs="宋体"/>
                <w:kern w:val="0"/>
                <w:szCs w:val="21"/>
              </w:rPr>
              <w:t>★当智能行为分析设置为区域入侵、越界入侵侦测、进入区域侦测、离开区域侦测快速移动侦测时，可对人、车、自行车电瓶车、摩托车、三轮车等进行检测。样机支持行为分析触发后联动聚焦、联动目标跟踪、报警上传，上传FTP，发送邮件，联动录像，辅助输出等多种报警触发方式（提供公安部有效检测报告复印件加盖原厂公章）</w:t>
            </w:r>
          </w:p>
        </w:tc>
      </w:tr>
    </w:tbl>
    <w:p>
      <w:pPr>
        <w:pStyle w:val="189"/>
        <w:tabs>
          <w:tab w:val="left" w:pos="0"/>
          <w:tab w:val="clear" w:pos="720"/>
          <w:tab w:val="clear" w:pos="1740"/>
        </w:tabs>
        <w:spacing w:before="120" w:after="120"/>
        <w:ind w:left="0" w:firstLine="422" w:firstLineChars="200"/>
        <w:rPr>
          <w:rFonts w:ascii="宋体" w:hAnsi="宋体" w:eastAsia="宋体" w:cs="宋体"/>
          <w:sz w:val="21"/>
          <w:szCs w:val="21"/>
        </w:rPr>
      </w:pPr>
      <w:r>
        <w:rPr>
          <w:rFonts w:hint="eastAsia" w:ascii="宋体" w:hAnsi="宋体" w:eastAsia="宋体" w:cs="宋体"/>
          <w:sz w:val="21"/>
          <w:szCs w:val="21"/>
        </w:rPr>
        <w:t>3、警报处理及对接服务</w:t>
      </w:r>
    </w:p>
    <w:p>
      <w:pPr>
        <w:pStyle w:val="255"/>
        <w:tabs>
          <w:tab w:val="left" w:pos="0"/>
          <w:tab w:val="left" w:pos="360"/>
          <w:tab w:val="clear" w:pos="2160"/>
        </w:tabs>
        <w:spacing w:before="156"/>
        <w:ind w:left="3412" w:leftChars="200" w:hanging="2992" w:hangingChars="1419"/>
        <w:rPr>
          <w:rFonts w:ascii="宋体" w:hAnsi="宋体" w:eastAsia="宋体" w:cs="宋体"/>
          <w:sz w:val="21"/>
          <w:szCs w:val="21"/>
        </w:rPr>
      </w:pPr>
      <w:r>
        <w:rPr>
          <w:rFonts w:hint="eastAsia" w:ascii="宋体" w:hAnsi="宋体" w:eastAsia="宋体" w:cs="宋体"/>
          <w:sz w:val="21"/>
          <w:szCs w:val="21"/>
        </w:rPr>
        <w:t>（1）技术要求</w:t>
      </w:r>
    </w:p>
    <w:p>
      <w:pPr>
        <w:spacing w:line="360" w:lineRule="auto"/>
        <w:ind w:firstLine="420" w:firstLineChars="200"/>
        <w:rPr>
          <w:rFonts w:ascii="宋体" w:hAnsi="宋体" w:cs="宋体"/>
          <w:color w:val="auto"/>
          <w:szCs w:val="21"/>
          <w:highlight w:val="none"/>
          <w:lang w:val="en-GB"/>
        </w:rPr>
      </w:pPr>
      <w:r>
        <w:rPr>
          <w:rFonts w:hint="eastAsia" w:ascii="宋体" w:hAnsi="宋体" w:cs="宋体"/>
          <w:szCs w:val="21"/>
          <w:lang w:val="en-GB"/>
        </w:rPr>
        <w:t>通过AI智算服务功能提供相关功能，包含任务调度，模型配置，后处理算法，AI识别能力，视频管理系统：（1）任务调度功能：支持任务列表管理功能，任务新增和编辑功能。（2）模型配置功能：支持多预置位配置功能、支持多模型配置功能、支持多预置位和多模型组合配置、支持数据推送配置。（3）后处理算法：支持</w:t>
      </w:r>
      <w:r>
        <w:rPr>
          <w:rFonts w:hint="eastAsia" w:ascii="宋体" w:hAnsi="宋体" w:cs="宋体"/>
          <w:color w:val="auto"/>
          <w:szCs w:val="21"/>
          <w:highlight w:val="none"/>
          <w:lang w:val="en-GB"/>
        </w:rPr>
        <w:t>复杂算法处理，包括但不限于多边形电子围栏内报警、多边形电子围栏内外报警、高宽比分析、报警判断过滤等后处理算法配置功能。（4）AI识别能力应具备能力：支持具备视频智能识别分析能力：如焚烧排烟识别、非运维人员违规进入识别、垂钓识别、洗衣识别、船只识别、下塘游玩识别、水位识别、特种车辆识别。（5）视频管理系统：支持服务器信息查看、视频分屏展示、国标设备级联、用户管理等功能。</w:t>
      </w:r>
    </w:p>
    <w:p>
      <w:pPr>
        <w:spacing w:line="360" w:lineRule="auto"/>
        <w:ind w:firstLine="420" w:firstLineChars="200"/>
        <w:rPr>
          <w:rFonts w:ascii="宋体" w:hAnsi="宋体" w:cs="宋体"/>
          <w:szCs w:val="21"/>
          <w:lang w:val="en-GB"/>
        </w:rPr>
      </w:pPr>
      <w:r>
        <w:rPr>
          <w:rFonts w:hint="eastAsia" w:ascii="宋体" w:hAnsi="宋体" w:cs="宋体"/>
          <w:szCs w:val="21"/>
          <w:lang w:val="en-GB"/>
        </w:rPr>
        <w:t>本次处理系统服务功能要求实现包括站点分布图、站点信息查询、远程监管功能、查看实时视频、告警信息、告警信息处理、绘制越界线以及告警分析报告等功能。具备移动端“浙政钉”应用，可通过移动端应用推送和处理告警信息，告警信息由系统平台通过移动端方式推送至相关管理人员，管理人对各个异常信息进行人为干扰，处理完成后反馈核查处理情况，需要做到快速反应、快速处置。实现告警处理的闭环。</w:t>
      </w:r>
    </w:p>
    <w:p>
      <w:pPr>
        <w:spacing w:line="360" w:lineRule="auto"/>
        <w:ind w:firstLine="420" w:firstLineChars="200"/>
        <w:rPr>
          <w:rFonts w:ascii="宋体" w:hAnsi="宋体" w:cs="宋体"/>
          <w:szCs w:val="21"/>
          <w:lang w:val="en-GB"/>
        </w:rPr>
      </w:pPr>
      <w:r>
        <w:rPr>
          <w:rFonts w:hint="eastAsia" w:ascii="宋体" w:hAnsi="宋体" w:cs="宋体"/>
          <w:kern w:val="0"/>
          <w:szCs w:val="21"/>
        </w:rPr>
        <w:t>★</w:t>
      </w:r>
      <w:r>
        <w:rPr>
          <w:rFonts w:hint="eastAsia" w:ascii="宋体" w:hAnsi="宋体" w:cs="宋体"/>
          <w:szCs w:val="21"/>
          <w:lang w:val="en-GB"/>
        </w:rPr>
        <w:t>完成本系统与宁波市生态环境综合监管与协同平台的数据对接。</w:t>
      </w:r>
    </w:p>
    <w:p>
      <w:pPr>
        <w:spacing w:line="360" w:lineRule="auto"/>
        <w:ind w:firstLine="420" w:firstLineChars="200"/>
        <w:rPr>
          <w:rFonts w:ascii="宋体" w:hAnsi="宋体" w:cs="宋体"/>
          <w:szCs w:val="21"/>
          <w:lang w:val="en-GB"/>
        </w:rPr>
      </w:pPr>
      <w:r>
        <w:rPr>
          <w:rFonts w:hint="eastAsia" w:ascii="宋体" w:hAnsi="宋体" w:cs="宋体"/>
          <w:szCs w:val="21"/>
        </w:rPr>
        <w:t>根据业主需求，完成非本项目清单内水源地电子围栏数据的对接。</w:t>
      </w:r>
    </w:p>
    <w:p>
      <w:pPr>
        <w:pStyle w:val="255"/>
        <w:tabs>
          <w:tab w:val="left" w:pos="0"/>
          <w:tab w:val="left" w:pos="360"/>
          <w:tab w:val="clear" w:pos="2160"/>
        </w:tabs>
        <w:spacing w:before="156"/>
        <w:rPr>
          <w:rFonts w:ascii="宋体" w:hAnsi="宋体" w:eastAsia="宋体" w:cs="宋体"/>
          <w:sz w:val="21"/>
          <w:szCs w:val="21"/>
        </w:rPr>
      </w:pPr>
      <w:r>
        <w:rPr>
          <w:rFonts w:hint="eastAsia" w:ascii="宋体" w:hAnsi="宋体" w:eastAsia="宋体" w:cs="宋体"/>
          <w:sz w:val="21"/>
          <w:szCs w:val="21"/>
        </w:rPr>
        <w:t>（2）功能描述</w:t>
      </w:r>
    </w:p>
    <w:p>
      <w:pPr>
        <w:spacing w:line="360" w:lineRule="auto"/>
        <w:ind w:firstLine="420" w:firstLineChars="200"/>
        <w:rPr>
          <w:rFonts w:ascii="宋体" w:hAnsi="宋体" w:cs="宋体"/>
          <w:szCs w:val="21"/>
          <w:lang w:val="en-GB"/>
        </w:rPr>
      </w:pPr>
      <w:r>
        <w:rPr>
          <w:rFonts w:hint="eastAsia" w:ascii="宋体" w:hAnsi="宋体" w:cs="宋体"/>
          <w:szCs w:val="21"/>
          <w:lang w:val="en-GB"/>
        </w:rPr>
        <w:t>站点一张图：系统支持实现站点分布图功能，要求在一张图上展示站点分布情况，支持站点搜索；支持站点基本信息的查看，包括站点名称，所属区域等；支持远程监管，可查看该站点实时视频，并进行视频云台控制。</w:t>
      </w:r>
    </w:p>
    <w:p>
      <w:pPr>
        <w:spacing w:line="360" w:lineRule="auto"/>
        <w:ind w:firstLine="420" w:firstLineChars="200"/>
        <w:rPr>
          <w:rFonts w:ascii="宋体" w:hAnsi="宋体" w:cs="宋体"/>
          <w:szCs w:val="21"/>
          <w:lang w:val="en-GB"/>
        </w:rPr>
      </w:pPr>
      <w:r>
        <w:rPr>
          <w:rFonts w:hint="eastAsia" w:ascii="宋体" w:hAnsi="宋体" w:cs="宋体"/>
          <w:szCs w:val="21"/>
          <w:lang w:val="en-GB"/>
        </w:rPr>
        <w:t>智能报警：支持查看告警信息，可以列表形式查看实时预警数据，包括该预警事件的站点名称、报警内容、事件处理状态等信息，支持按照事件发生时间筛选告警事件。支持告警事件闭环处理。可查看该告警事件的地理位置、消息生成时间、详细事件预警图片等信息。系统支持整体闭环流程监管，实现包括事件从发生，到事件任务处理派发，最终事件处理结果和处理图片的信息查看。</w:t>
      </w:r>
    </w:p>
    <w:p>
      <w:pPr>
        <w:spacing w:line="360" w:lineRule="auto"/>
        <w:ind w:firstLine="420" w:firstLineChars="200"/>
        <w:rPr>
          <w:rFonts w:ascii="宋体" w:hAnsi="宋体" w:cs="宋体"/>
          <w:szCs w:val="21"/>
          <w:lang w:val="en-GB"/>
        </w:rPr>
      </w:pPr>
      <w:r>
        <w:rPr>
          <w:rFonts w:hint="eastAsia" w:ascii="宋体" w:hAnsi="宋体" w:cs="宋体"/>
          <w:szCs w:val="21"/>
          <w:lang w:val="en-GB"/>
        </w:rPr>
        <w:t>移动端应用：系统支持与浙政钉平台打通，实现浙政钉端预警信息接收处置功能。</w:t>
      </w:r>
    </w:p>
    <w:p>
      <w:pPr>
        <w:pStyle w:val="189"/>
        <w:tabs>
          <w:tab w:val="left" w:pos="0"/>
          <w:tab w:val="clear" w:pos="720"/>
          <w:tab w:val="clear" w:pos="1740"/>
        </w:tabs>
        <w:spacing w:before="120" w:after="120"/>
        <w:ind w:left="0" w:firstLine="422" w:firstLineChars="200"/>
        <w:rPr>
          <w:rFonts w:ascii="宋体" w:hAnsi="宋体" w:eastAsia="宋体" w:cs="宋体"/>
          <w:sz w:val="21"/>
          <w:szCs w:val="21"/>
        </w:rPr>
      </w:pPr>
      <w:r>
        <w:rPr>
          <w:rFonts w:hint="eastAsia" w:ascii="宋体" w:hAnsi="宋体" w:eastAsia="宋体" w:cs="宋体"/>
          <w:sz w:val="21"/>
          <w:szCs w:val="21"/>
        </w:rPr>
        <w:t>4、环境核查服务</w:t>
      </w:r>
    </w:p>
    <w:p>
      <w:pPr>
        <w:spacing w:line="360" w:lineRule="auto"/>
        <w:ind w:firstLine="420" w:firstLineChars="200"/>
        <w:rPr>
          <w:rFonts w:ascii="宋体" w:hAnsi="宋体" w:cs="宋体"/>
          <w:szCs w:val="21"/>
        </w:rPr>
      </w:pPr>
      <w:r>
        <w:rPr>
          <w:rFonts w:hint="eastAsia" w:ascii="宋体" w:hAnsi="宋体" w:cs="宋体"/>
          <w:szCs w:val="21"/>
        </w:rPr>
        <w:t>对饮用水源保护区周边航测区内的地貌及地上建筑运用专业摄影装备进行数据采集，运用专业的地理信息软件制作影像图。需提取出一、二级水源保护区域内的污染源、设施和项目情况，形成疑似违法建设项目清单。其中输出数据的具体要求如下：数据相对测量精度1：1000；数据定位精度：不低于10厘米。航拍项目分三大模块：数据采集、数据制作、数据对比。实现原理归统于航空摄影测量。采用无人机上航摄仪器对地面进行连续摄取相片，获取地面信息，绘制地图作业。</w:t>
      </w:r>
    </w:p>
    <w:p>
      <w:pPr>
        <w:spacing w:line="360" w:lineRule="auto"/>
        <w:ind w:firstLine="420" w:firstLineChars="200"/>
        <w:rPr>
          <w:rFonts w:ascii="宋体" w:hAnsi="宋体" w:cs="宋体"/>
          <w:szCs w:val="21"/>
        </w:rPr>
      </w:pPr>
      <w:r>
        <w:rPr>
          <w:rFonts w:hint="eastAsia" w:ascii="宋体" w:hAnsi="宋体" w:cs="宋体"/>
          <w:szCs w:val="21"/>
        </w:rPr>
        <w:t>一是形成现场无人机航拍范围内的疑似违法建设项目的报告，为各区县对辖区内疑似违法建设项目进行人工核查和执法提供技术支撑。</w:t>
      </w:r>
    </w:p>
    <w:p>
      <w:pPr>
        <w:spacing w:line="360" w:lineRule="auto"/>
        <w:ind w:firstLine="420" w:firstLineChars="200"/>
        <w:rPr>
          <w:rFonts w:ascii="宋体" w:hAnsi="宋体" w:cs="宋体"/>
          <w:szCs w:val="21"/>
        </w:rPr>
      </w:pPr>
      <w:r>
        <w:rPr>
          <w:rFonts w:hint="eastAsia" w:ascii="宋体" w:hAnsi="宋体" w:cs="宋体"/>
          <w:szCs w:val="21"/>
        </w:rPr>
        <w:t xml:space="preserve"> 二是形成饮用水源保护区污染源遥感排查报告，为下一步整治和动态管控提供支撑。</w:t>
      </w:r>
    </w:p>
    <w:p>
      <w:pPr>
        <w:spacing w:line="360" w:lineRule="auto"/>
        <w:ind w:firstLine="420" w:firstLineChars="200"/>
        <w:rPr>
          <w:rFonts w:ascii="宋体" w:hAnsi="宋体" w:cs="宋体"/>
          <w:szCs w:val="21"/>
        </w:rPr>
      </w:pPr>
      <w:r>
        <w:rPr>
          <w:rFonts w:hint="eastAsia" w:ascii="宋体" w:hAnsi="宋体" w:cs="宋体"/>
          <w:szCs w:val="21"/>
        </w:rPr>
        <w:t>三是对疑似违法建设项目图斑以及污染源图斑进行人工外业核查，进行现场情况记录，现场照片拍摄。形成图斑目录表。</w:t>
      </w:r>
    </w:p>
    <w:p>
      <w:pPr>
        <w:spacing w:line="360" w:lineRule="auto"/>
        <w:ind w:firstLine="420" w:firstLineChars="200"/>
        <w:rPr>
          <w:rFonts w:ascii="宋体" w:hAnsi="宋体" w:cs="宋体"/>
          <w:szCs w:val="21"/>
        </w:rPr>
      </w:pPr>
      <w:r>
        <w:rPr>
          <w:rFonts w:hint="eastAsia" w:ascii="宋体" w:hAnsi="宋体" w:cs="宋体"/>
          <w:szCs w:val="21"/>
        </w:rPr>
        <w:t>服务频次：重点饮用水水源地</w:t>
      </w:r>
      <w:r>
        <w:rPr>
          <w:rFonts w:hint="eastAsia" w:ascii="宋体" w:hAnsi="宋体" w:cs="宋体"/>
          <w:szCs w:val="21"/>
          <w:lang w:eastAsia="zh-CN"/>
        </w:rPr>
        <w:t>（由采购人指定）</w:t>
      </w:r>
      <w:r>
        <w:rPr>
          <w:rFonts w:hint="eastAsia" w:ascii="宋体" w:hAnsi="宋体" w:cs="宋体"/>
          <w:szCs w:val="21"/>
        </w:rPr>
        <w:t>遥感频次每季度一次，遥测每次覆盖范围不少于4个</w:t>
      </w:r>
      <w:r>
        <w:rPr>
          <w:rFonts w:hint="eastAsia" w:ascii="宋体" w:hAnsi="宋体" w:cs="宋体"/>
          <w:szCs w:val="21"/>
          <w:lang w:eastAsia="zh-CN"/>
        </w:rPr>
        <w:t>水源地</w:t>
      </w:r>
      <w:r>
        <w:rPr>
          <w:rFonts w:hint="eastAsia" w:ascii="宋体" w:hAnsi="宋体" w:cs="宋体"/>
          <w:szCs w:val="21"/>
        </w:rPr>
        <w:t>，每年开展四期饮用水源地环境变化监测，具体服务时间由采购人指定，年度服务内容至少完成13个饮用水源地遍历。</w:t>
      </w:r>
    </w:p>
    <w:p>
      <w:pPr>
        <w:spacing w:line="360" w:lineRule="auto"/>
        <w:ind w:firstLine="420" w:firstLineChars="200"/>
        <w:rPr>
          <w:rFonts w:ascii="宋体" w:hAnsi="宋体" w:cs="宋体"/>
          <w:szCs w:val="21"/>
        </w:rPr>
      </w:pPr>
      <w:r>
        <w:rPr>
          <w:rFonts w:hint="eastAsia" w:ascii="宋体" w:hAnsi="宋体" w:cs="宋体"/>
          <w:szCs w:val="21"/>
        </w:rPr>
        <w:t>技术要求：每个疑似违规项目图斑都有对应的无人机影像高清图，要求无人机图片裁剪至大小包含每块风险源图斑，图片标注对应矢量编号。无人机航测分辨率优于 0. 1m/pixel、测区内正射影像 tif 格式、图斑点位 信息 shp（大地 2000 坐标系） +kml+jpg 格式、复杂点位导航路径 kml 格式。</w:t>
      </w:r>
    </w:p>
    <w:p>
      <w:pPr>
        <w:spacing w:line="360" w:lineRule="auto"/>
        <w:ind w:firstLine="420" w:firstLineChars="200"/>
        <w:rPr>
          <w:rFonts w:ascii="宋体" w:hAnsi="宋体" w:cs="宋体"/>
          <w:szCs w:val="21"/>
        </w:rPr>
      </w:pPr>
      <w:r>
        <w:rPr>
          <w:rFonts w:hint="eastAsia" w:ascii="宋体" w:hAnsi="宋体" w:cs="宋体"/>
          <w:szCs w:val="21"/>
        </w:rPr>
        <w:t>成果交付：</w:t>
      </w:r>
      <w:r>
        <w:rPr>
          <w:rFonts w:hint="eastAsia" w:ascii="宋体" w:hAnsi="宋体" w:cs="宋体"/>
          <w:color w:val="000000"/>
          <w:kern w:val="0"/>
          <w:szCs w:val="21"/>
          <w:lang w:bidi="ar"/>
        </w:rPr>
        <w:t>提供现场无人机航拍范围内的疑似违法建设项目的报告，为各区</w:t>
      </w:r>
      <w:r>
        <w:rPr>
          <w:rFonts w:hint="eastAsia" w:ascii="宋体" w:hAnsi="宋体" w:cs="宋体"/>
          <w:color w:val="000000"/>
          <w:kern w:val="0"/>
          <w:szCs w:val="21"/>
          <w:lang w:eastAsia="zh-CN" w:bidi="ar"/>
        </w:rPr>
        <w:t>（县、市）</w:t>
      </w:r>
      <w:r>
        <w:rPr>
          <w:rFonts w:hint="eastAsia" w:ascii="宋体" w:hAnsi="宋体" w:cs="宋体"/>
          <w:color w:val="000000"/>
          <w:kern w:val="0"/>
          <w:szCs w:val="21"/>
          <w:lang w:bidi="ar"/>
        </w:rPr>
        <w:t>对辖区内疑似违法建设项目进行人工核查和执法提供技术支撑。提供饮用水源保护区污染源遥感排查报告，为下一步整治和动态管控提供支撑。</w:t>
      </w:r>
      <w:r>
        <w:rPr>
          <w:rFonts w:hint="eastAsia" w:ascii="宋体" w:hAnsi="宋体" w:cs="宋体"/>
          <w:szCs w:val="21"/>
        </w:rPr>
        <w:t>对疑似违法建设项目图斑以及污染源图斑进行人工外业核查，进行现场情况记录，现场照片拍摄，形成图斑目录表。</w:t>
      </w:r>
    </w:p>
    <w:p>
      <w:pPr>
        <w:pStyle w:val="189"/>
        <w:tabs>
          <w:tab w:val="left" w:pos="0"/>
          <w:tab w:val="clear" w:pos="720"/>
          <w:tab w:val="clear" w:pos="1740"/>
        </w:tabs>
        <w:spacing w:before="120" w:after="120"/>
        <w:ind w:left="0" w:firstLine="422" w:firstLineChars="200"/>
        <w:rPr>
          <w:rFonts w:ascii="宋体" w:hAnsi="宋体" w:eastAsia="宋体" w:cs="宋体"/>
          <w:sz w:val="21"/>
          <w:szCs w:val="21"/>
        </w:rPr>
      </w:pPr>
      <w:r>
        <w:rPr>
          <w:rFonts w:hint="eastAsia" w:ascii="宋体" w:hAnsi="宋体" w:eastAsia="宋体" w:cs="宋体"/>
          <w:sz w:val="21"/>
          <w:szCs w:val="21"/>
        </w:rPr>
        <w:t>5、数据运维服务</w:t>
      </w:r>
    </w:p>
    <w:p>
      <w:pPr>
        <w:spacing w:line="360" w:lineRule="auto"/>
        <w:ind w:firstLine="420" w:firstLineChars="200"/>
        <w:rPr>
          <w:rFonts w:ascii="宋体" w:hAnsi="宋体" w:cs="宋体"/>
          <w:szCs w:val="21"/>
        </w:rPr>
      </w:pPr>
      <w:r>
        <w:rPr>
          <w:rFonts w:hint="eastAsia" w:ascii="宋体" w:hAnsi="宋体" w:cs="宋体"/>
          <w:szCs w:val="21"/>
        </w:rPr>
        <w:t>根据采购方实际工作安排提供2名运维人员完成系统运行情况监控和问题发现处置服务，项目运维实施人员需包括常驻驻场服务人员和远程维护人员。</w:t>
      </w:r>
    </w:p>
    <w:p>
      <w:pPr>
        <w:spacing w:line="360" w:lineRule="auto"/>
        <w:ind w:firstLine="420" w:firstLineChars="200"/>
        <w:rPr>
          <w:rFonts w:ascii="宋体" w:hAnsi="宋体" w:cs="宋体"/>
          <w:szCs w:val="21"/>
        </w:rPr>
      </w:pPr>
      <w:r>
        <w:rPr>
          <w:rFonts w:hint="eastAsia" w:ascii="宋体" w:hAnsi="宋体" w:cs="宋体"/>
          <w:szCs w:val="21"/>
        </w:rPr>
        <w:t>1名驻场人员配合整体运维工作，包括日常巡检、运维资料记录、应急响应、故障抢修等调度传达工作，确保问题闭环流程工作的执行力。要求常驻人员身体健康无传染病史，品德端正无犯罪记录，人员派驻前需通过</w:t>
      </w:r>
      <w:r>
        <w:rPr>
          <w:rFonts w:hint="eastAsia" w:ascii="宋体" w:hAnsi="宋体" w:cs="宋体"/>
          <w:szCs w:val="21"/>
          <w:lang w:eastAsia="zh-CN"/>
        </w:rPr>
        <w:t>采购方</w:t>
      </w:r>
      <w:r>
        <w:rPr>
          <w:rFonts w:hint="eastAsia" w:ascii="宋体" w:hAnsi="宋体" w:cs="宋体"/>
          <w:szCs w:val="21"/>
        </w:rPr>
        <w:t>考核。常驻驻场服务人员在</w:t>
      </w:r>
      <w:r>
        <w:rPr>
          <w:rFonts w:hint="eastAsia" w:ascii="宋体" w:hAnsi="宋体" w:cs="宋体"/>
          <w:szCs w:val="21"/>
          <w:lang w:eastAsia="zh-CN"/>
        </w:rPr>
        <w:t>采购</w:t>
      </w:r>
      <w:r>
        <w:rPr>
          <w:rFonts w:hint="eastAsia" w:ascii="宋体" w:hAnsi="宋体" w:cs="宋体"/>
          <w:szCs w:val="21"/>
        </w:rPr>
        <w:t>方指定地点进行5×8小时现场技术支持服务（与</w:t>
      </w:r>
      <w:r>
        <w:rPr>
          <w:rFonts w:hint="eastAsia" w:ascii="宋体" w:hAnsi="宋体" w:cs="宋体"/>
          <w:szCs w:val="21"/>
          <w:lang w:eastAsia="zh-CN"/>
        </w:rPr>
        <w:t>采购方</w:t>
      </w:r>
      <w:r>
        <w:rPr>
          <w:rFonts w:hint="eastAsia" w:ascii="宋体" w:hAnsi="宋体" w:cs="宋体"/>
          <w:szCs w:val="21"/>
        </w:rPr>
        <w:t>作息一致），实时响应运维服务要求，紧急事件10分钟内响应，运维人员具体要求如下：</w:t>
      </w:r>
    </w:p>
    <w:p>
      <w:pPr>
        <w:spacing w:line="360" w:lineRule="auto"/>
        <w:ind w:firstLine="420" w:firstLineChars="200"/>
        <w:rPr>
          <w:rFonts w:ascii="宋体" w:hAnsi="宋体" w:cs="宋体"/>
          <w:szCs w:val="21"/>
        </w:rPr>
      </w:pPr>
      <w:r>
        <w:rPr>
          <w:rFonts w:hint="eastAsia" w:ascii="宋体" w:hAnsi="宋体" w:cs="宋体"/>
          <w:szCs w:val="21"/>
        </w:rPr>
        <w:t>1）熟悉各功能模块、处理流程和标准体系，具备良好沟通协调能力。</w:t>
      </w:r>
    </w:p>
    <w:p>
      <w:pPr>
        <w:spacing w:line="360" w:lineRule="auto"/>
        <w:ind w:firstLine="420" w:firstLineChars="200"/>
        <w:rPr>
          <w:rFonts w:ascii="宋体" w:hAnsi="宋体" w:cs="宋体"/>
          <w:szCs w:val="21"/>
        </w:rPr>
      </w:pPr>
      <w:r>
        <w:rPr>
          <w:rFonts w:hint="eastAsia" w:ascii="宋体" w:hAnsi="宋体" w:cs="宋体"/>
          <w:szCs w:val="21"/>
        </w:rPr>
        <w:t>2）有3年以上同类工作经验，并具有一定的系统开发经验及能力，以便及时处理一体化数据中心等系统存在的安全风险问题。</w:t>
      </w:r>
    </w:p>
    <w:p>
      <w:pPr>
        <w:spacing w:line="360" w:lineRule="auto"/>
        <w:ind w:firstLine="420" w:firstLineChars="200"/>
        <w:rPr>
          <w:rFonts w:ascii="宋体" w:hAnsi="宋体" w:cs="宋体"/>
          <w:szCs w:val="21"/>
        </w:rPr>
      </w:pPr>
      <w:r>
        <w:rPr>
          <w:rFonts w:hint="eastAsia" w:ascii="宋体" w:hAnsi="宋体" w:cs="宋体"/>
          <w:szCs w:val="21"/>
        </w:rPr>
        <w:t>3）常驻运维人员要求技术过硬、富有耐心、责任心强，无特殊情况不得请假，重大活动、节假日、设备调试维护等期间，按用户需求参与值班值守，年度在岗率不低于95%。</w:t>
      </w:r>
    </w:p>
    <w:p>
      <w:pPr>
        <w:spacing w:line="360" w:lineRule="auto"/>
        <w:ind w:firstLine="420" w:firstLineChars="200"/>
        <w:rPr>
          <w:rFonts w:ascii="宋体" w:hAnsi="宋体" w:cs="宋体"/>
          <w:szCs w:val="21"/>
        </w:rPr>
      </w:pPr>
      <w:r>
        <w:rPr>
          <w:rFonts w:hint="eastAsia" w:ascii="宋体" w:hAnsi="宋体" w:cs="宋体"/>
          <w:szCs w:val="21"/>
        </w:rPr>
        <w:t>1名远程维护人员负责对常驻维护进行技术支持，在用户方现场或在异地通过远程接入的方式进行协助配合共组，提供相应的服务，确保项目的正常顺利运营，紧急事件发生时必须在半小时内及时响应。</w:t>
      </w:r>
    </w:p>
    <w:p>
      <w:pPr>
        <w:pStyle w:val="189"/>
        <w:tabs>
          <w:tab w:val="left" w:pos="0"/>
          <w:tab w:val="clear" w:pos="720"/>
          <w:tab w:val="clear" w:pos="1740"/>
        </w:tabs>
        <w:spacing w:before="120" w:after="120"/>
        <w:ind w:left="0" w:firstLine="422" w:firstLineChars="200"/>
        <w:rPr>
          <w:rFonts w:ascii="宋体" w:hAnsi="宋体" w:eastAsia="宋体" w:cs="宋体"/>
          <w:sz w:val="21"/>
          <w:szCs w:val="21"/>
        </w:rPr>
      </w:pPr>
      <w:r>
        <w:rPr>
          <w:rFonts w:hint="eastAsia" w:ascii="宋体" w:hAnsi="宋体" w:eastAsia="宋体" w:cs="宋体"/>
          <w:sz w:val="21"/>
          <w:szCs w:val="21"/>
        </w:rPr>
        <w:t>6、数据传输服务</w:t>
      </w:r>
    </w:p>
    <w:p>
      <w:pPr>
        <w:spacing w:line="360" w:lineRule="auto"/>
        <w:ind w:firstLine="420" w:firstLineChars="200"/>
        <w:rPr>
          <w:rFonts w:ascii="宋体" w:hAnsi="宋体" w:cs="宋体"/>
          <w:szCs w:val="21"/>
        </w:rPr>
      </w:pPr>
      <w:r>
        <w:rPr>
          <w:rFonts w:hint="eastAsia" w:ascii="宋体" w:hAnsi="宋体" w:cs="宋体"/>
          <w:szCs w:val="21"/>
        </w:rPr>
        <w:t>根据实际服务场景不同，中标方需提供足够数量的4G无线回传服务和有线VPN回传线路。</w:t>
      </w:r>
    </w:p>
    <w:p>
      <w:pPr>
        <w:spacing w:line="360" w:lineRule="auto"/>
        <w:ind w:firstLine="420" w:firstLineChars="200"/>
        <w:rPr>
          <w:rFonts w:ascii="宋体" w:hAnsi="宋体" w:cs="宋体"/>
          <w:szCs w:val="21"/>
        </w:rPr>
      </w:pPr>
      <w:r>
        <w:rPr>
          <w:rFonts w:hint="eastAsia" w:ascii="宋体" w:hAnsi="宋体" w:cs="宋体"/>
          <w:szCs w:val="21"/>
        </w:rPr>
        <w:t>实际选配类型和数量视实际点位选择确定，以有线VPN回传线路为优选，4G无线回传服务为候选。</w:t>
      </w:r>
    </w:p>
    <w:p>
      <w:pPr>
        <w:pStyle w:val="283"/>
        <w:tabs>
          <w:tab w:val="left" w:pos="0"/>
          <w:tab w:val="left" w:pos="360"/>
          <w:tab w:val="clear" w:pos="860"/>
        </w:tabs>
        <w:spacing w:before="120" w:after="120"/>
        <w:rPr>
          <w:rFonts w:ascii="宋体" w:hAnsi="宋体" w:eastAsia="宋体" w:cs="宋体"/>
          <w:sz w:val="21"/>
          <w:szCs w:val="21"/>
          <w:lang w:val="en-GB"/>
        </w:rPr>
      </w:pPr>
      <w:r>
        <w:rPr>
          <w:rFonts w:hint="eastAsia" w:ascii="宋体" w:hAnsi="宋体" w:eastAsia="宋体" w:cs="宋体"/>
          <w:sz w:val="21"/>
          <w:szCs w:val="21"/>
          <w:lang w:val="en-GB"/>
        </w:rPr>
        <w:t>（</w:t>
      </w:r>
      <w:r>
        <w:rPr>
          <w:rFonts w:hint="eastAsia" w:ascii="宋体" w:hAnsi="宋体" w:eastAsia="宋体" w:cs="宋体"/>
          <w:sz w:val="21"/>
          <w:szCs w:val="21"/>
        </w:rPr>
        <w:t>六</w:t>
      </w:r>
      <w:r>
        <w:rPr>
          <w:rFonts w:hint="eastAsia" w:ascii="宋体" w:hAnsi="宋体" w:eastAsia="宋体" w:cs="宋体"/>
          <w:sz w:val="21"/>
          <w:szCs w:val="21"/>
          <w:lang w:val="en-GB"/>
        </w:rPr>
        <w:t>）项目实施及其他要求</w:t>
      </w:r>
    </w:p>
    <w:p>
      <w:pPr>
        <w:pStyle w:val="189"/>
        <w:tabs>
          <w:tab w:val="left" w:pos="0"/>
          <w:tab w:val="clear" w:pos="720"/>
          <w:tab w:val="clear" w:pos="1740"/>
        </w:tabs>
        <w:spacing w:before="120" w:after="120"/>
        <w:ind w:left="0" w:firstLine="422" w:firstLineChars="200"/>
        <w:rPr>
          <w:rFonts w:ascii="宋体" w:hAnsi="宋体" w:eastAsia="宋体" w:cs="宋体"/>
          <w:sz w:val="21"/>
          <w:szCs w:val="21"/>
          <w:lang w:val="en-GB"/>
        </w:rPr>
      </w:pPr>
      <w:r>
        <w:rPr>
          <w:rFonts w:hint="eastAsia" w:ascii="宋体" w:hAnsi="宋体" w:eastAsia="宋体" w:cs="宋体"/>
          <w:sz w:val="21"/>
          <w:szCs w:val="21"/>
        </w:rPr>
        <w:t>1、</w:t>
      </w:r>
      <w:r>
        <w:rPr>
          <w:rFonts w:hint="eastAsia" w:ascii="宋体" w:hAnsi="宋体" w:eastAsia="宋体" w:cs="宋体"/>
          <w:sz w:val="21"/>
          <w:szCs w:val="21"/>
          <w:lang w:val="en-GB"/>
        </w:rPr>
        <w:t>项目服务维护要求</w:t>
      </w:r>
    </w:p>
    <w:p>
      <w:pPr>
        <w:snapToGrid w:val="0"/>
        <w:spacing w:line="360" w:lineRule="auto"/>
        <w:ind w:firstLine="420" w:firstLineChars="200"/>
        <w:jc w:val="left"/>
        <w:rPr>
          <w:rFonts w:ascii="宋体" w:hAnsi="宋体" w:cs="宋体"/>
          <w:bCs/>
          <w:szCs w:val="21"/>
        </w:rPr>
      </w:pPr>
      <w:r>
        <w:rPr>
          <w:rFonts w:hint="eastAsia" w:ascii="宋体" w:hAnsi="宋体" w:cs="宋体"/>
          <w:bCs/>
          <w:szCs w:val="21"/>
        </w:rPr>
        <w:t>服务期内运行维护包括前端设备维护、光纤线路维护等的服务，确保监控系统的正常运行，确保前端各点位每年正常运行率90%以上。</w:t>
      </w:r>
    </w:p>
    <w:p>
      <w:pPr>
        <w:snapToGrid w:val="0"/>
        <w:spacing w:line="360" w:lineRule="auto"/>
        <w:ind w:firstLine="420" w:firstLineChars="200"/>
        <w:jc w:val="left"/>
        <w:rPr>
          <w:rFonts w:ascii="宋体" w:hAnsi="宋体" w:cs="宋体"/>
          <w:bCs/>
          <w:szCs w:val="21"/>
        </w:rPr>
      </w:pPr>
      <w:r>
        <w:rPr>
          <w:rFonts w:hint="eastAsia" w:ascii="宋体" w:hAnsi="宋体" w:cs="宋体"/>
          <w:bCs/>
          <w:szCs w:val="21"/>
        </w:rPr>
        <w:t xml:space="preserve">1．故障恢复时间：发生故障在1小时内响应，4小时以内到现场，8小时以内解决问题；不能当场修复的，必须采取提供备品、备件或备机等措施。 </w:t>
      </w:r>
    </w:p>
    <w:p>
      <w:pPr>
        <w:snapToGrid w:val="0"/>
        <w:spacing w:line="360" w:lineRule="auto"/>
        <w:ind w:firstLine="420" w:firstLineChars="200"/>
        <w:jc w:val="left"/>
        <w:rPr>
          <w:rFonts w:ascii="宋体" w:hAnsi="宋体" w:cs="宋体"/>
          <w:bCs/>
          <w:szCs w:val="21"/>
        </w:rPr>
      </w:pPr>
      <w:r>
        <w:rPr>
          <w:rFonts w:hint="eastAsia" w:ascii="宋体" w:hAnsi="宋体" w:cs="宋体"/>
          <w:bCs/>
          <w:szCs w:val="21"/>
        </w:rPr>
        <w:t>2．维护单位建立详实可行的租赁服务方案、制度以及应急措施。</w:t>
      </w:r>
    </w:p>
    <w:p>
      <w:pPr>
        <w:snapToGrid w:val="0"/>
        <w:spacing w:line="360" w:lineRule="auto"/>
        <w:ind w:firstLine="420" w:firstLineChars="200"/>
        <w:jc w:val="left"/>
        <w:rPr>
          <w:rFonts w:ascii="宋体" w:hAnsi="宋体" w:cs="宋体"/>
          <w:bCs/>
          <w:szCs w:val="21"/>
        </w:rPr>
      </w:pPr>
      <w:r>
        <w:rPr>
          <w:rFonts w:hint="eastAsia" w:ascii="宋体" w:hAnsi="宋体" w:cs="宋体"/>
          <w:bCs/>
          <w:szCs w:val="21"/>
        </w:rPr>
        <w:t>3．维护单位建立运维团队，提供7*24小时服务。</w:t>
      </w:r>
    </w:p>
    <w:p>
      <w:pPr>
        <w:snapToGrid w:val="0"/>
        <w:spacing w:line="360" w:lineRule="auto"/>
        <w:ind w:firstLine="420" w:firstLineChars="200"/>
        <w:jc w:val="left"/>
        <w:rPr>
          <w:rFonts w:ascii="宋体" w:hAnsi="宋体" w:cs="宋体"/>
          <w:bCs/>
          <w:szCs w:val="21"/>
        </w:rPr>
      </w:pPr>
      <w:r>
        <w:rPr>
          <w:rFonts w:hint="eastAsia" w:ascii="宋体" w:hAnsi="宋体" w:cs="宋体"/>
          <w:bCs/>
          <w:szCs w:val="21"/>
        </w:rPr>
        <w:t>4．建立领先、系统、全面的运行维护体系，根据最终用户要求提交相关统计报告，每季度形成正式运维报告和每年形成运维年报报送用户审核。</w:t>
      </w:r>
    </w:p>
    <w:p>
      <w:pPr>
        <w:pStyle w:val="189"/>
        <w:tabs>
          <w:tab w:val="left" w:pos="0"/>
          <w:tab w:val="clear" w:pos="720"/>
          <w:tab w:val="clear" w:pos="1740"/>
        </w:tabs>
        <w:spacing w:before="120" w:after="120"/>
        <w:ind w:left="0" w:firstLine="422" w:firstLineChars="200"/>
        <w:rPr>
          <w:rFonts w:ascii="宋体" w:hAnsi="宋体" w:eastAsia="宋体" w:cs="宋体"/>
          <w:sz w:val="21"/>
          <w:szCs w:val="21"/>
        </w:rPr>
      </w:pPr>
      <w:r>
        <w:rPr>
          <w:rFonts w:hint="eastAsia" w:ascii="宋体" w:hAnsi="宋体" w:eastAsia="宋体" w:cs="宋体"/>
          <w:sz w:val="21"/>
          <w:szCs w:val="21"/>
        </w:rPr>
        <w:t>2、项目实施要求</w:t>
      </w:r>
    </w:p>
    <w:p>
      <w:pPr>
        <w:spacing w:line="360" w:lineRule="auto"/>
        <w:ind w:firstLine="420" w:firstLineChars="200"/>
        <w:rPr>
          <w:rFonts w:ascii="宋体" w:hAnsi="宋体" w:cs="宋体"/>
          <w:szCs w:val="21"/>
          <w:highlight w:val="none"/>
          <w:lang w:val="en-GB"/>
        </w:rPr>
      </w:pPr>
      <w:r>
        <w:rPr>
          <w:rFonts w:hint="eastAsia" w:ascii="宋体" w:hAnsi="宋体" w:cs="宋体"/>
          <w:szCs w:val="21"/>
          <w:lang w:val="en-GB"/>
        </w:rPr>
        <w:t>根据</w:t>
      </w:r>
      <w:r>
        <w:rPr>
          <w:rFonts w:hint="eastAsia" w:ascii="宋体" w:hAnsi="宋体" w:cs="宋体"/>
          <w:szCs w:val="21"/>
          <w:lang w:val="en-GB" w:eastAsia="zh-CN"/>
        </w:rPr>
        <w:t>采购方</w:t>
      </w:r>
      <w:r>
        <w:rPr>
          <w:rFonts w:hint="eastAsia" w:ascii="宋体" w:hAnsi="宋体" w:cs="宋体"/>
          <w:szCs w:val="21"/>
          <w:lang w:val="en-GB"/>
        </w:rPr>
        <w:t>的实际需求对原方案进行调整、完善</w:t>
      </w:r>
      <w:r>
        <w:rPr>
          <w:rFonts w:hint="eastAsia" w:ascii="宋体" w:hAnsi="宋体" w:cs="宋体"/>
          <w:szCs w:val="21"/>
        </w:rPr>
        <w:t>和明确</w:t>
      </w:r>
      <w:r>
        <w:rPr>
          <w:rFonts w:hint="eastAsia" w:ascii="宋体" w:hAnsi="宋体" w:cs="宋体"/>
          <w:szCs w:val="21"/>
          <w:lang w:val="en-GB"/>
        </w:rPr>
        <w:t>，同时</w:t>
      </w:r>
      <w:r>
        <w:rPr>
          <w:rFonts w:hint="eastAsia" w:ascii="宋体" w:hAnsi="宋体" w:cs="宋体"/>
          <w:szCs w:val="21"/>
        </w:rPr>
        <w:t>确定</w:t>
      </w:r>
      <w:r>
        <w:rPr>
          <w:rFonts w:hint="eastAsia" w:ascii="宋体" w:hAnsi="宋体" w:cs="宋体"/>
          <w:szCs w:val="21"/>
          <w:lang w:val="en-GB"/>
        </w:rPr>
        <w:t>招标项目工作的方式、过程步骤、按阶段分解的详细计划、对应计划应提交的工作</w:t>
      </w:r>
      <w:r>
        <w:rPr>
          <w:rFonts w:hint="eastAsia" w:ascii="宋体" w:hAnsi="宋体" w:cs="宋体"/>
          <w:szCs w:val="21"/>
          <w:highlight w:val="none"/>
          <w:lang w:val="en-GB"/>
        </w:rPr>
        <w:t>成果、需要用户协调与配合的事项，并经用户审核、批准。</w:t>
      </w:r>
    </w:p>
    <w:p>
      <w:pPr>
        <w:pStyle w:val="53"/>
        <w:ind w:firstLine="420"/>
        <w:rPr>
          <w:rFonts w:ascii="宋体"/>
          <w:sz w:val="21"/>
          <w:szCs w:val="21"/>
          <w:lang w:val="en-GB"/>
        </w:rPr>
      </w:pPr>
      <w:r>
        <w:rPr>
          <w:rFonts w:hint="eastAsia" w:ascii="宋体"/>
          <w:sz w:val="21"/>
          <w:szCs w:val="21"/>
          <w:highlight w:val="none"/>
          <w:lang w:val="en-GB"/>
        </w:rPr>
        <w:t>（</w:t>
      </w:r>
      <w:r>
        <w:rPr>
          <w:rFonts w:hint="eastAsia" w:ascii="宋体"/>
          <w:sz w:val="21"/>
          <w:szCs w:val="21"/>
          <w:highlight w:val="none"/>
        </w:rPr>
        <w:t>1</w:t>
      </w:r>
      <w:r>
        <w:rPr>
          <w:rFonts w:hint="eastAsia" w:ascii="宋体"/>
          <w:sz w:val="21"/>
          <w:szCs w:val="21"/>
          <w:highlight w:val="none"/>
          <w:lang w:val="en-GB"/>
        </w:rPr>
        <w:t>）供应商应熟知</w:t>
      </w:r>
      <w:r>
        <w:rPr>
          <w:rFonts w:hint="eastAsia" w:ascii="宋体"/>
          <w:sz w:val="21"/>
          <w:szCs w:val="21"/>
          <w:highlight w:val="none"/>
          <w:lang w:val="en-GB" w:eastAsia="zh-CN"/>
        </w:rPr>
        <w:t>《中华人民共和国水污染防治法》《浙江省饮用水水源保护条例》</w:t>
      </w:r>
      <w:r>
        <w:rPr>
          <w:rFonts w:hint="eastAsia" w:ascii="宋体"/>
          <w:sz w:val="21"/>
          <w:szCs w:val="21"/>
          <w:highlight w:val="none"/>
          <w:lang w:val="en-GB"/>
        </w:rPr>
        <w:t>等</w:t>
      </w:r>
      <w:r>
        <w:rPr>
          <w:rFonts w:hint="eastAsia" w:ascii="宋体"/>
          <w:sz w:val="21"/>
          <w:szCs w:val="21"/>
          <w:highlight w:val="none"/>
          <w:lang w:val="en-GB" w:eastAsia="zh-CN"/>
        </w:rPr>
        <w:t>法律法规以及《宁波市“千吨万人”以上饮用水水源保护区整治工作方案》的相关要求，</w:t>
      </w:r>
      <w:r>
        <w:rPr>
          <w:rFonts w:hint="eastAsia" w:ascii="宋体"/>
          <w:sz w:val="21"/>
          <w:szCs w:val="21"/>
          <w:highlight w:val="none"/>
          <w:lang w:val="en-GB"/>
        </w:rPr>
        <w:t>掌握水源保护区规范化建设尤其是隔离防护等方面政策要求，从项目所属水源地基本情况、保护区划定、周边污染源和风险源等方面开展详细摸排，分析水源地水质，识别影响水源</w:t>
      </w:r>
      <w:r>
        <w:rPr>
          <w:rFonts w:hint="eastAsia" w:ascii="宋体"/>
          <w:sz w:val="21"/>
          <w:szCs w:val="21"/>
          <w:lang w:val="en-GB"/>
        </w:rPr>
        <w:t>地水质达标和水生态破坏的风险点，从而制定切实可行的电子围栏选点方案，切实保障我市县级以上饮用水水源地水质稳定达标并持续改善。</w:t>
      </w:r>
    </w:p>
    <w:p>
      <w:pPr>
        <w:pStyle w:val="53"/>
        <w:ind w:firstLine="420"/>
        <w:rPr>
          <w:rFonts w:ascii="宋体"/>
          <w:sz w:val="21"/>
          <w:szCs w:val="21"/>
          <w:lang w:val="en-GB"/>
        </w:rPr>
      </w:pPr>
      <w:r>
        <w:rPr>
          <w:rFonts w:hint="eastAsia" w:ascii="宋体"/>
          <w:sz w:val="21"/>
          <w:szCs w:val="21"/>
          <w:lang w:val="en-GB"/>
        </w:rPr>
        <w:t>（</w:t>
      </w:r>
      <w:r>
        <w:rPr>
          <w:rFonts w:hint="eastAsia" w:ascii="宋体"/>
          <w:sz w:val="21"/>
          <w:szCs w:val="21"/>
        </w:rPr>
        <w:t>2</w:t>
      </w:r>
      <w:r>
        <w:rPr>
          <w:rFonts w:hint="eastAsia" w:ascii="宋体"/>
          <w:sz w:val="21"/>
          <w:szCs w:val="21"/>
          <w:lang w:val="en-GB"/>
        </w:rPr>
        <w:t>）供应商必须制定详细的设备选型、场地选点（包括但不限于）方案，阐述选择依据，详细说明电力、通信、安装、维护等工作内容。</w:t>
      </w:r>
    </w:p>
    <w:p>
      <w:pPr>
        <w:snapToGrid w:val="0"/>
        <w:spacing w:line="360" w:lineRule="auto"/>
        <w:ind w:firstLine="420" w:firstLineChars="200"/>
        <w:jc w:val="left"/>
        <w:rPr>
          <w:rFonts w:ascii="宋体" w:hAnsi="宋体" w:cs="宋体"/>
          <w:bCs/>
          <w:szCs w:val="21"/>
        </w:rPr>
      </w:pPr>
      <w:r>
        <w:rPr>
          <w:rFonts w:hint="eastAsia" w:ascii="宋体" w:hAnsi="宋体" w:cs="宋体"/>
          <w:bCs/>
          <w:szCs w:val="21"/>
        </w:rPr>
        <w:t>（3）在系统设计时，考虑当地的气候条件，对场外设备应考虑防潮、防雾，金属设备和器件应具有较强的防腐蚀能力；同时对需要采取防雷措施的有关设备提出相关建议供采购人参考。</w:t>
      </w:r>
    </w:p>
    <w:p>
      <w:pPr>
        <w:snapToGrid w:val="0"/>
        <w:spacing w:line="360" w:lineRule="auto"/>
        <w:ind w:firstLine="420" w:firstLineChars="200"/>
        <w:jc w:val="left"/>
        <w:rPr>
          <w:rFonts w:ascii="宋体" w:hAnsi="宋体" w:cs="宋体"/>
          <w:bCs/>
          <w:szCs w:val="21"/>
        </w:rPr>
      </w:pPr>
      <w:r>
        <w:rPr>
          <w:rFonts w:hint="eastAsia" w:ascii="宋体" w:hAnsi="宋体" w:cs="宋体"/>
          <w:bCs/>
          <w:szCs w:val="21"/>
        </w:rPr>
        <w:t>（4）如有涉及开挖审批、接电等工作的，由供应商负责，采购人协助，费用计入投标报价。</w:t>
      </w:r>
    </w:p>
    <w:p>
      <w:pPr>
        <w:spacing w:line="360" w:lineRule="auto"/>
        <w:ind w:firstLine="420" w:firstLineChars="200"/>
        <w:rPr>
          <w:rFonts w:ascii="宋体" w:hAnsi="宋体" w:cs="宋体"/>
          <w:szCs w:val="21"/>
          <w:lang w:val="en-GB"/>
        </w:rPr>
      </w:pPr>
      <w:r>
        <w:rPr>
          <w:rFonts w:hint="eastAsia" w:ascii="宋体" w:hAnsi="宋体" w:cs="宋体"/>
          <w:szCs w:val="21"/>
          <w:lang w:val="en-GB"/>
        </w:rPr>
        <w:t>（</w:t>
      </w:r>
      <w:r>
        <w:rPr>
          <w:rFonts w:hint="eastAsia" w:ascii="宋体" w:hAnsi="宋体" w:cs="宋体"/>
          <w:szCs w:val="21"/>
        </w:rPr>
        <w:t>5</w:t>
      </w:r>
      <w:r>
        <w:rPr>
          <w:rFonts w:hint="eastAsia" w:ascii="宋体" w:hAnsi="宋体" w:cs="宋体"/>
          <w:szCs w:val="21"/>
          <w:lang w:val="en-GB"/>
        </w:rPr>
        <w:t>）进度要求：</w:t>
      </w:r>
    </w:p>
    <w:p>
      <w:pPr>
        <w:spacing w:line="360" w:lineRule="auto"/>
        <w:ind w:firstLine="420" w:firstLineChars="200"/>
        <w:rPr>
          <w:rFonts w:ascii="宋体" w:hAnsi="宋体" w:cs="宋体"/>
          <w:szCs w:val="21"/>
        </w:rPr>
      </w:pPr>
      <w:r>
        <w:rPr>
          <w:rFonts w:hint="eastAsia" w:ascii="宋体" w:hAnsi="宋体" w:cs="宋体"/>
          <w:szCs w:val="21"/>
        </w:rPr>
        <w:t>自合同签订之日起至2022年12月底前完成前端设备建设，服务平台搭建完成，具备运行条件后，进入服务期，提供各类数据服务，服务期三年。</w:t>
      </w:r>
    </w:p>
    <w:p>
      <w:pPr>
        <w:pStyle w:val="189"/>
        <w:tabs>
          <w:tab w:val="left" w:pos="0"/>
          <w:tab w:val="clear" w:pos="720"/>
          <w:tab w:val="clear" w:pos="1740"/>
        </w:tabs>
        <w:spacing w:before="120" w:after="120"/>
        <w:ind w:left="420" w:leftChars="200"/>
        <w:rPr>
          <w:rFonts w:ascii="宋体" w:hAnsi="宋体" w:eastAsia="宋体" w:cs="宋体"/>
          <w:sz w:val="21"/>
          <w:szCs w:val="21"/>
        </w:rPr>
      </w:pPr>
      <w:r>
        <w:rPr>
          <w:rFonts w:hint="eastAsia" w:ascii="宋体" w:hAnsi="宋体" w:eastAsia="宋体" w:cs="宋体"/>
          <w:sz w:val="21"/>
          <w:szCs w:val="21"/>
        </w:rPr>
        <w:t>3、项目考核要求</w:t>
      </w:r>
    </w:p>
    <w:p>
      <w:pPr>
        <w:pStyle w:val="189"/>
        <w:tabs>
          <w:tab w:val="left" w:pos="0"/>
          <w:tab w:val="clear" w:pos="720"/>
          <w:tab w:val="clear" w:pos="1740"/>
        </w:tabs>
        <w:spacing w:before="120" w:after="120"/>
        <w:ind w:left="420" w:leftChars="200"/>
        <w:rPr>
          <w:rFonts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考核办法</w:t>
      </w:r>
    </w:p>
    <w:p>
      <w:pPr>
        <w:pStyle w:val="189"/>
        <w:tabs>
          <w:tab w:val="left" w:pos="0"/>
          <w:tab w:val="clear" w:pos="720"/>
          <w:tab w:val="clear" w:pos="1740"/>
        </w:tabs>
        <w:spacing w:before="120" w:after="120"/>
        <w:ind w:left="0" w:firstLine="420" w:firstLineChars="200"/>
        <w:rPr>
          <w:rFonts w:ascii="宋体" w:hAnsi="宋体" w:eastAsia="宋体" w:cs="宋体"/>
          <w:b w:val="0"/>
          <w:bCs w:val="0"/>
          <w:sz w:val="21"/>
          <w:szCs w:val="21"/>
        </w:rPr>
      </w:pPr>
      <w:r>
        <w:rPr>
          <w:rFonts w:hint="eastAsia" w:ascii="宋体" w:hAnsi="宋体" w:eastAsia="宋体" w:cs="宋体"/>
          <w:b w:val="0"/>
          <w:bCs w:val="0"/>
          <w:sz w:val="21"/>
          <w:szCs w:val="21"/>
        </w:rPr>
        <w:t>运维考核采取满分100分扣分制，通过对中标单位服务过程中系统的运行情况及对故障处理的处理能力及服务情况进行打分。</w:t>
      </w:r>
    </w:p>
    <w:p>
      <w:pPr>
        <w:pStyle w:val="393"/>
        <w:spacing w:line="560" w:lineRule="exact"/>
        <w:ind w:firstLine="174" w:firstLineChars="83"/>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）考核标准</w:t>
      </w:r>
    </w:p>
    <w:tbl>
      <w:tblPr>
        <w:tblStyle w:val="44"/>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8" w:type="dxa"/>
          <w:left w:w="108" w:type="dxa"/>
          <w:bottom w:w="108" w:type="dxa"/>
          <w:right w:w="108" w:type="dxa"/>
        </w:tblCellMar>
      </w:tblPr>
      <w:tblGrid>
        <w:gridCol w:w="946"/>
        <w:gridCol w:w="2201"/>
        <w:gridCol w:w="4369"/>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288" w:hRule="atLeast"/>
          <w:jc w:val="center"/>
        </w:trPr>
        <w:tc>
          <w:tcPr>
            <w:tcW w:w="522" w:type="pct"/>
            <w:vAlign w:val="center"/>
          </w:tcPr>
          <w:p>
            <w:pPr>
              <w:jc w:val="center"/>
              <w:rPr>
                <w:rFonts w:ascii="宋体" w:hAnsi="宋体" w:cs="宋体"/>
                <w:b/>
                <w:bCs/>
                <w:szCs w:val="21"/>
              </w:rPr>
            </w:pPr>
            <w:r>
              <w:rPr>
                <w:rFonts w:hint="eastAsia" w:ascii="宋体" w:hAnsi="宋体" w:cs="宋体"/>
                <w:b/>
                <w:bCs/>
                <w:szCs w:val="21"/>
              </w:rPr>
              <w:t>序号</w:t>
            </w:r>
          </w:p>
        </w:tc>
        <w:tc>
          <w:tcPr>
            <w:tcW w:w="1214" w:type="pct"/>
            <w:vAlign w:val="center"/>
          </w:tcPr>
          <w:p>
            <w:pPr>
              <w:jc w:val="center"/>
              <w:rPr>
                <w:rFonts w:ascii="宋体" w:hAnsi="宋体" w:cs="宋体"/>
                <w:b/>
                <w:bCs/>
                <w:szCs w:val="21"/>
              </w:rPr>
            </w:pPr>
            <w:r>
              <w:rPr>
                <w:rFonts w:hint="eastAsia" w:ascii="宋体" w:hAnsi="宋体" w:cs="宋体"/>
                <w:b/>
                <w:bCs/>
                <w:szCs w:val="21"/>
              </w:rPr>
              <w:t>考核指标</w:t>
            </w:r>
          </w:p>
        </w:tc>
        <w:tc>
          <w:tcPr>
            <w:tcW w:w="2410" w:type="pct"/>
            <w:vAlign w:val="center"/>
          </w:tcPr>
          <w:p>
            <w:pPr>
              <w:jc w:val="center"/>
              <w:rPr>
                <w:rFonts w:ascii="宋体" w:hAnsi="宋体" w:cs="宋体"/>
                <w:b/>
                <w:bCs/>
                <w:szCs w:val="21"/>
              </w:rPr>
            </w:pPr>
            <w:r>
              <w:rPr>
                <w:rFonts w:hint="eastAsia" w:ascii="宋体" w:hAnsi="宋体" w:cs="宋体"/>
                <w:b/>
                <w:bCs/>
                <w:szCs w:val="21"/>
              </w:rPr>
              <w:t>标准</w:t>
            </w:r>
          </w:p>
        </w:tc>
        <w:tc>
          <w:tcPr>
            <w:tcW w:w="852" w:type="pct"/>
            <w:vAlign w:val="center"/>
          </w:tcPr>
          <w:p>
            <w:pPr>
              <w:jc w:val="cente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678" w:hRule="atLeast"/>
          <w:jc w:val="center"/>
        </w:trPr>
        <w:tc>
          <w:tcPr>
            <w:tcW w:w="522" w:type="pct"/>
            <w:vAlign w:val="center"/>
          </w:tcPr>
          <w:p>
            <w:pPr>
              <w:jc w:val="center"/>
              <w:rPr>
                <w:rFonts w:ascii="宋体" w:hAnsi="宋体" w:cs="宋体"/>
                <w:szCs w:val="21"/>
              </w:rPr>
            </w:pPr>
            <w:r>
              <w:rPr>
                <w:rFonts w:hint="eastAsia" w:ascii="宋体" w:hAnsi="宋体" w:cs="宋体"/>
                <w:szCs w:val="21"/>
              </w:rPr>
              <w:t>1</w:t>
            </w:r>
          </w:p>
        </w:tc>
        <w:tc>
          <w:tcPr>
            <w:tcW w:w="1214" w:type="pct"/>
            <w:vAlign w:val="center"/>
          </w:tcPr>
          <w:p>
            <w:pPr>
              <w:rPr>
                <w:rFonts w:ascii="宋体" w:hAnsi="宋体" w:cs="宋体"/>
                <w:kern w:val="0"/>
                <w:szCs w:val="21"/>
              </w:rPr>
            </w:pPr>
            <w:r>
              <w:rPr>
                <w:rFonts w:hint="eastAsia" w:ascii="宋体" w:hAnsi="宋体" w:cs="宋体"/>
                <w:kern w:val="0"/>
                <w:szCs w:val="21"/>
              </w:rPr>
              <w:t>故障处理响应时间</w:t>
            </w:r>
          </w:p>
        </w:tc>
        <w:tc>
          <w:tcPr>
            <w:tcW w:w="2410" w:type="pct"/>
            <w:vAlign w:val="center"/>
          </w:tcPr>
          <w:p>
            <w:pPr>
              <w:rPr>
                <w:rFonts w:ascii="宋体" w:hAnsi="宋体" w:cs="宋体"/>
                <w:kern w:val="0"/>
                <w:szCs w:val="21"/>
              </w:rPr>
            </w:pPr>
            <w:r>
              <w:rPr>
                <w:rFonts w:hint="eastAsia" w:ascii="宋体" w:hAnsi="宋体" w:cs="宋体"/>
                <w:kern w:val="0"/>
                <w:szCs w:val="21"/>
              </w:rPr>
              <w:t>响应时间超过要求时间1小时，扣1分；超过2小时扣2分，超过24小时，扣3分。</w:t>
            </w:r>
          </w:p>
        </w:tc>
        <w:tc>
          <w:tcPr>
            <w:tcW w:w="852" w:type="pct"/>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jc w:val="center"/>
        </w:trPr>
        <w:tc>
          <w:tcPr>
            <w:tcW w:w="522" w:type="pct"/>
            <w:vAlign w:val="center"/>
          </w:tcPr>
          <w:p>
            <w:pPr>
              <w:jc w:val="center"/>
              <w:rPr>
                <w:rFonts w:ascii="宋体" w:hAnsi="宋体" w:cs="宋体"/>
                <w:szCs w:val="21"/>
              </w:rPr>
            </w:pPr>
            <w:r>
              <w:rPr>
                <w:rFonts w:hint="eastAsia" w:ascii="宋体" w:hAnsi="宋体" w:cs="宋体"/>
                <w:szCs w:val="21"/>
              </w:rPr>
              <w:t>2</w:t>
            </w:r>
          </w:p>
        </w:tc>
        <w:tc>
          <w:tcPr>
            <w:tcW w:w="1214" w:type="pct"/>
            <w:vAlign w:val="center"/>
          </w:tcPr>
          <w:p>
            <w:pPr>
              <w:rPr>
                <w:rFonts w:ascii="宋体" w:hAnsi="宋体" w:cs="宋体"/>
                <w:szCs w:val="21"/>
              </w:rPr>
            </w:pPr>
            <w:r>
              <w:rPr>
                <w:rFonts w:hint="eastAsia" w:ascii="宋体" w:hAnsi="宋体" w:cs="宋体"/>
                <w:kern w:val="0"/>
                <w:szCs w:val="21"/>
              </w:rPr>
              <w:t>现场技术支持响应时间</w:t>
            </w:r>
          </w:p>
        </w:tc>
        <w:tc>
          <w:tcPr>
            <w:tcW w:w="2410" w:type="pct"/>
            <w:vAlign w:val="center"/>
          </w:tcPr>
          <w:p>
            <w:pPr>
              <w:rPr>
                <w:rFonts w:ascii="宋体" w:hAnsi="宋体" w:cs="宋体"/>
                <w:szCs w:val="21"/>
              </w:rPr>
            </w:pPr>
            <w:r>
              <w:rPr>
                <w:rFonts w:hint="eastAsia" w:ascii="宋体" w:hAnsi="宋体" w:cs="宋体"/>
                <w:kern w:val="0"/>
                <w:szCs w:val="21"/>
              </w:rPr>
              <w:t>不能远程修复时，应答方须在4小时内到达现场；每超过要求时间1小时，扣1分；超过2小时扣2分，超过24小时，扣3分；超过48小时，扣10分。</w:t>
            </w:r>
          </w:p>
        </w:tc>
        <w:tc>
          <w:tcPr>
            <w:tcW w:w="852" w:type="pct"/>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830" w:hRule="atLeast"/>
          <w:jc w:val="center"/>
        </w:trPr>
        <w:tc>
          <w:tcPr>
            <w:tcW w:w="522" w:type="pct"/>
            <w:vAlign w:val="center"/>
          </w:tcPr>
          <w:p>
            <w:pPr>
              <w:rPr>
                <w:rFonts w:ascii="宋体" w:hAnsi="宋体" w:cs="宋体"/>
                <w:kern w:val="0"/>
                <w:szCs w:val="21"/>
              </w:rPr>
            </w:pPr>
            <w:r>
              <w:rPr>
                <w:rFonts w:hint="eastAsia" w:ascii="宋体" w:hAnsi="宋体" w:cs="宋体"/>
                <w:kern w:val="0"/>
                <w:szCs w:val="21"/>
              </w:rPr>
              <w:t>3</w:t>
            </w:r>
          </w:p>
        </w:tc>
        <w:tc>
          <w:tcPr>
            <w:tcW w:w="1214" w:type="pct"/>
            <w:vAlign w:val="center"/>
          </w:tcPr>
          <w:p>
            <w:pPr>
              <w:rPr>
                <w:rFonts w:ascii="宋体" w:hAnsi="宋体" w:cs="宋体"/>
                <w:kern w:val="0"/>
                <w:szCs w:val="21"/>
              </w:rPr>
            </w:pPr>
            <w:r>
              <w:rPr>
                <w:rFonts w:hint="eastAsia" w:ascii="宋体" w:hAnsi="宋体" w:cs="宋体"/>
                <w:kern w:val="0"/>
                <w:szCs w:val="21"/>
              </w:rPr>
              <w:t>故障解决时间</w:t>
            </w:r>
          </w:p>
        </w:tc>
        <w:tc>
          <w:tcPr>
            <w:tcW w:w="2410" w:type="pct"/>
            <w:vAlign w:val="center"/>
          </w:tcPr>
          <w:p>
            <w:pPr>
              <w:rPr>
                <w:rFonts w:ascii="宋体" w:hAnsi="宋体" w:cs="宋体"/>
                <w:kern w:val="0"/>
                <w:szCs w:val="21"/>
              </w:rPr>
            </w:pPr>
            <w:r>
              <w:rPr>
                <w:rFonts w:hint="eastAsia" w:ascii="宋体" w:hAnsi="宋体" w:cs="宋体"/>
                <w:kern w:val="0"/>
                <w:szCs w:val="21"/>
              </w:rPr>
              <w:t>故障解决时间超过要求时间1小时，扣1分；超过2小时扣4分，超过3小时，扣6分；超过24小时，扣10分。</w:t>
            </w:r>
          </w:p>
        </w:tc>
        <w:tc>
          <w:tcPr>
            <w:tcW w:w="852" w:type="pc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564" w:hRule="atLeast"/>
          <w:jc w:val="center"/>
        </w:trPr>
        <w:tc>
          <w:tcPr>
            <w:tcW w:w="522" w:type="pct"/>
            <w:vAlign w:val="center"/>
          </w:tcPr>
          <w:p>
            <w:pPr>
              <w:rPr>
                <w:rFonts w:ascii="宋体" w:hAnsi="宋体" w:cs="宋体"/>
                <w:kern w:val="0"/>
                <w:szCs w:val="21"/>
              </w:rPr>
            </w:pPr>
            <w:r>
              <w:rPr>
                <w:rFonts w:hint="eastAsia" w:ascii="宋体" w:hAnsi="宋体" w:cs="宋体"/>
                <w:kern w:val="0"/>
                <w:szCs w:val="21"/>
              </w:rPr>
              <w:t>4</w:t>
            </w:r>
          </w:p>
        </w:tc>
        <w:tc>
          <w:tcPr>
            <w:tcW w:w="1214" w:type="pct"/>
            <w:vAlign w:val="center"/>
          </w:tcPr>
          <w:p>
            <w:pPr>
              <w:rPr>
                <w:rFonts w:ascii="宋体" w:hAnsi="宋体" w:cs="宋体"/>
                <w:kern w:val="0"/>
                <w:szCs w:val="21"/>
              </w:rPr>
            </w:pPr>
            <w:r>
              <w:rPr>
                <w:rFonts w:hint="eastAsia" w:ascii="宋体" w:hAnsi="宋体" w:cs="宋体"/>
                <w:kern w:val="0"/>
                <w:szCs w:val="21"/>
              </w:rPr>
              <w:t>常驻人员考勤</w:t>
            </w:r>
          </w:p>
        </w:tc>
        <w:tc>
          <w:tcPr>
            <w:tcW w:w="2410" w:type="pct"/>
            <w:vAlign w:val="center"/>
          </w:tcPr>
          <w:p>
            <w:pPr>
              <w:rPr>
                <w:rFonts w:ascii="宋体" w:hAnsi="宋体" w:cs="宋体"/>
                <w:kern w:val="0"/>
                <w:szCs w:val="21"/>
              </w:rPr>
            </w:pPr>
            <w:r>
              <w:rPr>
                <w:rFonts w:hint="eastAsia" w:ascii="宋体" w:hAnsi="宋体" w:cs="宋体"/>
                <w:kern w:val="0"/>
                <w:szCs w:val="21"/>
              </w:rPr>
              <w:t>无故缺勤1人天扣1分，无故迟到或早退1小时以上扣0.5分。</w:t>
            </w:r>
          </w:p>
        </w:tc>
        <w:tc>
          <w:tcPr>
            <w:tcW w:w="852" w:type="pc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trHeight w:val="576" w:hRule="atLeast"/>
          <w:jc w:val="center"/>
        </w:trPr>
        <w:tc>
          <w:tcPr>
            <w:tcW w:w="522" w:type="pct"/>
            <w:vAlign w:val="center"/>
          </w:tcPr>
          <w:p>
            <w:pPr>
              <w:rPr>
                <w:rFonts w:ascii="宋体" w:hAnsi="宋体" w:cs="宋体"/>
                <w:kern w:val="0"/>
                <w:szCs w:val="21"/>
              </w:rPr>
            </w:pPr>
            <w:r>
              <w:rPr>
                <w:rFonts w:hint="eastAsia" w:ascii="宋体" w:hAnsi="宋体" w:cs="宋体"/>
                <w:kern w:val="0"/>
                <w:szCs w:val="21"/>
              </w:rPr>
              <w:t>5</w:t>
            </w:r>
          </w:p>
        </w:tc>
        <w:tc>
          <w:tcPr>
            <w:tcW w:w="1214" w:type="pct"/>
            <w:vAlign w:val="center"/>
          </w:tcPr>
          <w:p>
            <w:pPr>
              <w:rPr>
                <w:rFonts w:ascii="宋体" w:hAnsi="宋体" w:cs="宋体"/>
                <w:kern w:val="0"/>
                <w:szCs w:val="21"/>
              </w:rPr>
            </w:pPr>
            <w:r>
              <w:rPr>
                <w:rFonts w:hint="eastAsia" w:ascii="宋体" w:hAnsi="宋体" w:cs="宋体"/>
                <w:kern w:val="0"/>
                <w:szCs w:val="21"/>
              </w:rPr>
              <w:t>加分项</w:t>
            </w:r>
          </w:p>
        </w:tc>
        <w:tc>
          <w:tcPr>
            <w:tcW w:w="2410" w:type="pct"/>
            <w:vAlign w:val="center"/>
          </w:tcPr>
          <w:p>
            <w:pPr>
              <w:rPr>
                <w:rFonts w:ascii="宋体" w:hAnsi="宋体" w:cs="宋体"/>
                <w:kern w:val="0"/>
                <w:szCs w:val="21"/>
              </w:rPr>
            </w:pPr>
            <w:r>
              <w:rPr>
                <w:rFonts w:hint="eastAsia" w:ascii="宋体" w:hAnsi="宋体" w:cs="宋体"/>
                <w:kern w:val="0"/>
                <w:szCs w:val="21"/>
              </w:rPr>
              <w:t>积极主动发现系统或是项目中存在的风险，制定有效方案并优化，每次加1-5分。</w:t>
            </w:r>
          </w:p>
        </w:tc>
        <w:tc>
          <w:tcPr>
            <w:tcW w:w="852" w:type="pct"/>
            <w:vAlign w:val="center"/>
          </w:tcPr>
          <w:p>
            <w:pPr>
              <w:rPr>
                <w:rFonts w:ascii="宋体" w:hAnsi="宋体" w:cs="宋体"/>
                <w:kern w:val="0"/>
                <w:szCs w:val="21"/>
              </w:rPr>
            </w:pPr>
          </w:p>
        </w:tc>
      </w:tr>
    </w:tbl>
    <w:p>
      <w:pPr>
        <w:spacing w:line="50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rPr>
        <w:t>考核说明：考核分每年度进行核算。考核得分90分及以上，</w:t>
      </w:r>
      <w:r>
        <w:rPr>
          <w:rFonts w:hint="eastAsia" w:ascii="宋体" w:hAnsi="宋体" w:cs="宋体"/>
          <w:color w:val="auto"/>
          <w:szCs w:val="21"/>
          <w:lang w:val="en-US" w:eastAsia="zh-CN"/>
        </w:rPr>
        <w:t>属于服务合格</w:t>
      </w:r>
      <w:r>
        <w:rPr>
          <w:rFonts w:hint="eastAsia" w:ascii="宋体" w:hAnsi="宋体" w:cs="宋体"/>
          <w:color w:val="auto"/>
          <w:szCs w:val="21"/>
        </w:rPr>
        <w:t>；90分以下，</w:t>
      </w:r>
      <w:r>
        <w:rPr>
          <w:rFonts w:hint="eastAsia" w:ascii="宋体" w:hAnsi="宋体"/>
          <w:color w:val="auto"/>
          <w:szCs w:val="21"/>
        </w:rPr>
        <w:t>扣5%的年度服务费，并要求进行整改，整改完成合格后，扣罚可免除，所有扣罚统一在年度服务期结束之时结算</w:t>
      </w:r>
      <w:r>
        <w:rPr>
          <w:rFonts w:hint="eastAsia" w:ascii="宋体" w:hAnsi="宋体"/>
          <w:color w:val="auto"/>
          <w:szCs w:val="21"/>
          <w:lang w:eastAsia="zh-CN"/>
        </w:rPr>
        <w:t>，</w:t>
      </w:r>
      <w:r>
        <w:rPr>
          <w:rFonts w:hint="eastAsia" w:ascii="宋体" w:hAnsi="宋体"/>
          <w:color w:val="auto"/>
          <w:szCs w:val="21"/>
          <w:lang w:val="en-US" w:eastAsia="zh-CN"/>
        </w:rPr>
        <w:t>扣罚金额从履约保证金扣除，不足部分，采购人将向中标人进行追缴。</w:t>
      </w:r>
    </w:p>
    <w:p>
      <w:pPr>
        <w:pStyle w:val="391"/>
        <w:spacing w:before="120"/>
        <w:ind w:firstLine="0" w:firstLineChars="0"/>
        <w:rPr>
          <w:rFonts w:cs="宋体"/>
          <w:color w:val="auto"/>
          <w:sz w:val="21"/>
          <w:szCs w:val="21"/>
          <w:lang w:val="en-US"/>
        </w:rPr>
      </w:pPr>
      <w:r>
        <w:rPr>
          <w:rFonts w:hint="eastAsia" w:cs="宋体"/>
          <w:color w:val="auto"/>
          <w:sz w:val="21"/>
          <w:szCs w:val="21"/>
        </w:rPr>
        <w:br w:type="page"/>
      </w:r>
    </w:p>
    <w:p>
      <w:pPr>
        <w:pStyle w:val="189"/>
        <w:tabs>
          <w:tab w:val="left" w:pos="0"/>
          <w:tab w:val="clear" w:pos="720"/>
          <w:tab w:val="clear" w:pos="1740"/>
        </w:tabs>
        <w:spacing w:before="120" w:after="120"/>
        <w:ind w:left="0" w:firstLine="422" w:firstLineChars="200"/>
        <w:rPr>
          <w:rFonts w:ascii="宋体" w:hAnsi="宋体" w:eastAsia="宋体" w:cs="宋体"/>
          <w:sz w:val="21"/>
          <w:szCs w:val="21"/>
        </w:rPr>
      </w:pPr>
      <w:r>
        <w:rPr>
          <w:rFonts w:hint="eastAsia" w:ascii="宋体" w:hAnsi="宋体" w:eastAsia="宋体" w:cs="宋体"/>
          <w:sz w:val="21"/>
          <w:szCs w:val="21"/>
        </w:rPr>
        <w:t>4、项目管理要求</w:t>
      </w:r>
    </w:p>
    <w:p>
      <w:pPr>
        <w:pStyle w:val="255"/>
        <w:tabs>
          <w:tab w:val="left" w:pos="0"/>
          <w:tab w:val="left" w:pos="360"/>
          <w:tab w:val="clear" w:pos="2160"/>
        </w:tabs>
        <w:spacing w:before="156"/>
        <w:ind w:left="3412" w:leftChars="200" w:hanging="2992" w:hangingChars="1419"/>
        <w:rPr>
          <w:rFonts w:ascii="宋体" w:hAnsi="宋体" w:eastAsia="宋体" w:cs="宋体"/>
          <w:sz w:val="21"/>
          <w:szCs w:val="21"/>
        </w:rPr>
      </w:pPr>
      <w:r>
        <w:rPr>
          <w:rFonts w:hint="eastAsia" w:ascii="宋体" w:hAnsi="宋体" w:eastAsia="宋体" w:cs="宋体"/>
          <w:sz w:val="21"/>
          <w:szCs w:val="21"/>
        </w:rPr>
        <w:t>（1）基本要求</w:t>
      </w:r>
    </w:p>
    <w:p>
      <w:pPr>
        <w:pStyle w:val="391"/>
        <w:spacing w:before="120"/>
        <w:ind w:firstLine="420"/>
        <w:rPr>
          <w:rFonts w:cs="宋体"/>
          <w:color w:val="auto"/>
          <w:sz w:val="21"/>
          <w:szCs w:val="21"/>
        </w:rPr>
      </w:pPr>
      <w:r>
        <w:rPr>
          <w:rFonts w:hint="eastAsia" w:cs="宋体"/>
          <w:color w:val="auto"/>
          <w:sz w:val="21"/>
          <w:szCs w:val="21"/>
        </w:rPr>
        <w:t>中标单位应针对本项目的实施提出完整的项目管理方案，其中包括关于项目进度控制、质量控制、风险控制、文档管理以及与本项目相关的沟通协调工作等的详细描述。</w:t>
      </w:r>
    </w:p>
    <w:p>
      <w:pPr>
        <w:pStyle w:val="391"/>
        <w:spacing w:before="120"/>
        <w:ind w:firstLine="420"/>
        <w:rPr>
          <w:rFonts w:cs="宋体"/>
          <w:color w:val="auto"/>
          <w:sz w:val="21"/>
          <w:szCs w:val="21"/>
        </w:rPr>
      </w:pPr>
      <w:r>
        <w:rPr>
          <w:rFonts w:hint="eastAsia" w:cs="宋体"/>
          <w:color w:val="auto"/>
          <w:sz w:val="21"/>
          <w:szCs w:val="21"/>
        </w:rPr>
        <w:t>中标单位应充分考虑到本项目的复杂性和可能出现的问题，提出切实可行的项目质量控制计划，并在中标后与招标人共同讨论确认。</w:t>
      </w:r>
    </w:p>
    <w:p>
      <w:pPr>
        <w:pStyle w:val="391"/>
        <w:spacing w:before="120"/>
        <w:ind w:firstLine="420"/>
        <w:rPr>
          <w:rFonts w:cs="宋体"/>
          <w:color w:val="auto"/>
          <w:sz w:val="21"/>
          <w:szCs w:val="21"/>
        </w:rPr>
      </w:pPr>
      <w:r>
        <w:rPr>
          <w:rFonts w:hint="eastAsia" w:cs="宋体"/>
          <w:color w:val="auto"/>
          <w:sz w:val="21"/>
          <w:szCs w:val="21"/>
        </w:rPr>
        <w:t>在项目实施过程中应按要求向招标人提交关于项目实施的工作周报、专题报告及其他项目执行过程文档，对可能影响项目质量、效果、进度的重大问题应及时向招标人汇报。</w:t>
      </w:r>
    </w:p>
    <w:p>
      <w:pPr>
        <w:pStyle w:val="255"/>
        <w:tabs>
          <w:tab w:val="left" w:pos="0"/>
          <w:tab w:val="left" w:pos="360"/>
          <w:tab w:val="clear" w:pos="2160"/>
        </w:tabs>
        <w:spacing w:before="156"/>
        <w:ind w:left="3412" w:leftChars="200" w:hanging="2992" w:hangingChars="1419"/>
        <w:rPr>
          <w:rFonts w:ascii="宋体" w:hAnsi="宋体" w:eastAsia="宋体" w:cs="宋体"/>
          <w:sz w:val="21"/>
          <w:szCs w:val="21"/>
        </w:rPr>
      </w:pPr>
      <w:r>
        <w:rPr>
          <w:rFonts w:hint="eastAsia" w:ascii="宋体" w:hAnsi="宋体" w:eastAsia="宋体" w:cs="宋体"/>
          <w:sz w:val="21"/>
          <w:szCs w:val="21"/>
        </w:rPr>
        <w:t>（2）保密要求</w:t>
      </w:r>
    </w:p>
    <w:p>
      <w:pPr>
        <w:pStyle w:val="391"/>
        <w:spacing w:before="120"/>
        <w:ind w:firstLine="420"/>
        <w:rPr>
          <w:rFonts w:cs="宋体"/>
          <w:color w:val="auto"/>
          <w:sz w:val="21"/>
          <w:szCs w:val="21"/>
        </w:rPr>
      </w:pPr>
      <w:r>
        <w:rPr>
          <w:rFonts w:hint="eastAsia" w:cs="宋体"/>
          <w:color w:val="auto"/>
          <w:sz w:val="21"/>
          <w:szCs w:val="21"/>
        </w:rPr>
        <w:t>中标单位提供的人员，应在项目开展前熟悉业主各项管理制度和安全规范，切不可超出该项目工作范围。</w:t>
      </w:r>
    </w:p>
    <w:p>
      <w:pPr>
        <w:pStyle w:val="391"/>
        <w:spacing w:before="120"/>
        <w:ind w:firstLine="420"/>
        <w:rPr>
          <w:rFonts w:cs="宋体"/>
          <w:color w:val="auto"/>
          <w:sz w:val="21"/>
          <w:szCs w:val="21"/>
        </w:rPr>
      </w:pPr>
      <w:r>
        <w:rPr>
          <w:rFonts w:hint="eastAsia" w:cs="宋体"/>
          <w:color w:val="auto"/>
          <w:sz w:val="21"/>
          <w:szCs w:val="21"/>
        </w:rPr>
        <w:t>如有招标人人员泄露有关敏感信息的，对招标人造成不利影响的，对其追究相应的法律责任。</w:t>
      </w:r>
    </w:p>
    <w:p>
      <w:pPr>
        <w:pStyle w:val="189"/>
        <w:tabs>
          <w:tab w:val="left" w:pos="0"/>
          <w:tab w:val="clear" w:pos="720"/>
          <w:tab w:val="clear" w:pos="1740"/>
        </w:tabs>
        <w:spacing w:before="120" w:after="120"/>
        <w:ind w:left="0" w:firstLine="422" w:firstLineChars="200"/>
        <w:rPr>
          <w:rFonts w:ascii="宋体" w:hAnsi="宋体" w:eastAsia="宋体" w:cs="宋体"/>
          <w:sz w:val="21"/>
          <w:szCs w:val="21"/>
          <w:lang w:val="sq-AL"/>
        </w:rPr>
      </w:pPr>
      <w:r>
        <w:rPr>
          <w:rFonts w:hint="eastAsia" w:ascii="宋体" w:hAnsi="宋体" w:eastAsia="宋体" w:cs="宋体"/>
          <w:sz w:val="21"/>
          <w:szCs w:val="21"/>
        </w:rPr>
        <w:t>5、</w:t>
      </w:r>
      <w:r>
        <w:rPr>
          <w:rFonts w:hint="eastAsia" w:ascii="宋体" w:hAnsi="宋体" w:eastAsia="宋体" w:cs="宋体"/>
          <w:sz w:val="21"/>
          <w:szCs w:val="21"/>
          <w:lang w:val="sq-AL"/>
        </w:rPr>
        <w:t>项目培训要求</w:t>
      </w:r>
    </w:p>
    <w:p>
      <w:pPr>
        <w:pStyle w:val="391"/>
        <w:spacing w:before="120"/>
        <w:ind w:firstLine="420"/>
        <w:rPr>
          <w:rFonts w:cs="宋体"/>
          <w:color w:val="auto"/>
          <w:sz w:val="21"/>
          <w:szCs w:val="21"/>
        </w:rPr>
      </w:pPr>
      <w:r>
        <w:rPr>
          <w:rFonts w:hint="eastAsia" w:cs="宋体"/>
          <w:color w:val="auto"/>
          <w:sz w:val="21"/>
          <w:szCs w:val="21"/>
        </w:rPr>
        <w:t>项目培训主要针对管理层人员和业务人员进行培训，培训人员数量不少于</w:t>
      </w:r>
      <w:r>
        <w:rPr>
          <w:rFonts w:hint="eastAsia" w:cs="宋体"/>
          <w:color w:val="auto"/>
          <w:sz w:val="21"/>
          <w:szCs w:val="21"/>
          <w:lang w:eastAsia="zh-CN"/>
        </w:rPr>
        <w:t>采购方</w:t>
      </w:r>
      <w:r>
        <w:rPr>
          <w:rFonts w:hint="eastAsia" w:cs="宋体"/>
          <w:color w:val="auto"/>
          <w:sz w:val="21"/>
          <w:szCs w:val="21"/>
        </w:rPr>
        <w:t>要求，培训时限达到人员正常操作为止。</w:t>
      </w:r>
    </w:p>
    <w:p>
      <w:pPr>
        <w:pStyle w:val="391"/>
        <w:spacing w:before="120"/>
        <w:ind w:firstLine="420"/>
        <w:rPr>
          <w:rFonts w:cs="宋体"/>
          <w:color w:val="auto"/>
          <w:sz w:val="21"/>
          <w:szCs w:val="21"/>
        </w:rPr>
      </w:pPr>
      <w:r>
        <w:rPr>
          <w:rFonts w:hint="eastAsia" w:cs="宋体"/>
          <w:color w:val="auto"/>
          <w:sz w:val="21"/>
          <w:szCs w:val="21"/>
        </w:rPr>
        <w:t>投标人必须提供满足系统建设、管理、维护等要求的技术培训服务，并达到预定的培训目标。</w:t>
      </w:r>
    </w:p>
    <w:p>
      <w:pPr>
        <w:pStyle w:val="391"/>
        <w:spacing w:before="120"/>
        <w:ind w:firstLine="420"/>
        <w:rPr>
          <w:rFonts w:cs="宋体"/>
          <w:color w:val="auto"/>
          <w:sz w:val="21"/>
          <w:szCs w:val="21"/>
        </w:rPr>
      </w:pPr>
      <w:r>
        <w:rPr>
          <w:rFonts w:hint="eastAsia" w:cs="宋体"/>
          <w:color w:val="auto"/>
          <w:sz w:val="21"/>
          <w:szCs w:val="21"/>
        </w:rPr>
        <w:t>投标人必须根据本次招标文件所制定的目标和范围，提供完备的培训服务，面向不同应用层次的人员分别列出所提供设备的原理和技术性能、操作维护方法、安装调测、排除故障及软件结构、定制和升级等各个方面，并提供全套培训教材、培训方式、培训场地安排、培训设备安排、培训时间与班次安排等，作为投标文件的一部分提交。培训费用包含在投标报价中。</w:t>
      </w:r>
    </w:p>
    <w:p>
      <w:pPr>
        <w:pStyle w:val="391"/>
        <w:spacing w:before="120"/>
        <w:ind w:firstLine="420"/>
        <w:rPr>
          <w:rFonts w:cs="宋体"/>
          <w:color w:val="auto"/>
          <w:sz w:val="21"/>
          <w:szCs w:val="21"/>
          <w:lang w:val="en-US"/>
        </w:rPr>
      </w:pPr>
      <w:r>
        <w:rPr>
          <w:rFonts w:hint="eastAsia" w:cs="宋体"/>
          <w:color w:val="auto"/>
          <w:sz w:val="21"/>
          <w:szCs w:val="21"/>
        </w:rPr>
        <w:t>所有书面资料或电子文档用中文书写，授课形式为中文。培训成果应在培训计划及课程中予以明确说明。</w:t>
      </w:r>
    </w:p>
    <w:p>
      <w:pPr>
        <w:pStyle w:val="189"/>
        <w:tabs>
          <w:tab w:val="left" w:pos="0"/>
          <w:tab w:val="clear" w:pos="720"/>
          <w:tab w:val="clear" w:pos="1740"/>
        </w:tabs>
        <w:spacing w:before="120" w:after="120"/>
        <w:ind w:left="0" w:firstLine="422" w:firstLineChars="200"/>
        <w:rPr>
          <w:rFonts w:ascii="宋体" w:hAnsi="宋体" w:eastAsia="宋体" w:cs="宋体"/>
          <w:sz w:val="21"/>
          <w:szCs w:val="21"/>
        </w:rPr>
      </w:pPr>
      <w:r>
        <w:rPr>
          <w:rFonts w:hint="eastAsia" w:ascii="宋体" w:hAnsi="宋体" w:eastAsia="宋体" w:cs="宋体"/>
          <w:sz w:val="21"/>
          <w:szCs w:val="21"/>
        </w:rPr>
        <w:t>6、知识产权要求</w:t>
      </w:r>
    </w:p>
    <w:p>
      <w:pPr>
        <w:pStyle w:val="391"/>
        <w:spacing w:before="120"/>
        <w:ind w:firstLine="420"/>
        <w:rPr>
          <w:rFonts w:cs="宋体"/>
          <w:color w:val="auto"/>
          <w:sz w:val="21"/>
          <w:szCs w:val="21"/>
        </w:rPr>
      </w:pPr>
      <w:r>
        <w:rPr>
          <w:rFonts w:hint="eastAsia" w:cs="宋体"/>
          <w:color w:val="auto"/>
          <w:sz w:val="21"/>
          <w:szCs w:val="21"/>
        </w:rPr>
        <w:t>在本项目过程中所产生的技术成果（包括项目实施文档、软件、秘密信息、技术资料等）的知识产权包括相关权益归采购人所有，未经同意，不得将涉及知识产权的技术秘密透露给第三方。</w:t>
      </w:r>
    </w:p>
    <w:p>
      <w:pPr>
        <w:pStyle w:val="189"/>
        <w:tabs>
          <w:tab w:val="left" w:pos="0"/>
          <w:tab w:val="clear" w:pos="720"/>
          <w:tab w:val="clear" w:pos="1740"/>
        </w:tabs>
        <w:spacing w:before="120" w:after="120"/>
        <w:ind w:left="0" w:firstLine="422" w:firstLineChars="200"/>
        <w:rPr>
          <w:rFonts w:ascii="宋体" w:hAnsi="宋体" w:eastAsia="宋体" w:cs="宋体"/>
          <w:sz w:val="21"/>
          <w:szCs w:val="21"/>
        </w:rPr>
      </w:pPr>
      <w:r>
        <w:rPr>
          <w:rFonts w:hint="eastAsia" w:ascii="宋体" w:hAnsi="宋体" w:eastAsia="宋体" w:cs="宋体"/>
          <w:sz w:val="21"/>
          <w:szCs w:val="21"/>
        </w:rPr>
        <w:t>7、系统伴随服务</w:t>
      </w:r>
    </w:p>
    <w:p>
      <w:pPr>
        <w:pStyle w:val="391"/>
        <w:spacing w:before="120"/>
        <w:ind w:firstLine="420"/>
        <w:rPr>
          <w:rFonts w:cs="宋体"/>
          <w:color w:val="auto"/>
          <w:sz w:val="21"/>
          <w:szCs w:val="21"/>
          <w:lang w:bidi="en-US"/>
        </w:rPr>
      </w:pPr>
      <w:r>
        <w:rPr>
          <w:rFonts w:hint="eastAsia" w:cs="宋体"/>
          <w:color w:val="auto"/>
          <w:sz w:val="21"/>
          <w:szCs w:val="21"/>
          <w:lang w:bidi="en-US"/>
        </w:rPr>
        <w:t>（</w:t>
      </w:r>
      <w:r>
        <w:rPr>
          <w:rFonts w:hint="eastAsia" w:cs="宋体"/>
          <w:color w:val="auto"/>
          <w:sz w:val="21"/>
          <w:szCs w:val="21"/>
          <w:lang w:val="en-US" w:bidi="en-US"/>
        </w:rPr>
        <w:t>1</w:t>
      </w:r>
      <w:r>
        <w:rPr>
          <w:rFonts w:hint="eastAsia" w:cs="宋体"/>
          <w:color w:val="auto"/>
          <w:sz w:val="21"/>
          <w:szCs w:val="21"/>
          <w:lang w:bidi="en-US"/>
        </w:rPr>
        <w:t>）提供系统日常巡检服务，确保每台设备在稳定的工作；出现异常情况应在</w:t>
      </w:r>
      <w:r>
        <w:rPr>
          <w:rFonts w:hint="eastAsia" w:cs="宋体"/>
          <w:color w:val="auto"/>
          <w:sz w:val="21"/>
          <w:szCs w:val="21"/>
          <w:lang w:val="en-US" w:bidi="en-US"/>
        </w:rPr>
        <w:t>规定时间</w:t>
      </w:r>
      <w:r>
        <w:rPr>
          <w:rFonts w:hint="eastAsia" w:cs="宋体"/>
          <w:color w:val="auto"/>
          <w:sz w:val="21"/>
          <w:szCs w:val="21"/>
          <w:lang w:bidi="en-US"/>
        </w:rPr>
        <w:t>内解决。</w:t>
      </w:r>
    </w:p>
    <w:p>
      <w:pPr>
        <w:pStyle w:val="391"/>
        <w:spacing w:before="120"/>
        <w:ind w:firstLine="420"/>
        <w:rPr>
          <w:rFonts w:cs="宋体"/>
          <w:color w:val="auto"/>
          <w:sz w:val="21"/>
          <w:szCs w:val="21"/>
          <w:lang w:bidi="en-US"/>
        </w:rPr>
      </w:pPr>
      <w:r>
        <w:rPr>
          <w:rFonts w:hint="eastAsia" w:cs="宋体"/>
          <w:color w:val="auto"/>
          <w:sz w:val="21"/>
          <w:szCs w:val="21"/>
          <w:lang w:bidi="en-US"/>
        </w:rPr>
        <w:t>（</w:t>
      </w:r>
      <w:r>
        <w:rPr>
          <w:rFonts w:hint="eastAsia" w:cs="宋体"/>
          <w:color w:val="auto"/>
          <w:sz w:val="21"/>
          <w:szCs w:val="21"/>
          <w:lang w:val="en-US" w:bidi="en-US"/>
        </w:rPr>
        <w:t>2</w:t>
      </w:r>
      <w:r>
        <w:rPr>
          <w:rFonts w:hint="eastAsia" w:cs="宋体"/>
          <w:color w:val="auto"/>
          <w:sz w:val="21"/>
          <w:szCs w:val="21"/>
          <w:lang w:bidi="en-US"/>
        </w:rPr>
        <w:t>）针对本项目实施场景，对系统存在的潜在安全或故障隐患进行分析并提出相应的解决方案。</w:t>
      </w:r>
    </w:p>
    <w:p>
      <w:pPr>
        <w:pStyle w:val="391"/>
        <w:spacing w:before="120"/>
        <w:ind w:firstLine="420"/>
        <w:rPr>
          <w:rFonts w:cs="宋体"/>
          <w:color w:val="auto"/>
          <w:sz w:val="21"/>
          <w:szCs w:val="21"/>
          <w:lang w:bidi="en-US"/>
        </w:rPr>
      </w:pPr>
      <w:r>
        <w:rPr>
          <w:rFonts w:hint="eastAsia" w:cs="宋体"/>
          <w:color w:val="auto"/>
          <w:sz w:val="21"/>
          <w:szCs w:val="21"/>
          <w:lang w:bidi="en-US"/>
        </w:rPr>
        <w:t>（</w:t>
      </w:r>
      <w:r>
        <w:rPr>
          <w:rFonts w:hint="eastAsia" w:cs="宋体"/>
          <w:color w:val="auto"/>
          <w:sz w:val="21"/>
          <w:szCs w:val="21"/>
          <w:lang w:val="en-US" w:bidi="en-US"/>
        </w:rPr>
        <w:t>3</w:t>
      </w:r>
      <w:r>
        <w:rPr>
          <w:rFonts w:hint="eastAsia" w:cs="宋体"/>
          <w:color w:val="auto"/>
          <w:sz w:val="21"/>
          <w:szCs w:val="21"/>
          <w:lang w:bidi="en-US"/>
        </w:rPr>
        <w:t>）针对本项目中实现服务所需设备，供应商需在备件库中有高于或等同于本项目设备型号或系列的备品备件，对无法及时修复的故障先免费更换；备品储备量需达到本项目设备的3%。</w:t>
      </w:r>
    </w:p>
    <w:p>
      <w:pPr>
        <w:pStyle w:val="391"/>
        <w:spacing w:before="120"/>
        <w:ind w:firstLine="420"/>
        <w:rPr>
          <w:rFonts w:cs="宋体"/>
          <w:color w:val="auto"/>
          <w:sz w:val="21"/>
          <w:szCs w:val="21"/>
          <w:lang w:bidi="en-US"/>
        </w:rPr>
      </w:pPr>
      <w:r>
        <w:rPr>
          <w:rFonts w:hint="eastAsia" w:cs="宋体"/>
          <w:color w:val="auto"/>
          <w:sz w:val="21"/>
          <w:szCs w:val="21"/>
          <w:lang w:bidi="en-US"/>
        </w:rPr>
        <w:t>（</w:t>
      </w:r>
      <w:r>
        <w:rPr>
          <w:rFonts w:hint="eastAsia" w:cs="宋体"/>
          <w:color w:val="auto"/>
          <w:sz w:val="21"/>
          <w:szCs w:val="21"/>
          <w:lang w:val="en-US" w:bidi="en-US"/>
        </w:rPr>
        <w:t>4</w:t>
      </w:r>
      <w:r>
        <w:rPr>
          <w:rFonts w:hint="eastAsia" w:cs="宋体"/>
          <w:color w:val="auto"/>
          <w:sz w:val="21"/>
          <w:szCs w:val="21"/>
          <w:lang w:bidi="en-US"/>
        </w:rPr>
        <w:t>）服务期内，供应商应免费提供设备软件升级服务，在网络和设备扩容及软件升级时，需派技术人员到场实施或指导。</w:t>
      </w:r>
    </w:p>
    <w:p>
      <w:pPr>
        <w:pStyle w:val="391"/>
        <w:spacing w:before="120"/>
        <w:ind w:firstLine="420"/>
        <w:rPr>
          <w:rFonts w:hint="eastAsia" w:ascii="宋体" w:hAnsi="宋体" w:cs="宋体"/>
          <w:b/>
          <w:bCs/>
          <w:kern w:val="0"/>
          <w:szCs w:val="21"/>
          <w:lang w:val="en-US" w:eastAsia="zh-CN"/>
        </w:rPr>
      </w:pPr>
      <w:r>
        <w:rPr>
          <w:rFonts w:hint="eastAsia" w:cs="宋体"/>
          <w:color w:val="auto"/>
          <w:sz w:val="21"/>
          <w:szCs w:val="21"/>
          <w:lang w:bidi="en-US"/>
        </w:rPr>
        <w:t>（</w:t>
      </w:r>
      <w:r>
        <w:rPr>
          <w:rFonts w:hint="eastAsia" w:cs="宋体"/>
          <w:color w:val="auto"/>
          <w:sz w:val="21"/>
          <w:szCs w:val="21"/>
          <w:lang w:val="en-US" w:bidi="en-US"/>
        </w:rPr>
        <w:t>5</w:t>
      </w:r>
      <w:r>
        <w:rPr>
          <w:rFonts w:hint="eastAsia" w:cs="宋体"/>
          <w:color w:val="auto"/>
          <w:sz w:val="21"/>
          <w:szCs w:val="21"/>
          <w:lang w:bidi="en-US"/>
        </w:rPr>
        <w:t>）供应商应提供系统所有故障排除服务，确保系统进行实时、有效的视频诊断、视频监视，图像显示、记录与回放。</w:t>
      </w:r>
    </w:p>
    <w:p>
      <w:pPr>
        <w:rPr>
          <w:rFonts w:hint="eastAsia" w:ascii="宋体" w:hAnsi="宋体"/>
          <w:b/>
          <w:kern w:val="1"/>
          <w:szCs w:val="21"/>
        </w:rPr>
      </w:pPr>
      <w:r>
        <w:rPr>
          <w:rFonts w:hint="eastAsia" w:ascii="宋体" w:hAnsi="宋体"/>
          <w:b/>
          <w:kern w:val="1"/>
          <w:szCs w:val="21"/>
        </w:rPr>
        <w:br w:type="page"/>
      </w:r>
    </w:p>
    <w:p>
      <w:pPr>
        <w:widowControl/>
        <w:tabs>
          <w:tab w:val="left" w:pos="420"/>
          <w:tab w:val="left" w:pos="851"/>
        </w:tabs>
        <w:spacing w:line="360" w:lineRule="auto"/>
        <w:ind w:firstLine="424" w:firstLineChars="201"/>
        <w:jc w:val="left"/>
        <w:rPr>
          <w:rFonts w:ascii="宋体" w:hAnsi="宋体"/>
          <w:b/>
          <w:kern w:val="1"/>
          <w:szCs w:val="21"/>
        </w:rPr>
      </w:pPr>
      <w:r>
        <w:rPr>
          <w:rFonts w:hint="eastAsia" w:ascii="宋体" w:hAnsi="宋体"/>
          <w:b/>
          <w:kern w:val="1"/>
          <w:szCs w:val="21"/>
        </w:rPr>
        <w:t>二</w:t>
      </w:r>
      <w:r>
        <w:rPr>
          <w:rFonts w:ascii="宋体" w:hAnsi="宋体"/>
          <w:b/>
          <w:kern w:val="1"/>
          <w:szCs w:val="21"/>
        </w:rPr>
        <w:t>、商务要求</w:t>
      </w:r>
    </w:p>
    <w:tbl>
      <w:tblPr>
        <w:tblStyle w:val="44"/>
        <w:tblW w:w="8874" w:type="dxa"/>
        <w:tblInd w:w="108" w:type="dxa"/>
        <w:tblLayout w:type="fixed"/>
        <w:tblCellMar>
          <w:top w:w="0" w:type="dxa"/>
          <w:left w:w="108" w:type="dxa"/>
          <w:bottom w:w="0" w:type="dxa"/>
          <w:right w:w="108" w:type="dxa"/>
        </w:tblCellMar>
      </w:tblPr>
      <w:tblGrid>
        <w:gridCol w:w="1560"/>
        <w:gridCol w:w="7314"/>
      </w:tblGrid>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项目</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ind w:left="-108"/>
              <w:rPr>
                <w:rFonts w:asciiTheme="minorEastAsia" w:hAnsiTheme="minorEastAsia" w:eastAsiaTheme="minorEastAsia"/>
                <w:color w:val="auto"/>
                <w:kern w:val="1"/>
                <w:sz w:val="21"/>
                <w:szCs w:val="21"/>
              </w:rPr>
            </w:pPr>
            <w:r>
              <w:rPr>
                <w:rFonts w:asciiTheme="minorEastAsia" w:hAnsiTheme="minorEastAsia" w:eastAsiaTheme="minorEastAsia"/>
                <w:color w:val="auto"/>
                <w:kern w:val="1"/>
                <w:sz w:val="21"/>
                <w:szCs w:val="21"/>
              </w:rPr>
              <w:t>要求</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服务期限</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Theme="minorEastAsia" w:hAnsiTheme="minorEastAsia" w:eastAsiaTheme="minorEastAsia"/>
                <w:color w:val="auto"/>
                <w:szCs w:val="21"/>
                <w:highlight w:val="none"/>
              </w:rPr>
            </w:pPr>
            <w:r>
              <w:rPr>
                <w:rFonts w:hint="eastAsia" w:ascii="宋体" w:hAnsi="宋体"/>
                <w:color w:val="auto"/>
                <w:szCs w:val="21"/>
                <w:highlight w:val="none"/>
              </w:rPr>
              <w:t>自合同签订之日起至2022年12月底前完成前端设备建设。服务平台搭建完成，具备运行条件后，进入服务期，提供各类数据服务，服务期为3年。</w:t>
            </w:r>
            <w:r>
              <w:rPr>
                <w:rFonts w:hint="eastAsia" w:ascii="宋体" w:hAnsi="宋体" w:cs="宋体"/>
                <w:color w:val="auto"/>
                <w:szCs w:val="21"/>
                <w:highlight w:val="none"/>
                <w:lang w:eastAsia="zh-CN"/>
              </w:rPr>
              <w:t>服务期内提供各类数据服务，各阶段服务进度按采购人要求调整。</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highlight w:val="none"/>
              </w:rPr>
            </w:pPr>
            <w:r>
              <w:rPr>
                <w:rFonts w:hint="eastAsia" w:ascii="宋体" w:hAnsi="宋体"/>
                <w:color w:val="auto"/>
                <w:szCs w:val="21"/>
                <w:highlight w:val="none"/>
              </w:rPr>
              <w:t>成果交付时间</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cs="Times New Roman" w:asciiTheme="minorEastAsia" w:hAnsiTheme="minorEastAsia" w:eastAsiaTheme="minorEastAsia"/>
                <w:color w:val="auto"/>
                <w:kern w:val="2"/>
                <w:sz w:val="21"/>
                <w:szCs w:val="21"/>
                <w:highlight w:val="none"/>
                <w:lang w:val="en-US" w:eastAsia="zh-CN" w:bidi="ar-SA"/>
              </w:rPr>
            </w:pPr>
            <w:r>
              <w:rPr>
                <w:rFonts w:hint="eastAsia" w:ascii="宋体" w:hAnsi="宋体" w:cs="宋体" w:eastAsiaTheme="minorEastAsia"/>
                <w:color w:val="auto"/>
                <w:szCs w:val="21"/>
                <w:highlight w:val="none"/>
                <w:lang w:val="en-US" w:eastAsia="zh-CN"/>
              </w:rPr>
              <w:t>3年服务期结束后，提供总体服务报告。</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Cs w:val="21"/>
              </w:rPr>
            </w:pPr>
            <w:r>
              <w:rPr>
                <w:rFonts w:hint="eastAsia" w:ascii="宋体" w:hAnsi="宋体"/>
                <w:color w:val="auto"/>
                <w:szCs w:val="21"/>
              </w:rPr>
              <w:t>成果交付地点</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40"/>
              <w:spacing w:before="0" w:after="0"/>
              <w:jc w:val="both"/>
              <w:rPr>
                <w:rFonts w:ascii="宋体" w:hAnsi="宋体" w:eastAsia="宋体"/>
                <w:b w:val="0"/>
                <w:color w:val="auto"/>
                <w:kern w:val="1"/>
                <w:sz w:val="21"/>
                <w:szCs w:val="21"/>
              </w:rPr>
            </w:pPr>
            <w:r>
              <w:rPr>
                <w:rFonts w:hint="eastAsia" w:ascii="宋体" w:hAnsi="宋体" w:eastAsia="宋体"/>
                <w:b w:val="0"/>
                <w:color w:val="auto"/>
                <w:kern w:val="1"/>
                <w:sz w:val="21"/>
                <w:szCs w:val="21"/>
                <w:lang w:eastAsia="zh-CN"/>
              </w:rPr>
              <w:t>采购</w:t>
            </w:r>
            <w:r>
              <w:rPr>
                <w:rFonts w:hint="eastAsia" w:ascii="宋体" w:hAnsi="宋体" w:eastAsia="宋体"/>
                <w:b w:val="0"/>
                <w:color w:val="auto"/>
                <w:kern w:val="1"/>
                <w:sz w:val="21"/>
                <w:szCs w:val="21"/>
              </w:rPr>
              <w:t>人指定地点。</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质量标准</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Theme="minorEastAsia" w:hAnsiTheme="minorEastAsia" w:eastAsiaTheme="minorEastAsia"/>
                <w:b/>
                <w:color w:val="auto"/>
                <w:kern w:val="1"/>
                <w:szCs w:val="21"/>
              </w:rPr>
            </w:pPr>
            <w:r>
              <w:rPr>
                <w:rFonts w:hint="eastAsia" w:asciiTheme="minorEastAsia" w:hAnsiTheme="minorEastAsia" w:eastAsiaTheme="minorEastAsia"/>
                <w:color w:val="auto"/>
                <w:kern w:val="1"/>
                <w:szCs w:val="21"/>
              </w:rPr>
              <w:t>成果质量必须执行国家相关标准、行业标准、地方标准或者其它标准、规范（从严）：具有国家标准及规范的，按最新的标准及规范执行；具有行业标准及规范的，按最新的标准及规范执行；</w:t>
            </w:r>
            <w:r>
              <w:rPr>
                <w:rFonts w:hint="eastAsia" w:cs="宋体" w:asciiTheme="minorEastAsia" w:hAnsiTheme="minorEastAsia" w:eastAsiaTheme="minorEastAsia"/>
                <w:color w:val="auto"/>
                <w:kern w:val="1"/>
              </w:rPr>
              <w:t>具有</w:t>
            </w:r>
            <w:r>
              <w:rPr>
                <w:rFonts w:hint="eastAsia" w:asciiTheme="minorEastAsia" w:hAnsiTheme="minorEastAsia" w:eastAsiaTheme="minorEastAsia"/>
                <w:color w:val="auto"/>
                <w:kern w:val="1"/>
                <w:szCs w:val="21"/>
              </w:rPr>
              <w:t>其他标准及规范的，按照最新的标准及规范执行。</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验收</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Theme="minorEastAsia" w:hAnsiTheme="minorEastAsia" w:eastAsiaTheme="minorEastAsia"/>
                <w:b/>
                <w:color w:val="auto"/>
                <w:kern w:val="1"/>
                <w:szCs w:val="21"/>
              </w:rPr>
            </w:pPr>
            <w:r>
              <w:rPr>
                <w:rFonts w:hint="eastAsia" w:asciiTheme="minorEastAsia" w:hAnsiTheme="minorEastAsia" w:eastAsiaTheme="minorEastAsia"/>
                <w:color w:val="auto"/>
                <w:kern w:val="1"/>
                <w:szCs w:val="21"/>
              </w:rPr>
              <w:t>按照招标文件要求、中标人的投标文件（承诺）及签订的合同约定进行验收。</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签订合同时间</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Theme="minorEastAsia" w:hAnsiTheme="minorEastAsia" w:eastAsiaTheme="minorEastAsia"/>
                <w:b/>
                <w:color w:val="auto"/>
                <w:kern w:val="1"/>
                <w:szCs w:val="21"/>
              </w:rPr>
            </w:pPr>
            <w:r>
              <w:rPr>
                <w:rFonts w:hint="eastAsia" w:asciiTheme="minorEastAsia" w:hAnsiTheme="minorEastAsia" w:eastAsiaTheme="minorEastAsia"/>
                <w:color w:val="auto"/>
                <w:kern w:val="1"/>
                <w:szCs w:val="21"/>
              </w:rPr>
              <w:t>中标通知书发出之日起30日内签订合同，具体签约时间以招标人通知为准。</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合同款项支付条件及方式</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color w:val="auto"/>
                <w:highlight w:val="none"/>
              </w:rPr>
            </w:pPr>
            <w:r>
              <w:rPr>
                <w:rFonts w:hint="eastAsia"/>
                <w:color w:val="auto"/>
                <w:highlight w:val="none"/>
              </w:rPr>
              <w:t>（一）2022年：合同签订</w:t>
            </w:r>
            <w:r>
              <w:rPr>
                <w:rFonts w:hint="eastAsia"/>
                <w:color w:val="auto"/>
                <w:highlight w:val="none"/>
                <w:lang w:val="en-US" w:eastAsia="zh-CN"/>
              </w:rPr>
              <w:t>并生效</w:t>
            </w:r>
            <w:r>
              <w:rPr>
                <w:rFonts w:hint="eastAsia"/>
                <w:color w:val="auto"/>
                <w:highlight w:val="none"/>
              </w:rPr>
              <w:t>后</w:t>
            </w:r>
            <w:r>
              <w:rPr>
                <w:rFonts w:hint="eastAsia"/>
                <w:color w:val="auto"/>
                <w:highlight w:val="none"/>
                <w:lang w:val="en-US" w:eastAsia="zh-CN"/>
              </w:rPr>
              <w:t>7个工作日</w:t>
            </w:r>
            <w:r>
              <w:rPr>
                <w:rFonts w:hint="eastAsia"/>
                <w:color w:val="auto"/>
                <w:highlight w:val="none"/>
              </w:rPr>
              <w:t>支付合同总价的33.33%；</w:t>
            </w:r>
          </w:p>
          <w:p>
            <w:pPr>
              <w:spacing w:line="300" w:lineRule="exact"/>
              <w:jc w:val="left"/>
              <w:rPr>
                <w:rFonts w:hint="eastAsia"/>
                <w:color w:val="auto"/>
                <w:highlight w:val="none"/>
              </w:rPr>
            </w:pPr>
            <w:r>
              <w:rPr>
                <w:rFonts w:hint="eastAsia"/>
                <w:color w:val="auto"/>
                <w:highlight w:val="none"/>
              </w:rPr>
              <w:t>（二）2023年：第一年服务期开始2个月后支付合同总价的20%，第一年服务期开始8个月后支付合同总金额的13.33%；</w:t>
            </w:r>
          </w:p>
          <w:p>
            <w:pPr>
              <w:spacing w:line="300" w:lineRule="exact"/>
              <w:jc w:val="left"/>
              <w:rPr>
                <w:rFonts w:hint="default" w:eastAsiaTheme="minorEastAsia"/>
                <w:color w:val="auto"/>
                <w:highlight w:val="none"/>
                <w:lang w:val="en-US" w:eastAsia="zh-CN"/>
              </w:rPr>
            </w:pPr>
            <w:r>
              <w:rPr>
                <w:rFonts w:hint="eastAsia"/>
                <w:color w:val="auto"/>
                <w:highlight w:val="none"/>
              </w:rPr>
              <w:t>（三）2024年：第二年服务期开始2个月后支付合同总价的20%，第二年服务期开始8个月后支付剩余</w:t>
            </w:r>
            <w:r>
              <w:rPr>
                <w:rFonts w:hint="eastAsia"/>
                <w:color w:val="auto"/>
                <w:highlight w:val="none"/>
                <w:lang w:val="en-US" w:eastAsia="zh-CN"/>
              </w:rPr>
              <w:t>合同</w:t>
            </w:r>
            <w:r>
              <w:rPr>
                <w:rFonts w:hint="eastAsia"/>
                <w:color w:val="auto"/>
                <w:highlight w:val="none"/>
              </w:rPr>
              <w:t>款项（支付该笔款项前由中标方提供履约保证金）</w:t>
            </w:r>
            <w:r>
              <w:rPr>
                <w:rFonts w:hint="eastAsia"/>
                <w:color w:val="auto"/>
                <w:highlight w:val="none"/>
                <w:lang w:eastAsia="zh-CN"/>
              </w:rPr>
              <w:t>。</w:t>
            </w:r>
            <w:r>
              <w:rPr>
                <w:rFonts w:hint="eastAsia"/>
                <w:color w:val="auto"/>
                <w:highlight w:val="none"/>
              </w:rPr>
              <w:t>三年服务期全部履行完毕，提供总体服务报告，项目验收</w:t>
            </w:r>
            <w:r>
              <w:rPr>
                <w:rFonts w:hint="eastAsia"/>
                <w:color w:val="auto"/>
                <w:highlight w:val="none"/>
                <w:lang w:val="en-US" w:eastAsia="zh-CN"/>
              </w:rPr>
              <w:t>合格</w:t>
            </w:r>
            <w:r>
              <w:rPr>
                <w:rFonts w:hint="eastAsia"/>
                <w:color w:val="auto"/>
                <w:highlight w:val="none"/>
              </w:rPr>
              <w:t>后7个工作日内退还履约保证金。</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eastAsiaTheme="minorEastAsia"/>
                <w:color w:val="auto"/>
                <w:szCs w:val="21"/>
              </w:rPr>
            </w:pPr>
            <w:r>
              <w:rPr>
                <w:rFonts w:hint="eastAsia" w:asciiTheme="minorEastAsia" w:hAnsiTheme="minorEastAsia" w:eastAsiaTheme="minorEastAsia"/>
                <w:color w:val="auto"/>
              </w:rPr>
              <w:t>发票要求</w:t>
            </w:r>
          </w:p>
        </w:tc>
        <w:tc>
          <w:tcPr>
            <w:tcW w:w="7314" w:type="dxa"/>
            <w:tcBorders>
              <w:top w:val="single" w:color="000000" w:sz="4" w:space="0"/>
              <w:left w:val="single" w:color="000000" w:sz="4" w:space="0"/>
              <w:bottom w:val="single" w:color="000000" w:sz="4" w:space="0"/>
              <w:right w:val="single" w:color="000000" w:sz="4" w:space="0"/>
            </w:tcBorders>
            <w:vAlign w:val="center"/>
          </w:tcPr>
          <w:p>
            <w:pPr>
              <w:ind w:right="34" w:rightChars="16"/>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中标人应在招标人支付费用前，依据相应的金额，先行向招标人提供足额且符合税法规定的发票。招标人在收到中标人提供的发票后在合同约定的时间支付相应款项，否则招标人有权延迟支付相应费用而不被视为违约，亦无须承担任何违约责任。</w:t>
            </w:r>
          </w:p>
          <w:p>
            <w:pPr>
              <w:ind w:right="34" w:rightChars="16"/>
              <w:jc w:val="left"/>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2）本项目合同签署的中标人名称与发票开具单位及收款单位一致，中标人不得以其他理由在合同执行过程中要求调整发票开具单位或收款单位（依法变更单位名称除外），否则视为中标人违约并自行承担相关责任，且须承担由此对招标人造成的一切损失。</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履约保证金</w:t>
            </w:r>
          </w:p>
        </w:tc>
        <w:tc>
          <w:tcPr>
            <w:tcW w:w="7314" w:type="dxa"/>
            <w:tcBorders>
              <w:top w:val="single" w:color="000000" w:sz="4" w:space="0"/>
              <w:left w:val="single" w:color="000000" w:sz="4" w:space="0"/>
              <w:bottom w:val="single" w:color="000000" w:sz="4" w:space="0"/>
              <w:right w:val="single" w:color="000000" w:sz="4" w:space="0"/>
            </w:tcBorders>
            <w:vAlign w:val="center"/>
          </w:tcPr>
          <w:p>
            <w:pPr>
              <w:ind w:right="34" w:rightChars="16"/>
              <w:jc w:val="left"/>
              <w:rPr>
                <w:rFonts w:hint="eastAsia"/>
                <w:color w:val="auto"/>
                <w:highlight w:val="none"/>
                <w:lang w:val="en-US" w:eastAsia="zh-CN"/>
              </w:rPr>
            </w:pPr>
            <w:r>
              <w:rPr>
                <w:rFonts w:hint="eastAsia"/>
                <w:color w:val="auto"/>
                <w:highlight w:val="none"/>
              </w:rPr>
              <w:t>履</w:t>
            </w:r>
            <w:r>
              <w:rPr>
                <w:rFonts w:hint="eastAsia"/>
                <w:color w:val="auto"/>
                <w:highlight w:val="none"/>
                <w:lang w:val="en-US" w:eastAsia="zh-CN"/>
              </w:rPr>
              <w:t>约保证金：合同总金额的1%；</w:t>
            </w:r>
          </w:p>
          <w:p>
            <w:pPr>
              <w:ind w:right="34" w:rightChars="16"/>
              <w:jc w:val="left"/>
              <w:rPr>
                <w:rFonts w:hint="default"/>
                <w:color w:val="auto"/>
                <w:highlight w:val="none"/>
                <w:lang w:val="en-US" w:eastAsia="zh-CN"/>
              </w:rPr>
            </w:pPr>
            <w:r>
              <w:rPr>
                <w:rFonts w:hint="eastAsia"/>
                <w:color w:val="auto"/>
                <w:highlight w:val="none"/>
                <w:lang w:val="en-US" w:eastAsia="zh-CN"/>
              </w:rPr>
              <w:t>保证金形式：银行转账或银行、保险、财务公司等金融机构出具的保函形式；</w:t>
            </w:r>
          </w:p>
          <w:p>
            <w:pPr>
              <w:ind w:right="34" w:rightChars="16"/>
              <w:jc w:val="left"/>
              <w:rPr>
                <w:rFonts w:hint="eastAsia"/>
                <w:color w:val="auto"/>
                <w:highlight w:val="none"/>
                <w:lang w:val="en-US" w:eastAsia="zh-CN"/>
              </w:rPr>
            </w:pPr>
            <w:r>
              <w:rPr>
                <w:rFonts w:hint="eastAsia"/>
                <w:color w:val="auto"/>
                <w:highlight w:val="none"/>
                <w:lang w:val="en-US" w:eastAsia="zh-CN"/>
              </w:rPr>
              <w:t>提交时间：2024年，支付剩余项目合同款项时提交；</w:t>
            </w:r>
          </w:p>
          <w:p>
            <w:pPr>
              <w:ind w:right="34" w:rightChars="16"/>
              <w:jc w:val="left"/>
              <w:rPr>
                <w:rFonts w:hint="eastAsia"/>
                <w:color w:val="auto"/>
                <w:highlight w:val="none"/>
                <w:lang w:val="en-US" w:eastAsia="zh-CN"/>
              </w:rPr>
            </w:pPr>
            <w:r>
              <w:rPr>
                <w:rFonts w:hint="eastAsia"/>
                <w:color w:val="auto"/>
                <w:highlight w:val="none"/>
                <w:lang w:val="en-US" w:eastAsia="zh-CN"/>
              </w:rPr>
              <w:t>保证金退还时间：三年服务期全部履行完毕，提供总体服务报告，项目验收合格后7个工作日内退还履约保证金。</w:t>
            </w:r>
          </w:p>
          <w:p>
            <w:pPr>
              <w:pStyle w:val="3"/>
              <w:rPr>
                <w:rFonts w:hint="default"/>
                <w:color w:val="auto"/>
                <w:highlight w:val="none"/>
                <w:lang w:val="en-US" w:eastAsia="zh-CN"/>
              </w:rPr>
            </w:pPr>
            <w:r>
              <w:rPr>
                <w:rFonts w:hint="eastAsia" w:ascii="Times New Roman" w:hAnsi="Times New Roman" w:eastAsia="宋体" w:cs="Times New Roman"/>
                <w:color w:val="auto"/>
                <w:kern w:val="2"/>
                <w:sz w:val="21"/>
                <w:szCs w:val="24"/>
                <w:highlight w:val="none"/>
                <w:lang w:val="en-US" w:eastAsia="zh-CN" w:bidi="ar-SA"/>
              </w:rPr>
              <w:t>关于考核扣罚说明：考核分每年度进行核算。考核得分90分及以上，属于服务合格；90分以下，扣5%的年度服务费，并要求进行整改，整改完成合格后，扣罚可免除，所有扣罚统一在年度服务期结束之时结算，扣罚金额从履约保证金扣除，不足部分，采购人将向中标人进行追缴</w:t>
            </w:r>
            <w:r>
              <w:rPr>
                <w:rFonts w:hint="eastAsia" w:ascii="Times New Roman" w:hAnsi="Times New Roman" w:cs="Times New Roman"/>
                <w:color w:val="auto"/>
                <w:kern w:val="2"/>
                <w:sz w:val="21"/>
                <w:szCs w:val="24"/>
                <w:highlight w:val="none"/>
                <w:lang w:val="en-US" w:eastAsia="zh-CN" w:bidi="ar-SA"/>
              </w:rPr>
              <w:t>；履约保证金被扣罚后，中标人须及时补足履约保证金。</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其他</w:t>
            </w:r>
          </w:p>
        </w:tc>
        <w:tc>
          <w:tcPr>
            <w:tcW w:w="7314" w:type="dxa"/>
            <w:tcBorders>
              <w:top w:val="single" w:color="000000" w:sz="4" w:space="0"/>
              <w:left w:val="single" w:color="000000" w:sz="4" w:space="0"/>
              <w:bottom w:val="single" w:color="000000" w:sz="4" w:space="0"/>
              <w:right w:val="single" w:color="000000" w:sz="4" w:space="0"/>
            </w:tcBorders>
            <w:vAlign w:val="center"/>
          </w:tcPr>
          <w:p>
            <w:pPr>
              <w:ind w:right="34" w:rightChars="16"/>
              <w:jc w:val="left"/>
              <w:rPr>
                <w:rFonts w:asciiTheme="minorEastAsia" w:hAnsiTheme="minorEastAsia" w:eastAsiaTheme="minorEastAsia"/>
                <w:color w:val="auto"/>
              </w:rPr>
            </w:pPr>
            <w:r>
              <w:rPr>
                <w:rFonts w:hint="eastAsia" w:asciiTheme="minorEastAsia" w:hAnsiTheme="minorEastAsia" w:eastAsiaTheme="minorEastAsia"/>
                <w:color w:val="auto"/>
                <w:szCs w:val="21"/>
              </w:rPr>
              <w:t>在合同执行过程中，中标人应承担由于其行为所造成的招标人或第三人的人身伤害、财产损失或损坏的责任，无论何种原因所造成，招标人均不负责。</w:t>
            </w:r>
          </w:p>
        </w:tc>
      </w:tr>
    </w:tbl>
    <w:p>
      <w:pPr>
        <w:pStyle w:val="40"/>
        <w:spacing w:before="0" w:after="0" w:line="360" w:lineRule="auto"/>
        <w:rPr>
          <w:rFonts w:ascii="宋体" w:hAnsi="宋体" w:eastAsia="宋体"/>
          <w:sz w:val="32"/>
        </w:rPr>
      </w:pPr>
      <w:r>
        <w:rPr>
          <w:rFonts w:ascii="宋体" w:hAnsi="宋体" w:eastAsia="宋体"/>
        </w:rPr>
        <w:br w:type="page"/>
      </w:r>
      <w:bookmarkStart w:id="34" w:name="_Toc34844743"/>
      <w:r>
        <w:rPr>
          <w:rFonts w:hint="eastAsia" w:ascii="宋体" w:hAnsi="宋体" w:eastAsia="宋体"/>
          <w:sz w:val="24"/>
        </w:rPr>
        <w:t>第三章  投标人须知</w:t>
      </w:r>
      <w:bookmarkEnd w:id="34"/>
    </w:p>
    <w:p>
      <w:pPr>
        <w:spacing w:line="360" w:lineRule="auto"/>
        <w:jc w:val="center"/>
        <w:rPr>
          <w:rFonts w:ascii="宋体" w:hAnsi="宋体"/>
          <w:b/>
          <w:szCs w:val="21"/>
        </w:rPr>
      </w:pPr>
      <w:r>
        <w:rPr>
          <w:rFonts w:hint="eastAsia" w:ascii="宋体" w:hAnsi="宋体"/>
          <w:b/>
          <w:szCs w:val="21"/>
        </w:rPr>
        <w:t>《投标人须知前附表》</w:t>
      </w:r>
    </w:p>
    <w:p>
      <w:pPr>
        <w:spacing w:line="360" w:lineRule="auto"/>
        <w:ind w:firstLine="424" w:firstLineChars="202"/>
        <w:jc w:val="left"/>
        <w:rPr>
          <w:rFonts w:ascii="宋体" w:hAnsi="宋体"/>
          <w:szCs w:val="22"/>
        </w:rPr>
      </w:pPr>
      <w:r>
        <w:rPr>
          <w:rStyle w:val="386"/>
          <w:rFonts w:hint="default"/>
          <w:color w:val="auto"/>
          <w:sz w:val="21"/>
        </w:rPr>
        <w:t>说明：</w:t>
      </w:r>
      <w:r>
        <w:rPr>
          <w:rStyle w:val="386"/>
          <w:rFonts w:hint="default"/>
          <w:color w:val="auto"/>
        </w:rPr>
        <w:t>投标人应仔细阅读招标文件的《第三章  投标人须知》，下面所列资料是对“投标人须知”的具体补充和说明。如有矛盾，以本表为准。</w:t>
      </w:r>
    </w:p>
    <w:tbl>
      <w:tblPr>
        <w:tblStyle w:val="44"/>
        <w:tblW w:w="88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892"/>
        <w:gridCol w:w="1721"/>
        <w:gridCol w:w="5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条款号</w:t>
            </w:r>
          </w:p>
        </w:tc>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条款名称</w:t>
            </w:r>
          </w:p>
        </w:tc>
        <w:tc>
          <w:tcPr>
            <w:tcW w:w="558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3.1</w:t>
            </w:r>
          </w:p>
        </w:tc>
        <w:tc>
          <w:tcPr>
            <w:tcW w:w="172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采购人</w:t>
            </w:r>
          </w:p>
        </w:tc>
        <w:tc>
          <w:tcPr>
            <w:tcW w:w="5582"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宁波市生态环境局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172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采购代理机构</w:t>
            </w:r>
          </w:p>
        </w:tc>
        <w:tc>
          <w:tcPr>
            <w:tcW w:w="5582"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宁波名诚招标代理有限公司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3.3</w:t>
            </w:r>
          </w:p>
        </w:tc>
        <w:tc>
          <w:tcPr>
            <w:tcW w:w="172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政府采购监督管理部门</w:t>
            </w:r>
          </w:p>
        </w:tc>
        <w:tc>
          <w:tcPr>
            <w:tcW w:w="5582"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hint="eastAsia" w:cs="Arial" w:asciiTheme="minorEastAsia" w:hAnsiTheme="minorEastAsia" w:eastAsiaTheme="minorEastAsia"/>
                <w:szCs w:val="21"/>
              </w:rPr>
              <w:t>宁波市政府</w:t>
            </w:r>
            <w:r>
              <w:rPr>
                <w:rFonts w:cs="Arial" w:asciiTheme="minorEastAsia" w:hAnsiTheme="minorEastAsia" w:eastAsiaTheme="minorEastAsia"/>
                <w:szCs w:val="21"/>
              </w:rPr>
              <w:t>采购管理办公室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3.4（4）</w:t>
            </w:r>
          </w:p>
        </w:tc>
        <w:tc>
          <w:tcPr>
            <w:tcW w:w="1721"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left"/>
              <w:rPr>
                <w:rFonts w:asciiTheme="minorEastAsia" w:hAnsiTheme="minorEastAsia" w:eastAsiaTheme="minorEastAsia"/>
                <w:b/>
                <w:sz w:val="21"/>
                <w:szCs w:val="21"/>
              </w:rPr>
            </w:pPr>
            <w:r>
              <w:rPr>
                <w:rFonts w:hint="eastAsia" w:asciiTheme="minorEastAsia" w:hAnsiTheme="minorEastAsia" w:eastAsiaTheme="minorEastAsia"/>
                <w:sz w:val="21"/>
                <w:szCs w:val="21"/>
              </w:rPr>
              <w:t>是否为专门面向中小企业采购</w:t>
            </w:r>
          </w:p>
        </w:tc>
        <w:tc>
          <w:tcPr>
            <w:tcW w:w="5582"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both"/>
              <w:rPr>
                <w:rFonts w:asciiTheme="minorEastAsia" w:hAnsiTheme="minorEastAsia" w:eastAsiaTheme="minorEastAsia"/>
                <w:b/>
                <w:bCs/>
                <w:sz w:val="21"/>
                <w:szCs w:val="21"/>
              </w:rPr>
            </w:pPr>
            <w:r>
              <w:rPr>
                <w:rFonts w:hint="eastAsia" w:asciiTheme="minorEastAsia" w:hAnsiTheme="minorEastAsia"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11.3</w:t>
            </w:r>
          </w:p>
        </w:tc>
        <w:tc>
          <w:tcPr>
            <w:tcW w:w="172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质疑函递交方式、接收部门、联系电话和通讯地址</w:t>
            </w:r>
          </w:p>
        </w:tc>
        <w:tc>
          <w:tcPr>
            <w:tcW w:w="5582"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递交方式：</w:t>
            </w:r>
            <w:r>
              <w:rPr>
                <w:rFonts w:hint="eastAsia" w:asciiTheme="minorEastAsia" w:hAnsiTheme="minorEastAsia" w:eastAsiaTheme="minorEastAsia"/>
                <w:sz w:val="21"/>
                <w:szCs w:val="21"/>
                <w:u w:val="single"/>
              </w:rPr>
              <w:t>书面形式</w:t>
            </w:r>
          </w:p>
          <w:p>
            <w:pPr>
              <w:pStyle w:val="323"/>
              <w:widowControl w:val="0"/>
              <w:spacing w:before="0" w:beforeAutospacing="0" w:afterAutospacing="0"/>
              <w:jc w:val="both"/>
              <w:rPr>
                <w:rFonts w:asciiTheme="minorEastAsia" w:hAnsiTheme="minorEastAsia" w:eastAsiaTheme="minorEastAsia"/>
                <w:b/>
                <w:bCs/>
                <w:sz w:val="21"/>
                <w:szCs w:val="21"/>
                <w:u w:val="single"/>
              </w:rPr>
            </w:pPr>
            <w:r>
              <w:rPr>
                <w:rFonts w:hint="eastAsia" w:asciiTheme="minorEastAsia" w:hAnsiTheme="minorEastAsia" w:eastAsiaTheme="minorEastAsia"/>
                <w:sz w:val="21"/>
                <w:szCs w:val="21"/>
              </w:rPr>
              <w:t>接收部门：</w:t>
            </w:r>
            <w:r>
              <w:rPr>
                <w:rFonts w:hint="eastAsia" w:asciiTheme="minorEastAsia" w:hAnsiTheme="minorEastAsia" w:eastAsiaTheme="minorEastAsia"/>
                <w:sz w:val="21"/>
                <w:szCs w:val="21"/>
                <w:u w:val="single"/>
              </w:rPr>
              <w:t>综合办</w:t>
            </w:r>
          </w:p>
          <w:p>
            <w:pPr>
              <w:pStyle w:val="323"/>
              <w:widowControl w:val="0"/>
              <w:spacing w:before="0" w:beforeAutospacing="0" w:afterAutospacing="0"/>
              <w:jc w:val="both"/>
              <w:rPr>
                <w:rFonts w:asciiTheme="minorEastAsia" w:hAnsiTheme="minorEastAsia" w:eastAsiaTheme="minorEastAsia"/>
                <w:b/>
                <w:bCs/>
                <w:sz w:val="21"/>
                <w:szCs w:val="21"/>
                <w:u w:val="single"/>
              </w:rPr>
            </w:pPr>
            <w:r>
              <w:rPr>
                <w:rFonts w:asciiTheme="minorEastAsia" w:hAnsiTheme="minorEastAsia" w:eastAsiaTheme="minorEastAsia"/>
                <w:sz w:val="21"/>
                <w:szCs w:val="21"/>
              </w:rPr>
              <w:t>联系电话：</w:t>
            </w:r>
            <w:r>
              <w:rPr>
                <w:rFonts w:hint="eastAsia" w:asciiTheme="minorEastAsia" w:hAnsiTheme="minorEastAsia" w:eastAsiaTheme="minorEastAsia"/>
                <w:bCs/>
                <w:sz w:val="21"/>
                <w:szCs w:val="21"/>
                <w:u w:val="single"/>
              </w:rPr>
              <w:t>0574-87101271</w:t>
            </w:r>
          </w:p>
          <w:p>
            <w:pPr>
              <w:ind w:firstLine="29" w:firstLineChars="14"/>
              <w:jc w:val="left"/>
              <w:rPr>
                <w:rFonts w:asciiTheme="minorEastAsia" w:hAnsiTheme="minorEastAsia" w:eastAsiaTheme="minorEastAsia"/>
                <w:bCs/>
                <w:szCs w:val="21"/>
              </w:rPr>
            </w:pPr>
            <w:r>
              <w:rPr>
                <w:rFonts w:hint="eastAsia" w:asciiTheme="minorEastAsia" w:hAnsiTheme="minorEastAsia" w:eastAsiaTheme="minorEastAsia"/>
                <w:szCs w:val="21"/>
              </w:rPr>
              <w:t>通讯地址：</w:t>
            </w:r>
            <w:r>
              <w:rPr>
                <w:rFonts w:hint="eastAsia" w:asciiTheme="minorEastAsia" w:hAnsiTheme="minorEastAsia" w:eastAsiaTheme="minorEastAsia"/>
                <w:bCs/>
                <w:szCs w:val="21"/>
                <w:u w:val="single"/>
              </w:rPr>
              <w:t>宁波市海曙区青石巷5号永煌大厦9楼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14.1</w:t>
            </w:r>
          </w:p>
        </w:tc>
        <w:tc>
          <w:tcPr>
            <w:tcW w:w="172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采购</w:t>
            </w:r>
            <w:r>
              <w:rPr>
                <w:rFonts w:asciiTheme="minorEastAsia" w:hAnsiTheme="minorEastAsia" w:eastAsiaTheme="minorEastAsia"/>
                <w:szCs w:val="21"/>
              </w:rPr>
              <w:t>代理</w:t>
            </w:r>
            <w:r>
              <w:rPr>
                <w:rFonts w:hint="eastAsia" w:asciiTheme="minorEastAsia" w:hAnsiTheme="minorEastAsia" w:eastAsiaTheme="minorEastAsia"/>
                <w:szCs w:val="21"/>
              </w:rPr>
              <w:t>服务</w:t>
            </w:r>
            <w:r>
              <w:rPr>
                <w:rFonts w:asciiTheme="minorEastAsia" w:hAnsiTheme="minorEastAsia" w:eastAsiaTheme="minorEastAsia"/>
                <w:szCs w:val="21"/>
              </w:rPr>
              <w:t>费用的收取标准</w:t>
            </w:r>
          </w:p>
        </w:tc>
        <w:tc>
          <w:tcPr>
            <w:tcW w:w="5582" w:type="dxa"/>
            <w:tcBorders>
              <w:top w:val="single" w:color="auto" w:sz="4" w:space="0"/>
              <w:left w:val="single" w:color="auto" w:sz="4" w:space="0"/>
              <w:bottom w:val="single" w:color="auto" w:sz="4" w:space="0"/>
              <w:right w:val="single" w:color="auto" w:sz="4" w:space="0"/>
            </w:tcBorders>
            <w:vAlign w:val="center"/>
          </w:tcPr>
          <w:p>
            <w:pPr>
              <w:ind w:firstLine="29" w:firstLineChars="14"/>
              <w:jc w:val="left"/>
              <w:rPr>
                <w:rFonts w:asciiTheme="minorEastAsia" w:hAnsiTheme="minorEastAsia" w:eastAsiaTheme="minorEastAsia"/>
                <w:bCs/>
              </w:rPr>
            </w:pPr>
            <w:r>
              <w:rPr>
                <w:rFonts w:hint="eastAsia" w:asciiTheme="minorEastAsia" w:hAnsiTheme="minorEastAsia" w:eastAsiaTheme="minorEastAsia"/>
                <w:bCs/>
              </w:rPr>
              <w:t>1.根据国家发改委发改办价格[2003]857号通知和原国家计委计价格[2002]1980号文件规定的收费费率为取费标准。</w:t>
            </w:r>
          </w:p>
          <w:p>
            <w:pPr>
              <w:ind w:firstLine="29" w:firstLineChars="14"/>
              <w:jc w:val="left"/>
              <w:rPr>
                <w:rFonts w:asciiTheme="minorEastAsia" w:hAnsiTheme="minorEastAsia" w:eastAsiaTheme="minorEastAsia"/>
                <w:bCs/>
                <w:szCs w:val="21"/>
              </w:rPr>
            </w:pPr>
            <w:r>
              <w:rPr>
                <w:rFonts w:hint="eastAsia" w:asciiTheme="minorEastAsia" w:hAnsiTheme="minorEastAsia" w:eastAsiaTheme="minorEastAsia"/>
                <w:bCs/>
              </w:rPr>
              <w:t>2.以</w:t>
            </w:r>
            <w:r>
              <w:rPr>
                <w:rFonts w:hint="eastAsia" w:asciiTheme="minorEastAsia" w:hAnsiTheme="minorEastAsia" w:eastAsiaTheme="minorEastAsia"/>
                <w:bCs/>
                <w:lang w:val="en-US" w:eastAsia="zh-CN"/>
              </w:rPr>
              <w:t>中标</w:t>
            </w:r>
            <w:r>
              <w:rPr>
                <w:rFonts w:hint="eastAsia" w:asciiTheme="minorEastAsia" w:hAnsiTheme="minorEastAsia" w:eastAsiaTheme="minorEastAsia"/>
                <w:bCs/>
              </w:rPr>
              <w:t>通知书确定的</w:t>
            </w:r>
            <w:r>
              <w:rPr>
                <w:rFonts w:hint="eastAsia" w:asciiTheme="minorEastAsia" w:hAnsiTheme="minorEastAsia" w:eastAsiaTheme="minorEastAsia"/>
                <w:bCs/>
                <w:lang w:val="en-US" w:eastAsia="zh-CN"/>
              </w:rPr>
              <w:t>中标</w:t>
            </w:r>
            <w:r>
              <w:rPr>
                <w:rFonts w:hint="eastAsia" w:asciiTheme="minorEastAsia" w:hAnsiTheme="minorEastAsia" w:eastAsiaTheme="minorEastAsia"/>
                <w:bCs/>
              </w:rPr>
              <w:t>总金额为计算基数，结合上述费率标准计算本项目的代理服务费用。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14.2</w:t>
            </w:r>
          </w:p>
        </w:tc>
        <w:tc>
          <w:tcPr>
            <w:tcW w:w="172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采购代理服务费的支付</w:t>
            </w:r>
          </w:p>
        </w:tc>
        <w:tc>
          <w:tcPr>
            <w:tcW w:w="5582" w:type="dxa"/>
            <w:tcBorders>
              <w:top w:val="single" w:color="auto" w:sz="4" w:space="0"/>
              <w:left w:val="single" w:color="auto" w:sz="4" w:space="0"/>
              <w:bottom w:val="single" w:color="auto" w:sz="4" w:space="0"/>
              <w:right w:val="single" w:color="auto" w:sz="4" w:space="0"/>
            </w:tcBorders>
            <w:vAlign w:val="center"/>
          </w:tcPr>
          <w:p>
            <w:pPr>
              <w:ind w:firstLine="29" w:firstLineChars="14"/>
              <w:jc w:val="left"/>
              <w:rPr>
                <w:rFonts w:asciiTheme="minorEastAsia" w:hAnsiTheme="minorEastAsia" w:eastAsiaTheme="minorEastAsia"/>
                <w:bCs/>
                <w:szCs w:val="21"/>
                <w:highlight w:val="yellow"/>
              </w:rPr>
            </w:pPr>
            <w:r>
              <w:rPr>
                <w:rFonts w:hint="eastAsia" w:asciiTheme="minorEastAsia" w:hAnsiTheme="minorEastAsia" w:eastAsiaTheme="minorEastAsia"/>
                <w:bCs/>
                <w:szCs w:val="21"/>
              </w:rPr>
              <w:t>本项目代理服务费由中标人支付，中标人在领取中标通知书时一次性全额支付，代理服务费金额为固定金额，不随项目合同金额的增减而浮动。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1721"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left"/>
              <w:rPr>
                <w:rFonts w:asciiTheme="minorEastAsia" w:hAnsiTheme="minorEastAsia" w:eastAsiaTheme="minorEastAsia"/>
                <w:b/>
                <w:sz w:val="21"/>
                <w:szCs w:val="21"/>
              </w:rPr>
            </w:pPr>
            <w:r>
              <w:rPr>
                <w:rFonts w:hint="eastAsia" w:asciiTheme="minorEastAsia" w:hAnsiTheme="minorEastAsia" w:eastAsiaTheme="minorEastAsia"/>
                <w:sz w:val="21"/>
                <w:szCs w:val="21"/>
              </w:rPr>
              <w:t>现场考察</w:t>
            </w:r>
          </w:p>
        </w:tc>
        <w:tc>
          <w:tcPr>
            <w:tcW w:w="558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szCs w:val="21"/>
              </w:rPr>
            </w:pPr>
            <w:r>
              <w:rPr>
                <w:rFonts w:hint="eastAsia" w:asciiTheme="minorEastAsia" w:hAnsiTheme="minorEastAsia" w:eastAsiaTheme="minorEastAsia"/>
                <w:szCs w:val="21"/>
              </w:rPr>
              <w:t>本项不适用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8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22.1</w:t>
            </w:r>
          </w:p>
        </w:tc>
        <w:tc>
          <w:tcPr>
            <w:tcW w:w="1721"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szCs w:val="21"/>
              </w:rPr>
            </w:pPr>
            <w:r>
              <w:rPr>
                <w:rFonts w:hint="eastAsia" w:ascii="宋体" w:hAnsi="宋体" w:cs="宋体"/>
                <w:bCs/>
                <w:szCs w:val="21"/>
              </w:rPr>
              <w:t>▲</w:t>
            </w:r>
            <w:r>
              <w:rPr>
                <w:rFonts w:hint="eastAsia" w:asciiTheme="minorEastAsia" w:hAnsiTheme="minorEastAsia" w:eastAsiaTheme="minorEastAsia"/>
                <w:szCs w:val="21"/>
              </w:rPr>
              <w:t>资格要求响应文件的组成</w:t>
            </w:r>
          </w:p>
        </w:tc>
        <w:tc>
          <w:tcPr>
            <w:tcW w:w="5582"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1.投标人资格声明函（若联合体投标的，联合体各方均须提供）；</w:t>
            </w:r>
          </w:p>
          <w:p>
            <w:pPr>
              <w:rPr>
                <w:rFonts w:asciiTheme="minorEastAsia" w:hAnsiTheme="minorEastAsia" w:eastAsiaTheme="minorEastAsia"/>
                <w:bCs/>
                <w:szCs w:val="21"/>
              </w:rPr>
            </w:pPr>
            <w:r>
              <w:rPr>
                <w:rFonts w:hint="eastAsia" w:asciiTheme="minorEastAsia" w:hAnsiTheme="minorEastAsia" w:eastAsiaTheme="minorEastAsia"/>
                <w:szCs w:val="21"/>
              </w:rPr>
              <w:t>2.法人或者其他组织的营业执照等登记证明文件复印件（若联合体投标的，联合体各方均须提供）；</w:t>
            </w:r>
          </w:p>
          <w:p>
            <w:pPr>
              <w:rPr>
                <w:rFonts w:asciiTheme="minorEastAsia" w:hAnsiTheme="minorEastAsia" w:eastAsiaTheme="minorEastAsia"/>
              </w:rPr>
            </w:pPr>
            <w:r>
              <w:rPr>
                <w:rFonts w:asciiTheme="minorEastAsia" w:hAnsiTheme="minorEastAsia" w:eastAsiaTheme="minorEastAsia"/>
                <w:szCs w:val="21"/>
              </w:rPr>
              <w:t>3</w:t>
            </w:r>
            <w:r>
              <w:rPr>
                <w:rFonts w:hint="eastAsia" w:asciiTheme="minorEastAsia" w:hAnsiTheme="minorEastAsia" w:eastAsiaTheme="minorEastAsia"/>
                <w:szCs w:val="21"/>
              </w:rPr>
              <w:t>.联合协议（非联合体投标的无需提供）。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702"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8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1721"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商务技术文件的组成</w:t>
            </w:r>
          </w:p>
        </w:tc>
        <w:tc>
          <w:tcPr>
            <w:tcW w:w="5582"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szCs w:val="21"/>
              </w:rPr>
            </w:pPr>
            <w:r>
              <w:rPr>
                <w:rFonts w:hint="eastAsia" w:ascii="宋体" w:hAnsi="宋体" w:cs="宋体"/>
                <w:bCs/>
                <w:szCs w:val="21"/>
              </w:rPr>
              <w:t>▲</w:t>
            </w:r>
            <w:r>
              <w:rPr>
                <w:rFonts w:hint="eastAsia" w:asciiTheme="minorEastAsia" w:hAnsiTheme="minorEastAsia" w:eastAsiaTheme="minorEastAsia"/>
                <w:szCs w:val="21"/>
              </w:rPr>
              <w:t>1.投标函；</w:t>
            </w:r>
          </w:p>
          <w:p>
            <w:pPr>
              <w:rPr>
                <w:rFonts w:asciiTheme="minorEastAsia" w:hAnsiTheme="minorEastAsia" w:eastAsiaTheme="minorEastAsia"/>
                <w:szCs w:val="21"/>
              </w:rPr>
            </w:pPr>
            <w:r>
              <w:rPr>
                <w:rFonts w:hint="eastAsia" w:ascii="宋体" w:hAnsi="宋体" w:cs="宋体"/>
                <w:bCs/>
                <w:szCs w:val="21"/>
              </w:rPr>
              <w:t>▲</w:t>
            </w:r>
            <w:r>
              <w:rPr>
                <w:rFonts w:hint="eastAsia" w:asciiTheme="minorEastAsia" w:hAnsiTheme="minorEastAsia" w:eastAsiaTheme="minorEastAsia"/>
                <w:szCs w:val="21"/>
              </w:rPr>
              <w:t>2.法定代表人身份证复印件（双面）或法定代表人授权委托书及其附件；</w:t>
            </w:r>
          </w:p>
          <w:p>
            <w:pPr>
              <w:rPr>
                <w:rFonts w:asciiTheme="minorEastAsia" w:hAnsiTheme="minorEastAsia" w:eastAsiaTheme="minorEastAsia"/>
                <w:szCs w:val="21"/>
              </w:rPr>
            </w:pPr>
            <w:r>
              <w:rPr>
                <w:rFonts w:hint="eastAsia" w:asciiTheme="minorEastAsia" w:hAnsiTheme="minorEastAsia" w:eastAsiaTheme="minorEastAsia"/>
                <w:szCs w:val="21"/>
              </w:rPr>
              <w:t>3.评委打分索引表；</w:t>
            </w:r>
          </w:p>
          <w:p>
            <w:pP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商务要求</w:t>
            </w:r>
            <w:r>
              <w:rPr>
                <w:rFonts w:hint="eastAsia" w:asciiTheme="minorEastAsia" w:hAnsiTheme="minorEastAsia" w:eastAsiaTheme="minorEastAsia"/>
                <w:szCs w:val="21"/>
              </w:rPr>
              <w:t>响应表；</w:t>
            </w:r>
          </w:p>
          <w:p>
            <w:pPr>
              <w:rPr>
                <w:rFonts w:asciiTheme="minorEastAsia" w:hAnsiTheme="minorEastAsia" w:eastAsiaTheme="minorEastAsia"/>
                <w:szCs w:val="21"/>
              </w:rPr>
            </w:pPr>
            <w:r>
              <w:rPr>
                <w:rFonts w:hint="eastAsia" w:asciiTheme="minorEastAsia" w:hAnsiTheme="minorEastAsia" w:eastAsiaTheme="minorEastAsia"/>
                <w:szCs w:val="21"/>
              </w:rPr>
              <w:t>5.技术要求响应表；</w:t>
            </w:r>
          </w:p>
          <w:p>
            <w:pP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项目实施方案</w:t>
            </w:r>
          </w:p>
          <w:p>
            <w:pPr>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.项目实施人员情况表；</w:t>
            </w:r>
          </w:p>
          <w:p>
            <w:pPr>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.类似项目业绩一览表；</w:t>
            </w:r>
          </w:p>
          <w:p>
            <w:pPr>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.与项目评审及合同实施有关的其他资料。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02"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8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1721"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报价要求响应文件的组成</w:t>
            </w:r>
          </w:p>
        </w:tc>
        <w:tc>
          <w:tcPr>
            <w:tcW w:w="5582"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开标一览表；</w:t>
            </w:r>
          </w:p>
          <w:p>
            <w:pPr>
              <w:rPr>
                <w:rFonts w:asciiTheme="minorEastAsia" w:hAnsiTheme="minorEastAsia" w:eastAsiaTheme="minorEastAsia"/>
                <w:szCs w:val="21"/>
              </w:rPr>
            </w:pPr>
            <w:r>
              <w:rPr>
                <w:rFonts w:hint="eastAsia" w:asciiTheme="minorEastAsia" w:hAnsiTheme="minorEastAsia" w:eastAsiaTheme="minorEastAsia"/>
                <w:szCs w:val="21"/>
              </w:rPr>
              <w:t>2.</w:t>
            </w:r>
            <w:bookmarkStart w:id="35" w:name="_Hlk104213143"/>
            <w:r>
              <w:rPr>
                <w:rFonts w:hint="eastAsia" w:asciiTheme="minorEastAsia" w:hAnsiTheme="minorEastAsia" w:eastAsiaTheme="minorEastAsia"/>
                <w:szCs w:val="21"/>
              </w:rPr>
              <w:t>投标报价组成明细表</w:t>
            </w:r>
            <w:bookmarkEnd w:id="35"/>
          </w:p>
          <w:p>
            <w:pPr>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.中小企业声明函（如不符合，无法获得政策优惠，可不提供）；</w:t>
            </w:r>
          </w:p>
          <w:p>
            <w:pPr>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.残疾人福利性单位声明函（如不符合，无法获得政策优惠，可不提供）；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892"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24.1</w:t>
            </w:r>
          </w:p>
        </w:tc>
        <w:tc>
          <w:tcPr>
            <w:tcW w:w="1721"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投标文件的份数</w:t>
            </w:r>
          </w:p>
        </w:tc>
        <w:tc>
          <w:tcPr>
            <w:tcW w:w="5582" w:type="dxa"/>
            <w:tcBorders>
              <w:top w:val="single" w:color="auto" w:sz="4" w:space="0"/>
              <w:left w:val="single" w:color="auto" w:sz="4" w:space="0"/>
              <w:right w:val="single" w:color="auto" w:sz="4" w:space="0"/>
            </w:tcBorders>
            <w:vAlign w:val="center"/>
          </w:tcPr>
          <w:p>
            <w:pPr>
              <w:jc w:val="left"/>
              <w:rPr>
                <w:rFonts w:asciiTheme="minorEastAsia" w:hAnsiTheme="minorEastAsia" w:eastAsiaTheme="minorEastAsia"/>
                <w:szCs w:val="21"/>
              </w:rPr>
            </w:pPr>
            <w:r>
              <w:rPr>
                <w:rFonts w:hint="eastAsia" w:ascii="宋体" w:hAnsi="宋体" w:cs="宋体"/>
                <w:bCs/>
                <w:szCs w:val="21"/>
              </w:rPr>
              <w:t>▲</w:t>
            </w:r>
            <w:r>
              <w:rPr>
                <w:rFonts w:hint="eastAsia" w:asciiTheme="minorEastAsia" w:hAnsiTheme="minorEastAsia" w:eastAsiaTheme="minorEastAsia"/>
                <w:szCs w:val="21"/>
              </w:rPr>
              <w:t>1.电子加密投标文件：1份；</w:t>
            </w:r>
          </w:p>
          <w:p>
            <w:pPr>
              <w:jc w:val="left"/>
              <w:rPr>
                <w:rFonts w:asciiTheme="minorEastAsia" w:hAnsiTheme="minorEastAsia" w:eastAsiaTheme="minorEastAsia"/>
                <w:szCs w:val="21"/>
              </w:rPr>
            </w:pPr>
            <w:r>
              <w:rPr>
                <w:rFonts w:hint="eastAsia" w:asciiTheme="minorEastAsia" w:hAnsiTheme="minorEastAsia" w:eastAsiaTheme="minorEastAsia"/>
                <w:szCs w:val="21"/>
              </w:rPr>
              <w:t>2.备份投标文件：1份，以U盘存储（不强制要求提供）。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27.1</w:t>
            </w:r>
          </w:p>
        </w:tc>
        <w:tc>
          <w:tcPr>
            <w:tcW w:w="172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投标</w:t>
            </w:r>
            <w:r>
              <w:rPr>
                <w:rFonts w:asciiTheme="minorEastAsia" w:hAnsiTheme="minorEastAsia" w:eastAsiaTheme="minorEastAsia"/>
                <w:szCs w:val="21"/>
              </w:rPr>
              <w:t>有效期</w:t>
            </w:r>
          </w:p>
        </w:tc>
        <w:tc>
          <w:tcPr>
            <w:tcW w:w="5582"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hint="eastAsia" w:cs="Arial" w:asciiTheme="minorEastAsia" w:hAnsiTheme="minorEastAsia" w:eastAsiaTheme="minorEastAsia"/>
                <w:szCs w:val="21"/>
              </w:rPr>
              <w:t>90日历</w:t>
            </w:r>
            <w:r>
              <w:rPr>
                <w:rFonts w:hint="eastAsia" w:cs="Arial" w:asciiTheme="minorEastAsia" w:hAnsiTheme="minorEastAsia" w:eastAsiaTheme="minorEastAsia"/>
                <w:szCs w:val="21"/>
                <w:lang w:val="en-US" w:eastAsia="zh-CN"/>
              </w:rPr>
              <w:t>日</w:t>
            </w: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30.1</w:t>
            </w:r>
          </w:p>
        </w:tc>
        <w:tc>
          <w:tcPr>
            <w:tcW w:w="1721"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投标截止时间及地点</w:t>
            </w:r>
          </w:p>
        </w:tc>
        <w:tc>
          <w:tcPr>
            <w:tcW w:w="5582"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详见投标邀请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32.2</w:t>
            </w:r>
          </w:p>
        </w:tc>
        <w:tc>
          <w:tcPr>
            <w:tcW w:w="1721"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投标文件解密时间</w:t>
            </w:r>
          </w:p>
        </w:tc>
        <w:tc>
          <w:tcPr>
            <w:tcW w:w="5582"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解密指令发出后3</w:t>
            </w:r>
            <w:r>
              <w:rPr>
                <w:rFonts w:asciiTheme="minorEastAsia" w:hAnsiTheme="minorEastAsia" w:eastAsiaTheme="minorEastAsia"/>
                <w:sz w:val="21"/>
                <w:szCs w:val="21"/>
              </w:rPr>
              <w:t>0</w:t>
            </w:r>
            <w:r>
              <w:rPr>
                <w:rFonts w:hint="eastAsia" w:asciiTheme="minorEastAsia" w:hAnsiTheme="minorEastAsia" w:eastAsiaTheme="minorEastAsia"/>
                <w:sz w:val="21"/>
                <w:szCs w:val="21"/>
              </w:rPr>
              <w:t>分钟内（以电子交易系统解密倒计时为准）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8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33.7</w:t>
            </w:r>
          </w:p>
        </w:tc>
        <w:tc>
          <w:tcPr>
            <w:tcW w:w="1721"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评标方法</w:t>
            </w:r>
          </w:p>
        </w:tc>
        <w:tc>
          <w:tcPr>
            <w:tcW w:w="5582"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8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both"/>
              <w:rPr>
                <w:rFonts w:asciiTheme="minorEastAsia" w:hAnsiTheme="minorEastAsia" w:eastAsiaTheme="minorEastAsia"/>
                <w:b/>
                <w:sz w:val="21"/>
                <w:szCs w:val="21"/>
              </w:rPr>
            </w:pPr>
            <w:r>
              <w:rPr>
                <w:rFonts w:asciiTheme="minorEastAsia" w:hAnsiTheme="minorEastAsia" w:eastAsiaTheme="minorEastAsia"/>
                <w:sz w:val="21"/>
                <w:szCs w:val="21"/>
              </w:rPr>
              <w:t>中标候选</w:t>
            </w:r>
            <w:r>
              <w:rPr>
                <w:rFonts w:hint="eastAsia" w:asciiTheme="minorEastAsia" w:hAnsiTheme="minorEastAsia" w:eastAsiaTheme="minorEastAsia"/>
                <w:sz w:val="21"/>
                <w:szCs w:val="21"/>
              </w:rPr>
              <w:t>人的</w:t>
            </w:r>
            <w:r>
              <w:rPr>
                <w:rFonts w:asciiTheme="minorEastAsia" w:hAnsiTheme="minorEastAsia" w:eastAsiaTheme="minorEastAsia"/>
                <w:sz w:val="21"/>
                <w:szCs w:val="21"/>
              </w:rPr>
              <w:t>数量</w:t>
            </w:r>
          </w:p>
        </w:tc>
        <w:tc>
          <w:tcPr>
            <w:tcW w:w="5582" w:type="dxa"/>
            <w:tcBorders>
              <w:top w:val="single" w:color="auto" w:sz="4" w:space="0"/>
              <w:left w:val="single" w:color="auto" w:sz="4" w:space="0"/>
              <w:bottom w:val="single" w:color="auto" w:sz="4" w:space="0"/>
              <w:right w:val="single" w:color="auto" w:sz="4" w:space="0"/>
            </w:tcBorders>
            <w:vAlign w:val="center"/>
          </w:tcPr>
          <w:p>
            <w:pPr>
              <w:pStyle w:val="323"/>
              <w:widowControl w:val="0"/>
              <w:spacing w:before="0" w:beforeAutospacing="0" w:afterAutospacing="0"/>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所有有效的投标人</w:t>
            </w:r>
          </w:p>
        </w:tc>
      </w:tr>
    </w:tbl>
    <w:p>
      <w:pPr>
        <w:spacing w:line="360" w:lineRule="auto"/>
        <w:rPr>
          <w:rFonts w:ascii="宋体" w:hAnsi="宋体"/>
          <w:b/>
          <w:szCs w:val="21"/>
        </w:rPr>
      </w:pPr>
    </w:p>
    <w:p>
      <w:pPr>
        <w:pStyle w:val="24"/>
        <w:tabs>
          <w:tab w:val="left" w:pos="426"/>
        </w:tabs>
        <w:snapToGrid w:val="0"/>
        <w:spacing w:beforeLines="0" w:afterLines="0" w:line="360" w:lineRule="auto"/>
        <w:jc w:val="center"/>
        <w:rPr>
          <w:rFonts w:hAnsi="宋体"/>
          <w:b/>
          <w:sz w:val="21"/>
          <w:szCs w:val="21"/>
        </w:rPr>
      </w:pPr>
      <w:r>
        <w:rPr>
          <w:rFonts w:hAnsi="宋体"/>
          <w:b/>
          <w:sz w:val="21"/>
          <w:szCs w:val="21"/>
        </w:rPr>
        <w:br w:type="page"/>
      </w:r>
      <w:r>
        <w:rPr>
          <w:rFonts w:hint="eastAsia" w:hAnsi="宋体"/>
          <w:b/>
          <w:sz w:val="21"/>
          <w:szCs w:val="21"/>
        </w:rPr>
        <w:t>一、总  则</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1.</w:t>
      </w:r>
      <w:r>
        <w:rPr>
          <w:rFonts w:asciiTheme="minorEastAsia" w:hAnsiTheme="minorEastAsia" w:eastAsiaTheme="minorEastAsia"/>
          <w:b/>
          <w:szCs w:val="21"/>
        </w:rPr>
        <w:t>适用范围</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本招标文件仅适用于本次公开招标所述的服务项目采购。</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2.定义</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1</w:t>
      </w:r>
      <w:r>
        <w:rPr>
          <w:rFonts w:hint="eastAsia" w:asciiTheme="minorEastAsia" w:hAnsiTheme="minorEastAsia" w:eastAsiaTheme="minorEastAsia"/>
          <w:szCs w:val="21"/>
        </w:rPr>
        <w:t>服务：系指除货物和工程以外的其他政府采购对象。</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2.2中标人（中标供应商）：是指经法定采购程序确定并授予合同的投标人。</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2.3</w:t>
      </w:r>
      <w:r>
        <w:rPr>
          <w:rFonts w:cs="Arial" w:asciiTheme="minorEastAsia" w:hAnsiTheme="minorEastAsia" w:eastAsiaTheme="minorEastAsia"/>
          <w:szCs w:val="21"/>
        </w:rPr>
        <w:t>书面形式</w:t>
      </w:r>
      <w:r>
        <w:rPr>
          <w:rFonts w:hint="eastAsia" w:cs="Arial" w:asciiTheme="minorEastAsia" w:hAnsiTheme="minorEastAsia" w:eastAsiaTheme="minorEastAsia"/>
          <w:szCs w:val="21"/>
        </w:rPr>
        <w:t>：</w:t>
      </w:r>
      <w:r>
        <w:rPr>
          <w:rFonts w:cs="Arial" w:asciiTheme="minorEastAsia" w:hAnsiTheme="minorEastAsia" w:eastAsiaTheme="minorEastAsia"/>
          <w:szCs w:val="21"/>
        </w:rPr>
        <w:t>包括</w:t>
      </w:r>
      <w:r>
        <w:rPr>
          <w:rFonts w:hint="eastAsia" w:cs="Arial" w:asciiTheme="minorEastAsia" w:hAnsiTheme="minorEastAsia" w:eastAsiaTheme="minorEastAsia"/>
          <w:szCs w:val="21"/>
        </w:rPr>
        <w:t>信件、</w:t>
      </w:r>
      <w:r>
        <w:rPr>
          <w:rFonts w:cs="Arial" w:asciiTheme="minorEastAsia" w:hAnsiTheme="minorEastAsia" w:eastAsiaTheme="minorEastAsia"/>
          <w:szCs w:val="21"/>
        </w:rPr>
        <w:t>电报、电传、传真等可以有形地表现所载内容的形式</w:t>
      </w:r>
      <w:r>
        <w:rPr>
          <w:rFonts w:hint="eastAsia" w:cs="Arial" w:asciiTheme="minorEastAsia" w:hAnsiTheme="minorEastAsia" w:eastAsiaTheme="minorEastAsia"/>
          <w:szCs w:val="21"/>
        </w:rPr>
        <w:t>。以电子数据交换、电子邮件等方式能够有形地表现所载内容，并可以随时调取查用的数据电文，视为书面形式。</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2.4实质性条款：标注</w:t>
      </w:r>
      <w:r>
        <w:rPr>
          <w:rFonts w:cs="Arial" w:asciiTheme="minorEastAsia" w:hAnsiTheme="minorEastAsia" w:eastAsiaTheme="minorEastAsia"/>
          <w:szCs w:val="21"/>
        </w:rPr>
        <w:t>“▲”</w:t>
      </w:r>
      <w:r>
        <w:rPr>
          <w:rFonts w:hint="eastAsia" w:cs="Arial" w:asciiTheme="minorEastAsia" w:hAnsiTheme="minorEastAsia" w:eastAsiaTheme="minorEastAsia"/>
          <w:szCs w:val="21"/>
        </w:rPr>
        <w:t>的属于招标文件的</w:t>
      </w:r>
      <w:r>
        <w:rPr>
          <w:rFonts w:cs="Arial" w:asciiTheme="minorEastAsia" w:hAnsiTheme="minorEastAsia" w:eastAsiaTheme="minorEastAsia"/>
          <w:szCs w:val="21"/>
        </w:rPr>
        <w:t>实质性要求条款。</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2.5公章:</w:t>
      </w:r>
      <w:r>
        <w:rPr>
          <w:rFonts w:cs="Arial" w:asciiTheme="minorEastAsia" w:hAnsiTheme="minorEastAsia" w:eastAsiaTheme="minorEastAsia"/>
          <w:szCs w:val="21"/>
        </w:rPr>
        <w:t>投标人在投标文件及通知等事项的书面文件中的单位盖章、公章等处，均仅指与投标当事人名称全称相一致的标准公章</w:t>
      </w:r>
      <w:r>
        <w:rPr>
          <w:rFonts w:hint="eastAsia" w:cs="Arial" w:asciiTheme="minorEastAsia" w:hAnsiTheme="minorEastAsia" w:eastAsiaTheme="minorEastAsia"/>
          <w:szCs w:val="21"/>
        </w:rPr>
        <w:t>（行政章）</w:t>
      </w:r>
      <w:r>
        <w:rPr>
          <w:rFonts w:cs="Arial" w:asciiTheme="minorEastAsia" w:hAnsiTheme="minorEastAsia" w:eastAsiaTheme="minorEastAsia"/>
          <w:szCs w:val="21"/>
        </w:rPr>
        <w:t>，不得使用其它形式，如带有“专用章”</w:t>
      </w:r>
      <w:r>
        <w:rPr>
          <w:rFonts w:hint="eastAsia" w:cs="Arial" w:asciiTheme="minorEastAsia" w:hAnsiTheme="minorEastAsia" w:eastAsiaTheme="minorEastAsia"/>
          <w:szCs w:val="21"/>
        </w:rPr>
        <w:t>“业务章”</w:t>
      </w:r>
      <w:r>
        <w:rPr>
          <w:rFonts w:cs="Arial" w:asciiTheme="minorEastAsia" w:hAnsiTheme="minorEastAsia" w:eastAsiaTheme="minorEastAsia"/>
          <w:szCs w:val="21"/>
        </w:rPr>
        <w:t>等字样的印章。</w:t>
      </w:r>
    </w:p>
    <w:p>
      <w:pPr>
        <w:spacing w:line="360" w:lineRule="auto"/>
        <w:ind w:firstLine="437"/>
        <w:outlineLvl w:val="3"/>
        <w:rPr>
          <w:rFonts w:asciiTheme="minorEastAsia" w:hAnsiTheme="minorEastAsia" w:eastAsiaTheme="minorEastAsia"/>
          <w:b/>
          <w:szCs w:val="21"/>
        </w:rPr>
      </w:pPr>
      <w:r>
        <w:rPr>
          <w:rFonts w:hint="eastAsia" w:asciiTheme="minorEastAsia" w:hAnsiTheme="minorEastAsia" w:eastAsiaTheme="minorEastAsia"/>
          <w:b/>
          <w:szCs w:val="21"/>
        </w:rPr>
        <w:t>3</w:t>
      </w:r>
      <w:r>
        <w:rPr>
          <w:rFonts w:asciiTheme="minorEastAsia" w:hAnsiTheme="minorEastAsia" w:eastAsiaTheme="minorEastAsia"/>
          <w:b/>
          <w:szCs w:val="21"/>
        </w:rPr>
        <w:t>.</w:t>
      </w:r>
      <w:r>
        <w:rPr>
          <w:rFonts w:hint="eastAsia" w:asciiTheme="minorEastAsia" w:hAnsiTheme="minorEastAsia" w:eastAsiaTheme="minorEastAsia"/>
          <w:b/>
          <w:szCs w:val="21"/>
        </w:rPr>
        <w:t>采购人、采购代理机构及投标人</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.1采购人</w:t>
      </w:r>
      <w:r>
        <w:rPr>
          <w:rFonts w:hint="eastAsia" w:asciiTheme="minorEastAsia" w:hAnsiTheme="minorEastAsia" w:eastAsiaTheme="minorEastAsia"/>
          <w:szCs w:val="21"/>
        </w:rPr>
        <w:t>（招标人）</w:t>
      </w:r>
      <w:r>
        <w:rPr>
          <w:rFonts w:asciiTheme="minorEastAsia" w:hAnsiTheme="minorEastAsia" w:eastAsiaTheme="minorEastAsia"/>
          <w:szCs w:val="21"/>
        </w:rPr>
        <w:t>：是指依法开展政府采购活动的国家机关、事业单位、团体组织。</w:t>
      </w:r>
      <w:r>
        <w:rPr>
          <w:rFonts w:hint="eastAsia" w:asciiTheme="minorEastAsia" w:hAnsiTheme="minorEastAsia" w:eastAsiaTheme="minorEastAsia"/>
          <w:szCs w:val="21"/>
        </w:rPr>
        <w:t>本项目的采购人见《</w:t>
      </w:r>
      <w:r>
        <w:rPr>
          <w:rFonts w:hint="eastAsia" w:asciiTheme="minorEastAsia" w:hAnsiTheme="minorEastAsia" w:eastAsiaTheme="minorEastAsia"/>
          <w:szCs w:val="21"/>
          <w:u w:val="single"/>
        </w:rPr>
        <w:t>投标人须知前附表</w:t>
      </w:r>
      <w:r>
        <w:rPr>
          <w:rFonts w:hint="eastAsia"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.2采购代理机构</w:t>
      </w:r>
      <w:r>
        <w:rPr>
          <w:rFonts w:hint="eastAsia" w:asciiTheme="minorEastAsia" w:hAnsiTheme="minorEastAsia" w:eastAsiaTheme="minorEastAsia"/>
          <w:szCs w:val="21"/>
        </w:rPr>
        <w:t>（招标代理公司）</w:t>
      </w:r>
      <w:r>
        <w:rPr>
          <w:rFonts w:asciiTheme="minorEastAsia" w:hAnsiTheme="minorEastAsia" w:eastAsiaTheme="minorEastAsia"/>
          <w:szCs w:val="21"/>
        </w:rPr>
        <w:t>：是指从事采购代理业务的社会中介机构。本项目的采购代理机构见</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asciiTheme="minorEastAsia" w:hAnsiTheme="minorEastAsia" w:eastAsiaTheme="minorEastAsia"/>
          <w:szCs w:val="21"/>
        </w:rPr>
        <w:t>3.3政府采购监督管理部门：</w:t>
      </w:r>
      <w:r>
        <w:rPr>
          <w:rFonts w:hint="eastAsia" w:asciiTheme="minorEastAsia" w:hAnsiTheme="minorEastAsia" w:eastAsiaTheme="minorEastAsia"/>
          <w:szCs w:val="21"/>
        </w:rPr>
        <w:t>各级人民政府指定的有关部门依法履行与政府采购活动有关的监督管理职责。本项目的政府采购监督管理部门见《</w:t>
      </w:r>
      <w:r>
        <w:rPr>
          <w:rFonts w:hint="eastAsia" w:asciiTheme="minorEastAsia" w:hAnsiTheme="minorEastAsia" w:eastAsiaTheme="minorEastAsia"/>
          <w:szCs w:val="21"/>
          <w:u w:val="single"/>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.4投标人</w:t>
      </w:r>
      <w:r>
        <w:rPr>
          <w:rFonts w:hint="eastAsia" w:asciiTheme="minorEastAsia" w:hAnsiTheme="minorEastAsia" w:eastAsiaTheme="minorEastAsia"/>
          <w:szCs w:val="21"/>
        </w:rPr>
        <w:t>（投标供应商、供应商）</w:t>
      </w:r>
      <w:r>
        <w:rPr>
          <w:rFonts w:asciiTheme="minorEastAsia" w:hAnsiTheme="minorEastAsia" w:eastAsiaTheme="minorEastAsia"/>
          <w:szCs w:val="21"/>
        </w:rPr>
        <w:t>：是指向采购人提供</w:t>
      </w:r>
      <w:r>
        <w:rPr>
          <w:rFonts w:hint="eastAsia" w:asciiTheme="minorEastAsia" w:hAnsiTheme="minorEastAsia" w:eastAsiaTheme="minorEastAsia"/>
          <w:szCs w:val="21"/>
        </w:rPr>
        <w:t>本项目服务</w:t>
      </w:r>
      <w:r>
        <w:rPr>
          <w:rFonts w:asciiTheme="minorEastAsia" w:hAnsiTheme="minorEastAsia" w:eastAsiaTheme="minorEastAsia"/>
          <w:szCs w:val="21"/>
        </w:rPr>
        <w:t>的法人、非法人组织</w:t>
      </w:r>
      <w:r>
        <w:rPr>
          <w:rFonts w:hint="eastAsia" w:asciiTheme="minorEastAsia" w:hAnsiTheme="minorEastAsia" w:eastAsiaTheme="minorEastAsia"/>
          <w:szCs w:val="21"/>
        </w:rPr>
        <w:t>，</w:t>
      </w:r>
      <w:r>
        <w:rPr>
          <w:rFonts w:asciiTheme="minorEastAsia" w:hAnsiTheme="minorEastAsia" w:eastAsiaTheme="minorEastAsia"/>
          <w:szCs w:val="21"/>
        </w:rPr>
        <w:t>须满足</w:t>
      </w:r>
      <w:r>
        <w:rPr>
          <w:rFonts w:hint="eastAsia" w:asciiTheme="minorEastAsia" w:hAnsiTheme="minorEastAsia" w:eastAsiaTheme="minorEastAsia"/>
          <w:szCs w:val="21"/>
        </w:rPr>
        <w:t>招标公告（投标邀请）中</w:t>
      </w:r>
      <w:r>
        <w:rPr>
          <w:rFonts w:asciiTheme="minorEastAsia" w:hAnsiTheme="minorEastAsia" w:eastAsiaTheme="minorEastAsia"/>
          <w:szCs w:val="21"/>
        </w:rPr>
        <w:t>关于</w:t>
      </w:r>
      <w:r>
        <w:rPr>
          <w:rFonts w:hint="eastAsia" w:asciiTheme="minorEastAsia" w:hAnsiTheme="minorEastAsia" w:eastAsiaTheme="minorEastAsia"/>
          <w:szCs w:val="21"/>
        </w:rPr>
        <w:t>申请人的资格要求</w:t>
      </w:r>
      <w:r>
        <w:rPr>
          <w:rFonts w:asciiTheme="minorEastAsia" w:hAnsiTheme="minorEastAsia" w:eastAsiaTheme="minorEastAsia"/>
          <w:szCs w:val="21"/>
        </w:rPr>
        <w:t>的规定。</w:t>
      </w:r>
    </w:p>
    <w:p>
      <w:pPr>
        <w:spacing w:line="360" w:lineRule="auto"/>
        <w:ind w:firstLine="435"/>
        <w:rPr>
          <w:rFonts w:asciiTheme="minorEastAsia" w:hAnsiTheme="minorEastAsia" w:eastAsiaTheme="minorEastAsia"/>
          <w:szCs w:val="21"/>
        </w:rPr>
      </w:pPr>
      <w:bookmarkStart w:id="36" w:name="_Hlk60580614"/>
      <w:r>
        <w:rPr>
          <w:rFonts w:asciiTheme="minorEastAsia" w:hAnsiTheme="minorEastAsia" w:eastAsiaTheme="minorEastAsia"/>
          <w:szCs w:val="21"/>
        </w:rPr>
        <w:t>若</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中</w:t>
      </w:r>
      <w:r>
        <w:rPr>
          <w:rFonts w:hint="eastAsia" w:asciiTheme="minorEastAsia" w:hAnsiTheme="minorEastAsia" w:eastAsiaTheme="minorEastAsia"/>
          <w:szCs w:val="21"/>
        </w:rPr>
        <w:t>明确本项目</w:t>
      </w:r>
      <w:r>
        <w:rPr>
          <w:rFonts w:asciiTheme="minorEastAsia" w:hAnsiTheme="minorEastAsia" w:eastAsiaTheme="minorEastAsia"/>
          <w:szCs w:val="21"/>
        </w:rPr>
        <w:t>专门面向中小企业采购，</w:t>
      </w:r>
      <w:r>
        <w:rPr>
          <w:rFonts w:hint="eastAsia" w:asciiTheme="minorEastAsia" w:hAnsiTheme="minorEastAsia" w:eastAsiaTheme="minorEastAsia"/>
          <w:szCs w:val="21"/>
        </w:rPr>
        <w:t>如投标人非中小企业的</w:t>
      </w:r>
      <w:r>
        <w:rPr>
          <w:rFonts w:asciiTheme="minorEastAsia" w:hAnsiTheme="minorEastAsia" w:eastAsiaTheme="minorEastAsia"/>
          <w:szCs w:val="21"/>
        </w:rPr>
        <w:t>，其投标将被认定为</w:t>
      </w:r>
      <w:r>
        <w:rPr>
          <w:rFonts w:asciiTheme="minorEastAsia" w:hAnsiTheme="minorEastAsia" w:eastAsiaTheme="minorEastAsia"/>
          <w:b/>
          <w:szCs w:val="21"/>
        </w:rPr>
        <w:t>投标无效</w:t>
      </w:r>
      <w:r>
        <w:rPr>
          <w:rFonts w:asciiTheme="minorEastAsia" w:hAnsiTheme="minorEastAsia" w:eastAsiaTheme="minorEastAsia"/>
          <w:szCs w:val="21"/>
        </w:rPr>
        <w:t>。</w:t>
      </w:r>
    </w:p>
    <w:bookmarkEnd w:id="36"/>
    <w:p>
      <w:pPr>
        <w:spacing w:line="360" w:lineRule="auto"/>
        <w:ind w:firstLine="435"/>
        <w:rPr>
          <w:rFonts w:asciiTheme="minorEastAsia" w:hAnsiTheme="minorEastAsia" w:eastAsiaTheme="minorEastAsia"/>
          <w:bCs/>
          <w:kern w:val="0"/>
          <w:szCs w:val="21"/>
        </w:rPr>
      </w:pPr>
      <w:bookmarkStart w:id="37" w:name="_Hlk60580861"/>
      <w:r>
        <w:rPr>
          <w:rFonts w:hint="eastAsia" w:asciiTheme="minorEastAsia" w:hAnsiTheme="minorEastAsia" w:eastAsiaTheme="minorEastAsia"/>
          <w:bCs/>
          <w:kern w:val="0"/>
          <w:szCs w:val="21"/>
        </w:rPr>
        <w:t>3</w:t>
      </w:r>
      <w:r>
        <w:rPr>
          <w:rFonts w:asciiTheme="minorEastAsia" w:hAnsiTheme="minorEastAsia" w:eastAsiaTheme="minorEastAsia"/>
          <w:bCs/>
          <w:kern w:val="0"/>
          <w:szCs w:val="21"/>
        </w:rPr>
        <w:t>.5</w:t>
      </w:r>
      <w:r>
        <w:rPr>
          <w:rFonts w:hint="eastAsia" w:asciiTheme="minorEastAsia" w:hAnsiTheme="minorEastAsia" w:eastAsiaTheme="minorEastAsia"/>
          <w:bCs/>
          <w:kern w:val="0"/>
          <w:szCs w:val="21"/>
        </w:rPr>
        <w:t>若招标公告（投标邀请）</w:t>
      </w:r>
      <w:r>
        <w:rPr>
          <w:rFonts w:asciiTheme="minorEastAsia" w:hAnsiTheme="minorEastAsia" w:eastAsiaTheme="minorEastAsia"/>
          <w:bCs/>
          <w:kern w:val="0"/>
          <w:szCs w:val="21"/>
        </w:rPr>
        <w:t>中允许联合体投标，对联合体规定如下：</w:t>
      </w:r>
    </w:p>
    <w:bookmarkEnd w:id="37"/>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两个以上供应商可以组成一个投标联合体，</w:t>
      </w:r>
      <w:r>
        <w:rPr>
          <w:rFonts w:hint="eastAsia" w:asciiTheme="minorEastAsia" w:hAnsiTheme="minorEastAsia" w:eastAsiaTheme="minorEastAsia"/>
          <w:szCs w:val="21"/>
        </w:rPr>
        <w:t>以一个投标人的身份共同参加政府采购</w:t>
      </w:r>
      <w:r>
        <w:rPr>
          <w:rFonts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联合体各方均应符合《中华人民共和国政府采购法》第二十二条规定的条件。</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联合体各方应签订</w:t>
      </w:r>
      <w:r>
        <w:rPr>
          <w:rFonts w:hint="eastAsia" w:asciiTheme="minorEastAsia" w:hAnsiTheme="minorEastAsia" w:eastAsiaTheme="minorEastAsia"/>
          <w:szCs w:val="21"/>
        </w:rPr>
        <w:t>联合协议</w:t>
      </w:r>
      <w:r>
        <w:rPr>
          <w:rFonts w:asciiTheme="minorEastAsia" w:hAnsiTheme="minorEastAsia" w:eastAsiaTheme="minorEastAsia"/>
          <w:szCs w:val="21"/>
        </w:rPr>
        <w:t>，明确约定联合体各方承担的工作和相应的责任，并将</w:t>
      </w:r>
      <w:r>
        <w:rPr>
          <w:rFonts w:hint="eastAsia" w:asciiTheme="minorEastAsia" w:hAnsiTheme="minorEastAsia" w:eastAsiaTheme="minorEastAsia"/>
          <w:szCs w:val="21"/>
        </w:rPr>
        <w:t>联合协议</w:t>
      </w:r>
      <w:r>
        <w:rPr>
          <w:rFonts w:asciiTheme="minorEastAsia" w:hAnsiTheme="minorEastAsia" w:eastAsiaTheme="minorEastAsia"/>
          <w:szCs w:val="21"/>
        </w:rPr>
        <w:t>作为投标文件</w:t>
      </w:r>
      <w:r>
        <w:rPr>
          <w:rFonts w:hint="eastAsia" w:asciiTheme="minorEastAsia" w:hAnsiTheme="minorEastAsia" w:eastAsiaTheme="minorEastAsia"/>
          <w:szCs w:val="21"/>
        </w:rPr>
        <w:t>的组成</w:t>
      </w:r>
      <w:r>
        <w:rPr>
          <w:rFonts w:asciiTheme="minorEastAsia" w:hAnsiTheme="minorEastAsia" w:eastAsiaTheme="minorEastAsia"/>
          <w:szCs w:val="21"/>
        </w:rPr>
        <w:t>提交。</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（4）联合体中有同类资质的供应商按照联合体分工承担相同工作的，</w:t>
      </w:r>
      <w:r>
        <w:rPr>
          <w:rFonts w:asciiTheme="minorEastAsia" w:hAnsiTheme="minorEastAsia" w:eastAsiaTheme="minorEastAsia"/>
          <w:szCs w:val="21"/>
        </w:rPr>
        <w:t>按照</w:t>
      </w:r>
      <w:r>
        <w:rPr>
          <w:rFonts w:hint="eastAsia" w:asciiTheme="minorEastAsia" w:hAnsiTheme="minorEastAsia" w:eastAsiaTheme="minorEastAsia"/>
          <w:szCs w:val="21"/>
        </w:rPr>
        <w:t>资质等级较低的供应商确定资质等级。</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以联合体形式参加政府采购活动的，联合体各方不得再单独参加或者与其他供应商另外组成联合体参加本项目投标，否则相关投标</w:t>
      </w:r>
      <w:r>
        <w:rPr>
          <w:rFonts w:hint="eastAsia" w:asciiTheme="minorEastAsia" w:hAnsiTheme="minorEastAsia" w:eastAsiaTheme="minorEastAsia"/>
          <w:szCs w:val="21"/>
        </w:rPr>
        <w:t>均</w:t>
      </w:r>
      <w:r>
        <w:rPr>
          <w:rFonts w:asciiTheme="minorEastAsia" w:hAnsiTheme="minorEastAsia" w:eastAsiaTheme="minorEastAsia"/>
          <w:szCs w:val="21"/>
        </w:rPr>
        <w:t>将被认定为</w:t>
      </w:r>
      <w:r>
        <w:rPr>
          <w:rFonts w:asciiTheme="minorEastAsia" w:hAnsiTheme="minorEastAsia" w:eastAsiaTheme="minorEastAsia"/>
          <w:b/>
          <w:szCs w:val="21"/>
        </w:rPr>
        <w:t>投标无效</w:t>
      </w:r>
      <w:r>
        <w:rPr>
          <w:rFonts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对联合体投标的其他资格要求见</w:t>
      </w:r>
      <w:r>
        <w:rPr>
          <w:rFonts w:hint="eastAsia" w:asciiTheme="minorEastAsia" w:hAnsiTheme="minorEastAsia" w:eastAsiaTheme="minorEastAsia"/>
          <w:bCs/>
          <w:kern w:val="0"/>
          <w:szCs w:val="21"/>
          <w:u w:val="single"/>
        </w:rPr>
        <w:t>招标公告（投标邀请）</w:t>
      </w:r>
      <w:r>
        <w:rPr>
          <w:rFonts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.6单位负责人为同一人或者存在直接控股、管理关系的不同供应商，</w:t>
      </w:r>
      <w:r>
        <w:rPr>
          <w:rFonts w:hint="eastAsia" w:asciiTheme="minorEastAsia" w:hAnsiTheme="minorEastAsia" w:eastAsiaTheme="minorEastAsia"/>
          <w:szCs w:val="21"/>
        </w:rPr>
        <w:t>不得参加同一合同项下的政府采购活动。否则其投标将被认定为</w:t>
      </w:r>
      <w:r>
        <w:rPr>
          <w:rFonts w:hint="eastAsia" w:asciiTheme="minorEastAsia" w:hAnsiTheme="minorEastAsia" w:eastAsiaTheme="minorEastAsia"/>
          <w:b/>
          <w:bCs/>
          <w:szCs w:val="21"/>
        </w:rPr>
        <w:t>投标无效</w:t>
      </w:r>
      <w:r>
        <w:rPr>
          <w:rFonts w:hint="eastAsia"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.7为本项目提供过整体设计、规范编制或者项目管理、监理、检测等服务的供应商，不得再参加本项目的采购活动。</w:t>
      </w:r>
      <w:bookmarkStart w:id="38" w:name="_Hlk13431092"/>
      <w:r>
        <w:rPr>
          <w:rFonts w:asciiTheme="minorEastAsia" w:hAnsiTheme="minorEastAsia" w:eastAsiaTheme="minorEastAsia"/>
          <w:szCs w:val="21"/>
        </w:rPr>
        <w:t>否则其投标将被认定为</w:t>
      </w:r>
      <w:r>
        <w:rPr>
          <w:rFonts w:asciiTheme="minorEastAsia" w:hAnsiTheme="minorEastAsia" w:eastAsiaTheme="minorEastAsia"/>
          <w:b/>
          <w:szCs w:val="21"/>
        </w:rPr>
        <w:t>投标无效</w:t>
      </w:r>
      <w:r>
        <w:rPr>
          <w:rFonts w:asciiTheme="minorEastAsia" w:hAnsiTheme="minorEastAsia" w:eastAsiaTheme="minorEastAsia"/>
          <w:szCs w:val="21"/>
        </w:rPr>
        <w:t>。</w:t>
      </w:r>
      <w:bookmarkEnd w:id="38"/>
    </w:p>
    <w:p>
      <w:pPr>
        <w:spacing w:line="360" w:lineRule="auto"/>
        <w:ind w:firstLine="435"/>
        <w:rPr>
          <w:rFonts w:asciiTheme="minorEastAsia" w:hAnsiTheme="minorEastAsia" w:eastAsiaTheme="minorEastAsia"/>
          <w:b/>
          <w:szCs w:val="21"/>
        </w:rPr>
      </w:pPr>
      <w:r>
        <w:rPr>
          <w:rFonts w:hint="eastAsia" w:asciiTheme="minorEastAsia" w:hAnsiTheme="minorEastAsia" w:eastAsiaTheme="minorEastAsia"/>
          <w:b/>
          <w:szCs w:val="21"/>
        </w:rPr>
        <w:t>4</w:t>
      </w:r>
      <w:r>
        <w:rPr>
          <w:rFonts w:asciiTheme="minorEastAsia" w:hAnsiTheme="minorEastAsia" w:eastAsiaTheme="minorEastAsia"/>
          <w:b/>
          <w:szCs w:val="21"/>
        </w:rPr>
        <w:t>.</w:t>
      </w:r>
      <w:r>
        <w:rPr>
          <w:rFonts w:hint="eastAsia" w:asciiTheme="minorEastAsia" w:hAnsiTheme="minorEastAsia" w:eastAsiaTheme="minorEastAsia"/>
          <w:b/>
          <w:szCs w:val="21"/>
        </w:rPr>
        <w:t>资金来源</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.1</w:t>
      </w:r>
      <w:r>
        <w:rPr>
          <w:rFonts w:hint="eastAsia" w:asciiTheme="minorEastAsia" w:hAnsiTheme="minorEastAsia" w:eastAsiaTheme="minorEastAsia"/>
          <w:szCs w:val="21"/>
        </w:rPr>
        <w:t>本项目的采购人已获得足以支付本次招标后所签订的合同项下的资金。</w:t>
      </w:r>
    </w:p>
    <w:p>
      <w:pPr>
        <w:spacing w:line="360" w:lineRule="auto"/>
        <w:ind w:firstLine="435"/>
        <w:rPr>
          <w:rFonts w:asciiTheme="minorEastAsia" w:hAnsiTheme="minorEastAsia" w:eastAsiaTheme="minorEastAsia"/>
          <w:szCs w:val="21"/>
        </w:rPr>
      </w:pPr>
      <w:bookmarkStart w:id="39" w:name="_Hlk11702998"/>
      <w:r>
        <w:rPr>
          <w:rFonts w:hint="eastAsia" w:asciiTheme="minorEastAsia" w:hAnsiTheme="minorEastAsia" w:eastAsiaTheme="minorEastAsia"/>
          <w:szCs w:val="21"/>
        </w:rPr>
        <w:t>4.2项目预算金额和分项（或分包）最高限价见</w:t>
      </w:r>
      <w:r>
        <w:rPr>
          <w:rFonts w:hint="eastAsia" w:asciiTheme="minorEastAsia" w:hAnsiTheme="minorEastAsia" w:eastAsiaTheme="minorEastAsia"/>
          <w:szCs w:val="21"/>
          <w:u w:val="single"/>
        </w:rPr>
        <w:t>投标邀请</w:t>
      </w:r>
      <w:r>
        <w:rPr>
          <w:rFonts w:hint="eastAsia" w:asciiTheme="minorEastAsia" w:hAnsiTheme="minorEastAsia" w:eastAsiaTheme="minorEastAsia"/>
          <w:szCs w:val="21"/>
        </w:rPr>
        <w:t>。</w:t>
      </w:r>
    </w:p>
    <w:bookmarkEnd w:id="39"/>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5.投标委托</w:t>
      </w:r>
    </w:p>
    <w:p>
      <w:pPr>
        <w:pStyle w:val="290"/>
        <w:widowControl w:val="0"/>
        <w:spacing w:afterLines="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投标文件的签署人应当为投标人的法定代表人，并在投标文件中提供法定代表人身份证正反面复印件。如投标人的法定代表人委托他人签署投标文件办理投标事务的，投标文件中必须提供投标人的</w:t>
      </w:r>
      <w:r>
        <w:rPr>
          <w:rFonts w:asciiTheme="minorEastAsia" w:hAnsiTheme="minorEastAsia" w:eastAsiaTheme="minorEastAsia"/>
          <w:sz w:val="21"/>
          <w:szCs w:val="21"/>
        </w:rPr>
        <w:t>法定代表人出具的授权委托书</w:t>
      </w:r>
      <w:r>
        <w:rPr>
          <w:rFonts w:hint="eastAsia" w:asciiTheme="minorEastAsia" w:hAnsiTheme="minorEastAsia" w:eastAsiaTheme="minorEastAsia"/>
          <w:sz w:val="21"/>
          <w:szCs w:val="21"/>
        </w:rPr>
        <w:t>及授权代表的身份证正反面复印件</w:t>
      </w:r>
      <w:r>
        <w:rPr>
          <w:rFonts w:asciiTheme="minorEastAsia" w:hAnsiTheme="minorEastAsia" w:eastAsiaTheme="minorEastAsia"/>
          <w:sz w:val="21"/>
          <w:szCs w:val="21"/>
        </w:rPr>
        <w:t>。</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6.投标费用</w:t>
      </w:r>
    </w:p>
    <w:p>
      <w:pPr>
        <w:pStyle w:val="290"/>
        <w:widowControl w:val="0"/>
        <w:spacing w:afterLines="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不论投标的结果如何，投标人自行承担所有与准备和参加投标有关的费用。</w:t>
      </w:r>
    </w:p>
    <w:p>
      <w:pPr>
        <w:spacing w:line="360" w:lineRule="auto"/>
        <w:ind w:firstLine="437"/>
        <w:outlineLvl w:val="3"/>
        <w:rPr>
          <w:rFonts w:asciiTheme="minorEastAsia" w:hAnsiTheme="minorEastAsia" w:eastAsiaTheme="minorEastAsia"/>
          <w:b/>
          <w:szCs w:val="21"/>
        </w:rPr>
      </w:pPr>
      <w:r>
        <w:rPr>
          <w:rFonts w:hint="eastAsia" w:asciiTheme="minorEastAsia" w:hAnsiTheme="minorEastAsia" w:eastAsiaTheme="minorEastAsia"/>
          <w:b/>
          <w:szCs w:val="21"/>
        </w:rPr>
        <w:t>7</w:t>
      </w:r>
      <w:r>
        <w:rPr>
          <w:rFonts w:asciiTheme="minorEastAsia" w:hAnsiTheme="minorEastAsia" w:eastAsiaTheme="minorEastAsia"/>
          <w:b/>
          <w:szCs w:val="21"/>
        </w:rPr>
        <w:t>.</w:t>
      </w:r>
      <w:r>
        <w:rPr>
          <w:rFonts w:hint="eastAsia" w:asciiTheme="minorEastAsia" w:hAnsiTheme="minorEastAsia" w:eastAsiaTheme="minorEastAsia"/>
          <w:b/>
          <w:szCs w:val="21"/>
        </w:rPr>
        <w:t>适用法律</w:t>
      </w:r>
    </w:p>
    <w:p>
      <w:pPr>
        <w:pStyle w:val="290"/>
        <w:widowControl w:val="0"/>
        <w:spacing w:afterLines="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本项目采购人、采购代理机构、投标人、评标委员会的相关行为均受《中华人民共和国政府采购法》《中华人民共和国政府采购法实施条例》《政府采购货物和服务招标投标管理办法》等政府采购法律法规的约束，其权利亦受到上述法律法规的保护。</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8.知识产权</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投标人应保证在本项目使用的任何产品（包括部分使用），不会产生因第三方提出侵犯其</w:t>
      </w:r>
      <w:r>
        <w:rPr>
          <w:rFonts w:hint="eastAsia" w:asciiTheme="minorEastAsia" w:hAnsiTheme="minorEastAsia" w:eastAsiaTheme="minorEastAsia"/>
          <w:sz w:val="21"/>
          <w:szCs w:val="21"/>
        </w:rPr>
        <w:t>著作权、</w:t>
      </w:r>
      <w:r>
        <w:rPr>
          <w:rFonts w:asciiTheme="minorEastAsia" w:hAnsiTheme="minorEastAsia" w:eastAsiaTheme="minorEastAsia"/>
          <w:sz w:val="21"/>
          <w:szCs w:val="21"/>
        </w:rPr>
        <w:t>专利权、商标权</w:t>
      </w:r>
      <w:r>
        <w:rPr>
          <w:rFonts w:hint="eastAsia" w:asciiTheme="minorEastAsia" w:hAnsiTheme="minorEastAsia" w:eastAsiaTheme="minorEastAsia"/>
          <w:sz w:val="21"/>
          <w:szCs w:val="21"/>
        </w:rPr>
        <w:t>等</w:t>
      </w:r>
      <w:r>
        <w:rPr>
          <w:rFonts w:asciiTheme="minorEastAsia" w:hAnsiTheme="minorEastAsia" w:eastAsiaTheme="minorEastAsia"/>
          <w:sz w:val="21"/>
          <w:szCs w:val="21"/>
        </w:rPr>
        <w:t>知识产权而引起</w:t>
      </w:r>
      <w:r>
        <w:rPr>
          <w:rFonts w:hint="eastAsia" w:asciiTheme="minorEastAsia" w:hAnsiTheme="minorEastAsia" w:eastAsiaTheme="minorEastAsia"/>
          <w:sz w:val="21"/>
          <w:szCs w:val="21"/>
        </w:rPr>
        <w:t>法律或经济纠纷。</w:t>
      </w:r>
      <w:r>
        <w:rPr>
          <w:rFonts w:asciiTheme="minorEastAsia" w:hAnsiTheme="minorEastAsia" w:eastAsiaTheme="minorEastAsia"/>
          <w:sz w:val="21"/>
          <w:szCs w:val="21"/>
        </w:rPr>
        <w:t>如果任何第三方提出侵权</w:t>
      </w:r>
      <w:r>
        <w:rPr>
          <w:rFonts w:hint="eastAsia" w:asciiTheme="minorEastAsia" w:hAnsiTheme="minorEastAsia" w:eastAsiaTheme="minorEastAsia"/>
          <w:sz w:val="21"/>
          <w:szCs w:val="21"/>
        </w:rPr>
        <w:t>指控，由投标人</w:t>
      </w:r>
      <w:r>
        <w:rPr>
          <w:rFonts w:asciiTheme="minorEastAsia" w:hAnsiTheme="minorEastAsia" w:eastAsiaTheme="minorEastAsia"/>
          <w:sz w:val="21"/>
          <w:szCs w:val="21"/>
        </w:rPr>
        <w:t>与该第三方交涉并承担由此发生的一切责任、费用和赔偿</w:t>
      </w:r>
      <w:r>
        <w:rPr>
          <w:rFonts w:hint="eastAsia" w:asciiTheme="minorEastAsia" w:hAnsiTheme="minorEastAsia" w:eastAsiaTheme="minorEastAsia"/>
          <w:sz w:val="21"/>
          <w:szCs w:val="21"/>
        </w:rPr>
        <w:t>。</w:t>
      </w:r>
    </w:p>
    <w:p>
      <w:pPr>
        <w:pStyle w:val="24"/>
        <w:snapToGrid w:val="0"/>
        <w:spacing w:beforeLines="0" w:afterLines="0"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sz w:val="21"/>
          <w:szCs w:val="21"/>
        </w:rPr>
        <w:t>投标人如采用自身所不拥有的知识产权，无论投标人是否在投标报价中单独列明，采购人均视为投标人的投标报价已包含投</w:t>
      </w:r>
      <w:r>
        <w:rPr>
          <w:rFonts w:hint="eastAsia" w:asciiTheme="minorEastAsia" w:hAnsiTheme="minorEastAsia" w:eastAsiaTheme="minorEastAsia"/>
          <w:color w:val="auto"/>
          <w:sz w:val="21"/>
          <w:szCs w:val="21"/>
        </w:rPr>
        <w:t>标人合法获取该知识产权的相关费用。</w:t>
      </w:r>
    </w:p>
    <w:p>
      <w:pPr>
        <w:spacing w:line="360" w:lineRule="auto"/>
        <w:ind w:firstLine="422" w:firstLineChars="200"/>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9.转包</w:t>
      </w:r>
    </w:p>
    <w:p>
      <w:pPr>
        <w:snapToGrid w:val="0"/>
        <w:spacing w:line="360" w:lineRule="auto"/>
        <w:ind w:firstLine="420" w:firstLineChars="200"/>
        <w:jc w:val="left"/>
        <w:rPr>
          <w:rFonts w:cs="Arial" w:asciiTheme="minorEastAsia" w:hAnsiTheme="minorEastAsia" w:eastAsiaTheme="minorEastAsia"/>
          <w:color w:val="auto"/>
          <w:szCs w:val="21"/>
        </w:rPr>
      </w:pPr>
      <w:r>
        <w:rPr>
          <w:rFonts w:cs="Arial" w:asciiTheme="minorEastAsia" w:hAnsiTheme="minorEastAsia" w:eastAsiaTheme="minorEastAsia"/>
          <w:color w:val="auto"/>
          <w:szCs w:val="21"/>
        </w:rPr>
        <w:t>本项目不允许转包</w:t>
      </w:r>
      <w:r>
        <w:rPr>
          <w:rFonts w:hint="eastAsia" w:cs="Arial" w:asciiTheme="minorEastAsia" w:hAnsiTheme="minorEastAsia" w:eastAsiaTheme="minorEastAsia"/>
          <w:color w:val="auto"/>
          <w:szCs w:val="21"/>
        </w:rPr>
        <w:t>。</w:t>
      </w:r>
    </w:p>
    <w:p>
      <w:pPr>
        <w:spacing w:line="360" w:lineRule="auto"/>
        <w:ind w:firstLine="422" w:firstLineChars="20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10.分包</w:t>
      </w:r>
    </w:p>
    <w:p>
      <w:pPr>
        <w:snapToGrid w:val="0"/>
        <w:spacing w:line="360" w:lineRule="auto"/>
        <w:ind w:firstLine="420" w:firstLineChars="200"/>
        <w:jc w:val="left"/>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本项目经采购人同意后，非关键、非主体工作内容允许分包。</w:t>
      </w:r>
    </w:p>
    <w:p>
      <w:pPr>
        <w:tabs>
          <w:tab w:val="left" w:pos="426"/>
        </w:tabs>
        <w:snapToGrid w:val="0"/>
        <w:spacing w:line="360" w:lineRule="auto"/>
        <w:ind w:firstLine="422" w:firstLineChars="200"/>
        <w:rPr>
          <w:rFonts w:cs="宋体" w:asciiTheme="minorEastAsia" w:hAnsiTheme="minorEastAsia" w:eastAsiaTheme="minorEastAsia"/>
          <w:b/>
          <w:color w:val="auto"/>
          <w:kern w:val="0"/>
          <w:szCs w:val="21"/>
        </w:rPr>
      </w:pPr>
      <w:r>
        <w:rPr>
          <w:rFonts w:hint="eastAsia" w:cs="宋体" w:asciiTheme="minorEastAsia" w:hAnsiTheme="minorEastAsia" w:eastAsiaTheme="minorEastAsia"/>
          <w:b/>
          <w:color w:val="auto"/>
          <w:kern w:val="0"/>
          <w:szCs w:val="21"/>
        </w:rPr>
        <w:t>11.</w:t>
      </w:r>
      <w:r>
        <w:rPr>
          <w:rFonts w:cs="宋体" w:asciiTheme="minorEastAsia" w:hAnsiTheme="minorEastAsia" w:eastAsiaTheme="minorEastAsia"/>
          <w:b/>
          <w:color w:val="auto"/>
          <w:kern w:val="0"/>
          <w:szCs w:val="21"/>
        </w:rPr>
        <w:t>质疑和投诉</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color w:val="auto"/>
          <w:szCs w:val="21"/>
        </w:rPr>
        <w:t>11.1投标人认为招标文件、招标过程和中标结果使自己的权益受到损害的，可以在知道或者应知其权益受到损害之日起七个工作日内，以书面形式向采购人</w:t>
      </w:r>
      <w:r>
        <w:rPr>
          <w:rFonts w:hint="eastAsia" w:cs="Arial" w:asciiTheme="minorEastAsia" w:hAnsiTheme="minorEastAsia" w:eastAsiaTheme="minorEastAsia"/>
          <w:szCs w:val="21"/>
        </w:rPr>
        <w:t>或其委托的采购代理机构提出质疑。</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11.2投标人应在法定质疑期内一次性提出针对同一采购程序环节的质疑。</w:t>
      </w:r>
    </w:p>
    <w:p>
      <w:pPr>
        <w:snapToGrid w:val="0"/>
        <w:spacing w:line="360" w:lineRule="auto"/>
        <w:ind w:firstLine="420" w:firstLineChars="200"/>
        <w:jc w:val="left"/>
        <w:rPr>
          <w:rFonts w:asciiTheme="minorEastAsia" w:hAnsiTheme="minorEastAsia" w:eastAsiaTheme="minorEastAsia"/>
          <w:szCs w:val="21"/>
        </w:rPr>
      </w:pPr>
      <w:r>
        <w:rPr>
          <w:rFonts w:hint="eastAsia" w:cs="Arial" w:asciiTheme="minorEastAsia" w:hAnsiTheme="minorEastAsia" w:eastAsiaTheme="minorEastAsia"/>
          <w:szCs w:val="21"/>
        </w:rPr>
        <w:t>11</w:t>
      </w:r>
      <w:r>
        <w:rPr>
          <w:rFonts w:hint="eastAsia" w:asciiTheme="minorEastAsia" w:hAnsiTheme="minorEastAsia" w:eastAsiaTheme="minorEastAsia"/>
          <w:szCs w:val="21"/>
        </w:rPr>
        <w:t>.3采购代理机构质疑函接收部门、联系电话和通讯地址：见《投标人须知前附表》。</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11.4质疑投标人对采购人或采购代理机构的答复不满意或者采购人或采购代理机构未在规定的时间内作出答复的，可以在答复期满后十五个工作日内向同级政府采购监督管理部门投诉。</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11.5</w:t>
      </w:r>
      <w:r>
        <w:rPr>
          <w:rFonts w:cs="Arial" w:asciiTheme="minorEastAsia" w:hAnsiTheme="minorEastAsia" w:eastAsiaTheme="minorEastAsia"/>
          <w:szCs w:val="21"/>
        </w:rPr>
        <w:t>质疑、投诉</w:t>
      </w:r>
      <w:r>
        <w:rPr>
          <w:rFonts w:hint="eastAsia" w:cs="Arial" w:asciiTheme="minorEastAsia" w:hAnsiTheme="minorEastAsia" w:eastAsiaTheme="minorEastAsia"/>
          <w:szCs w:val="21"/>
        </w:rPr>
        <w:t>均须</w:t>
      </w:r>
      <w:r>
        <w:rPr>
          <w:rFonts w:cs="Arial" w:asciiTheme="minorEastAsia" w:hAnsiTheme="minorEastAsia" w:eastAsiaTheme="minorEastAsia"/>
          <w:szCs w:val="21"/>
        </w:rPr>
        <w:t>采用书面形式，质疑、投诉</w:t>
      </w:r>
      <w:r>
        <w:rPr>
          <w:rFonts w:hint="eastAsia" w:cs="Arial" w:asciiTheme="minorEastAsia" w:hAnsiTheme="minorEastAsia" w:eastAsiaTheme="minorEastAsia"/>
          <w:szCs w:val="21"/>
        </w:rPr>
        <w:t>资料</w:t>
      </w:r>
      <w:r>
        <w:rPr>
          <w:rFonts w:cs="Arial" w:asciiTheme="minorEastAsia" w:hAnsiTheme="minorEastAsia" w:eastAsiaTheme="minorEastAsia"/>
          <w:szCs w:val="21"/>
        </w:rPr>
        <w:t>均应明确阐述</w:t>
      </w:r>
      <w:r>
        <w:rPr>
          <w:rFonts w:hint="eastAsia" w:cs="Arial" w:asciiTheme="minorEastAsia" w:hAnsiTheme="minorEastAsia" w:eastAsiaTheme="minorEastAsia"/>
          <w:szCs w:val="21"/>
        </w:rPr>
        <w:t>自身</w:t>
      </w:r>
      <w:r>
        <w:rPr>
          <w:rFonts w:cs="Arial" w:asciiTheme="minorEastAsia" w:hAnsiTheme="minorEastAsia" w:eastAsiaTheme="minorEastAsia"/>
          <w:szCs w:val="21"/>
        </w:rPr>
        <w:t>合法权益受到损害的实质性内容，提供相关事实、依据和证据及其来源或线索，便于调查、答复和处理</w:t>
      </w:r>
      <w:r>
        <w:rPr>
          <w:rFonts w:hint="eastAsia" w:cs="Arial" w:asciiTheme="minorEastAsia" w:hAnsiTheme="minorEastAsia" w:eastAsiaTheme="minorEastAsia"/>
          <w:szCs w:val="21"/>
        </w:rPr>
        <w:t>，</w:t>
      </w:r>
      <w:r>
        <w:rPr>
          <w:rFonts w:cs="Arial" w:asciiTheme="minorEastAsia" w:hAnsiTheme="minorEastAsia" w:eastAsiaTheme="minorEastAsia"/>
          <w:szCs w:val="21"/>
        </w:rPr>
        <w:t>质疑、投诉</w:t>
      </w:r>
      <w:r>
        <w:rPr>
          <w:rFonts w:hint="eastAsia" w:cs="Arial" w:asciiTheme="minorEastAsia" w:hAnsiTheme="minorEastAsia" w:eastAsiaTheme="minorEastAsia"/>
          <w:szCs w:val="21"/>
        </w:rPr>
        <w:t>文件具体格式要求详见《第七章  政府采购供应商质疑函及投诉书格式》。</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12.信用记录查询及使用</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12.1</w:t>
      </w:r>
      <w:r>
        <w:rPr>
          <w:rFonts w:asciiTheme="minorEastAsia" w:hAnsiTheme="minorEastAsia" w:eastAsiaTheme="minorEastAsia"/>
          <w:sz w:val="21"/>
          <w:szCs w:val="21"/>
        </w:rPr>
        <w:t>投标人信用信息查询渠道</w:t>
      </w:r>
      <w:r>
        <w:rPr>
          <w:rFonts w:hint="eastAsia" w:asciiTheme="minorEastAsia" w:hAnsiTheme="minorEastAsia" w:eastAsiaTheme="minorEastAsia"/>
          <w:sz w:val="21"/>
          <w:szCs w:val="21"/>
        </w:rPr>
        <w:t>：通过“信用中国”网站（www.creditchina.gov.cn）、中国政府采购网（www.ccgp.gov.cn）查询本项目投标人的信用记录。</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12.2</w:t>
      </w:r>
      <w:r>
        <w:rPr>
          <w:rFonts w:asciiTheme="minorEastAsia" w:hAnsiTheme="minorEastAsia" w:eastAsiaTheme="minorEastAsia"/>
          <w:sz w:val="21"/>
          <w:szCs w:val="21"/>
        </w:rPr>
        <w:t>信息查询截止时点</w:t>
      </w:r>
      <w:r>
        <w:rPr>
          <w:rFonts w:hint="eastAsia" w:asciiTheme="minorEastAsia" w:hAnsiTheme="minorEastAsia" w:eastAsiaTheme="minorEastAsia"/>
          <w:sz w:val="21"/>
          <w:szCs w:val="21"/>
        </w:rPr>
        <w:t>：投标截止时间后至评审结束前。</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12.3</w:t>
      </w:r>
      <w:r>
        <w:rPr>
          <w:rFonts w:asciiTheme="minorEastAsia" w:hAnsiTheme="minorEastAsia" w:eastAsiaTheme="minorEastAsia"/>
          <w:sz w:val="21"/>
          <w:szCs w:val="21"/>
        </w:rPr>
        <w:t>信用信息查询记录和证据留存的具体方式</w:t>
      </w:r>
      <w:r>
        <w:rPr>
          <w:rFonts w:hint="eastAsia" w:asciiTheme="minorEastAsia" w:hAnsiTheme="minorEastAsia" w:eastAsiaTheme="minorEastAsia"/>
          <w:sz w:val="21"/>
          <w:szCs w:val="21"/>
        </w:rPr>
        <w:t>：</w:t>
      </w:r>
      <w:r>
        <w:rPr>
          <w:rFonts w:asciiTheme="minorEastAsia" w:hAnsiTheme="minorEastAsia" w:eastAsiaTheme="minorEastAsia"/>
          <w:sz w:val="21"/>
          <w:szCs w:val="21"/>
        </w:rPr>
        <w:t>采购代理机构</w:t>
      </w:r>
      <w:r>
        <w:rPr>
          <w:rFonts w:hint="eastAsia" w:asciiTheme="minorEastAsia" w:hAnsiTheme="minorEastAsia" w:eastAsiaTheme="minorEastAsia"/>
          <w:sz w:val="21"/>
          <w:szCs w:val="21"/>
        </w:rPr>
        <w:t>工作人员将查询网页打印、签字并与其他采购文件一并存档备查。</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投标人不良信用记录以</w:t>
      </w:r>
      <w:r>
        <w:rPr>
          <w:rFonts w:asciiTheme="minorEastAsia" w:hAnsiTheme="minorEastAsia" w:eastAsiaTheme="minorEastAsia"/>
          <w:sz w:val="21"/>
          <w:szCs w:val="21"/>
        </w:rPr>
        <w:t>采购代理机构</w:t>
      </w:r>
      <w:r>
        <w:rPr>
          <w:rFonts w:hint="eastAsia" w:asciiTheme="minorEastAsia" w:hAnsiTheme="minorEastAsia" w:eastAsiaTheme="minorEastAsia"/>
          <w:sz w:val="21"/>
          <w:szCs w:val="21"/>
        </w:rPr>
        <w:t>查询结果为准。</w:t>
      </w:r>
      <w:bookmarkStart w:id="40" w:name="_Hlk24663338"/>
      <w:r>
        <w:rPr>
          <w:rFonts w:hint="eastAsia" w:asciiTheme="minorEastAsia" w:hAnsiTheme="minorEastAsia" w:eastAsiaTheme="minorEastAsia"/>
          <w:sz w:val="21"/>
          <w:szCs w:val="21"/>
        </w:rPr>
        <w:t>在</w:t>
      </w:r>
      <w:r>
        <w:rPr>
          <w:rFonts w:asciiTheme="minorEastAsia" w:hAnsiTheme="minorEastAsia" w:eastAsiaTheme="minorEastAsia"/>
          <w:sz w:val="21"/>
          <w:szCs w:val="21"/>
        </w:rPr>
        <w:t>招标文件规定</w:t>
      </w:r>
      <w:r>
        <w:rPr>
          <w:rFonts w:hint="eastAsia" w:asciiTheme="minorEastAsia" w:hAnsiTheme="minorEastAsia" w:eastAsiaTheme="minorEastAsia"/>
          <w:sz w:val="21"/>
          <w:szCs w:val="21"/>
        </w:rPr>
        <w:t>的查询时间之外，网站信息发生的任何变更均不作为资格审查依据。</w:t>
      </w:r>
      <w:bookmarkEnd w:id="40"/>
      <w:r>
        <w:rPr>
          <w:rFonts w:hint="eastAsia" w:asciiTheme="minorEastAsia" w:hAnsiTheme="minorEastAsia" w:eastAsiaTheme="minorEastAsia"/>
          <w:sz w:val="21"/>
          <w:szCs w:val="21"/>
        </w:rPr>
        <w:t>投标人自行提供的网站查询结果材料亦不作为资格审查依据。</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12.4</w:t>
      </w:r>
      <w:r>
        <w:rPr>
          <w:rFonts w:asciiTheme="minorEastAsia" w:hAnsiTheme="minorEastAsia" w:eastAsiaTheme="minorEastAsia"/>
          <w:sz w:val="21"/>
          <w:szCs w:val="21"/>
        </w:rPr>
        <w:t>信用信息的使用规则</w:t>
      </w:r>
      <w:r>
        <w:rPr>
          <w:rFonts w:hint="eastAsia" w:asciiTheme="minorEastAsia" w:hAnsiTheme="minorEastAsia" w:eastAsiaTheme="minorEastAsia"/>
          <w:sz w:val="21"/>
          <w:szCs w:val="21"/>
        </w:rPr>
        <w:t>：</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列入“信用中国”网站(www.creditchina.gov.cn)失信被执行人、重大税收违法案件当事人名单、政府采购严重违法失信行为记录名单和处于中国政府采购网(www.ccgp.gov.cn)政府采购严重违法失信行为记录名单禁止参加政府采购活动期间的投标人将被拒绝参与本次政府采购活动。</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以联合体形式参加投标的，联合体任何成员存在以上不良信用记录的，联合体投标将被认定为</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spacing w:line="360" w:lineRule="auto"/>
        <w:ind w:firstLine="422" w:firstLineChars="200"/>
        <w:jc w:val="left"/>
        <w:rPr>
          <w:rFonts w:asciiTheme="minorEastAsia" w:hAnsiTheme="minorEastAsia" w:eastAsiaTheme="minorEastAsia"/>
          <w:szCs w:val="21"/>
        </w:rPr>
      </w:pPr>
      <w:r>
        <w:rPr>
          <w:rFonts w:hint="eastAsia" w:asciiTheme="minorEastAsia" w:hAnsiTheme="minorEastAsia" w:eastAsiaTheme="minorEastAsia"/>
          <w:b/>
          <w:szCs w:val="21"/>
        </w:rPr>
        <w:t>13.政府采购信息发布媒体</w:t>
      </w:r>
    </w:p>
    <w:p>
      <w:pPr>
        <w:pStyle w:val="20"/>
        <w:snapToGrid w:val="0"/>
        <w:spacing w:after="0" w:line="360" w:lineRule="auto"/>
        <w:ind w:left="0" w:leftChars="0"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详见第一章（投标邀请）。</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14.</w:t>
      </w:r>
      <w:r>
        <w:rPr>
          <w:rFonts w:asciiTheme="minorEastAsia" w:hAnsiTheme="minorEastAsia" w:eastAsiaTheme="minorEastAsia"/>
          <w:b/>
          <w:szCs w:val="21"/>
        </w:rPr>
        <w:t>采购代理</w:t>
      </w:r>
      <w:r>
        <w:rPr>
          <w:rFonts w:hint="eastAsia" w:asciiTheme="minorEastAsia" w:hAnsiTheme="minorEastAsia" w:eastAsiaTheme="minorEastAsia"/>
          <w:b/>
          <w:szCs w:val="21"/>
        </w:rPr>
        <w:t>服务</w:t>
      </w:r>
      <w:r>
        <w:rPr>
          <w:rFonts w:asciiTheme="minorEastAsia" w:hAnsiTheme="minorEastAsia" w:eastAsiaTheme="minorEastAsia"/>
          <w:b/>
          <w:szCs w:val="21"/>
        </w:rPr>
        <w:t>费用的收取标准和方式</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14.1</w:t>
      </w:r>
      <w:r>
        <w:rPr>
          <w:rFonts w:asciiTheme="minorEastAsia" w:hAnsiTheme="minorEastAsia" w:eastAsiaTheme="minorEastAsia"/>
          <w:sz w:val="21"/>
          <w:szCs w:val="21"/>
        </w:rPr>
        <w:t>采购</w:t>
      </w:r>
      <w:r>
        <w:rPr>
          <w:rFonts w:hint="eastAsia" w:asciiTheme="minorEastAsia" w:hAnsiTheme="minorEastAsia" w:eastAsiaTheme="minorEastAsia"/>
          <w:sz w:val="21"/>
          <w:szCs w:val="21"/>
        </w:rPr>
        <w:t>代理服务费用的收取标准：详见《投标人须知前附表》。</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14.2</w:t>
      </w:r>
      <w:r>
        <w:rPr>
          <w:rFonts w:asciiTheme="minorEastAsia" w:hAnsiTheme="minorEastAsia" w:eastAsiaTheme="minorEastAsia"/>
          <w:sz w:val="21"/>
          <w:szCs w:val="21"/>
        </w:rPr>
        <w:t>采购</w:t>
      </w:r>
      <w:r>
        <w:rPr>
          <w:rFonts w:hint="eastAsia" w:asciiTheme="minorEastAsia" w:hAnsiTheme="minorEastAsia" w:eastAsiaTheme="minorEastAsia"/>
          <w:sz w:val="21"/>
          <w:szCs w:val="21"/>
        </w:rPr>
        <w:t>代理服务费的支付：详见《投标人须知前附表》。</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14.3</w:t>
      </w:r>
      <w:r>
        <w:rPr>
          <w:rFonts w:asciiTheme="minorEastAsia" w:hAnsiTheme="minorEastAsia" w:eastAsiaTheme="minorEastAsia"/>
          <w:sz w:val="21"/>
          <w:szCs w:val="21"/>
        </w:rPr>
        <w:t>采购</w:t>
      </w:r>
      <w:r>
        <w:rPr>
          <w:rFonts w:hint="eastAsia" w:asciiTheme="minorEastAsia" w:hAnsiTheme="minorEastAsia" w:eastAsiaTheme="minorEastAsia"/>
          <w:sz w:val="21"/>
          <w:szCs w:val="21"/>
        </w:rPr>
        <w:t>代理服务费收款账户信息：</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开户银行：宁波银行海曙支行</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户名：宁波名诚招标代理有限公司</w:t>
      </w:r>
    </w:p>
    <w:p>
      <w:pPr>
        <w:pStyle w:val="20"/>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账号：20010122000443166</w:t>
      </w:r>
    </w:p>
    <w:p>
      <w:pPr>
        <w:pStyle w:val="24"/>
        <w:snapToGrid w:val="0"/>
        <w:spacing w:beforeLines="0" w:afterLines="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15.其他</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15.1招标文件的标题和序号只是为了查阅方便，不影响对招标文件的理解。</w:t>
      </w:r>
    </w:p>
    <w:p>
      <w:pPr>
        <w:pStyle w:val="24"/>
        <w:snapToGrid w:val="0"/>
        <w:spacing w:beforeLines="0" w:afterLines="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15.2投标人提交的投标文件针对招标文件同一条款出现不同表述（响应）的，按照不利于投标人的标准进行认定；在合同签订或履行中发现存在上述情形的，按照有利于采购人的标准执行。</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15.3招标文件要求携带原件备查的资料，如果该资料可以通过互联网或者相关信息系统查询的，投标人能够当场提供账号、网址等进行查询、核实资料真伪及有关数据的，视同提供了原件。</w:t>
      </w:r>
    </w:p>
    <w:p>
      <w:pPr>
        <w:pStyle w:val="14"/>
        <w:widowControl w:val="0"/>
        <w:numPr>
          <w:ilvl w:val="0"/>
          <w:numId w:val="0"/>
        </w:numPr>
        <w:tabs>
          <w:tab w:val="clear" w:pos="454"/>
        </w:tabs>
        <w:snapToGrid w:val="0"/>
        <w:spacing w:afterLines="0" w:line="36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二</w:t>
      </w:r>
      <w:r>
        <w:rPr>
          <w:rFonts w:hint="eastAsia" w:asciiTheme="minorEastAsia" w:hAnsiTheme="minorEastAsia" w:eastAsiaTheme="minorEastAsia"/>
          <w:b/>
          <w:sz w:val="21"/>
          <w:szCs w:val="21"/>
        </w:rPr>
        <w:t>、招标</w:t>
      </w:r>
      <w:r>
        <w:rPr>
          <w:rFonts w:asciiTheme="minorEastAsia" w:hAnsiTheme="minorEastAsia" w:eastAsiaTheme="minorEastAsia"/>
          <w:b/>
          <w:sz w:val="21"/>
          <w:szCs w:val="21"/>
        </w:rPr>
        <w:t>文件</w:t>
      </w:r>
    </w:p>
    <w:p>
      <w:pPr>
        <w:pStyle w:val="24"/>
        <w:snapToGrid w:val="0"/>
        <w:spacing w:beforeLines="0" w:afterLines="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16.招标文件的编制依据与构成</w:t>
      </w:r>
    </w:p>
    <w:p>
      <w:pPr>
        <w:pStyle w:val="24"/>
        <w:snapToGrid w:val="0"/>
        <w:spacing w:beforeLines="0" w:afterLines="0" w:line="360" w:lineRule="auto"/>
        <w:ind w:firstLine="420" w:firstLineChars="200"/>
        <w:rPr>
          <w:rFonts w:asciiTheme="minorEastAsia" w:hAnsiTheme="minorEastAsia" w:eastAsiaTheme="minorEastAsia"/>
          <w:b/>
          <w:sz w:val="21"/>
          <w:szCs w:val="21"/>
        </w:rPr>
      </w:pPr>
      <w:r>
        <w:rPr>
          <w:rFonts w:hint="eastAsia" w:asciiTheme="minorEastAsia" w:hAnsiTheme="minorEastAsia" w:eastAsiaTheme="minorEastAsia"/>
          <w:sz w:val="21"/>
          <w:szCs w:val="21"/>
        </w:rPr>
        <w:t>16.1本招标文件根据《中华人民共和国政府采购法》《中华人民共和国政府采购法实施条例》《政府采购货物和服务招标投标管理办法》等政府采购法律法规的规定编制。</w:t>
      </w:r>
    </w:p>
    <w:p>
      <w:pPr>
        <w:pStyle w:val="24"/>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16.2本项目要求提供的服务及伴随的货物和工程、招标过程和合同条件在招标文件中均有说明。</w:t>
      </w:r>
    </w:p>
    <w:p>
      <w:pPr>
        <w:pStyle w:val="24"/>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16.3招标文件以中文文字编写，共七章。由下列文件以及在招标过程中发出的澄清或修改文件和补充文件组成，内容如下：</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第一章  投标邀请</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第二章  </w:t>
      </w:r>
      <w:r>
        <w:rPr>
          <w:rFonts w:asciiTheme="minorEastAsia" w:hAnsiTheme="minorEastAsia" w:eastAsiaTheme="minorEastAsia"/>
          <w:sz w:val="21"/>
          <w:szCs w:val="21"/>
        </w:rPr>
        <w:t>采购需求</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第三章  </w:t>
      </w:r>
      <w:r>
        <w:rPr>
          <w:rFonts w:asciiTheme="minorEastAsia" w:hAnsiTheme="minorEastAsia" w:eastAsiaTheme="minorEastAsia"/>
          <w:sz w:val="21"/>
          <w:szCs w:val="21"/>
        </w:rPr>
        <w:t>投标人须知</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第四章  </w:t>
      </w:r>
      <w:r>
        <w:rPr>
          <w:rFonts w:asciiTheme="minorEastAsia" w:hAnsiTheme="minorEastAsia" w:eastAsiaTheme="minorEastAsia"/>
          <w:sz w:val="21"/>
          <w:szCs w:val="21"/>
        </w:rPr>
        <w:t>评标</w:t>
      </w:r>
      <w:r>
        <w:rPr>
          <w:rFonts w:hint="eastAsia" w:asciiTheme="minorEastAsia" w:hAnsiTheme="minorEastAsia" w:eastAsiaTheme="minorEastAsia"/>
          <w:sz w:val="21"/>
          <w:szCs w:val="21"/>
        </w:rPr>
        <w:t>方法</w:t>
      </w:r>
      <w:r>
        <w:rPr>
          <w:rFonts w:asciiTheme="minorEastAsia" w:hAnsiTheme="minorEastAsia" w:eastAsiaTheme="minorEastAsia"/>
          <w:sz w:val="21"/>
          <w:szCs w:val="21"/>
        </w:rPr>
        <w:t>及</w:t>
      </w:r>
      <w:r>
        <w:rPr>
          <w:rFonts w:hint="eastAsia" w:asciiTheme="minorEastAsia" w:hAnsiTheme="minorEastAsia" w:eastAsiaTheme="minorEastAsia"/>
          <w:sz w:val="21"/>
          <w:szCs w:val="21"/>
        </w:rPr>
        <w:t>评标</w:t>
      </w:r>
      <w:r>
        <w:rPr>
          <w:rFonts w:asciiTheme="minorEastAsia" w:hAnsiTheme="minorEastAsia" w:eastAsiaTheme="minorEastAsia"/>
          <w:sz w:val="21"/>
          <w:szCs w:val="21"/>
        </w:rPr>
        <w:t>标准</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第五章  </w:t>
      </w:r>
      <w:r>
        <w:rPr>
          <w:rFonts w:asciiTheme="minorEastAsia" w:hAnsiTheme="minorEastAsia" w:eastAsiaTheme="minorEastAsia"/>
          <w:sz w:val="21"/>
          <w:szCs w:val="21"/>
        </w:rPr>
        <w:t>合同文本</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第六章  </w:t>
      </w:r>
      <w:r>
        <w:rPr>
          <w:rFonts w:asciiTheme="minorEastAsia" w:hAnsiTheme="minorEastAsia" w:eastAsiaTheme="minorEastAsia"/>
          <w:sz w:val="21"/>
          <w:szCs w:val="21"/>
        </w:rPr>
        <w:t>投标文件格式</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第七章  政府采购供应商质疑函及投诉书范本</w:t>
      </w:r>
    </w:p>
    <w:p>
      <w:pPr>
        <w:pStyle w:val="14"/>
        <w:widowControl w:val="0"/>
        <w:numPr>
          <w:ilvl w:val="0"/>
          <w:numId w:val="0"/>
        </w:numPr>
        <w:tabs>
          <w:tab w:val="clear" w:pos="454"/>
        </w:tabs>
        <w:snapToGrid w:val="0"/>
        <w:spacing w:afterLines="0"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17.招标文件的询问、澄清和修改</w:t>
      </w:r>
    </w:p>
    <w:p>
      <w:pPr>
        <w:pStyle w:val="24"/>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17.</w:t>
      </w: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询问</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bCs/>
          <w:sz w:val="21"/>
          <w:szCs w:val="21"/>
        </w:rPr>
        <w:t>投标人</w:t>
      </w:r>
      <w:r>
        <w:rPr>
          <w:rFonts w:hint="eastAsia" w:asciiTheme="minorEastAsia" w:hAnsiTheme="minorEastAsia" w:eastAsiaTheme="minorEastAsia"/>
          <w:bCs/>
          <w:sz w:val="21"/>
          <w:szCs w:val="21"/>
        </w:rPr>
        <w:t>对招标文件有疑问，可以向</w:t>
      </w:r>
      <w:r>
        <w:rPr>
          <w:rFonts w:hint="eastAsia" w:asciiTheme="minorEastAsia" w:hAnsiTheme="minorEastAsia" w:eastAsiaTheme="minorEastAsia"/>
          <w:sz w:val="21"/>
          <w:szCs w:val="21"/>
        </w:rPr>
        <w:t>采购人或采购代理机构</w:t>
      </w:r>
      <w:r>
        <w:rPr>
          <w:rFonts w:hint="eastAsia" w:asciiTheme="minorEastAsia" w:hAnsiTheme="minorEastAsia" w:eastAsiaTheme="minorEastAsia"/>
          <w:bCs/>
          <w:sz w:val="21"/>
          <w:szCs w:val="21"/>
        </w:rPr>
        <w:t>询问，</w:t>
      </w:r>
      <w:r>
        <w:rPr>
          <w:rFonts w:hint="eastAsia" w:asciiTheme="minorEastAsia" w:hAnsiTheme="minorEastAsia" w:eastAsiaTheme="minorEastAsia"/>
          <w:sz w:val="21"/>
          <w:szCs w:val="21"/>
        </w:rPr>
        <w:t>采购人或采购代理机构将依法</w:t>
      </w:r>
      <w:r>
        <w:rPr>
          <w:rFonts w:hint="eastAsia" w:asciiTheme="minorEastAsia" w:hAnsiTheme="minorEastAsia" w:eastAsiaTheme="minorEastAsia"/>
          <w:bCs/>
          <w:sz w:val="21"/>
          <w:szCs w:val="21"/>
        </w:rPr>
        <w:t>对潜在投标人</w:t>
      </w:r>
      <w:r>
        <w:rPr>
          <w:rFonts w:hint="eastAsia" w:asciiTheme="minorEastAsia" w:hAnsiTheme="minorEastAsia" w:eastAsiaTheme="minorEastAsia"/>
          <w:sz w:val="21"/>
          <w:szCs w:val="21"/>
        </w:rPr>
        <w:t>的询问作出答复。</w:t>
      </w:r>
    </w:p>
    <w:p>
      <w:pPr>
        <w:pStyle w:val="24"/>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17.2澄清和修改</w:t>
      </w:r>
    </w:p>
    <w:p>
      <w:pPr>
        <w:pStyle w:val="24"/>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w:t>
      </w:r>
      <w:r>
        <w:rPr>
          <w:rFonts w:hint="eastAsia" w:asciiTheme="minorEastAsia" w:hAnsiTheme="minorEastAsia" w:eastAsiaTheme="minorEastAsia"/>
          <w:sz w:val="21"/>
          <w:szCs w:val="21"/>
        </w:rPr>
        <w:t>采购人或采购代理机构</w:t>
      </w:r>
      <w:r>
        <w:rPr>
          <w:rFonts w:asciiTheme="minorEastAsia" w:hAnsiTheme="minorEastAsia" w:eastAsiaTheme="minorEastAsia"/>
          <w:bCs/>
          <w:sz w:val="21"/>
          <w:szCs w:val="21"/>
        </w:rPr>
        <w:t>可以</w:t>
      </w:r>
      <w:r>
        <w:rPr>
          <w:rFonts w:hint="eastAsia" w:asciiTheme="minorEastAsia" w:hAnsiTheme="minorEastAsia" w:eastAsiaTheme="minorEastAsia"/>
          <w:bCs/>
          <w:sz w:val="21"/>
          <w:szCs w:val="21"/>
        </w:rPr>
        <w:t>主动的或在解答投标人提出的问题时</w:t>
      </w:r>
      <w:r>
        <w:rPr>
          <w:rFonts w:asciiTheme="minorEastAsia" w:hAnsiTheme="minorEastAsia" w:eastAsiaTheme="minorEastAsia"/>
          <w:bCs/>
          <w:sz w:val="21"/>
          <w:szCs w:val="21"/>
        </w:rPr>
        <w:t>对已发出的招标文件进行必要的澄清或者修改。澄清或者修改</w:t>
      </w:r>
      <w:r>
        <w:rPr>
          <w:rFonts w:hint="eastAsia" w:asciiTheme="minorEastAsia" w:hAnsiTheme="minorEastAsia" w:eastAsiaTheme="minorEastAsia"/>
          <w:bCs/>
          <w:sz w:val="21"/>
          <w:szCs w:val="21"/>
        </w:rPr>
        <w:t>将</w:t>
      </w:r>
      <w:r>
        <w:rPr>
          <w:rFonts w:asciiTheme="minorEastAsia" w:hAnsiTheme="minorEastAsia" w:eastAsiaTheme="minorEastAsia"/>
          <w:bCs/>
          <w:sz w:val="21"/>
          <w:szCs w:val="21"/>
        </w:rPr>
        <w:t>在原</w:t>
      </w:r>
      <w:r>
        <w:rPr>
          <w:rFonts w:hint="eastAsia" w:asciiTheme="minorEastAsia" w:hAnsiTheme="minorEastAsia" w:eastAsiaTheme="minorEastAsia"/>
          <w:bCs/>
          <w:sz w:val="21"/>
          <w:szCs w:val="21"/>
        </w:rPr>
        <w:t>招标</w:t>
      </w:r>
      <w:r>
        <w:rPr>
          <w:rFonts w:asciiTheme="minorEastAsia" w:hAnsiTheme="minorEastAsia" w:eastAsiaTheme="minorEastAsia"/>
          <w:bCs/>
          <w:sz w:val="21"/>
          <w:szCs w:val="21"/>
        </w:rPr>
        <w:t>公告发布媒体发布</w:t>
      </w:r>
      <w:r>
        <w:rPr>
          <w:rFonts w:hint="eastAsia" w:asciiTheme="minorEastAsia" w:hAnsiTheme="minorEastAsia" w:eastAsiaTheme="minorEastAsia"/>
          <w:bCs/>
          <w:sz w:val="21"/>
          <w:szCs w:val="21"/>
        </w:rPr>
        <w:t>更正</w:t>
      </w:r>
      <w:r>
        <w:rPr>
          <w:rFonts w:asciiTheme="minorEastAsia" w:hAnsiTheme="minorEastAsia" w:eastAsiaTheme="minorEastAsia"/>
          <w:bCs/>
          <w:sz w:val="21"/>
          <w:szCs w:val="21"/>
        </w:rPr>
        <w:t>公告</w:t>
      </w: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澄清或者修改的内容为招标文件的组成部分</w:t>
      </w:r>
      <w:r>
        <w:rPr>
          <w:rFonts w:hint="eastAsia" w:asciiTheme="minorEastAsia" w:hAnsiTheme="minorEastAsia" w:eastAsiaTheme="minorEastAsia"/>
          <w:bCs/>
          <w:sz w:val="21"/>
          <w:szCs w:val="21"/>
        </w:rPr>
        <w:t>，对投标人起约束作用</w:t>
      </w:r>
      <w:r>
        <w:rPr>
          <w:rFonts w:asciiTheme="minorEastAsia" w:hAnsiTheme="minorEastAsia" w:eastAsiaTheme="minorEastAsia"/>
          <w:bCs/>
          <w:sz w:val="21"/>
          <w:szCs w:val="21"/>
        </w:rPr>
        <w:t>。</w:t>
      </w:r>
    </w:p>
    <w:p>
      <w:pPr>
        <w:pStyle w:val="24"/>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（2）潜在</w:t>
      </w:r>
      <w:r>
        <w:rPr>
          <w:rFonts w:asciiTheme="minorEastAsia" w:hAnsiTheme="minorEastAsia" w:eastAsiaTheme="minorEastAsia"/>
          <w:bCs/>
          <w:sz w:val="21"/>
          <w:szCs w:val="21"/>
        </w:rPr>
        <w:t>投标人在收到书面形式通知后，</w:t>
      </w:r>
      <w:r>
        <w:rPr>
          <w:rFonts w:hint="eastAsia" w:asciiTheme="minorEastAsia" w:hAnsiTheme="minorEastAsia" w:eastAsiaTheme="minorEastAsia"/>
          <w:bCs/>
          <w:sz w:val="21"/>
          <w:szCs w:val="21"/>
        </w:rPr>
        <w:t>认为</w:t>
      </w:r>
      <w:r>
        <w:rPr>
          <w:rFonts w:asciiTheme="minorEastAsia" w:hAnsiTheme="minorEastAsia" w:eastAsiaTheme="minorEastAsia"/>
          <w:bCs/>
          <w:sz w:val="21"/>
          <w:szCs w:val="21"/>
        </w:rPr>
        <w:t>澄清或者修改的</w:t>
      </w:r>
      <w:r>
        <w:rPr>
          <w:rFonts w:hint="eastAsia" w:asciiTheme="minorEastAsia" w:hAnsiTheme="minorEastAsia" w:eastAsiaTheme="minorEastAsia"/>
          <w:bCs/>
          <w:sz w:val="21"/>
          <w:szCs w:val="21"/>
        </w:rPr>
        <w:t>内容</w:t>
      </w:r>
      <w:r>
        <w:rPr>
          <w:rFonts w:asciiTheme="minorEastAsia" w:hAnsiTheme="minorEastAsia" w:eastAsiaTheme="minorEastAsia"/>
          <w:bCs/>
          <w:sz w:val="21"/>
          <w:szCs w:val="21"/>
        </w:rPr>
        <w:t>影响投标文件编制</w:t>
      </w:r>
      <w:r>
        <w:rPr>
          <w:rFonts w:hint="eastAsia" w:asciiTheme="minorEastAsia" w:hAnsiTheme="minorEastAsia" w:eastAsiaTheme="minorEastAsia"/>
          <w:bCs/>
          <w:sz w:val="21"/>
          <w:szCs w:val="21"/>
        </w:rPr>
        <w:t>的</w:t>
      </w:r>
      <w:r>
        <w:rPr>
          <w:rFonts w:asciiTheme="minorEastAsia" w:hAnsiTheme="minorEastAsia" w:eastAsiaTheme="minorEastAsia"/>
          <w:bCs/>
          <w:sz w:val="21"/>
          <w:szCs w:val="21"/>
        </w:rPr>
        <w:t>，</w:t>
      </w:r>
      <w:r>
        <w:rPr>
          <w:rFonts w:hint="eastAsia" w:asciiTheme="minorEastAsia" w:hAnsiTheme="minorEastAsia" w:eastAsiaTheme="minorEastAsia"/>
          <w:bCs/>
          <w:sz w:val="21"/>
          <w:szCs w:val="21"/>
        </w:rPr>
        <w:t>应当</w:t>
      </w:r>
      <w:r>
        <w:rPr>
          <w:rFonts w:asciiTheme="minorEastAsia" w:hAnsiTheme="minorEastAsia" w:eastAsiaTheme="minorEastAsia"/>
          <w:bCs/>
          <w:sz w:val="21"/>
          <w:szCs w:val="21"/>
        </w:rPr>
        <w:t>在收到</w:t>
      </w:r>
      <w:r>
        <w:rPr>
          <w:rFonts w:hint="eastAsia" w:asciiTheme="minorEastAsia" w:hAnsiTheme="minorEastAsia" w:eastAsiaTheme="minorEastAsia"/>
          <w:bCs/>
          <w:sz w:val="21"/>
          <w:szCs w:val="21"/>
        </w:rPr>
        <w:t>书面通知</w:t>
      </w:r>
      <w:r>
        <w:rPr>
          <w:rFonts w:asciiTheme="minorEastAsia" w:hAnsiTheme="minorEastAsia" w:eastAsiaTheme="minorEastAsia"/>
          <w:bCs/>
          <w:sz w:val="21"/>
          <w:szCs w:val="21"/>
        </w:rPr>
        <w:t>后</w:t>
      </w:r>
      <w:r>
        <w:rPr>
          <w:rFonts w:hint="eastAsia" w:asciiTheme="minorEastAsia" w:hAnsiTheme="minorEastAsia" w:eastAsiaTheme="minorEastAsia"/>
          <w:bCs/>
          <w:sz w:val="21"/>
          <w:szCs w:val="21"/>
        </w:rPr>
        <w:t>及时</w:t>
      </w:r>
      <w:r>
        <w:rPr>
          <w:rFonts w:asciiTheme="minorEastAsia" w:hAnsiTheme="minorEastAsia" w:eastAsiaTheme="minorEastAsia"/>
          <w:bCs/>
          <w:sz w:val="21"/>
          <w:szCs w:val="21"/>
        </w:rPr>
        <w:t>将</w:t>
      </w:r>
      <w:r>
        <w:rPr>
          <w:rFonts w:hint="eastAsia" w:asciiTheme="minorEastAsia" w:hAnsiTheme="minorEastAsia" w:eastAsiaTheme="minorEastAsia"/>
          <w:bCs/>
          <w:sz w:val="21"/>
          <w:szCs w:val="21"/>
        </w:rPr>
        <w:t>有关</w:t>
      </w:r>
      <w:r>
        <w:rPr>
          <w:rFonts w:asciiTheme="minorEastAsia" w:hAnsiTheme="minorEastAsia" w:eastAsiaTheme="minorEastAsia"/>
          <w:bCs/>
          <w:sz w:val="21"/>
          <w:szCs w:val="21"/>
        </w:rPr>
        <w:t>意见以书面形式向</w:t>
      </w:r>
      <w:r>
        <w:rPr>
          <w:rFonts w:hint="eastAsia" w:asciiTheme="minorEastAsia" w:hAnsiTheme="minorEastAsia" w:eastAsiaTheme="minorEastAsia"/>
          <w:sz w:val="21"/>
          <w:szCs w:val="21"/>
        </w:rPr>
        <w:t>采购人或采购代理机构</w:t>
      </w:r>
      <w:r>
        <w:rPr>
          <w:rFonts w:asciiTheme="minorEastAsia" w:hAnsiTheme="minorEastAsia" w:eastAsiaTheme="minorEastAsia"/>
          <w:bCs/>
          <w:sz w:val="21"/>
          <w:szCs w:val="21"/>
        </w:rPr>
        <w:t>提出，否则，</w:t>
      </w:r>
      <w:r>
        <w:rPr>
          <w:rFonts w:hint="eastAsia" w:asciiTheme="minorEastAsia" w:hAnsiTheme="minorEastAsia" w:eastAsiaTheme="minorEastAsia"/>
          <w:sz w:val="21"/>
          <w:szCs w:val="21"/>
        </w:rPr>
        <w:t>采购人或采购代理机构</w:t>
      </w:r>
      <w:r>
        <w:rPr>
          <w:rFonts w:asciiTheme="minorEastAsia" w:hAnsiTheme="minorEastAsia" w:eastAsiaTheme="minorEastAsia"/>
          <w:bCs/>
          <w:sz w:val="21"/>
          <w:szCs w:val="21"/>
        </w:rPr>
        <w:t>视</w:t>
      </w:r>
      <w:r>
        <w:rPr>
          <w:rFonts w:hint="eastAsia" w:asciiTheme="minorEastAsia" w:hAnsiTheme="minorEastAsia" w:eastAsiaTheme="minorEastAsia"/>
          <w:bCs/>
          <w:sz w:val="21"/>
          <w:szCs w:val="21"/>
        </w:rPr>
        <w:t>为潜在</w:t>
      </w:r>
      <w:r>
        <w:rPr>
          <w:rFonts w:asciiTheme="minorEastAsia" w:hAnsiTheme="minorEastAsia" w:eastAsiaTheme="minorEastAsia"/>
          <w:bCs/>
          <w:sz w:val="21"/>
          <w:szCs w:val="21"/>
        </w:rPr>
        <w:t>投标人完全接受澄清或者修改的</w:t>
      </w:r>
      <w:r>
        <w:rPr>
          <w:rFonts w:hint="eastAsia" w:asciiTheme="minorEastAsia" w:hAnsiTheme="minorEastAsia" w:eastAsiaTheme="minorEastAsia"/>
          <w:bCs/>
          <w:sz w:val="21"/>
          <w:szCs w:val="21"/>
        </w:rPr>
        <w:t>内容，</w:t>
      </w:r>
      <w:r>
        <w:rPr>
          <w:rFonts w:asciiTheme="minorEastAsia" w:hAnsiTheme="minorEastAsia" w:eastAsiaTheme="minorEastAsia"/>
          <w:bCs/>
          <w:sz w:val="21"/>
          <w:szCs w:val="21"/>
        </w:rPr>
        <w:t>且</w:t>
      </w:r>
      <w:r>
        <w:rPr>
          <w:rFonts w:hint="eastAsia" w:asciiTheme="minorEastAsia" w:hAnsiTheme="minorEastAsia" w:eastAsiaTheme="minorEastAsia"/>
          <w:bCs/>
          <w:sz w:val="21"/>
          <w:szCs w:val="21"/>
        </w:rPr>
        <w:t>不</w:t>
      </w:r>
      <w:r>
        <w:rPr>
          <w:rFonts w:asciiTheme="minorEastAsia" w:hAnsiTheme="minorEastAsia" w:eastAsiaTheme="minorEastAsia"/>
          <w:bCs/>
          <w:sz w:val="21"/>
          <w:szCs w:val="21"/>
        </w:rPr>
        <w:t>影响</w:t>
      </w:r>
      <w:r>
        <w:rPr>
          <w:rFonts w:hint="eastAsia" w:asciiTheme="minorEastAsia" w:hAnsiTheme="minorEastAsia" w:eastAsiaTheme="minorEastAsia"/>
          <w:bCs/>
          <w:sz w:val="21"/>
          <w:szCs w:val="21"/>
        </w:rPr>
        <w:t>投标</w:t>
      </w:r>
      <w:r>
        <w:rPr>
          <w:rFonts w:asciiTheme="minorEastAsia" w:hAnsiTheme="minorEastAsia" w:eastAsiaTheme="minorEastAsia"/>
          <w:bCs/>
          <w:sz w:val="21"/>
          <w:szCs w:val="21"/>
        </w:rPr>
        <w:t>文件编制。</w:t>
      </w:r>
    </w:p>
    <w:p>
      <w:pPr>
        <w:pStyle w:val="24"/>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（3）潜在</w:t>
      </w:r>
      <w:r>
        <w:rPr>
          <w:rFonts w:asciiTheme="minorEastAsia" w:hAnsiTheme="minorEastAsia" w:eastAsiaTheme="minorEastAsia"/>
          <w:bCs/>
          <w:sz w:val="21"/>
          <w:szCs w:val="21"/>
        </w:rPr>
        <w:t>投标人要求澄清</w:t>
      </w:r>
      <w:r>
        <w:rPr>
          <w:rFonts w:hint="eastAsia" w:asciiTheme="minorEastAsia" w:hAnsiTheme="minorEastAsia" w:eastAsiaTheme="minorEastAsia"/>
          <w:bCs/>
          <w:sz w:val="21"/>
          <w:szCs w:val="21"/>
        </w:rPr>
        <w:t>和回复的书面材料</w:t>
      </w:r>
      <w:r>
        <w:rPr>
          <w:rFonts w:asciiTheme="minorEastAsia" w:hAnsiTheme="minorEastAsia" w:eastAsiaTheme="minorEastAsia"/>
          <w:bCs/>
          <w:sz w:val="21"/>
          <w:szCs w:val="21"/>
        </w:rPr>
        <w:t>应加盖单位公章</w:t>
      </w:r>
      <w:r>
        <w:rPr>
          <w:rFonts w:hint="eastAsia" w:asciiTheme="minorEastAsia" w:hAnsiTheme="minorEastAsia" w:eastAsiaTheme="minorEastAsia"/>
          <w:bCs/>
          <w:sz w:val="21"/>
          <w:szCs w:val="21"/>
        </w:rPr>
        <w:t>并注明</w:t>
      </w:r>
      <w:r>
        <w:rPr>
          <w:rFonts w:asciiTheme="minorEastAsia" w:hAnsiTheme="minorEastAsia" w:eastAsiaTheme="minorEastAsia"/>
          <w:bCs/>
          <w:sz w:val="21"/>
          <w:szCs w:val="21"/>
        </w:rPr>
        <w:t>日期。</w:t>
      </w:r>
    </w:p>
    <w:p>
      <w:pPr>
        <w:pStyle w:val="24"/>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（4）</w:t>
      </w:r>
      <w:r>
        <w:rPr>
          <w:rFonts w:asciiTheme="minorEastAsia" w:hAnsiTheme="minorEastAsia" w:eastAsiaTheme="minorEastAsia"/>
          <w:bCs/>
          <w:sz w:val="21"/>
          <w:szCs w:val="21"/>
        </w:rPr>
        <w:t>当招标文件与</w:t>
      </w:r>
      <w:r>
        <w:rPr>
          <w:rFonts w:hint="eastAsia" w:asciiTheme="minorEastAsia" w:hAnsiTheme="minorEastAsia" w:eastAsiaTheme="minorEastAsia"/>
          <w:bCs/>
          <w:sz w:val="21"/>
          <w:szCs w:val="21"/>
        </w:rPr>
        <w:t>补充文件（包含</w:t>
      </w:r>
      <w:r>
        <w:rPr>
          <w:rFonts w:asciiTheme="minorEastAsia" w:hAnsiTheme="minorEastAsia" w:eastAsiaTheme="minorEastAsia"/>
          <w:bCs/>
          <w:sz w:val="21"/>
          <w:szCs w:val="21"/>
        </w:rPr>
        <w:t>澄清或修改</w:t>
      </w: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就同一内容的表述不一致时，以最后发出的</w:t>
      </w:r>
      <w:r>
        <w:rPr>
          <w:rFonts w:hint="eastAsia" w:asciiTheme="minorEastAsia" w:hAnsiTheme="minorEastAsia" w:eastAsiaTheme="minorEastAsia"/>
          <w:bCs/>
          <w:sz w:val="21"/>
          <w:szCs w:val="21"/>
        </w:rPr>
        <w:t>补充</w:t>
      </w:r>
      <w:r>
        <w:rPr>
          <w:rFonts w:asciiTheme="minorEastAsia" w:hAnsiTheme="minorEastAsia" w:eastAsiaTheme="minorEastAsia"/>
          <w:bCs/>
          <w:sz w:val="21"/>
          <w:szCs w:val="21"/>
        </w:rPr>
        <w:t>文件为准。</w:t>
      </w:r>
    </w:p>
    <w:p>
      <w:pPr>
        <w:pStyle w:val="24"/>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（5）潜在投标人必须保证获取招标文件时提供资料的真实、准确，并确保联系方式的畅通，否则，由此导致采购人或采购代理机构无法及时通知有关事项造成的后果由投标人自行承担。</w:t>
      </w:r>
    </w:p>
    <w:p>
      <w:pPr>
        <w:pStyle w:val="24"/>
        <w:snapToGrid w:val="0"/>
        <w:spacing w:beforeLines="0" w:afterLines="0" w:line="360" w:lineRule="auto"/>
        <w:ind w:firstLine="422" w:firstLineChars="20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18.现场考察及标前答疑会</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18.1采购代理机构可以在招标文件提供期限截止后，组织已获取招标文件的潜在投标人现场考察或者召开开标前答疑会。</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18.2招标文件中未载明现场考察或者召开开标前答疑会的，在招标文件提供期限截止后以书面形式通知所有获取招标文件的潜在投标人。</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18.3</w:t>
      </w:r>
      <w:r>
        <w:rPr>
          <w:rFonts w:asciiTheme="minorEastAsia" w:hAnsiTheme="minorEastAsia" w:eastAsiaTheme="minorEastAsia"/>
          <w:sz w:val="21"/>
          <w:szCs w:val="21"/>
        </w:rPr>
        <w:t>潜在投标人</w:t>
      </w:r>
      <w:r>
        <w:rPr>
          <w:rFonts w:hint="eastAsia" w:asciiTheme="minorEastAsia" w:hAnsiTheme="minorEastAsia" w:eastAsiaTheme="minorEastAsia"/>
          <w:sz w:val="21"/>
          <w:szCs w:val="21"/>
        </w:rPr>
        <w:t>应当在通知的时间准时参加现场考察或答疑会，否则自行承担未及时参加造成的后果。</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18.4除采购人的原因外，投标人自行负责现场考察或参加开标前答疑会造成的自身或第三人的人身伤害、财产损失或损坏的责任。</w:t>
      </w:r>
    </w:p>
    <w:p>
      <w:pPr>
        <w:pStyle w:val="14"/>
        <w:widowControl w:val="0"/>
        <w:numPr>
          <w:ilvl w:val="0"/>
          <w:numId w:val="0"/>
        </w:numPr>
        <w:tabs>
          <w:tab w:val="clear" w:pos="454"/>
        </w:tabs>
        <w:snapToGrid w:val="0"/>
        <w:spacing w:afterLines="0" w:line="36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三、投标文件的编制</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19.投标范围</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19</w:t>
      </w:r>
      <w:r>
        <w:rPr>
          <w:rFonts w:asciiTheme="minorEastAsia" w:hAnsiTheme="minorEastAsia" w:eastAsiaTheme="minorEastAsia"/>
          <w:szCs w:val="21"/>
        </w:rPr>
        <w:t>.1项目有</w:t>
      </w:r>
      <w:r>
        <w:rPr>
          <w:rFonts w:hint="eastAsia" w:asciiTheme="minorEastAsia" w:hAnsiTheme="minorEastAsia" w:eastAsiaTheme="minorEastAsia"/>
          <w:szCs w:val="21"/>
        </w:rPr>
        <w:t>多个标包</w:t>
      </w:r>
      <w:r>
        <w:rPr>
          <w:rFonts w:asciiTheme="minorEastAsia" w:hAnsiTheme="minorEastAsia" w:eastAsiaTheme="minorEastAsia"/>
          <w:szCs w:val="21"/>
        </w:rPr>
        <w:t>的，投标人</w:t>
      </w:r>
      <w:r>
        <w:rPr>
          <w:rFonts w:hint="eastAsia" w:asciiTheme="minorEastAsia" w:hAnsiTheme="minorEastAsia" w:eastAsiaTheme="minorEastAsia"/>
          <w:szCs w:val="21"/>
        </w:rPr>
        <w:t>可以</w:t>
      </w:r>
      <w:r>
        <w:rPr>
          <w:rFonts w:asciiTheme="minorEastAsia" w:hAnsiTheme="minorEastAsia" w:eastAsiaTheme="minorEastAsia"/>
          <w:szCs w:val="21"/>
        </w:rPr>
        <w:t>对招标文件其中某一个或几个</w:t>
      </w:r>
      <w:r>
        <w:rPr>
          <w:rFonts w:hint="eastAsia" w:asciiTheme="minorEastAsia" w:hAnsiTheme="minorEastAsia" w:eastAsiaTheme="minorEastAsia"/>
          <w:szCs w:val="21"/>
        </w:rPr>
        <w:t>标包</w:t>
      </w:r>
      <w:r>
        <w:rPr>
          <w:rFonts w:asciiTheme="minorEastAsia" w:hAnsiTheme="minorEastAsia" w:eastAsiaTheme="minorEastAsia"/>
          <w:szCs w:val="21"/>
        </w:rPr>
        <w:t>进行投标。</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19</w:t>
      </w:r>
      <w:r>
        <w:rPr>
          <w:rFonts w:asciiTheme="minorEastAsia" w:hAnsiTheme="minorEastAsia" w:eastAsiaTheme="minorEastAsia"/>
          <w:szCs w:val="21"/>
        </w:rPr>
        <w:t>.2投标人应当对所投</w:t>
      </w:r>
      <w:r>
        <w:rPr>
          <w:rFonts w:hint="eastAsia" w:asciiTheme="minorEastAsia" w:hAnsiTheme="minorEastAsia" w:eastAsiaTheme="minorEastAsia"/>
          <w:szCs w:val="21"/>
        </w:rPr>
        <w:t>标包的“采购</w:t>
      </w:r>
      <w:r>
        <w:rPr>
          <w:rFonts w:asciiTheme="minorEastAsia" w:hAnsiTheme="minorEastAsia" w:eastAsiaTheme="minorEastAsia"/>
          <w:szCs w:val="21"/>
        </w:rPr>
        <w:t>需求</w:t>
      </w:r>
      <w:r>
        <w:rPr>
          <w:rFonts w:hint="eastAsia" w:asciiTheme="minorEastAsia" w:hAnsiTheme="minorEastAsia" w:eastAsiaTheme="minorEastAsia"/>
          <w:szCs w:val="21"/>
        </w:rPr>
        <w:t>”</w:t>
      </w:r>
      <w:r>
        <w:rPr>
          <w:rFonts w:asciiTheme="minorEastAsia" w:hAnsiTheme="minorEastAsia" w:eastAsiaTheme="minorEastAsia"/>
          <w:szCs w:val="21"/>
        </w:rPr>
        <w:t>所列的</w:t>
      </w:r>
      <w:r>
        <w:rPr>
          <w:rFonts w:hint="eastAsia" w:asciiTheme="minorEastAsia" w:hAnsiTheme="minorEastAsia" w:eastAsiaTheme="minorEastAsia"/>
          <w:szCs w:val="21"/>
        </w:rPr>
        <w:t>全部</w:t>
      </w:r>
      <w:r>
        <w:rPr>
          <w:rFonts w:asciiTheme="minorEastAsia" w:hAnsiTheme="minorEastAsia" w:eastAsiaTheme="minorEastAsia"/>
          <w:szCs w:val="21"/>
        </w:rPr>
        <w:t>内容进行投标，如仅响应</w:t>
      </w:r>
      <w:r>
        <w:rPr>
          <w:rFonts w:hint="eastAsia" w:asciiTheme="minorEastAsia" w:hAnsiTheme="minorEastAsia" w:eastAsiaTheme="minorEastAsia"/>
          <w:szCs w:val="21"/>
        </w:rPr>
        <w:t>所投标包</w:t>
      </w:r>
      <w:r>
        <w:rPr>
          <w:rFonts w:asciiTheme="minorEastAsia" w:hAnsiTheme="minorEastAsia" w:eastAsiaTheme="minorEastAsia"/>
          <w:szCs w:val="21"/>
        </w:rPr>
        <w:t>中的部分内容，其</w:t>
      </w:r>
      <w:r>
        <w:rPr>
          <w:rFonts w:hint="eastAsia" w:asciiTheme="minorEastAsia" w:hAnsiTheme="minorEastAsia" w:eastAsiaTheme="minorEastAsia"/>
          <w:szCs w:val="21"/>
        </w:rPr>
        <w:t>对该标包的</w:t>
      </w:r>
      <w:r>
        <w:rPr>
          <w:rFonts w:asciiTheme="minorEastAsia" w:hAnsiTheme="minorEastAsia" w:eastAsiaTheme="minorEastAsia"/>
          <w:szCs w:val="21"/>
        </w:rPr>
        <w:t>投标将被认定为</w:t>
      </w:r>
      <w:r>
        <w:rPr>
          <w:rFonts w:asciiTheme="minorEastAsia" w:hAnsiTheme="minorEastAsia" w:eastAsiaTheme="minorEastAsia"/>
          <w:b/>
          <w:szCs w:val="21"/>
        </w:rPr>
        <w:t>投标无效</w:t>
      </w:r>
      <w:r>
        <w:rPr>
          <w:rFonts w:asciiTheme="minorEastAsia" w:hAnsiTheme="minorEastAsia" w:eastAsiaTheme="minorEastAsia"/>
          <w:szCs w:val="21"/>
        </w:rPr>
        <w:t>。</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20.投标文件中标准和计量单位的使用</w:t>
      </w:r>
    </w:p>
    <w:p>
      <w:pPr>
        <w:spacing w:line="360" w:lineRule="auto"/>
        <w:ind w:firstLine="435"/>
        <w:rPr>
          <w:rFonts w:asciiTheme="minorEastAsia" w:hAnsiTheme="minorEastAsia" w:eastAsiaTheme="minorEastAsia"/>
          <w:szCs w:val="21"/>
        </w:rPr>
      </w:pPr>
      <w:bookmarkStart w:id="41" w:name="_Hlk16458980"/>
      <w:r>
        <w:rPr>
          <w:rFonts w:hint="eastAsia" w:asciiTheme="minorEastAsia" w:hAnsiTheme="minorEastAsia" w:eastAsiaTheme="minorEastAsia"/>
          <w:szCs w:val="21"/>
        </w:rPr>
        <w:t>20.1</w:t>
      </w:r>
      <w:r>
        <w:rPr>
          <w:rFonts w:asciiTheme="minorEastAsia" w:hAnsiTheme="minorEastAsia" w:eastAsiaTheme="minorEastAsia"/>
          <w:szCs w:val="21"/>
        </w:rPr>
        <w:t>无论招标文件中是否要求，</w:t>
      </w:r>
      <w:r>
        <w:rPr>
          <w:rFonts w:hint="eastAsia" w:asciiTheme="minorEastAsia" w:hAnsiTheme="minorEastAsia" w:eastAsiaTheme="minorEastAsia"/>
          <w:szCs w:val="21"/>
        </w:rPr>
        <w:t>投标人所投服务及伴随的货物和工程均应符合国家强制性标准。</w:t>
      </w:r>
    </w:p>
    <w:bookmarkEnd w:id="41"/>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20.2</w:t>
      </w:r>
      <w:r>
        <w:rPr>
          <w:rFonts w:asciiTheme="minorEastAsia" w:hAnsiTheme="minorEastAsia" w:eastAsiaTheme="minorEastAsia"/>
          <w:sz w:val="21"/>
          <w:szCs w:val="21"/>
        </w:rPr>
        <w:t>投标人与采购</w:t>
      </w:r>
      <w:r>
        <w:rPr>
          <w:rFonts w:hint="eastAsia" w:asciiTheme="minorEastAsia" w:hAnsiTheme="minorEastAsia" w:eastAsiaTheme="minorEastAsia"/>
          <w:sz w:val="21"/>
          <w:szCs w:val="21"/>
        </w:rPr>
        <w:t>代理</w:t>
      </w:r>
      <w:r>
        <w:rPr>
          <w:rFonts w:asciiTheme="minorEastAsia" w:hAnsiTheme="minorEastAsia" w:eastAsiaTheme="minorEastAsia"/>
          <w:sz w:val="21"/>
          <w:szCs w:val="21"/>
        </w:rPr>
        <w:t>机构之间与投标有关的所有往来通知、函件和投标文件均用中文表述。投标人随投标文件提供的证明文件和资料可以为其它语言，但必须附中文译文</w:t>
      </w:r>
      <w:r>
        <w:rPr>
          <w:rFonts w:hint="eastAsia" w:asciiTheme="minorEastAsia" w:hAnsiTheme="minorEastAsia" w:eastAsiaTheme="minorEastAsia"/>
          <w:sz w:val="21"/>
          <w:szCs w:val="21"/>
        </w:rPr>
        <w:t>，未提供中文译文的视为未提供。</w:t>
      </w:r>
      <w:r>
        <w:rPr>
          <w:rFonts w:asciiTheme="minorEastAsia" w:hAnsiTheme="minorEastAsia" w:eastAsiaTheme="minorEastAsia"/>
          <w:sz w:val="21"/>
          <w:szCs w:val="21"/>
        </w:rPr>
        <w:t>翻译的中文资料与外文资料出现差异时，以中文为准。</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20.3</w:t>
      </w:r>
      <w:r>
        <w:rPr>
          <w:rFonts w:asciiTheme="minorEastAsia" w:hAnsiTheme="minorEastAsia" w:eastAsiaTheme="minorEastAsia"/>
          <w:szCs w:val="21"/>
        </w:rPr>
        <w:t>除招标文件中有特殊要求外，投标文件中所使用的计量单位，应采用中华人民共和国法定计量单位。</w:t>
      </w:r>
    </w:p>
    <w:p>
      <w:pPr>
        <w:pStyle w:val="24"/>
        <w:snapToGrid w:val="0"/>
        <w:spacing w:beforeLines="0" w:afterLines="0" w:line="360" w:lineRule="auto"/>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21.投标文件的形式</w:t>
      </w:r>
    </w:p>
    <w:p>
      <w:pPr>
        <w:pStyle w:val="24"/>
        <w:snapToGrid w:val="0"/>
        <w:spacing w:beforeLines="0" w:afterLines="0" w:line="360" w:lineRule="auto"/>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本项目投标文件采用电子投标文件形式，为在政采云系统上编制生成的电子加密投标文件及其备份投标文件。</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21.1电子加密投标文件是指通过“政采云电子投标客户端”完成投标文件编制后生成并加密的数据电文形式的加密标书，后缀名为【.jmbs】。</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21.2备份投标文件是指与电子加密投标文件同时生成的数据电文形式的备份标书，后缀名为【.bfbs】。</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22.投标文件内容的构成</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22.1投标人编写的投标文件应包含资格要求响应文件、商务技术文件和报价要求响应文件。</w:t>
      </w:r>
    </w:p>
    <w:p>
      <w:pPr>
        <w:pStyle w:val="24"/>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上述各文件的组成内容详见《投标人须知前附表》，未列入的内容，投标人认为需要的可以自行提供相关材料。</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22.2招标文件明确要求在投标文件中附（提交）证明材料而投标人未在投标文件中提供的，不被认定为对具体条款作出响应。</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23.投标文件的制作</w:t>
      </w:r>
    </w:p>
    <w:p>
      <w:pPr>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23.1本项目要求提供电子加密投标文件，投标人应当安装“政采云电子投标客户端”，按照招标文件和政采云平台的要求编制并加密投标文件。</w:t>
      </w:r>
      <w:r>
        <w:rPr>
          <w:rFonts w:cs="Arial" w:asciiTheme="minorEastAsia" w:hAnsiTheme="minorEastAsia" w:eastAsiaTheme="minorEastAsia"/>
          <w:kern w:val="0"/>
          <w:szCs w:val="21"/>
        </w:rPr>
        <w:t>投标文件的制作应满足以下规定：</w:t>
      </w:r>
    </w:p>
    <w:p>
      <w:pPr>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w:t>
      </w:r>
      <w:r>
        <w:rPr>
          <w:rFonts w:cs="Arial" w:asciiTheme="minorEastAsia" w:hAnsiTheme="minorEastAsia" w:eastAsiaTheme="minorEastAsia"/>
          <w:kern w:val="0"/>
          <w:szCs w:val="21"/>
        </w:rPr>
        <w:t>投标文件由投标人使用电子交易系统提供的投标文件制作工具制作生成。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（2）投标人应完整地填写并提供投标函、开标一览表等招标文件提供的格式文件，招标文件未提供文件格式的，由投标人自行拟定。</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23.2投标人应准确设置评审关联定位，避免未设置或设置错误导致投标文件被误读、漏读或者查找不到相关内容。</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24.投标文件的份数、签署及盖章</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24.1投标文件的份数</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投标文件的数量要求详见《投标人须知前附表》。</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24.2投标文件的签署及盖章</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（1）招标文件要求签名的应当由投标人的法定代表人或经其正式授权的代表签字或盖章，</w:t>
      </w:r>
      <w:r>
        <w:rPr>
          <w:rFonts w:hint="eastAsia" w:asciiTheme="minorEastAsia" w:hAnsiTheme="minorEastAsia" w:eastAsiaTheme="minorEastAsia"/>
          <w:b/>
          <w:szCs w:val="21"/>
        </w:rPr>
        <w:t>因未获取电子姓名签章无法直接在系统中进行法定代表人或其授权代表电子签字操作的，可以线下签字或盖章后扫描后上传。</w:t>
      </w:r>
    </w:p>
    <w:p>
      <w:pPr>
        <w:snapToGrid w:val="0"/>
        <w:spacing w:line="360" w:lineRule="auto"/>
        <w:ind w:firstLine="420" w:firstLineChars="200"/>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w:t>
      </w:r>
      <w:r>
        <w:rPr>
          <w:rFonts w:cs="Arial" w:asciiTheme="minorEastAsia" w:hAnsiTheme="minorEastAsia" w:eastAsiaTheme="minorEastAsia"/>
          <w:kern w:val="0"/>
          <w:szCs w:val="21"/>
        </w:rPr>
        <w:t>第</w:t>
      </w:r>
      <w:r>
        <w:rPr>
          <w:rFonts w:hint="eastAsia" w:cs="Arial" w:asciiTheme="minorEastAsia" w:hAnsiTheme="minorEastAsia" w:eastAsiaTheme="minorEastAsia"/>
          <w:kern w:val="0"/>
          <w:szCs w:val="21"/>
        </w:rPr>
        <w:t>六</w:t>
      </w:r>
      <w:r>
        <w:rPr>
          <w:rFonts w:cs="Arial" w:asciiTheme="minorEastAsia" w:hAnsiTheme="minorEastAsia" w:eastAsiaTheme="minorEastAsia"/>
          <w:kern w:val="0"/>
          <w:szCs w:val="21"/>
        </w:rPr>
        <w:t>章</w:t>
      </w:r>
      <w:r>
        <w:rPr>
          <w:rFonts w:hint="eastAsia" w:cs="Arial" w:asciiTheme="minorEastAsia" w:hAnsiTheme="minorEastAsia" w:eastAsiaTheme="minorEastAsia"/>
          <w:kern w:val="0"/>
          <w:szCs w:val="21"/>
        </w:rPr>
        <w:t xml:space="preserve">  </w:t>
      </w:r>
      <w:r>
        <w:rPr>
          <w:rFonts w:cs="Arial" w:asciiTheme="minorEastAsia" w:hAnsiTheme="minorEastAsia" w:eastAsiaTheme="minorEastAsia"/>
          <w:kern w:val="0"/>
          <w:szCs w:val="21"/>
        </w:rPr>
        <w:t>投标文件格式</w:t>
      </w:r>
      <w:r>
        <w:rPr>
          <w:rFonts w:hint="eastAsia" w:cs="Arial" w:asciiTheme="minorEastAsia" w:hAnsiTheme="minorEastAsia" w:eastAsiaTheme="minorEastAsia"/>
          <w:kern w:val="0"/>
          <w:szCs w:val="21"/>
        </w:rPr>
        <w:t>》提供的相关文件</w:t>
      </w:r>
      <w:r>
        <w:rPr>
          <w:rFonts w:cs="Arial" w:asciiTheme="minorEastAsia" w:hAnsiTheme="minorEastAsia" w:eastAsiaTheme="minorEastAsia"/>
          <w:kern w:val="0"/>
          <w:szCs w:val="21"/>
        </w:rPr>
        <w:t>要求</w:t>
      </w:r>
      <w:r>
        <w:rPr>
          <w:rFonts w:hint="eastAsia" w:cs="Arial" w:asciiTheme="minorEastAsia" w:hAnsiTheme="minorEastAsia" w:eastAsiaTheme="minorEastAsia"/>
          <w:kern w:val="0"/>
          <w:szCs w:val="21"/>
        </w:rPr>
        <w:t>加盖公</w:t>
      </w:r>
      <w:r>
        <w:rPr>
          <w:rFonts w:cs="Arial" w:asciiTheme="minorEastAsia" w:hAnsiTheme="minorEastAsia" w:eastAsiaTheme="minorEastAsia"/>
          <w:kern w:val="0"/>
          <w:szCs w:val="21"/>
        </w:rPr>
        <w:t>章处，投标人均应加盖</w:t>
      </w:r>
      <w:r>
        <w:rPr>
          <w:rFonts w:hint="eastAsia" w:cs="Arial" w:asciiTheme="minorEastAsia" w:hAnsiTheme="minorEastAsia" w:eastAsiaTheme="minorEastAsia"/>
          <w:kern w:val="0"/>
          <w:szCs w:val="21"/>
        </w:rPr>
        <w:t>单位公</w:t>
      </w:r>
      <w:r>
        <w:rPr>
          <w:rFonts w:cs="Arial" w:asciiTheme="minorEastAsia" w:hAnsiTheme="minorEastAsia" w:eastAsiaTheme="minorEastAsia"/>
          <w:kern w:val="0"/>
          <w:szCs w:val="21"/>
        </w:rPr>
        <w:t>章</w:t>
      </w:r>
      <w:r>
        <w:rPr>
          <w:rFonts w:hint="eastAsia" w:cs="Arial" w:asciiTheme="minorEastAsia" w:hAnsiTheme="minorEastAsia" w:eastAsiaTheme="minorEastAsia"/>
          <w:kern w:val="0"/>
          <w:szCs w:val="21"/>
        </w:rPr>
        <w:t>，</w:t>
      </w:r>
      <w:r>
        <w:rPr>
          <w:rFonts w:hint="eastAsia" w:asciiTheme="minorEastAsia" w:hAnsiTheme="minorEastAsia" w:eastAsiaTheme="minorEastAsia"/>
          <w:szCs w:val="21"/>
        </w:rPr>
        <w:t>可使用电子公章在线签章或线下盖单位公章扫描后上传。</w:t>
      </w:r>
      <w:r>
        <w:rPr>
          <w:rFonts w:cs="Arial" w:asciiTheme="minorEastAsia" w:hAnsiTheme="minorEastAsia" w:eastAsiaTheme="minorEastAsia"/>
          <w:kern w:val="0"/>
          <w:szCs w:val="21"/>
        </w:rPr>
        <w:t>联合体投标的，除联合协议</w:t>
      </w:r>
      <w:r>
        <w:rPr>
          <w:rFonts w:hint="eastAsia" w:cs="Arial" w:asciiTheme="minorEastAsia" w:hAnsiTheme="minorEastAsia" w:eastAsiaTheme="minorEastAsia"/>
          <w:kern w:val="0"/>
          <w:szCs w:val="21"/>
        </w:rPr>
        <w:t>及联合体各成员单位提供的本单位证明材料</w:t>
      </w:r>
      <w:r>
        <w:rPr>
          <w:rFonts w:cs="Arial" w:asciiTheme="minorEastAsia" w:hAnsiTheme="minorEastAsia" w:eastAsiaTheme="minorEastAsia"/>
          <w:kern w:val="0"/>
          <w:szCs w:val="21"/>
        </w:rPr>
        <w:t>外，投标文件由联合体牵头人按上述规定加盖联合体牵头人单位</w:t>
      </w:r>
      <w:r>
        <w:rPr>
          <w:rFonts w:hint="eastAsia" w:cs="Arial" w:asciiTheme="minorEastAsia" w:hAnsiTheme="minorEastAsia" w:eastAsiaTheme="minorEastAsia"/>
          <w:kern w:val="0"/>
          <w:szCs w:val="21"/>
        </w:rPr>
        <w:t>公</w:t>
      </w:r>
      <w:r>
        <w:rPr>
          <w:rFonts w:cs="Arial" w:asciiTheme="minorEastAsia" w:hAnsiTheme="minorEastAsia" w:eastAsiaTheme="minorEastAsia"/>
          <w:kern w:val="0"/>
          <w:szCs w:val="21"/>
        </w:rPr>
        <w:t>章。</w:t>
      </w:r>
    </w:p>
    <w:p>
      <w:pPr>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电子签章操作指南详见《政府采购项目电子交易管理操作指南-供应商》,</w:t>
      </w:r>
      <w:r>
        <w:rPr>
          <w:rFonts w:hint="eastAsia" w:asciiTheme="minorEastAsia" w:hAnsiTheme="minorEastAsia" w:eastAsiaTheme="minorEastAsia"/>
          <w:b/>
          <w:szCs w:val="21"/>
        </w:rPr>
        <w:t>系统要求进行电子签章的文件，按系统要求签章。</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（3）投标</w:t>
      </w:r>
      <w:r>
        <w:rPr>
          <w:rFonts w:asciiTheme="minorEastAsia" w:hAnsiTheme="minorEastAsia" w:eastAsiaTheme="minorEastAsia"/>
          <w:szCs w:val="21"/>
        </w:rPr>
        <w:t>文件若有错</w:t>
      </w:r>
      <w:r>
        <w:rPr>
          <w:rFonts w:hint="eastAsia" w:asciiTheme="minorEastAsia" w:hAnsiTheme="minorEastAsia" w:eastAsiaTheme="minorEastAsia"/>
          <w:szCs w:val="21"/>
        </w:rPr>
        <w:t>、</w:t>
      </w:r>
      <w:r>
        <w:rPr>
          <w:rFonts w:asciiTheme="minorEastAsia" w:hAnsiTheme="minorEastAsia" w:eastAsiaTheme="minorEastAsia"/>
          <w:szCs w:val="21"/>
        </w:rPr>
        <w:t>漏处</w:t>
      </w:r>
      <w:r>
        <w:rPr>
          <w:rFonts w:hint="eastAsia" w:asciiTheme="minorEastAsia" w:hAnsiTheme="minorEastAsia" w:eastAsiaTheme="minorEastAsia"/>
          <w:szCs w:val="21"/>
        </w:rPr>
        <w:t>等必须修改的，修改处应当</w:t>
      </w:r>
      <w:r>
        <w:rPr>
          <w:rFonts w:asciiTheme="minorEastAsia" w:hAnsiTheme="minorEastAsia" w:eastAsiaTheme="minorEastAsia"/>
          <w:szCs w:val="21"/>
        </w:rPr>
        <w:t>加盖</w:t>
      </w:r>
      <w:r>
        <w:rPr>
          <w:rFonts w:hint="eastAsia" w:asciiTheme="minorEastAsia" w:hAnsiTheme="minorEastAsia" w:eastAsiaTheme="minorEastAsia"/>
          <w:szCs w:val="21"/>
        </w:rPr>
        <w:t>投标人</w:t>
      </w:r>
      <w:r>
        <w:rPr>
          <w:rFonts w:asciiTheme="minorEastAsia" w:hAnsiTheme="minorEastAsia" w:eastAsiaTheme="minorEastAsia"/>
          <w:szCs w:val="21"/>
        </w:rPr>
        <w:t>公章或者</w:t>
      </w:r>
      <w:r>
        <w:rPr>
          <w:rFonts w:hint="eastAsia" w:asciiTheme="minorEastAsia" w:hAnsiTheme="minorEastAsia" w:eastAsiaTheme="minorEastAsia"/>
          <w:szCs w:val="21"/>
        </w:rPr>
        <w:t>由投标人的</w:t>
      </w:r>
      <w:r>
        <w:rPr>
          <w:rFonts w:asciiTheme="minorEastAsia" w:hAnsiTheme="minorEastAsia" w:eastAsiaTheme="minorEastAsia"/>
          <w:szCs w:val="21"/>
        </w:rPr>
        <w:t>法定代表人</w:t>
      </w:r>
      <w:r>
        <w:rPr>
          <w:rFonts w:hint="eastAsia" w:asciiTheme="minorEastAsia" w:hAnsiTheme="minorEastAsia" w:eastAsiaTheme="minorEastAsia"/>
          <w:szCs w:val="21"/>
        </w:rPr>
        <w:t>或其</w:t>
      </w:r>
      <w:r>
        <w:rPr>
          <w:rFonts w:asciiTheme="minorEastAsia" w:hAnsiTheme="minorEastAsia" w:eastAsiaTheme="minorEastAsia"/>
          <w:szCs w:val="21"/>
        </w:rPr>
        <w:t>授权</w:t>
      </w:r>
      <w:r>
        <w:rPr>
          <w:rFonts w:hint="eastAsia" w:asciiTheme="minorEastAsia" w:hAnsiTheme="minorEastAsia" w:eastAsiaTheme="minorEastAsia"/>
          <w:szCs w:val="21"/>
        </w:rPr>
        <w:t>代表</w:t>
      </w:r>
      <w:r>
        <w:rPr>
          <w:rFonts w:asciiTheme="minorEastAsia" w:hAnsiTheme="minorEastAsia" w:eastAsiaTheme="minorEastAsia"/>
          <w:szCs w:val="21"/>
        </w:rPr>
        <w:t>签字</w:t>
      </w:r>
      <w:r>
        <w:rPr>
          <w:rFonts w:hint="eastAsia" w:asciiTheme="minorEastAsia" w:hAnsiTheme="minorEastAsia" w:eastAsiaTheme="minorEastAsia"/>
          <w:szCs w:val="21"/>
        </w:rPr>
        <w:t>或盖章</w:t>
      </w:r>
      <w:r>
        <w:rPr>
          <w:rFonts w:asciiTheme="minorEastAsia" w:hAnsiTheme="minorEastAsia" w:eastAsiaTheme="minorEastAsia"/>
          <w:szCs w:val="21"/>
        </w:rPr>
        <w:t>。</w:t>
      </w:r>
    </w:p>
    <w:p>
      <w:pPr>
        <w:spacing w:line="360" w:lineRule="auto"/>
        <w:ind w:firstLine="422" w:firstLineChars="200"/>
        <w:rPr>
          <w:rFonts w:asciiTheme="minorEastAsia" w:hAnsiTheme="minorEastAsia" w:eastAsiaTheme="minorEastAsia"/>
          <w:b/>
          <w:szCs w:val="21"/>
        </w:rPr>
      </w:pPr>
      <w:r>
        <w:rPr>
          <w:rFonts w:asciiTheme="minorEastAsia" w:hAnsiTheme="minorEastAsia" w:eastAsiaTheme="minorEastAsia"/>
          <w:b/>
          <w:szCs w:val="21"/>
        </w:rPr>
        <w:t>2</w:t>
      </w:r>
      <w:r>
        <w:rPr>
          <w:rFonts w:hint="eastAsia" w:asciiTheme="minorEastAsia" w:hAnsiTheme="minorEastAsia" w:eastAsiaTheme="minorEastAsia"/>
          <w:b/>
          <w:szCs w:val="21"/>
        </w:rPr>
        <w:t>5</w:t>
      </w:r>
      <w:r>
        <w:rPr>
          <w:rFonts w:asciiTheme="minorEastAsia" w:hAnsiTheme="minorEastAsia" w:eastAsiaTheme="minorEastAsia"/>
          <w:b/>
          <w:szCs w:val="21"/>
        </w:rPr>
        <w:t>.投标报价要求</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25.1投标报价的组成：</w:t>
      </w:r>
      <w:r>
        <w:rPr>
          <w:rFonts w:asciiTheme="minorEastAsia" w:hAnsiTheme="minorEastAsia" w:eastAsiaTheme="minorEastAsia"/>
          <w:szCs w:val="21"/>
        </w:rPr>
        <w:t>投标人的报价应当包括满足本次招标全部采购需求所应提供的服务</w:t>
      </w:r>
      <w:r>
        <w:rPr>
          <w:rFonts w:hint="eastAsia" w:asciiTheme="minorEastAsia" w:hAnsiTheme="minorEastAsia" w:eastAsiaTheme="minorEastAsia"/>
          <w:szCs w:val="21"/>
        </w:rPr>
        <w:t>的费用、专家评审费用、招标代理服务费等。</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25.2所有投标或结算货币均为人民币，针对本项目的投标报价（包含分项报价）</w:t>
      </w:r>
      <w:r>
        <w:rPr>
          <w:rFonts w:asciiTheme="minorEastAsia" w:hAnsiTheme="minorEastAsia" w:eastAsiaTheme="minorEastAsia"/>
          <w:szCs w:val="21"/>
        </w:rPr>
        <w:t>只允许有一个，</w:t>
      </w:r>
      <w:r>
        <w:rPr>
          <w:rFonts w:hint="eastAsia" w:asciiTheme="minorEastAsia" w:hAnsiTheme="minorEastAsia" w:eastAsiaTheme="minorEastAsia"/>
          <w:szCs w:val="21"/>
        </w:rPr>
        <w:t>不接受</w:t>
      </w:r>
      <w:r>
        <w:rPr>
          <w:rFonts w:asciiTheme="minorEastAsia" w:hAnsiTheme="minorEastAsia" w:eastAsiaTheme="minorEastAsia"/>
          <w:szCs w:val="21"/>
        </w:rPr>
        <w:t>有选择的</w:t>
      </w:r>
      <w:r>
        <w:rPr>
          <w:rFonts w:hint="eastAsia" w:asciiTheme="minorEastAsia" w:hAnsiTheme="minorEastAsia" w:eastAsiaTheme="minorEastAsia"/>
          <w:szCs w:val="21"/>
        </w:rPr>
        <w:t>或有附加条件的投标</w:t>
      </w:r>
      <w:r>
        <w:rPr>
          <w:rFonts w:asciiTheme="minorEastAsia" w:hAnsiTheme="minorEastAsia" w:eastAsiaTheme="minorEastAsia"/>
          <w:szCs w:val="21"/>
        </w:rPr>
        <w:t>报价</w:t>
      </w:r>
      <w:r>
        <w:rPr>
          <w:rFonts w:hint="eastAsia" w:asciiTheme="minorEastAsia" w:hAnsiTheme="minorEastAsia" w:eastAsiaTheme="minorEastAsia"/>
          <w:szCs w:val="21"/>
        </w:rPr>
        <w:t>（包含分项报价）</w:t>
      </w:r>
      <w:r>
        <w:rPr>
          <w:rFonts w:asciiTheme="minorEastAsia" w:hAnsiTheme="minorEastAsia" w:eastAsiaTheme="minorEastAsia"/>
          <w:szCs w:val="21"/>
        </w:rPr>
        <w:t>。</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25.3</w:t>
      </w:r>
      <w:r>
        <w:rPr>
          <w:rFonts w:hint="eastAsia" w:asciiTheme="minorEastAsia" w:hAnsiTheme="minorEastAsia" w:eastAsiaTheme="minorEastAsia"/>
          <w:b/>
          <w:szCs w:val="21"/>
        </w:rPr>
        <w:t>投标报价不允许为0元（即赠送），投标报价明细中不允许出现0元的单项报价，否则视同赠送，采购人不予接受，其投标文件按照投标无效处理。</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26.投标保证金</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本项目无须投标人缴纳投标保证金。</w:t>
      </w:r>
    </w:p>
    <w:p>
      <w:pPr>
        <w:spacing w:line="360" w:lineRule="auto"/>
        <w:ind w:firstLine="420" w:firstLineChars="200"/>
        <w:rPr>
          <w:rFonts w:asciiTheme="minorEastAsia" w:hAnsiTheme="minorEastAsia" w:eastAsiaTheme="minorEastAsia"/>
          <w:b/>
          <w:szCs w:val="21"/>
        </w:rPr>
      </w:pPr>
      <w:r>
        <w:rPr>
          <w:rFonts w:asciiTheme="minorEastAsia" w:hAnsiTheme="minorEastAsia" w:eastAsiaTheme="minorEastAsia"/>
          <w:szCs w:val="21"/>
        </w:rPr>
        <w:t>▲</w:t>
      </w:r>
      <w:r>
        <w:rPr>
          <w:rFonts w:hint="eastAsia" w:asciiTheme="minorEastAsia" w:hAnsiTheme="minorEastAsia" w:eastAsiaTheme="minorEastAsia"/>
          <w:b/>
          <w:szCs w:val="21"/>
        </w:rPr>
        <w:t>27.投标有效期</w:t>
      </w:r>
    </w:p>
    <w:p>
      <w:pPr>
        <w:pStyle w:val="24"/>
        <w:snapToGrid w:val="0"/>
        <w:spacing w:beforeLines="0" w:afterLines="0"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27.1投标有效期为从投标截止之日算起的日历天数，投标有效期详见《</w:t>
      </w:r>
      <w:r>
        <w:rPr>
          <w:rFonts w:hint="eastAsia" w:asciiTheme="minorEastAsia" w:hAnsiTheme="minorEastAsia" w:eastAsiaTheme="minorEastAsia"/>
          <w:sz w:val="21"/>
          <w:szCs w:val="21"/>
          <w:u w:val="single"/>
        </w:rPr>
        <w:t>投标人须知前附表</w:t>
      </w:r>
      <w:r>
        <w:rPr>
          <w:rFonts w:hint="eastAsia" w:asciiTheme="minorEastAsia" w:hAnsiTheme="minorEastAsia" w:eastAsiaTheme="minorEastAsia"/>
          <w:sz w:val="21"/>
          <w:szCs w:val="21"/>
        </w:rPr>
        <w:t>》。</w:t>
      </w:r>
    </w:p>
    <w:p>
      <w:pPr>
        <w:spacing w:line="360" w:lineRule="auto"/>
        <w:ind w:firstLine="435"/>
        <w:rPr>
          <w:rFonts w:asciiTheme="minorEastAsia" w:hAnsiTheme="minorEastAsia" w:eastAsiaTheme="minorEastAsia"/>
          <w:kern w:val="0"/>
          <w:szCs w:val="21"/>
        </w:rPr>
      </w:pPr>
      <w:r>
        <w:rPr>
          <w:rFonts w:hint="eastAsia" w:asciiTheme="minorEastAsia" w:hAnsiTheme="minorEastAsia" w:eastAsiaTheme="minorEastAsia"/>
          <w:kern w:val="0"/>
          <w:szCs w:val="21"/>
        </w:rPr>
        <w:t>27.2在投标有效期内，投标人的投标保持有效，投标人不得要求撤销或修改其投标文件。投标有效期不满足要求的投标，其投标将被认定为</w:t>
      </w:r>
      <w:r>
        <w:rPr>
          <w:rFonts w:hint="eastAsia" w:asciiTheme="minorEastAsia" w:hAnsiTheme="minorEastAsia" w:eastAsiaTheme="minorEastAsia"/>
          <w:b/>
          <w:kern w:val="0"/>
          <w:szCs w:val="21"/>
        </w:rPr>
        <w:t>投标无效</w:t>
      </w:r>
      <w:r>
        <w:rPr>
          <w:rFonts w:hint="eastAsia" w:asciiTheme="minorEastAsia" w:hAnsiTheme="minorEastAsia" w:eastAsiaTheme="minorEastAsia"/>
          <w:kern w:val="0"/>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27.3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以书面形式提交。</w:t>
      </w:r>
    </w:p>
    <w:p>
      <w:pPr>
        <w:pStyle w:val="14"/>
        <w:widowControl w:val="0"/>
        <w:numPr>
          <w:ilvl w:val="0"/>
          <w:numId w:val="0"/>
        </w:numPr>
        <w:tabs>
          <w:tab w:val="clear" w:pos="454"/>
        </w:tabs>
        <w:snapToGrid w:val="0"/>
        <w:spacing w:afterLines="0"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四、投标文件的提交</w:t>
      </w:r>
    </w:p>
    <w:p>
      <w:pPr>
        <w:pStyle w:val="24"/>
        <w:snapToGrid w:val="0"/>
        <w:spacing w:beforeLines="0" w:afterLines="0" w:line="360" w:lineRule="auto"/>
        <w:ind w:firstLine="422" w:firstLineChars="200"/>
        <w:jc w:val="left"/>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28.电子加密投标文件的提交</w:t>
      </w:r>
    </w:p>
    <w:p>
      <w:pPr>
        <w:pStyle w:val="24"/>
        <w:snapToGrid w:val="0"/>
        <w:spacing w:beforeLines="0" w:afterLines="0" w:line="360" w:lineRule="auto"/>
        <w:ind w:firstLine="420" w:firstLineChars="20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投标人应当在投标截止时间前将电子加密投标文件上传至政采云平台，成功上传后，投标人可自行打印投标文件接收回执。</w:t>
      </w:r>
    </w:p>
    <w:p>
      <w:pPr>
        <w:pStyle w:val="24"/>
        <w:snapToGrid w:val="0"/>
        <w:spacing w:beforeLines="0" w:afterLines="0" w:line="360" w:lineRule="auto"/>
        <w:ind w:firstLine="422" w:firstLineChars="200"/>
        <w:jc w:val="left"/>
        <w:rPr>
          <w:rFonts w:cs="宋体" w:asciiTheme="minorEastAsia" w:hAnsiTheme="minorEastAsia" w:eastAsiaTheme="minorEastAsia"/>
          <w:b/>
          <w:sz w:val="21"/>
          <w:szCs w:val="21"/>
        </w:rPr>
      </w:pPr>
      <w:r>
        <w:rPr>
          <w:rFonts w:hint="eastAsia" w:asciiTheme="minorEastAsia" w:hAnsiTheme="minorEastAsia" w:eastAsiaTheme="minorEastAsia"/>
          <w:b/>
          <w:sz w:val="21"/>
          <w:szCs w:val="21"/>
        </w:rPr>
        <w:t>29.</w:t>
      </w:r>
      <w:r>
        <w:rPr>
          <w:rFonts w:hint="eastAsia" w:cs="宋体" w:asciiTheme="minorEastAsia" w:hAnsiTheme="minorEastAsia" w:eastAsiaTheme="minorEastAsia"/>
          <w:b/>
          <w:sz w:val="21"/>
          <w:szCs w:val="21"/>
        </w:rPr>
        <w:t>备份投标文件的提交</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人可以在投标截止时间前提交备份投标文件。备份投标文件的载体必须密封包装，密封包装应当清楚的标明项目名称、项目编号、投标人名称并加盖公章。采购人或采购代理机构拒绝接收未按照规定密封、标注、盖章的备份投标文件。</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30.投标截止时间及地点</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30.1投标截止时间及地点见投标邀请。</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30.2采购人或采购代理机构可以根据项目情况</w:t>
      </w:r>
      <w:r>
        <w:rPr>
          <w:rFonts w:asciiTheme="minorEastAsia" w:hAnsiTheme="minorEastAsia" w:eastAsiaTheme="minorEastAsia"/>
          <w:szCs w:val="21"/>
        </w:rPr>
        <w:t>，</w:t>
      </w:r>
      <w:r>
        <w:rPr>
          <w:rFonts w:hint="eastAsia" w:asciiTheme="minorEastAsia" w:hAnsiTheme="minorEastAsia" w:eastAsiaTheme="minorEastAsia"/>
          <w:szCs w:val="21"/>
        </w:rPr>
        <w:t>推迟投标截止时间。在此情况下，采购人、采购代理机构和投标人受投标截止时间约束的所有权利和义务均应延长至新的投标截止时间。</w:t>
      </w:r>
    </w:p>
    <w:p>
      <w:pPr>
        <w:snapToGrid w:val="0"/>
        <w:spacing w:line="360" w:lineRule="auto"/>
        <w:ind w:firstLine="422" w:firstLineChars="200"/>
        <w:jc w:val="left"/>
        <w:rPr>
          <w:rFonts w:asciiTheme="minorEastAsia" w:hAnsiTheme="minorEastAsia" w:eastAsiaTheme="minorEastAsia"/>
          <w:szCs w:val="21"/>
        </w:rPr>
      </w:pPr>
      <w:r>
        <w:rPr>
          <w:rFonts w:hint="eastAsia" w:asciiTheme="minorEastAsia" w:hAnsiTheme="minorEastAsia" w:eastAsiaTheme="minorEastAsia"/>
          <w:b/>
          <w:szCs w:val="21"/>
        </w:rPr>
        <w:t>31.投标文件的修改和撤回</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31.1</w:t>
      </w:r>
      <w:r>
        <w:rPr>
          <w:rFonts w:asciiTheme="minorEastAsia" w:hAnsiTheme="minorEastAsia" w:eastAsiaTheme="minorEastAsia"/>
          <w:szCs w:val="21"/>
        </w:rPr>
        <w:t>投标人在投标截止时间前，可以对</w:t>
      </w:r>
      <w:r>
        <w:rPr>
          <w:rFonts w:hint="eastAsia" w:asciiTheme="minorEastAsia" w:hAnsiTheme="minorEastAsia" w:eastAsiaTheme="minorEastAsia"/>
          <w:szCs w:val="21"/>
        </w:rPr>
        <w:t>已经提交</w:t>
      </w:r>
      <w:r>
        <w:rPr>
          <w:rFonts w:asciiTheme="minorEastAsia" w:hAnsiTheme="minorEastAsia" w:eastAsiaTheme="minorEastAsia"/>
          <w:szCs w:val="21"/>
        </w:rPr>
        <w:t>的投标文件进行补充、修改或者撤回。</w:t>
      </w:r>
    </w:p>
    <w:p>
      <w:pPr>
        <w:snapToGrid w:val="0"/>
        <w:spacing w:line="360" w:lineRule="auto"/>
        <w:ind w:firstLine="420" w:firstLineChars="200"/>
        <w:jc w:val="left"/>
        <w:rPr>
          <w:rFonts w:cs="Helvetica" w:asciiTheme="minorEastAsia" w:hAnsiTheme="minorEastAsia" w:eastAsiaTheme="minorEastAsia"/>
          <w:kern w:val="0"/>
          <w:szCs w:val="21"/>
        </w:rPr>
      </w:pPr>
      <w:r>
        <w:rPr>
          <w:rFonts w:hint="eastAsia" w:asciiTheme="minorEastAsia" w:hAnsiTheme="minorEastAsia" w:eastAsiaTheme="minorEastAsia"/>
          <w:szCs w:val="21"/>
        </w:rPr>
        <w:t>对已经完成传输递交的</w:t>
      </w:r>
      <w:r>
        <w:rPr>
          <w:rFonts w:hint="eastAsia" w:cs="宋体" w:asciiTheme="minorEastAsia" w:hAnsiTheme="minorEastAsia" w:eastAsiaTheme="minorEastAsia"/>
          <w:szCs w:val="21"/>
        </w:rPr>
        <w:t>电子加密投标文件进行</w:t>
      </w:r>
      <w:r>
        <w:rPr>
          <w:rFonts w:hint="eastAsia" w:cs="Helvetica" w:asciiTheme="minorEastAsia" w:hAnsiTheme="minorEastAsia" w:eastAsiaTheme="minorEastAsia"/>
          <w:kern w:val="0"/>
          <w:szCs w:val="21"/>
        </w:rPr>
        <w:t>补充或者修改的，应当先行撤回原文件，补充、修改后重新传输递交。投标人在投标截止时间前未重新完成传输递交的，视为撤回投标文件。投标截止时间后递交的电子加密投标文件，电子交易平台将拒收。</w:t>
      </w:r>
    </w:p>
    <w:p>
      <w:pPr>
        <w:snapToGrid w:val="0"/>
        <w:spacing w:line="360" w:lineRule="auto"/>
        <w:ind w:firstLine="420" w:firstLineChars="200"/>
        <w:jc w:val="left"/>
        <w:rPr>
          <w:rFonts w:cs="Helvetica" w:asciiTheme="minorEastAsia" w:hAnsiTheme="minorEastAsia" w:eastAsiaTheme="minorEastAsia"/>
          <w:kern w:val="0"/>
          <w:szCs w:val="21"/>
        </w:rPr>
      </w:pPr>
      <w:r>
        <w:rPr>
          <w:rFonts w:hint="eastAsia" w:cs="Arial" w:asciiTheme="minorEastAsia" w:hAnsiTheme="minorEastAsia" w:eastAsiaTheme="minorEastAsia"/>
          <w:szCs w:val="21"/>
        </w:rPr>
        <w:t>31.2投标人在投标截止时间前</w:t>
      </w:r>
      <w:r>
        <w:rPr>
          <w:rFonts w:cs="Arial" w:asciiTheme="minorEastAsia" w:hAnsiTheme="minorEastAsia" w:eastAsiaTheme="minorEastAsia"/>
          <w:szCs w:val="21"/>
        </w:rPr>
        <w:t>递交</w:t>
      </w:r>
      <w:r>
        <w:rPr>
          <w:rFonts w:hint="eastAsia" w:cs="Arial" w:asciiTheme="minorEastAsia" w:hAnsiTheme="minorEastAsia" w:eastAsiaTheme="minorEastAsia"/>
          <w:szCs w:val="21"/>
        </w:rPr>
        <w:t>了需要补充或修改的</w:t>
      </w:r>
      <w:r>
        <w:rPr>
          <w:rFonts w:hint="eastAsia" w:cs="宋体" w:asciiTheme="minorEastAsia" w:hAnsiTheme="minorEastAsia" w:eastAsiaTheme="minorEastAsia"/>
          <w:szCs w:val="21"/>
        </w:rPr>
        <w:t>电子加密投标文件的</w:t>
      </w:r>
      <w:r>
        <w:rPr>
          <w:rFonts w:cs="Arial" w:asciiTheme="minorEastAsia" w:hAnsiTheme="minorEastAsia" w:eastAsiaTheme="minorEastAsia"/>
          <w:szCs w:val="21"/>
        </w:rPr>
        <w:t>备份投标文件</w:t>
      </w:r>
      <w:r>
        <w:rPr>
          <w:rFonts w:hint="eastAsia" w:cs="Arial" w:asciiTheme="minorEastAsia" w:hAnsiTheme="minorEastAsia" w:eastAsiaTheme="minorEastAsia"/>
          <w:szCs w:val="21"/>
        </w:rPr>
        <w:t>，可以</w:t>
      </w:r>
      <w:r>
        <w:rPr>
          <w:rFonts w:cs="Arial" w:asciiTheme="minorEastAsia" w:hAnsiTheme="minorEastAsia" w:eastAsiaTheme="minorEastAsia"/>
          <w:szCs w:val="21"/>
        </w:rPr>
        <w:t>重新</w:t>
      </w:r>
      <w:r>
        <w:rPr>
          <w:rFonts w:hint="eastAsia" w:cs="Arial" w:asciiTheme="minorEastAsia" w:hAnsiTheme="minorEastAsia" w:eastAsiaTheme="minorEastAsia"/>
          <w:szCs w:val="21"/>
        </w:rPr>
        <w:t>提交补充或修改后的</w:t>
      </w:r>
      <w:r>
        <w:rPr>
          <w:rFonts w:cs="Arial" w:asciiTheme="minorEastAsia" w:hAnsiTheme="minorEastAsia" w:eastAsiaTheme="minorEastAsia"/>
          <w:szCs w:val="21"/>
        </w:rPr>
        <w:t>备份投标文件</w:t>
      </w:r>
      <w:r>
        <w:rPr>
          <w:rFonts w:hint="eastAsia" w:cs="Arial" w:asciiTheme="minorEastAsia" w:hAnsiTheme="minorEastAsia" w:eastAsiaTheme="minorEastAsia"/>
          <w:szCs w:val="21"/>
        </w:rPr>
        <w:t>。</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31.3</w:t>
      </w:r>
      <w:r>
        <w:rPr>
          <w:rFonts w:asciiTheme="minorEastAsia" w:hAnsiTheme="minorEastAsia" w:eastAsiaTheme="minorEastAsia"/>
          <w:szCs w:val="21"/>
        </w:rPr>
        <w:t>投标截止时间后</w:t>
      </w:r>
      <w:r>
        <w:rPr>
          <w:rFonts w:hint="eastAsia" w:asciiTheme="minorEastAsia" w:hAnsiTheme="minorEastAsia" w:eastAsiaTheme="minorEastAsia"/>
          <w:szCs w:val="21"/>
        </w:rPr>
        <w:t>，投标人不得对其投标文件进行补充、修改</w:t>
      </w:r>
      <w:r>
        <w:rPr>
          <w:rFonts w:asciiTheme="minorEastAsia" w:hAnsiTheme="minorEastAsia" w:eastAsiaTheme="minorEastAsia"/>
          <w:szCs w:val="21"/>
        </w:rPr>
        <w:t>。</w:t>
      </w:r>
    </w:p>
    <w:p>
      <w:pPr>
        <w:pStyle w:val="14"/>
        <w:widowControl w:val="0"/>
        <w:numPr>
          <w:ilvl w:val="0"/>
          <w:numId w:val="0"/>
        </w:numPr>
        <w:tabs>
          <w:tab w:val="clear" w:pos="454"/>
        </w:tabs>
        <w:snapToGrid w:val="0"/>
        <w:spacing w:afterLines="0"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五、开标与评标</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32.开标</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32.1采购代理机构按招标文件规定的时间通过电子交易平台组织公开开标，所有投标人均应当准时在线参加</w:t>
      </w:r>
      <w:r>
        <w:rPr>
          <w:rFonts w:asciiTheme="minorEastAsia" w:hAnsiTheme="minorEastAsia" w:eastAsiaTheme="minorEastAsia"/>
          <w:szCs w:val="21"/>
        </w:rPr>
        <w:t>。</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32.2开标时，采购代理机构依托电子交易平台发起开始解密指令，</w:t>
      </w:r>
      <w:r>
        <w:rPr>
          <w:rFonts w:asciiTheme="minorEastAsia" w:hAnsiTheme="minorEastAsia" w:eastAsiaTheme="minorEastAsia"/>
          <w:szCs w:val="21"/>
        </w:rPr>
        <w:t>各投标</w:t>
      </w:r>
      <w:r>
        <w:rPr>
          <w:rFonts w:hint="eastAsia" w:asciiTheme="minorEastAsia" w:hAnsiTheme="minorEastAsia" w:eastAsiaTheme="minorEastAsia"/>
          <w:szCs w:val="21"/>
        </w:rPr>
        <w:t>人</w:t>
      </w:r>
      <w:r>
        <w:rPr>
          <w:rFonts w:asciiTheme="minorEastAsia" w:hAnsiTheme="minorEastAsia" w:eastAsiaTheme="minorEastAsia"/>
          <w:szCs w:val="21"/>
        </w:rPr>
        <w:t>应</w:t>
      </w:r>
      <w:r>
        <w:rPr>
          <w:rFonts w:hint="eastAsia" w:asciiTheme="minorEastAsia" w:hAnsiTheme="minorEastAsia" w:eastAsiaTheme="minorEastAsia"/>
          <w:szCs w:val="21"/>
        </w:rPr>
        <w:t>在30分钟内</w:t>
      </w:r>
      <w:r>
        <w:rPr>
          <w:rFonts w:asciiTheme="minorEastAsia" w:hAnsiTheme="minorEastAsia" w:eastAsiaTheme="minorEastAsia"/>
          <w:szCs w:val="21"/>
        </w:rPr>
        <w:t>（</w:t>
      </w:r>
      <w:r>
        <w:rPr>
          <w:rFonts w:hint="eastAsia" w:asciiTheme="minorEastAsia" w:hAnsiTheme="minorEastAsia" w:eastAsiaTheme="minorEastAsia"/>
          <w:szCs w:val="21"/>
        </w:rPr>
        <w:t>以电子交易系统解密倒计时为准</w:t>
      </w:r>
      <w:r>
        <w:rPr>
          <w:rFonts w:asciiTheme="minorEastAsia" w:hAnsiTheme="minorEastAsia" w:eastAsiaTheme="minorEastAsia"/>
          <w:szCs w:val="21"/>
        </w:rPr>
        <w:t>）对本单位的投标文件</w:t>
      </w:r>
      <w:r>
        <w:rPr>
          <w:rFonts w:hint="eastAsia" w:asciiTheme="minorEastAsia" w:hAnsiTheme="minorEastAsia" w:eastAsiaTheme="minorEastAsia"/>
          <w:szCs w:val="21"/>
        </w:rPr>
        <w:t>进行</w:t>
      </w:r>
      <w:r>
        <w:rPr>
          <w:rFonts w:asciiTheme="minorEastAsia" w:hAnsiTheme="minorEastAsia" w:eastAsiaTheme="minorEastAsia"/>
          <w:szCs w:val="21"/>
        </w:rPr>
        <w:t>解密。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32.3</w:t>
      </w:r>
      <w:r>
        <w:rPr>
          <w:rFonts w:asciiTheme="minorEastAsia" w:hAnsiTheme="minorEastAsia" w:eastAsiaTheme="minorEastAsia"/>
          <w:szCs w:val="21"/>
        </w:rPr>
        <w:t>开标时，采购代理机构将通过网上开标系统公布</w:t>
      </w:r>
      <w:r>
        <w:rPr>
          <w:rFonts w:hint="eastAsia" w:asciiTheme="minorEastAsia" w:hAnsiTheme="minorEastAsia" w:eastAsiaTheme="minorEastAsia"/>
          <w:szCs w:val="21"/>
        </w:rPr>
        <w:t>开标结果，公布内容包括投标人名称、投标报价及招标文件规定的其他内容。</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本项目开标分为二个阶段。第一阶段为开启资格要求响应文件和商务技术文件进行评审，待资格及商务技术评审结束后，在政采云系统上公布第一阶段无效投标人名单及其他有效投标人的商务技术得分；第二阶段为开启所有有效投标人的报价要求响应文件，并公布投标人的投标报价等信息。</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经评标委员会评审后在政采云系统上公布投标人的最终得分。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32.4投标人如未在线参加开标的，视同认可开标结果，事后不得对开标结果提出异议。同时，投标人因未在线参加开标而导致电子加密投标文件无法按时解密等一切后果由投标人自行承担。</w:t>
      </w:r>
    </w:p>
    <w:p>
      <w:pPr>
        <w:snapToGrid w:val="0"/>
        <w:spacing w:line="360" w:lineRule="auto"/>
        <w:ind w:firstLine="420" w:firstLineChars="200"/>
        <w:jc w:val="left"/>
        <w:rPr>
          <w:rFonts w:cs="Arial" w:asciiTheme="minorEastAsia" w:hAnsiTheme="minorEastAsia" w:eastAsiaTheme="minorEastAsia"/>
          <w:kern w:val="0"/>
          <w:szCs w:val="21"/>
        </w:rPr>
      </w:pPr>
      <w:r>
        <w:rPr>
          <w:rFonts w:hint="eastAsia" w:asciiTheme="minorEastAsia" w:hAnsiTheme="minorEastAsia" w:eastAsiaTheme="minorEastAsia"/>
          <w:szCs w:val="21"/>
        </w:rPr>
        <w:t>32.5发生投标人在规定时间内解密电子加密投标文件但解密失败的情形，如投标人已按招标文件规定提交了备份投标文件，将由采购代理机构按政采云平台操作规范将备份投标文件上传至政采云平台异常端口处理，上传成功后，电子加密投标文件自动失效；使用备份文件仍无法成功或投标人</w:t>
      </w:r>
      <w:r>
        <w:rPr>
          <w:rFonts w:hint="eastAsia" w:cs="Arial" w:asciiTheme="minorEastAsia" w:hAnsiTheme="minorEastAsia" w:eastAsiaTheme="minorEastAsia"/>
          <w:kern w:val="0"/>
          <w:szCs w:val="21"/>
        </w:rPr>
        <w:t>未按规定提交备份投标文件的</w:t>
      </w:r>
      <w:r>
        <w:rPr>
          <w:rFonts w:hint="eastAsia" w:asciiTheme="minorEastAsia" w:hAnsiTheme="minorEastAsia" w:eastAsiaTheme="minorEastAsia"/>
          <w:szCs w:val="21"/>
        </w:rPr>
        <w:t>，</w:t>
      </w:r>
      <w:r>
        <w:rPr>
          <w:rFonts w:hint="eastAsia" w:asciiTheme="minorEastAsia" w:hAnsiTheme="minorEastAsia" w:eastAsiaTheme="minorEastAsia"/>
          <w:b/>
          <w:szCs w:val="21"/>
        </w:rPr>
        <w:t>视为撤回投标文件</w:t>
      </w:r>
      <w:r>
        <w:rPr>
          <w:rFonts w:hint="eastAsia" w:asciiTheme="minorEastAsia" w:hAnsiTheme="minorEastAsia" w:eastAsiaTheme="minorEastAsia"/>
          <w:szCs w:val="21"/>
        </w:rPr>
        <w:t>。</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电子加密投标文件已按时解密的，备份投标文件自动失效。</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32.6</w:t>
      </w:r>
      <w:r>
        <w:rPr>
          <w:rFonts w:asciiTheme="minorEastAsia" w:hAnsiTheme="minorEastAsia" w:eastAsiaTheme="minorEastAsia"/>
          <w:szCs w:val="21"/>
        </w:rPr>
        <w:t>开标过程由采购代理机构负责记录，由参加开标的投标人代表和相关工作人员签字确认后随采购文件一并存档。</w:t>
      </w:r>
    </w:p>
    <w:p>
      <w:pPr>
        <w:snapToGri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投标人代表对开标过程和开标记录有疑义，以及认为</w:t>
      </w:r>
      <w:r>
        <w:rPr>
          <w:rFonts w:hint="eastAsia" w:asciiTheme="minorEastAsia" w:hAnsiTheme="minorEastAsia" w:eastAsiaTheme="minorEastAsia"/>
          <w:szCs w:val="21"/>
        </w:rPr>
        <w:t>采购人或采购代理机构</w:t>
      </w:r>
      <w:r>
        <w:rPr>
          <w:rFonts w:asciiTheme="minorEastAsia" w:hAnsiTheme="minorEastAsia" w:eastAsiaTheme="minorEastAsia"/>
          <w:szCs w:val="21"/>
        </w:rPr>
        <w:t>相关工作人员有需要回避的情形的，应当场提出询问或者回避申请。</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33.评标</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33.1采购代理机构负责组织评标工作，评标委员会负责具体评审。</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33.2开标结束后，采购人或采购代理机构依据法律法规和招标文件中规定的内容对投标人的资格进行审查，未通过资格审查的投标人不进入评标。</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33.3评标委员会由采购人代表和评审专家组成，成员为</w:t>
      </w:r>
      <w:r>
        <w:rPr>
          <w:rFonts w:asciiTheme="minorEastAsia" w:hAnsiTheme="minorEastAsia" w:eastAsiaTheme="minorEastAsia"/>
          <w:szCs w:val="21"/>
        </w:rPr>
        <w:t>5</w:t>
      </w:r>
      <w:r>
        <w:rPr>
          <w:rFonts w:hint="eastAsia" w:asciiTheme="minorEastAsia" w:hAnsiTheme="minorEastAsia" w:eastAsiaTheme="minorEastAsia"/>
          <w:szCs w:val="21"/>
        </w:rPr>
        <w:t>人及以上单数。</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评标委员会成员名单在评标结果公告前保密。评标委员会成员与供应商有下列利害关系之一的，应当回避：</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（1）参加采购活动前3年内与供应商存在劳动关系；</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（2）参加采购活动前3年内担任供应商的董事、监事；</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（3）参加采购活动前3年内是供应商的控股股东或者实际控制人；</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（4）与供应商的法定代表人或者负责人有夫妻、直系血亲、三代以内旁系血亲或者近姻亲关系；</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（5）与供应商有其他可能影响政府采购活动公平、公正进行的关系。</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33.4评标委员会应当对符合资格要求的投标人的投标文件进行符合性审查，以确定其是否满足招标文件的实质性要求。</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33.5对于投标文件中含义不明确、同类问题表述不一致或者有明显文字和计算错误的内容，评标委员会应当以书面形式要求投标人作出必要的澄清、说明或者补正。</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投标人的澄清、说明或者补正应当采用书面形式并加盖公章，或者由法定代表人或其授权的代表签字或盖章。投标人的澄清、说明或者补正不得超出投标文件的范围或者改变投标文件的实质性内容。</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上述书面方式为通过电子交易平台交换数据电文，投标人提交使用电子签名的相关数据电文或通过平台上传投标人的法定代表人或其授权的代表签字或加盖公章的文件的扫描件。给予投标人提交澄清、说明或补正的时间不少于30分钟，投标人已经明确表示澄清说明或补正完毕的除外。</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33.6评标委员会应当按照招标文件中规定的评标方法和标准，对符合性审查合格的投标文件进行商务和技术评估，综合比较与评价。</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33.7本项目采用综合评分法，评审程序及评分标准的设置详见《第四章  评标方法及评标标准》。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33.8报价修正</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电子交易平台客户端里开标一览表录入的投标报价与报价文件中的开标一览表投标报价不一致的，以报价文件中的投标报价为准。投标文件报价出现前后不一致的，按照下列规定修正：</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（1）投标文件中开标一览表（报价表）内容与投标文件中相应内容不一致的，以开标一览表（报价表）为准；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（2）大写金额和小写金额不一致的，以大写金额为准；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（3）单价金额小数点或者百分比有明显错位的，以开标一览表的总价为准，并修改单价；</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（4）总价金额与按单价汇总金额不一致的，以单价金额计算结果为准。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同时出现两种以上不一致的，按照前款规定的顺序修正。修正后的报价由投标人确认，采用书面形式并加盖公章，或者由投标人的法定代表人或其授权的代表签字。经投标人确认后产生约束力，投标人不确认的，</w:t>
      </w:r>
      <w:r>
        <w:rPr>
          <w:rFonts w:hint="eastAsia" w:asciiTheme="minorEastAsia" w:hAnsiTheme="minorEastAsia" w:eastAsiaTheme="minorEastAsia"/>
          <w:b/>
          <w:szCs w:val="21"/>
        </w:rPr>
        <w:t>其投标无效</w:t>
      </w:r>
      <w:r>
        <w:rPr>
          <w:rFonts w:hint="eastAsia" w:asciiTheme="minorEastAsia" w:hAnsiTheme="minorEastAsia" w:eastAsiaTheme="minorEastAsia"/>
          <w:szCs w:val="21"/>
        </w:rPr>
        <w:t>。</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33.9</w:t>
      </w:r>
      <w:r>
        <w:rPr>
          <w:rFonts w:asciiTheme="minorEastAsia" w:hAnsiTheme="minorEastAsia" w:eastAsiaTheme="minor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33.10</w:t>
      </w:r>
      <w:r>
        <w:rPr>
          <w:rFonts w:asciiTheme="minorEastAsia" w:hAnsiTheme="minorEastAsia" w:eastAsiaTheme="minorEastAsia"/>
          <w:szCs w:val="21"/>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33.11投标人存在下列情况之一的，投标无效:</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（1）投标文件未按招标文件要求签署、盖章影响投标文件效力的；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（2）不具备招标文件中规定的资格要求的（包括未提交有效的资格证明文件）；</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（3）未对招标文件的实质性条款作出响应的；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（4）报价超过招标文件中规定的预算金额或者最高限价或单项限价的；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（5）投标文件含有采购人不能接受的附加条件的；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（6）投标文件中含有虚假材料的；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（7）仅提交备份投标文件的；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（8）投标人违背诚实信用原则的；</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（9）不同投标人的投标文件出自同一终端设备或在相同Internet主机分配地址（相同IP地址）；</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（10）法律、法规和招标文件规定的其他无效情形。</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33.12所有有关人员对评标情况以及在评标过程中获悉的国家秘密、商业秘密负有保密责任。</w:t>
      </w:r>
    </w:p>
    <w:p>
      <w:pPr>
        <w:pStyle w:val="24"/>
        <w:snapToGrid w:val="0"/>
        <w:spacing w:beforeLines="0" w:afterLines="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34.废标的情形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在本项目招标采购中，出现下列情形之一的，应予废标：</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（1）符合资格要求的投标人或者对招标文件作实质响应的投标人不足三家的；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（2）出现影响采购公正的违法、违规行为的；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（3）投标人的报价均超过了采购预算，采购人不能支付的；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（4）因重大变故，采购任务取消的。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（5）电子交易平台无法正常运行，无法保证电子交易的公平、公正和安全的情况。</w:t>
      </w:r>
    </w:p>
    <w:p>
      <w:pPr>
        <w:pStyle w:val="24"/>
        <w:snapToGrid w:val="0"/>
        <w:spacing w:beforeLines="0" w:afterLines="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35.中止电子交易活动的情形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采购过程中出现以下情形，导致电子交易平台无法正常运行，或者无法保证电子交易的公平、公正和安全时，采购组织机构可中止电子交易活动：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（1）电子交易平台发生故障而无法登录访问的；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（2）电子交易平台应用或数据库出现错误，不能进行正常操作的；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（3）电子交易平台发现严重安全漏洞，有潜在泄密危险的；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（4）病毒发作导致不能进行正常操作的；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（5）其他无法保证电子交易的公平、公正和安全的情况。</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出现前款规定情形，不影响采购公平、公正性的，采购组织机构可以待上述情形消除后继续组织电子交易活动；影响或可能影响采购公平、公正性的，将重新采购。</w:t>
      </w:r>
    </w:p>
    <w:p>
      <w:pPr>
        <w:pStyle w:val="14"/>
        <w:widowControl w:val="0"/>
        <w:numPr>
          <w:ilvl w:val="0"/>
          <w:numId w:val="0"/>
        </w:numPr>
        <w:tabs>
          <w:tab w:val="clear" w:pos="454"/>
        </w:tabs>
        <w:snapToGrid w:val="0"/>
        <w:spacing w:afterLines="0"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六、授予合同</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36.中标人的确定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36.1</w:t>
      </w:r>
      <w:r>
        <w:rPr>
          <w:rFonts w:asciiTheme="minorEastAsia" w:hAnsiTheme="minorEastAsia" w:eastAsiaTheme="minorEastAsia"/>
          <w:szCs w:val="21"/>
        </w:rPr>
        <w:t>本项目</w:t>
      </w:r>
      <w:r>
        <w:rPr>
          <w:rFonts w:hint="eastAsia" w:asciiTheme="minorEastAsia" w:hAnsiTheme="minorEastAsia" w:eastAsiaTheme="minorEastAsia"/>
          <w:szCs w:val="21"/>
        </w:rPr>
        <w:t>采购人按评标报告推荐的中标候选人顺序确定排名第一的中标候选人为中标人。</w:t>
      </w:r>
      <w:r>
        <w:rPr>
          <w:rFonts w:asciiTheme="minorEastAsia" w:hAnsiTheme="minorEastAsia" w:eastAsiaTheme="minorEastAsia"/>
          <w:szCs w:val="21"/>
          <w:shd w:val="clear" w:color="auto" w:fill="FFFFFF"/>
        </w:rPr>
        <w:t>中标候选人并列的，由采购人或者采购人委托评标委员会按照招标文件规定的方式确定中标人；招标文件未规定的，采取随机抽取的方式确定。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36.2自中标人确定之日起2个工作日内，采购代理机构在招标公告发布媒体上公告中标结果，在公告中标结果的同时，向中标人发出中标通知书。</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36.3因重大变故采购任务取消时，采购人有权拒绝任何投标人中标，且对受影响的投标人不承担任何责任。</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37.签订合同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37.1采购人按照招标文件和中标人投标文件的规定，与中标人签订书面合同。所签订的合同不得对招标文件确定的事项和中标人投标文件作实质性修改。</w:t>
      </w:r>
    </w:p>
    <w:p>
      <w:pPr>
        <w:spacing w:line="360" w:lineRule="auto"/>
        <w:ind w:firstLine="420" w:firstLineChars="200"/>
        <w:rPr>
          <w:rFonts w:ascii="宋体" w:hAnsi="宋体"/>
          <w:szCs w:val="21"/>
        </w:rPr>
      </w:pPr>
      <w:r>
        <w:rPr>
          <w:rFonts w:hint="eastAsia" w:asciiTheme="minorEastAsia" w:hAnsiTheme="minorEastAsia" w:eastAsiaTheme="minorEastAsia"/>
          <w:szCs w:val="21"/>
        </w:rPr>
        <w:t>37.2采购人和中标人可以按照招标文件提供的合同文本签订合同，也可以由双方商议后重新拟定，但正式签订的合同应当包括招标文件提供的合同文本中已经确定的实质性条款。</w:t>
      </w:r>
    </w:p>
    <w:p>
      <w:pPr>
        <w:pStyle w:val="40"/>
        <w:spacing w:line="360" w:lineRule="auto"/>
        <w:rPr>
          <w:rFonts w:ascii="宋体" w:hAnsi="宋体" w:eastAsia="宋体"/>
          <w:sz w:val="32"/>
        </w:rPr>
      </w:pPr>
      <w:r>
        <w:rPr>
          <w:rFonts w:ascii="宋体" w:hAnsi="宋体" w:eastAsia="宋体"/>
          <w:sz w:val="21"/>
          <w:szCs w:val="21"/>
        </w:rPr>
        <w:br w:type="page"/>
      </w:r>
      <w:bookmarkStart w:id="42" w:name="_Toc34844744"/>
      <w:r>
        <w:rPr>
          <w:rFonts w:hint="eastAsia" w:ascii="宋体" w:hAnsi="宋体" w:eastAsia="宋体"/>
          <w:sz w:val="24"/>
        </w:rPr>
        <w:t xml:space="preserve">第四章  </w:t>
      </w:r>
      <w:r>
        <w:rPr>
          <w:rFonts w:ascii="宋体" w:hAnsi="宋体" w:eastAsia="宋体"/>
          <w:sz w:val="24"/>
        </w:rPr>
        <w:t>评标</w:t>
      </w:r>
      <w:r>
        <w:rPr>
          <w:rFonts w:hint="eastAsia" w:ascii="宋体" w:hAnsi="宋体" w:eastAsia="宋体"/>
          <w:sz w:val="24"/>
        </w:rPr>
        <w:t>方法</w:t>
      </w:r>
      <w:r>
        <w:rPr>
          <w:rFonts w:ascii="宋体" w:hAnsi="宋体" w:eastAsia="宋体"/>
          <w:sz w:val="24"/>
        </w:rPr>
        <w:t>及</w:t>
      </w:r>
      <w:r>
        <w:rPr>
          <w:rFonts w:hint="eastAsia" w:ascii="宋体" w:hAnsi="宋体" w:eastAsia="宋体"/>
          <w:sz w:val="24"/>
        </w:rPr>
        <w:t>评标</w:t>
      </w:r>
      <w:r>
        <w:rPr>
          <w:rFonts w:ascii="宋体" w:hAnsi="宋体" w:eastAsia="宋体"/>
          <w:sz w:val="24"/>
        </w:rPr>
        <w:t>标准</w:t>
      </w:r>
      <w:bookmarkEnd w:id="42"/>
    </w:p>
    <w:p>
      <w:pPr>
        <w:spacing w:line="360" w:lineRule="auto"/>
        <w:ind w:firstLine="422" w:firstLineChars="200"/>
        <w:rPr>
          <w:rFonts w:ascii="宋体" w:hAnsi="宋体"/>
          <w:b/>
          <w:szCs w:val="21"/>
        </w:rPr>
      </w:pPr>
      <w:r>
        <w:rPr>
          <w:rFonts w:hint="eastAsia" w:ascii="宋体" w:hAnsi="宋体"/>
          <w:b/>
          <w:szCs w:val="21"/>
        </w:rPr>
        <w:t>一、总则</w:t>
      </w:r>
    </w:p>
    <w:p>
      <w:pPr>
        <w:spacing w:line="360" w:lineRule="auto"/>
        <w:ind w:firstLine="420" w:firstLineChars="200"/>
        <w:rPr>
          <w:rFonts w:ascii="宋体" w:hAnsi="宋体"/>
          <w:szCs w:val="21"/>
        </w:rPr>
      </w:pPr>
      <w:r>
        <w:rPr>
          <w:rFonts w:ascii="宋体" w:hAnsi="宋体"/>
          <w:szCs w:val="21"/>
        </w:rPr>
        <w:t>遵循公开、公正、公平、择优和诚实信用的原则，评标人员应本着认真、公正、诚实、廉洁的精神进行评标工作，择优推荐中标候选人。</w:t>
      </w:r>
      <w:r>
        <w:rPr>
          <w:rFonts w:hint="eastAsia" w:ascii="宋体" w:hAnsi="宋体"/>
          <w:szCs w:val="21"/>
        </w:rPr>
        <w:t>评标委员会成员</w:t>
      </w:r>
      <w:r>
        <w:rPr>
          <w:rFonts w:ascii="宋体" w:hAnsi="宋体"/>
          <w:szCs w:val="21"/>
        </w:rPr>
        <w:t>必须严格遵守保密规定，不得泄露评标的有关情况。</w:t>
      </w:r>
    </w:p>
    <w:p>
      <w:pPr>
        <w:spacing w:line="360" w:lineRule="auto"/>
        <w:ind w:firstLine="422" w:firstLineChars="200"/>
        <w:rPr>
          <w:rFonts w:ascii="宋体" w:hAnsi="宋体"/>
          <w:b/>
          <w:szCs w:val="21"/>
        </w:rPr>
      </w:pPr>
      <w:r>
        <w:rPr>
          <w:rFonts w:hint="eastAsia" w:ascii="宋体" w:hAnsi="宋体"/>
          <w:b/>
          <w:szCs w:val="21"/>
        </w:rPr>
        <w:t>二、评标方法</w:t>
      </w:r>
    </w:p>
    <w:p>
      <w:pPr>
        <w:spacing w:line="360" w:lineRule="auto"/>
        <w:ind w:firstLine="422" w:firstLineChars="200"/>
        <w:rPr>
          <w:rFonts w:ascii="宋体" w:hAnsi="宋体"/>
          <w:b/>
          <w:szCs w:val="21"/>
        </w:rPr>
      </w:pPr>
      <w:r>
        <w:rPr>
          <w:rFonts w:hint="eastAsia" w:ascii="宋体" w:hAnsi="宋体"/>
          <w:b/>
          <w:szCs w:val="21"/>
        </w:rPr>
        <w:t>1.本项目采用综合评分法。</w:t>
      </w:r>
    </w:p>
    <w:p>
      <w:pPr>
        <w:spacing w:line="360" w:lineRule="auto"/>
        <w:ind w:firstLine="420" w:firstLineChars="200"/>
        <w:rPr>
          <w:rFonts w:ascii="宋体" w:hAnsi="宋体"/>
          <w:szCs w:val="21"/>
        </w:rPr>
      </w:pPr>
      <w:r>
        <w:rPr>
          <w:rFonts w:hint="eastAsia" w:ascii="宋体" w:hAnsi="宋体"/>
          <w:szCs w:val="21"/>
        </w:rPr>
        <w:t>1.1评标时，评标委员会各成员应当独立对每个投标人的投标文件进行评价，根据评委打分表的</w:t>
      </w:r>
      <w:r>
        <w:rPr>
          <w:rFonts w:ascii="宋体" w:hAnsi="宋体"/>
          <w:szCs w:val="21"/>
        </w:rPr>
        <w:t>评分标准</w:t>
      </w:r>
      <w:r>
        <w:rPr>
          <w:rFonts w:hint="eastAsia" w:ascii="宋体" w:hAnsi="宋体"/>
          <w:szCs w:val="21"/>
        </w:rPr>
        <w:t>和评分</w:t>
      </w:r>
      <w:r>
        <w:rPr>
          <w:rFonts w:ascii="宋体" w:hAnsi="宋体"/>
          <w:szCs w:val="21"/>
        </w:rPr>
        <w:t>范围</w:t>
      </w:r>
      <w:r>
        <w:rPr>
          <w:rFonts w:hint="eastAsia" w:ascii="宋体" w:hAnsi="宋体"/>
          <w:szCs w:val="21"/>
        </w:rPr>
        <w:t>，逐栏打分并汇总。</w:t>
      </w:r>
    </w:p>
    <w:p>
      <w:pPr>
        <w:spacing w:line="360" w:lineRule="auto"/>
        <w:ind w:firstLine="420" w:firstLineChars="200"/>
        <w:rPr>
          <w:rFonts w:ascii="宋体" w:hAnsi="宋体"/>
          <w:szCs w:val="21"/>
        </w:rPr>
      </w:pPr>
      <w:r>
        <w:rPr>
          <w:rFonts w:hint="eastAsia" w:ascii="宋体" w:hAnsi="宋体"/>
          <w:szCs w:val="21"/>
        </w:rPr>
        <w:t>1.2评分均为小数点后四舍五入保留一位小数。</w:t>
      </w:r>
    </w:p>
    <w:p>
      <w:pPr>
        <w:spacing w:line="360" w:lineRule="auto"/>
        <w:ind w:firstLine="420" w:firstLineChars="200"/>
        <w:rPr>
          <w:rFonts w:ascii="宋体" w:hAnsi="宋体"/>
          <w:szCs w:val="21"/>
        </w:rPr>
      </w:pPr>
      <w:r>
        <w:rPr>
          <w:rFonts w:hint="eastAsia" w:ascii="宋体" w:hAnsi="宋体"/>
          <w:szCs w:val="21"/>
        </w:rPr>
        <w:t>1.3评委打分表中分值重复的上限不含本数,下限含本数。</w:t>
      </w:r>
    </w:p>
    <w:p>
      <w:pPr>
        <w:spacing w:line="360" w:lineRule="auto"/>
        <w:ind w:firstLine="420" w:firstLineChars="200"/>
        <w:rPr>
          <w:rFonts w:ascii="宋体" w:hAnsi="宋体"/>
          <w:szCs w:val="21"/>
        </w:rPr>
      </w:pPr>
      <w:r>
        <w:rPr>
          <w:rFonts w:hint="eastAsia" w:ascii="宋体" w:hAnsi="宋体"/>
          <w:szCs w:val="21"/>
        </w:rPr>
        <w:t>1.4</w:t>
      </w:r>
      <w:r>
        <w:rPr>
          <w:rFonts w:ascii="宋体" w:hAnsi="宋体"/>
          <w:szCs w:val="21"/>
        </w:rPr>
        <w:t>各投标人的</w:t>
      </w:r>
      <w:r>
        <w:rPr>
          <w:rFonts w:hint="eastAsia" w:ascii="宋体" w:hAnsi="宋体"/>
          <w:szCs w:val="21"/>
        </w:rPr>
        <w:t>最终评标</w:t>
      </w:r>
      <w:r>
        <w:rPr>
          <w:rFonts w:ascii="宋体" w:hAnsi="宋体"/>
          <w:szCs w:val="21"/>
        </w:rPr>
        <w:t>得分为所有评委</w:t>
      </w:r>
      <w:r>
        <w:rPr>
          <w:rFonts w:hint="eastAsia" w:ascii="宋体" w:hAnsi="宋体"/>
          <w:szCs w:val="21"/>
        </w:rPr>
        <w:t>评</w:t>
      </w:r>
      <w:r>
        <w:rPr>
          <w:rFonts w:ascii="宋体" w:hAnsi="宋体"/>
          <w:szCs w:val="21"/>
        </w:rPr>
        <w:t>分的算术平均数</w:t>
      </w:r>
      <w:r>
        <w:rPr>
          <w:rFonts w:hint="eastAsia" w:ascii="宋体" w:hAnsi="宋体"/>
          <w:szCs w:val="21"/>
        </w:rPr>
        <w:t>，小数点后四舍五入保留二位小数。</w:t>
      </w:r>
    </w:p>
    <w:p>
      <w:pPr>
        <w:spacing w:line="360" w:lineRule="auto"/>
        <w:ind w:firstLine="422" w:firstLineChars="200"/>
        <w:rPr>
          <w:rFonts w:ascii="宋体" w:hAnsi="宋体"/>
          <w:b/>
        </w:rPr>
      </w:pPr>
      <w:r>
        <w:rPr>
          <w:rFonts w:hint="eastAsia" w:ascii="宋体" w:hAnsi="宋体"/>
          <w:b/>
        </w:rPr>
        <w:t>2.价格扣除（价格优惠）</w:t>
      </w:r>
    </w:p>
    <w:p>
      <w:pPr>
        <w:spacing w:line="360" w:lineRule="auto"/>
        <w:ind w:firstLine="420" w:firstLineChars="200"/>
        <w:rPr>
          <w:rFonts w:ascii="宋体" w:hAnsi="宋体"/>
        </w:rPr>
      </w:pPr>
      <w:r>
        <w:rPr>
          <w:rFonts w:hint="eastAsia" w:asciiTheme="minorEastAsia" w:hAnsiTheme="minorEastAsia" w:eastAsiaTheme="minorEastAsia"/>
          <w:szCs w:val="21"/>
        </w:rPr>
        <w:t>对满足价格扣除条件且在投标文件中提交了</w:t>
      </w:r>
      <w:r>
        <w:rPr>
          <w:rFonts w:asciiTheme="minorEastAsia" w:hAnsiTheme="minorEastAsia" w:eastAsiaTheme="minorEastAsia"/>
          <w:szCs w:val="21"/>
        </w:rPr>
        <w:t>《中小企业声明函》《残疾人福利性单位声明函》</w:t>
      </w:r>
      <w:r>
        <w:rPr>
          <w:rFonts w:hint="eastAsia" w:asciiTheme="minorEastAsia" w:hAnsiTheme="minorEastAsia" w:eastAsiaTheme="minorEastAsia"/>
          <w:szCs w:val="21"/>
        </w:rPr>
        <w:t>的供应商，</w:t>
      </w:r>
      <w:r>
        <w:rPr>
          <w:rFonts w:asciiTheme="minorEastAsia" w:hAnsiTheme="minorEastAsia" w:eastAsiaTheme="minorEastAsia"/>
          <w:szCs w:val="21"/>
        </w:rPr>
        <w:t>对</w:t>
      </w:r>
      <w:r>
        <w:rPr>
          <w:rFonts w:hint="eastAsia" w:asciiTheme="minorEastAsia" w:hAnsiTheme="minorEastAsia" w:eastAsiaTheme="minorEastAsia"/>
          <w:szCs w:val="21"/>
        </w:rPr>
        <w:t>其</w:t>
      </w:r>
      <w:r>
        <w:rPr>
          <w:rFonts w:hint="eastAsia" w:asciiTheme="minorEastAsia" w:hAnsiTheme="minorEastAsia" w:eastAsiaTheme="minorEastAsia"/>
          <w:szCs w:val="21"/>
          <w:lang w:val="en-US" w:eastAsia="zh-CN"/>
        </w:rPr>
        <w:t>投标</w:t>
      </w:r>
      <w:r>
        <w:rPr>
          <w:rFonts w:hint="eastAsia" w:asciiTheme="minorEastAsia" w:hAnsiTheme="minorEastAsia" w:eastAsiaTheme="minorEastAsia"/>
          <w:szCs w:val="21"/>
        </w:rPr>
        <w:t>报价给予</w:t>
      </w:r>
      <w:r>
        <w:rPr>
          <w:rFonts w:hint="eastAsia" w:cs="Arial" w:asciiTheme="minorEastAsia" w:hAnsiTheme="minorEastAsia" w:eastAsiaTheme="minorEastAsia"/>
          <w:szCs w:val="21"/>
          <w:u w:val="single"/>
        </w:rPr>
        <w:t xml:space="preserve"> </w:t>
      </w:r>
      <w:r>
        <w:rPr>
          <w:rFonts w:cs="Arial" w:asciiTheme="minorEastAsia" w:hAnsiTheme="minorEastAsia" w:eastAsiaTheme="minorEastAsia"/>
          <w:szCs w:val="21"/>
          <w:u w:val="single"/>
        </w:rPr>
        <w:t>20</w:t>
      </w:r>
      <w:r>
        <w:rPr>
          <w:rFonts w:hint="eastAsia" w:cs="Arial" w:asciiTheme="minorEastAsia" w:hAnsiTheme="minorEastAsia" w:eastAsiaTheme="minorEastAsia"/>
          <w:szCs w:val="21"/>
          <w:u w:val="single"/>
        </w:rPr>
        <w:t xml:space="preserve"> </w:t>
      </w:r>
      <w:r>
        <w:rPr>
          <w:rFonts w:hint="eastAsia" w:cs="Arial" w:asciiTheme="minorEastAsia" w:hAnsiTheme="minorEastAsia" w:eastAsiaTheme="minorEastAsia"/>
          <w:szCs w:val="21"/>
        </w:rPr>
        <w:t>%</w:t>
      </w:r>
      <w:r>
        <w:rPr>
          <w:rFonts w:asciiTheme="minorEastAsia" w:hAnsiTheme="minorEastAsia" w:eastAsiaTheme="minorEastAsia"/>
          <w:szCs w:val="21"/>
        </w:rPr>
        <w:t>的</w:t>
      </w:r>
      <w:r>
        <w:rPr>
          <w:rFonts w:hint="eastAsia" w:asciiTheme="minorEastAsia" w:hAnsiTheme="minorEastAsia" w:eastAsiaTheme="minorEastAsia"/>
          <w:szCs w:val="21"/>
        </w:rPr>
        <w:t>扣除。</w:t>
      </w:r>
      <w:r>
        <w:rPr>
          <w:rFonts w:asciiTheme="minorEastAsia" w:hAnsiTheme="minorEastAsia" w:eastAsiaTheme="minorEastAsia"/>
        </w:rPr>
        <w:t>对于联合协议或者分包意向协议约定小微企业的合同份额占到合同总金额30%以上的，对联合体或者大中型企业的报价给予</w:t>
      </w:r>
      <w:r>
        <w:rPr>
          <w:rFonts w:hint="eastAsia" w:cs="Arial" w:asciiTheme="minorEastAsia" w:hAnsiTheme="minorEastAsia" w:eastAsiaTheme="minorEastAsia"/>
          <w:szCs w:val="21"/>
          <w:u w:val="single"/>
        </w:rPr>
        <w:t xml:space="preserve"> </w:t>
      </w:r>
      <w:r>
        <w:rPr>
          <w:rFonts w:cs="Arial" w:asciiTheme="minorEastAsia" w:hAnsiTheme="minorEastAsia" w:eastAsiaTheme="minorEastAsia"/>
          <w:szCs w:val="21"/>
          <w:u w:val="single"/>
        </w:rPr>
        <w:t>6</w:t>
      </w:r>
      <w:r>
        <w:rPr>
          <w:rFonts w:hint="eastAsia" w:cs="Arial" w:asciiTheme="minorEastAsia" w:hAnsiTheme="minorEastAsia" w:eastAsiaTheme="minorEastAsia"/>
          <w:szCs w:val="21"/>
          <w:u w:val="single"/>
        </w:rPr>
        <w:t xml:space="preserve"> </w:t>
      </w:r>
      <w:r>
        <w:rPr>
          <w:rFonts w:hint="eastAsia" w:cs="Arial" w:asciiTheme="minorEastAsia" w:hAnsiTheme="minorEastAsia" w:eastAsiaTheme="minorEastAsia"/>
          <w:szCs w:val="21"/>
        </w:rPr>
        <w:t>%</w:t>
      </w:r>
      <w:r>
        <w:rPr>
          <w:rFonts w:asciiTheme="minorEastAsia" w:hAnsiTheme="minorEastAsia" w:eastAsiaTheme="minorEastAsia"/>
        </w:rPr>
        <w:t>的扣除。</w:t>
      </w:r>
    </w:p>
    <w:p>
      <w:pPr>
        <w:spacing w:line="360" w:lineRule="auto"/>
        <w:ind w:firstLine="422" w:firstLineChars="200"/>
        <w:rPr>
          <w:rFonts w:ascii="宋体" w:hAnsi="宋体"/>
          <w:b/>
          <w:szCs w:val="21"/>
        </w:rPr>
      </w:pPr>
      <w:r>
        <w:rPr>
          <w:rFonts w:hint="eastAsia" w:ascii="宋体" w:hAnsi="宋体"/>
          <w:b/>
          <w:szCs w:val="21"/>
        </w:rPr>
        <w:t>因落实政府采购政策进行价格调整的，以调整后的价格计算评标基准价和投标报价。</w:t>
      </w:r>
    </w:p>
    <w:p>
      <w:pPr>
        <w:spacing w:line="360" w:lineRule="auto"/>
        <w:ind w:firstLine="422" w:firstLineChars="200"/>
        <w:rPr>
          <w:rFonts w:ascii="宋体" w:hAnsi="宋体"/>
          <w:b/>
        </w:rPr>
      </w:pPr>
      <w:r>
        <w:rPr>
          <w:rFonts w:hint="eastAsia" w:ascii="宋体" w:hAnsi="宋体"/>
          <w:b/>
        </w:rPr>
        <w:t>2.1小型和微型企业产品价格扣除</w:t>
      </w:r>
    </w:p>
    <w:p>
      <w:pPr>
        <w:spacing w:line="360" w:lineRule="auto"/>
        <w:ind w:firstLine="420" w:firstLineChars="200"/>
        <w:rPr>
          <w:rFonts w:ascii="宋体" w:hAnsi="宋体"/>
        </w:rPr>
      </w:pPr>
      <w:r>
        <w:rPr>
          <w:rFonts w:hint="eastAsia" w:ascii="宋体" w:hAnsi="宋体"/>
        </w:rPr>
        <w:t>小型、微型企业应当同时符合以下条件：</w:t>
      </w:r>
    </w:p>
    <w:p>
      <w:pPr>
        <w:spacing w:line="360" w:lineRule="auto"/>
        <w:ind w:firstLine="420" w:firstLineChars="200"/>
        <w:rPr>
          <w:rFonts w:ascii="宋体" w:hAnsi="宋体"/>
        </w:rPr>
      </w:pPr>
      <w:r>
        <w:rPr>
          <w:rFonts w:hint="eastAsia" w:ascii="宋体" w:hAnsi="宋体"/>
        </w:rPr>
        <w:t>1）</w:t>
      </w:r>
      <w:r>
        <w:t>服务由中小企业承接，即提供服务的人员为中小企业依照《中华人民共和国劳动合同法》订立劳动合同的从业人员。</w:t>
      </w:r>
    </w:p>
    <w:p>
      <w:pPr>
        <w:spacing w:line="360" w:lineRule="auto"/>
        <w:ind w:firstLine="420" w:firstLineChars="200"/>
        <w:rPr>
          <w:rFonts w:ascii="宋体" w:hAnsi="宋体"/>
        </w:rPr>
      </w:pPr>
      <w:r>
        <w:rPr>
          <w:rFonts w:hint="eastAsia" w:ascii="宋体" w:hAnsi="宋体"/>
        </w:rPr>
        <w:t>2）</w:t>
      </w:r>
      <w:r>
        <w:t>在中华人民共和国境内依法设立，依据国务院批准的中小企业划分标准确定的小型企业和微型企业，</w:t>
      </w:r>
      <w:r>
        <w:rPr>
          <w:rFonts w:hint="eastAsia"/>
        </w:rPr>
        <w:t>且</w:t>
      </w:r>
      <w:r>
        <w:t>与大企业的负责人</w:t>
      </w:r>
      <w:r>
        <w:rPr>
          <w:rFonts w:hint="eastAsia"/>
        </w:rPr>
        <w:t>不</w:t>
      </w:r>
      <w:r>
        <w:t>为同一人，或者与大企业</w:t>
      </w:r>
      <w:r>
        <w:rPr>
          <w:rFonts w:hint="eastAsia"/>
        </w:rPr>
        <w:t>不</w:t>
      </w:r>
      <w:r>
        <w:t>存在直接控股、管理关系。</w:t>
      </w:r>
    </w:p>
    <w:p>
      <w:pPr>
        <w:spacing w:line="360" w:lineRule="auto"/>
        <w:ind w:firstLine="422" w:firstLineChars="200"/>
        <w:rPr>
          <w:rFonts w:ascii="宋体" w:hAnsi="宋体"/>
          <w:b/>
        </w:rPr>
      </w:pPr>
      <w:r>
        <w:rPr>
          <w:rFonts w:hint="eastAsia" w:ascii="宋体" w:hAnsi="宋体"/>
          <w:b/>
        </w:rPr>
        <w:t>3）符合</w:t>
      </w:r>
      <w:r>
        <w:rPr>
          <w:rFonts w:ascii="宋体" w:hAnsi="宋体"/>
          <w:b/>
        </w:rPr>
        <w:t>采购标的对应的中小企业划分标准所属行业</w:t>
      </w:r>
      <w:r>
        <w:rPr>
          <w:rFonts w:hint="eastAsia" w:ascii="宋体" w:hAnsi="宋体"/>
          <w:b/>
        </w:rPr>
        <w:t>：</w:t>
      </w:r>
      <w:r>
        <w:rPr>
          <w:rFonts w:hint="eastAsia" w:ascii="宋体" w:hAnsi="宋体"/>
          <w:iCs/>
          <w:u w:val="single"/>
          <w:lang w:eastAsia="zh-CN"/>
        </w:rPr>
        <w:t>饮用水水源地电子围栏数据采购项目（服务采购部分）</w:t>
      </w:r>
      <w:r>
        <w:rPr>
          <w:rFonts w:ascii="宋体" w:hAnsi="宋体"/>
          <w:iCs/>
          <w:u w:val="single"/>
        </w:rPr>
        <w:t xml:space="preserve"> </w:t>
      </w:r>
      <w:r>
        <w:rPr>
          <w:rFonts w:ascii="宋体" w:hAnsi="宋体"/>
        </w:rPr>
        <w:t>，属于</w:t>
      </w:r>
      <w:r>
        <w:rPr>
          <w:rFonts w:hint="eastAsia" w:ascii="宋体" w:hAnsi="宋体"/>
          <w:u w:val="single"/>
          <w:lang w:eastAsia="zh-CN"/>
        </w:rPr>
        <w:t>软件和信息技术服务业</w:t>
      </w:r>
      <w:r>
        <w:rPr>
          <w:rFonts w:ascii="宋体" w:hAnsi="宋体"/>
        </w:rPr>
        <w:t>；</w:t>
      </w:r>
    </w:p>
    <w:p>
      <w:pPr>
        <w:spacing w:line="360" w:lineRule="auto"/>
        <w:ind w:firstLine="420" w:firstLineChars="200"/>
        <w:rPr>
          <w:rFonts w:ascii="宋体" w:hAnsi="宋体"/>
        </w:rPr>
      </w:pPr>
      <w:r>
        <w:rPr>
          <w:rFonts w:hint="eastAsia" w:ascii="宋体" w:hAnsi="宋体"/>
        </w:rPr>
        <w:t>中小企业划分标准以《工业和信息化部、国家统计局、国家发展和改革委员会、财政部关于印发中小企业划型标准规定的通知》（工信部联企业[2011]300号）规定的划分标准为准。</w:t>
      </w:r>
    </w:p>
    <w:p>
      <w:pPr>
        <w:spacing w:line="360" w:lineRule="auto"/>
        <w:ind w:firstLine="420" w:firstLineChars="200"/>
        <w:rPr>
          <w:rFonts w:ascii="宋体" w:hAnsi="宋体"/>
        </w:rPr>
      </w:pPr>
      <w:r>
        <w:rPr>
          <w:rFonts w:hint="eastAsia" w:ascii="宋体" w:hAnsi="宋体"/>
        </w:rPr>
        <w:t>参加政府采购活动的</w:t>
      </w:r>
      <w:r>
        <w:rPr>
          <w:rFonts w:hint="eastAsia" w:ascii="宋体" w:hAnsi="宋体"/>
          <w:b/>
        </w:rPr>
        <w:t>小型企业和微型企业</w:t>
      </w:r>
      <w:r>
        <w:rPr>
          <w:rFonts w:hint="eastAsia" w:ascii="宋体" w:hAnsi="宋体"/>
        </w:rPr>
        <w:t>应当在投标文件中提供《中小企业声明函》，否则不予认可。</w:t>
      </w:r>
    </w:p>
    <w:p>
      <w:pPr>
        <w:spacing w:line="360" w:lineRule="auto"/>
        <w:ind w:firstLine="422" w:firstLineChars="200"/>
        <w:rPr>
          <w:rFonts w:ascii="宋体" w:hAnsi="宋体"/>
          <w:b/>
        </w:rPr>
      </w:pPr>
      <w:r>
        <w:rPr>
          <w:rFonts w:hint="eastAsia" w:ascii="宋体" w:hAnsi="宋体"/>
          <w:b/>
        </w:rPr>
        <w:t>2.</w:t>
      </w:r>
      <w:r>
        <w:rPr>
          <w:rFonts w:ascii="宋体" w:hAnsi="宋体"/>
          <w:b/>
        </w:rPr>
        <w:t>2</w:t>
      </w:r>
      <w:r>
        <w:rPr>
          <w:rFonts w:hint="eastAsia" w:ascii="宋体" w:hAnsi="宋体"/>
          <w:b/>
        </w:rPr>
        <w:t>残疾人福利性单位产品价格扣除</w:t>
      </w:r>
    </w:p>
    <w:p>
      <w:pPr>
        <w:spacing w:line="360" w:lineRule="auto"/>
        <w:ind w:firstLine="420" w:firstLineChars="200"/>
        <w:rPr>
          <w:rFonts w:ascii="宋体" w:hAnsi="宋体"/>
        </w:rPr>
      </w:pPr>
      <w:r>
        <w:rPr>
          <w:rFonts w:hint="eastAsia" w:ascii="宋体" w:hAnsi="宋体"/>
        </w:rPr>
        <w:t>根据《关于促进残疾人就业政府采购政策的通知》（财库[2017]141号）的规定，符合条件的残疾人福利性单位在参加政府采购活动时，在投标文件中提供该通知规定的《残疾人福利性单位声明函》，并对声明的真实性负责。</w:t>
      </w:r>
    </w:p>
    <w:p>
      <w:pPr>
        <w:spacing w:line="360" w:lineRule="auto"/>
        <w:ind w:firstLine="420" w:firstLineChars="200"/>
        <w:rPr>
          <w:rFonts w:ascii="宋体" w:hAnsi="宋体"/>
        </w:rPr>
      </w:pPr>
      <w:r>
        <w:rPr>
          <w:rFonts w:hint="eastAsia" w:ascii="宋体" w:hAnsi="宋体"/>
        </w:rPr>
        <w:t>中标人为残疾人福利性单位的，采购人或采购代理机构随采购结果同时公告其《残疾人福利性单位声明函》，接受社会监督。</w:t>
      </w:r>
    </w:p>
    <w:p>
      <w:pPr>
        <w:spacing w:line="360" w:lineRule="auto"/>
        <w:ind w:firstLine="420" w:firstLineChars="200"/>
        <w:rPr>
          <w:rFonts w:ascii="宋体" w:hAnsi="宋体"/>
        </w:rPr>
      </w:pPr>
      <w:r>
        <w:rPr>
          <w:rFonts w:hint="eastAsia" w:ascii="宋体" w:hAnsi="宋体"/>
        </w:rPr>
        <w:t>投标人提供的《残疾人福利性单位声明函》与事实不符的，依照《政府采购法》第七十七条第一款的规定追究法律责任。</w:t>
      </w:r>
    </w:p>
    <w:p>
      <w:pPr>
        <w:spacing w:line="360" w:lineRule="auto"/>
        <w:rPr>
          <w:rFonts w:asciiTheme="minorEastAsia" w:hAnsiTheme="minorEastAsia" w:eastAsiaTheme="minorEastAsia"/>
          <w:b/>
          <w:szCs w:val="21"/>
        </w:rPr>
      </w:pPr>
      <w:r>
        <w:rPr>
          <w:rFonts w:hint="eastAsia" w:ascii="宋体" w:hAnsi="宋体"/>
          <w:b/>
          <w:szCs w:val="21"/>
        </w:rPr>
        <w:t>三、</w:t>
      </w:r>
      <w:r>
        <w:rPr>
          <w:rFonts w:hint="eastAsia" w:asciiTheme="minorEastAsia" w:hAnsiTheme="minorEastAsia" w:eastAsiaTheme="minorEastAsia"/>
          <w:b/>
          <w:szCs w:val="21"/>
        </w:rPr>
        <w:t>评审程序</w:t>
      </w:r>
    </w:p>
    <w:p>
      <w:pPr>
        <w:spacing w:line="360" w:lineRule="auto"/>
        <w:ind w:firstLine="435"/>
        <w:rPr>
          <w:rFonts w:asciiTheme="minorEastAsia" w:hAnsiTheme="minorEastAsia" w:eastAsiaTheme="minorEastAsia"/>
          <w:b/>
          <w:szCs w:val="21"/>
        </w:rPr>
      </w:pPr>
      <w:r>
        <w:rPr>
          <w:rFonts w:hint="eastAsia" w:asciiTheme="minorEastAsia" w:hAnsiTheme="minorEastAsia" w:eastAsiaTheme="minorEastAsia"/>
          <w:b/>
          <w:szCs w:val="21"/>
        </w:rPr>
        <w:t>1.资格审查</w:t>
      </w:r>
    </w:p>
    <w:p>
      <w:pPr>
        <w:spacing w:line="360" w:lineRule="auto"/>
        <w:ind w:firstLine="435"/>
        <w:rPr>
          <w:rFonts w:asciiTheme="minorEastAsia" w:hAnsiTheme="minorEastAsia" w:eastAsiaTheme="minorEastAsia"/>
          <w:szCs w:val="21"/>
        </w:rPr>
      </w:pPr>
      <w:r>
        <w:rPr>
          <w:rFonts w:asciiTheme="minorEastAsia" w:hAnsiTheme="minorEastAsia" w:eastAsiaTheme="minorEastAsia"/>
          <w:szCs w:val="21"/>
        </w:rPr>
        <w:t>由采购人或采购代理机构对</w:t>
      </w:r>
      <w:r>
        <w:rPr>
          <w:rFonts w:hint="eastAsia" w:asciiTheme="minorEastAsia" w:hAnsiTheme="minorEastAsia" w:eastAsiaTheme="minorEastAsia"/>
          <w:szCs w:val="21"/>
        </w:rPr>
        <w:t>投标人进行资格审查</w:t>
      </w:r>
      <w:r>
        <w:rPr>
          <w:rFonts w:asciiTheme="minorEastAsia" w:hAnsiTheme="minorEastAsia" w:eastAsiaTheme="minorEastAsia"/>
          <w:szCs w:val="21"/>
        </w:rPr>
        <w:t>。资格审查</w:t>
      </w:r>
      <w:r>
        <w:rPr>
          <w:rFonts w:hint="eastAsia" w:asciiTheme="minorEastAsia" w:hAnsiTheme="minorEastAsia" w:eastAsiaTheme="minorEastAsia"/>
          <w:szCs w:val="21"/>
        </w:rPr>
        <w:t>内容</w:t>
      </w:r>
      <w:r>
        <w:rPr>
          <w:rFonts w:asciiTheme="minorEastAsia" w:hAnsiTheme="minorEastAsia" w:eastAsiaTheme="minorEastAsia"/>
          <w:szCs w:val="21"/>
        </w:rPr>
        <w:t>如下：</w:t>
      </w:r>
    </w:p>
    <w:tbl>
      <w:tblPr>
        <w:tblStyle w:val="44"/>
        <w:tblW w:w="87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825"/>
        <w:gridCol w:w="314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825" w:type="dxa"/>
            <w:tcBorders>
              <w:bottom w:val="single" w:color="auto" w:sz="4" w:space="0"/>
            </w:tcBorders>
            <w:vAlign w:val="center"/>
          </w:tcPr>
          <w:p>
            <w:pPr>
              <w:pStyle w:val="390"/>
              <w:pBdr>
                <w:bottom w:val="none" w:color="auto" w:sz="0" w:space="0"/>
              </w:pBdr>
              <w:tabs>
                <w:tab w:val="clear" w:pos="4153"/>
                <w:tab w:val="clear" w:pos="8306"/>
              </w:tabs>
              <w:snapToGrid w:val="0"/>
              <w:spacing w:line="240" w:lineRule="auto"/>
              <w:ind w:right="-10"/>
              <w:textAlignment w:val="auto"/>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评审指标</w:t>
            </w:r>
          </w:p>
        </w:tc>
        <w:tc>
          <w:tcPr>
            <w:tcW w:w="3142"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评审标准</w:t>
            </w:r>
          </w:p>
        </w:tc>
        <w:tc>
          <w:tcPr>
            <w:tcW w:w="311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825"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营业执照</w:t>
            </w:r>
          </w:p>
        </w:tc>
        <w:tc>
          <w:tcPr>
            <w:tcW w:w="3142" w:type="dxa"/>
            <w:vAlign w:val="center"/>
          </w:tcPr>
          <w:p>
            <w:pPr>
              <w:ind w:right="-10"/>
              <w:jc w:val="center"/>
              <w:rPr>
                <w:rFonts w:asciiTheme="minorEastAsia" w:hAnsiTheme="minorEastAsia" w:eastAsiaTheme="minorEastAsia"/>
                <w:szCs w:val="21"/>
              </w:rPr>
            </w:pPr>
            <w:r>
              <w:rPr>
                <w:rFonts w:hint="eastAsia" w:asciiTheme="minorEastAsia" w:hAnsiTheme="minorEastAsia" w:eastAsiaTheme="minorEastAsia"/>
                <w:szCs w:val="21"/>
              </w:rPr>
              <w:t>合法有效</w:t>
            </w:r>
          </w:p>
        </w:tc>
        <w:tc>
          <w:tcPr>
            <w:tcW w:w="3113"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提供有效的投标人营业执照复制件（包括拍照、复印、扫描等）并加盖公章（联合体投标的联合体各方均须提供）。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825" w:type="dxa"/>
            <w:tcBorders>
              <w:bottom w:val="single" w:color="auto" w:sz="4" w:space="0"/>
            </w:tcBorders>
            <w:vAlign w:val="center"/>
          </w:tcPr>
          <w:p>
            <w:pPr>
              <w:ind w:right="-107"/>
              <w:jc w:val="left"/>
              <w:rPr>
                <w:rFonts w:asciiTheme="minorEastAsia" w:hAnsiTheme="minorEastAsia" w:eastAsiaTheme="minorEastAsia"/>
                <w:szCs w:val="21"/>
              </w:rPr>
            </w:pPr>
            <w:r>
              <w:rPr>
                <w:rFonts w:hint="eastAsia" w:asciiTheme="minorEastAsia" w:hAnsiTheme="minorEastAsia" w:eastAsiaTheme="minorEastAsia"/>
                <w:szCs w:val="21"/>
              </w:rPr>
              <w:t>不良信用记录查询</w:t>
            </w:r>
          </w:p>
        </w:tc>
        <w:tc>
          <w:tcPr>
            <w:tcW w:w="3142" w:type="dxa"/>
            <w:tcBorders>
              <w:bottom w:val="single" w:color="auto" w:sz="4" w:space="0"/>
            </w:tcBorders>
            <w:vAlign w:val="center"/>
          </w:tcPr>
          <w:p>
            <w:pPr>
              <w:ind w:right="-107"/>
              <w:jc w:val="left"/>
              <w:rPr>
                <w:rFonts w:asciiTheme="minorEastAsia" w:hAnsiTheme="minorEastAsia" w:eastAsiaTheme="minorEastAsia"/>
                <w:szCs w:val="21"/>
              </w:rPr>
            </w:pPr>
            <w:r>
              <w:rPr>
                <w:rFonts w:hint="eastAsia" w:asciiTheme="minorEastAsia" w:hAnsiTheme="minorEastAsia" w:eastAsiaTheme="minorEastAsia"/>
                <w:szCs w:val="21"/>
              </w:rPr>
              <w:t>投标人不得存在不良信用记录情形</w:t>
            </w:r>
          </w:p>
        </w:tc>
        <w:tc>
          <w:tcPr>
            <w:tcW w:w="3113" w:type="dxa"/>
            <w:tcBorders>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详见投标人须知正文第12条要求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825" w:type="dxa"/>
            <w:tcBorders>
              <w:bottom w:val="single" w:color="auto" w:sz="4" w:space="0"/>
            </w:tcBorders>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无重大违法记录</w:t>
            </w:r>
          </w:p>
        </w:tc>
        <w:tc>
          <w:tcPr>
            <w:tcW w:w="3142" w:type="dxa"/>
            <w:tcBorders>
              <w:bottom w:val="single" w:color="auto" w:sz="4" w:space="0"/>
            </w:tcBorders>
            <w:vAlign w:val="center"/>
          </w:tcPr>
          <w:p>
            <w:pPr>
              <w:ind w:right="-107"/>
              <w:jc w:val="left"/>
              <w:rPr>
                <w:rFonts w:asciiTheme="minorEastAsia" w:hAnsiTheme="minorEastAsia" w:eastAsiaTheme="minorEastAsia"/>
                <w:szCs w:val="21"/>
              </w:rPr>
            </w:pPr>
            <w:r>
              <w:rPr>
                <w:rFonts w:hint="eastAsia" w:asciiTheme="minorEastAsia" w:hAnsiTheme="minorEastAsia" w:eastAsiaTheme="minorEastAsia"/>
                <w:szCs w:val="21"/>
              </w:rPr>
              <w:t>格式、填写符合招标文件要求并加盖公章</w:t>
            </w:r>
          </w:p>
        </w:tc>
        <w:tc>
          <w:tcPr>
            <w:tcW w:w="3113" w:type="dxa"/>
            <w:tcBorders>
              <w:bottom w:val="single" w:color="auto" w:sz="4" w:space="0"/>
            </w:tcBorders>
            <w:vAlign w:val="center"/>
          </w:tcPr>
          <w:p>
            <w:pPr>
              <w:adjustRightInd w:val="0"/>
              <w:snapToGrid w:val="0"/>
              <w:ind w:right="-10"/>
              <w:jc w:val="left"/>
              <w:rPr>
                <w:rFonts w:asciiTheme="minorEastAsia" w:hAnsiTheme="minorEastAsia" w:eastAsiaTheme="minorEastAsia"/>
                <w:szCs w:val="21"/>
              </w:rPr>
            </w:pPr>
            <w:r>
              <w:rPr>
                <w:rFonts w:hint="eastAsia" w:asciiTheme="minorEastAsia" w:hAnsiTheme="minorEastAsia" w:eastAsiaTheme="minorEastAsia"/>
                <w:szCs w:val="21"/>
              </w:rPr>
              <w:t>投标人资格声明函（联合体投标的，联合体各方均须符合）。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825" w:type="dxa"/>
            <w:tcBorders>
              <w:bottom w:val="single" w:color="auto" w:sz="4" w:space="0"/>
            </w:tcBorders>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联合协议（允许联合体投标）</w:t>
            </w:r>
          </w:p>
        </w:tc>
        <w:tc>
          <w:tcPr>
            <w:tcW w:w="3142" w:type="dxa"/>
            <w:tcBorders>
              <w:bottom w:val="single" w:color="auto" w:sz="4" w:space="0"/>
            </w:tcBorders>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本项目接受联合体投标。</w:t>
            </w:r>
          </w:p>
        </w:tc>
        <w:tc>
          <w:tcPr>
            <w:tcW w:w="3113" w:type="dxa"/>
            <w:tcBorders>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若为联合体投标的，须提供。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825" w:type="dxa"/>
            <w:tcBorders>
              <w:bottom w:val="single" w:color="auto" w:sz="4" w:space="0"/>
            </w:tcBorders>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投标人特定资质</w:t>
            </w:r>
          </w:p>
        </w:tc>
        <w:tc>
          <w:tcPr>
            <w:tcW w:w="3142" w:type="dxa"/>
            <w:tcBorders>
              <w:bottom w:val="single" w:color="auto" w:sz="4" w:space="0"/>
            </w:tcBorders>
            <w:vAlign w:val="center"/>
          </w:tcPr>
          <w:p>
            <w:pPr>
              <w:ind w:right="-107"/>
              <w:jc w:val="left"/>
              <w:rPr>
                <w:rFonts w:asciiTheme="minorEastAsia" w:hAnsiTheme="minorEastAsia" w:eastAsiaTheme="minorEastAsia"/>
                <w:szCs w:val="21"/>
              </w:rPr>
            </w:pPr>
            <w:r>
              <w:rPr>
                <w:rFonts w:hint="eastAsia" w:asciiTheme="minorEastAsia" w:hAnsiTheme="minorEastAsia" w:eastAsiaTheme="minorEastAsia"/>
                <w:szCs w:val="21"/>
              </w:rPr>
              <w:t>符合申请人的资格要求</w:t>
            </w:r>
          </w:p>
        </w:tc>
        <w:tc>
          <w:tcPr>
            <w:tcW w:w="3113" w:type="dxa"/>
            <w:tcBorders>
              <w:bottom w:val="single" w:color="auto" w:sz="4" w:space="0"/>
            </w:tcBorders>
            <w:vAlign w:val="center"/>
          </w:tcPr>
          <w:p>
            <w:pPr>
              <w:adjustRightInd w:val="0"/>
              <w:snapToGrid w:val="0"/>
              <w:ind w:right="-10"/>
              <w:jc w:val="left"/>
              <w:rPr>
                <w:rFonts w:asciiTheme="minorEastAsia" w:hAnsiTheme="minorEastAsia" w:eastAsiaTheme="minorEastAsia"/>
                <w:szCs w:val="21"/>
              </w:rPr>
            </w:pPr>
            <w:r>
              <w:rPr>
                <w:rFonts w:hint="eastAsia" w:ascii="宋体" w:hAnsi="宋体"/>
                <w:color w:val="auto"/>
                <w:szCs w:val="21"/>
              </w:rPr>
              <w:t>若为联合体投标的，组成联合体的成员数量不得超过2家</w:t>
            </w:r>
            <w:r>
              <w:rPr>
                <w:rFonts w:hint="eastAsia" w:ascii="宋体" w:hAnsi="宋体"/>
                <w:iCs/>
                <w:color w:val="auto"/>
                <w:szCs w:val="21"/>
              </w:rPr>
              <w:t>。</w:t>
            </w:r>
          </w:p>
        </w:tc>
      </w:tr>
    </w:tbl>
    <w:p>
      <w:pPr>
        <w:spacing w:line="360" w:lineRule="auto"/>
        <w:ind w:firstLine="437"/>
        <w:rPr>
          <w:rFonts w:asciiTheme="minorEastAsia" w:hAnsiTheme="minorEastAsia" w:eastAsiaTheme="minorEastAsia"/>
          <w:szCs w:val="21"/>
        </w:rPr>
      </w:pPr>
      <w:r>
        <w:rPr>
          <w:rFonts w:hint="eastAsia" w:asciiTheme="minorEastAsia" w:hAnsiTheme="minorEastAsia" w:eastAsiaTheme="minorEastAsia"/>
          <w:b/>
          <w:bCs/>
          <w:szCs w:val="21"/>
        </w:rPr>
        <w:t>资格审查指标通过标准：</w:t>
      </w:r>
      <w:r>
        <w:rPr>
          <w:rFonts w:hint="eastAsia" w:asciiTheme="minorEastAsia" w:hAnsiTheme="minorEastAsia" w:eastAsiaTheme="minorEastAsia"/>
          <w:szCs w:val="21"/>
        </w:rPr>
        <w:t>投标人必须通过资格审查表中的全部评审指标。</w:t>
      </w:r>
    </w:p>
    <w:p>
      <w:pPr>
        <w:spacing w:line="360" w:lineRule="auto"/>
        <w:ind w:firstLine="437"/>
        <w:rPr>
          <w:rFonts w:asciiTheme="minorEastAsia" w:hAnsiTheme="minorEastAsia" w:eastAsiaTheme="minorEastAsia"/>
          <w:b/>
          <w:szCs w:val="21"/>
        </w:rPr>
      </w:pPr>
      <w:r>
        <w:rPr>
          <w:rFonts w:hint="eastAsia" w:asciiTheme="minorEastAsia" w:hAnsiTheme="minorEastAsia" w:eastAsiaTheme="minorEastAsia"/>
          <w:b/>
          <w:szCs w:val="21"/>
        </w:rPr>
        <w:t>2.符合性审查</w:t>
      </w:r>
    </w:p>
    <w:p>
      <w:pPr>
        <w:spacing w:line="360" w:lineRule="auto"/>
        <w:ind w:firstLine="437"/>
        <w:rPr>
          <w:rFonts w:asciiTheme="minorEastAsia" w:hAnsiTheme="minorEastAsia" w:eastAsiaTheme="minorEastAsia"/>
          <w:szCs w:val="21"/>
        </w:rPr>
      </w:pPr>
      <w:r>
        <w:rPr>
          <w:rFonts w:hint="eastAsia" w:asciiTheme="minorEastAsia" w:hAnsiTheme="minorEastAsia" w:eastAsiaTheme="minorEastAsia"/>
          <w:szCs w:val="21"/>
        </w:rPr>
        <w:t>评标委员会对通过资格审查的投标人的投标文件进行符合性审查，以确定其是否满足招标文件的实质性要求。符合性</w:t>
      </w:r>
      <w:r>
        <w:rPr>
          <w:rFonts w:asciiTheme="minorEastAsia" w:hAnsiTheme="minorEastAsia" w:eastAsiaTheme="minorEastAsia"/>
          <w:szCs w:val="21"/>
        </w:rPr>
        <w:t>审查</w:t>
      </w:r>
      <w:r>
        <w:rPr>
          <w:rFonts w:hint="eastAsia" w:asciiTheme="minorEastAsia" w:hAnsiTheme="minorEastAsia" w:eastAsiaTheme="minorEastAsia"/>
          <w:szCs w:val="21"/>
        </w:rPr>
        <w:t>内容</w:t>
      </w:r>
      <w:r>
        <w:rPr>
          <w:rFonts w:asciiTheme="minorEastAsia" w:hAnsiTheme="minorEastAsia" w:eastAsiaTheme="minorEastAsia"/>
          <w:szCs w:val="21"/>
        </w:rPr>
        <w:t>如下</w:t>
      </w:r>
      <w:r>
        <w:rPr>
          <w:rFonts w:hint="eastAsia" w:asciiTheme="minorEastAsia" w:hAnsiTheme="minorEastAsia" w:eastAsiaTheme="minorEastAsia"/>
          <w:szCs w:val="21"/>
        </w:rPr>
        <w:t>：</w:t>
      </w:r>
    </w:p>
    <w:tbl>
      <w:tblPr>
        <w:tblStyle w:val="44"/>
        <w:tblW w:w="88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956"/>
        <w:gridCol w:w="3002"/>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12"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56" w:type="dxa"/>
            <w:tcBorders>
              <w:bottom w:val="single" w:color="auto" w:sz="4" w:space="0"/>
            </w:tcBorders>
            <w:vAlign w:val="center"/>
          </w:tcPr>
          <w:p>
            <w:pPr>
              <w:pStyle w:val="390"/>
              <w:pBdr>
                <w:bottom w:val="none" w:color="auto" w:sz="0" w:space="0"/>
              </w:pBdr>
              <w:tabs>
                <w:tab w:val="clear" w:pos="4153"/>
                <w:tab w:val="clear" w:pos="8306"/>
              </w:tabs>
              <w:snapToGrid w:val="0"/>
              <w:spacing w:line="240" w:lineRule="auto"/>
              <w:ind w:right="-10"/>
              <w:textAlignment w:val="auto"/>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评审指标</w:t>
            </w:r>
          </w:p>
        </w:tc>
        <w:tc>
          <w:tcPr>
            <w:tcW w:w="3002"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评审标准</w:t>
            </w:r>
          </w:p>
        </w:tc>
        <w:tc>
          <w:tcPr>
            <w:tcW w:w="3171"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开标一览表</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格式、填写符合招标文件要求并加盖公章</w:t>
            </w:r>
          </w:p>
        </w:tc>
        <w:tc>
          <w:tcPr>
            <w:tcW w:w="3171"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投标函</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格式、填写符合招标文件要求并加盖公章</w:t>
            </w:r>
          </w:p>
        </w:tc>
        <w:tc>
          <w:tcPr>
            <w:tcW w:w="3171"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asciiTheme="minorEastAsia" w:hAnsiTheme="minorEastAsia" w:eastAsiaTheme="minorEastAsia"/>
                <w:szCs w:val="21"/>
              </w:rPr>
              <w:t>3</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法定代表人授权委托书及其附件</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格式、填写符合招标文件要求并加盖公章</w:t>
            </w:r>
          </w:p>
        </w:tc>
        <w:tc>
          <w:tcPr>
            <w:tcW w:w="3171" w:type="dxa"/>
            <w:vAlign w:val="center"/>
          </w:tcPr>
          <w:p>
            <w:pPr>
              <w:adjustRightInd w:val="0"/>
              <w:snapToGrid w:val="0"/>
              <w:ind w:right="-10"/>
              <w:rPr>
                <w:rFonts w:asciiTheme="minorEastAsia" w:hAnsiTheme="minorEastAsia" w:eastAsiaTheme="minorEastAsia"/>
                <w:szCs w:val="21"/>
              </w:rPr>
            </w:pPr>
            <w:r>
              <w:rPr>
                <w:rFonts w:hint="eastAsia" w:asciiTheme="minorEastAsia" w:hAnsiTheme="minorEastAsia" w:eastAsiaTheme="minorEastAsia"/>
                <w:szCs w:val="21"/>
              </w:rPr>
              <w:t>授权委托书及其附件；法定代表人参加投标的无需此件，提供身份证正反面复印件即可。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商务要求响应情况</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符合招标文件采购需求中明确的商务要求。</w:t>
            </w:r>
          </w:p>
        </w:tc>
        <w:tc>
          <w:tcPr>
            <w:tcW w:w="3171"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商务要求响应表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技术及服务要求响应情况</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符合招标文件采购需求中明确的技术及服务要求。</w:t>
            </w:r>
          </w:p>
        </w:tc>
        <w:tc>
          <w:tcPr>
            <w:tcW w:w="3171"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技术及服务响应表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其他要求</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符合法律、行政法规规定的其他条件或不存在招标文件列明的拒绝投标、不允许存在的其他要求</w:t>
            </w:r>
          </w:p>
        </w:tc>
        <w:tc>
          <w:tcPr>
            <w:tcW w:w="3171" w:type="dxa"/>
            <w:vAlign w:val="center"/>
          </w:tcPr>
          <w:p>
            <w:pPr>
              <w:adjustRightInd w:val="0"/>
              <w:snapToGrid w:val="0"/>
              <w:ind w:right="-1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投标报价</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投标报价未超过最高限价，且经评标委员会认定报价合理，不存在影响项目服务质量和合同履行的情形。</w:t>
            </w:r>
          </w:p>
        </w:tc>
        <w:tc>
          <w:tcPr>
            <w:tcW w:w="3171"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投标报价</w:t>
            </w:r>
          </w:p>
        </w:tc>
      </w:tr>
    </w:tbl>
    <w:p>
      <w:pPr>
        <w:spacing w:line="360" w:lineRule="auto"/>
        <w:ind w:firstLine="422" w:firstLineChars="200"/>
        <w:rPr>
          <w:rFonts w:ascii="宋体" w:hAnsi="宋体"/>
          <w:b/>
          <w:szCs w:val="21"/>
        </w:rPr>
      </w:pPr>
    </w:p>
    <w:tbl>
      <w:tblPr>
        <w:tblStyle w:val="44"/>
        <w:tblW w:w="9140" w:type="dxa"/>
        <w:tblInd w:w="0" w:type="dxa"/>
        <w:tblLayout w:type="autofit"/>
        <w:tblCellMar>
          <w:top w:w="0" w:type="dxa"/>
          <w:left w:w="108" w:type="dxa"/>
          <w:bottom w:w="0" w:type="dxa"/>
          <w:right w:w="108" w:type="dxa"/>
        </w:tblCellMar>
      </w:tblPr>
      <w:tblGrid>
        <w:gridCol w:w="1080"/>
        <w:gridCol w:w="6980"/>
        <w:gridCol w:w="1080"/>
      </w:tblGrid>
      <w:tr>
        <w:tblPrEx>
          <w:tblCellMar>
            <w:top w:w="0" w:type="dxa"/>
            <w:left w:w="108" w:type="dxa"/>
            <w:bottom w:w="0" w:type="dxa"/>
            <w:right w:w="108" w:type="dxa"/>
          </w:tblCellMar>
        </w:tblPrEx>
        <w:trPr>
          <w:trHeight w:val="292" w:hRule="atLeast"/>
        </w:trPr>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bookmarkStart w:id="43" w:name="_Hlk112944055"/>
            <w:r>
              <w:rPr>
                <w:rFonts w:hint="eastAsia" w:ascii="宋体" w:hAnsi="宋体" w:eastAsia="宋体" w:cs="宋体"/>
                <w:color w:val="000000"/>
                <w:kern w:val="0"/>
                <w:szCs w:val="21"/>
              </w:rPr>
              <w:t>评分项目</w:t>
            </w:r>
          </w:p>
        </w:tc>
        <w:tc>
          <w:tcPr>
            <w:tcW w:w="698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r>
              <w:rPr>
                <w:rFonts w:hint="eastAsia" w:ascii="宋体" w:hAnsi="宋体" w:eastAsia="宋体" w:cs="宋体"/>
                <w:color w:val="000000"/>
                <w:kern w:val="0"/>
                <w:szCs w:val="21"/>
              </w:rPr>
              <w:t>评分标准</w:t>
            </w:r>
          </w:p>
        </w:tc>
        <w:tc>
          <w:tcPr>
            <w:tcW w:w="108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得分</w:t>
            </w:r>
          </w:p>
        </w:tc>
      </w:tr>
      <w:tr>
        <w:tblPrEx>
          <w:tblCellMar>
            <w:top w:w="0" w:type="dxa"/>
            <w:left w:w="108" w:type="dxa"/>
            <w:bottom w:w="0" w:type="dxa"/>
            <w:right w:w="108" w:type="dxa"/>
          </w:tblCellMar>
        </w:tblPrEx>
        <w:trPr>
          <w:trHeight w:val="1929" w:hRule="atLeast"/>
        </w:trPr>
        <w:tc>
          <w:tcPr>
            <w:tcW w:w="1080" w:type="dxa"/>
            <w:vMerge w:val="restar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r>
              <w:rPr>
                <w:rFonts w:hint="eastAsia" w:ascii="宋体" w:hAnsi="宋体" w:eastAsia="宋体" w:cs="宋体"/>
                <w:color w:val="000000"/>
                <w:kern w:val="0"/>
                <w:szCs w:val="21"/>
              </w:rPr>
              <w:t>技术商务分90分</w:t>
            </w:r>
          </w:p>
        </w:tc>
        <w:tc>
          <w:tcPr>
            <w:tcW w:w="69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根据供应商对“服务需求”中“主要技术参数及服务要求”的响应情况进行评议（24分）：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完全响应的得24分。标★的为重要功能要求，每负偏离一条扣2分，未带“★”技术参数每负偏离一条扣1分；本项得分低于12分的，视为不具备本项目的履约能力，无法达到本项目数据服务采购的标准，无法承担本项目的实施工作，作无效标处理。</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106" w:hRule="atLeast"/>
        </w:trPr>
        <w:tc>
          <w:tcPr>
            <w:tcW w:w="1080"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left"/>
              <w:rPr>
                <w:rFonts w:ascii="宋体" w:hAnsi="宋体" w:eastAsia="宋体" w:cs="宋体"/>
                <w:color w:val="000000"/>
                <w:kern w:val="0"/>
                <w:szCs w:val="21"/>
              </w:rPr>
            </w:pPr>
          </w:p>
        </w:tc>
        <w:tc>
          <w:tcPr>
            <w:tcW w:w="69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根据供应商对本项目现状及需求的了解情况进行综合评议（</w:t>
            </w:r>
            <w:r>
              <w:rPr>
                <w:rFonts w:ascii="宋体" w:hAnsi="宋体" w:eastAsia="宋体" w:cs="宋体"/>
                <w:color w:val="000000"/>
                <w:kern w:val="0"/>
                <w:szCs w:val="21"/>
              </w:rPr>
              <w:t>7</w:t>
            </w:r>
            <w:r>
              <w:rPr>
                <w:rFonts w:hint="eastAsia" w:ascii="宋体" w:hAnsi="宋体" w:eastAsia="宋体" w:cs="宋体"/>
                <w:color w:val="000000"/>
                <w:kern w:val="0"/>
                <w:szCs w:val="21"/>
              </w:rPr>
              <w:t>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cs="宋体"/>
                <w:szCs w:val="21"/>
              </w:rPr>
              <w:t>项目现状和需求分析内容完整、透彻，详实、细致，符合项目实际情况的得7分；项目现状和需求分析和了解的情况较为完整、详实，无重大缺陷的得5分；项目现状和需求分析和了解的情况</w:t>
            </w:r>
            <w:r>
              <w:rPr>
                <w:rFonts w:hint="eastAsia" w:ascii="宋体" w:hAnsi="宋体"/>
                <w:szCs w:val="21"/>
              </w:rPr>
              <w:t>欠完整或详实性和细致性有欠缺，</w:t>
            </w:r>
            <w:r>
              <w:rPr>
                <w:rFonts w:hint="eastAsia" w:ascii="宋体" w:hAnsi="宋体"/>
              </w:rPr>
              <w:t>考虑不全面，</w:t>
            </w:r>
            <w:r>
              <w:rPr>
                <w:rFonts w:hint="eastAsia" w:ascii="宋体" w:hAnsi="宋体"/>
                <w:szCs w:val="21"/>
              </w:rPr>
              <w:t>与项目实际情况有偏离的得3</w:t>
            </w:r>
            <w:r>
              <w:rPr>
                <w:rFonts w:hint="eastAsia" w:ascii="宋体" w:hAnsi="宋体" w:eastAsia="宋体" w:cs="Times New Roman"/>
                <w:szCs w:val="21"/>
              </w:rPr>
              <w:t>分</w:t>
            </w:r>
            <w:r>
              <w:rPr>
                <w:rFonts w:hint="eastAsia" w:ascii="宋体" w:hAnsi="宋体" w:cs="Times New Roman"/>
                <w:szCs w:val="21"/>
              </w:rPr>
              <w:t>；</w:t>
            </w:r>
            <w:r>
              <w:rPr>
                <w:rFonts w:hint="eastAsia" w:ascii="宋体" w:hAnsi="宋体" w:eastAsia="宋体" w:cs="宋体"/>
                <w:kern w:val="0"/>
                <w:szCs w:val="21"/>
                <w:lang w:bidi="ar"/>
              </w:rPr>
              <w:t>项目现状及需求的了解情况</w:t>
            </w:r>
            <w:r>
              <w:rPr>
                <w:rFonts w:hint="eastAsia" w:ascii="宋体" w:hAnsi="宋体"/>
                <w:szCs w:val="21"/>
              </w:rPr>
              <w:t>内容有缺失，不能反映本项目的实际现状和需求，</w:t>
            </w:r>
            <w:r>
              <w:rPr>
                <w:rFonts w:hint="eastAsia" w:ascii="宋体" w:hAnsi="宋体" w:eastAsia="宋体" w:cs="Times New Roman"/>
                <w:szCs w:val="21"/>
              </w:rPr>
              <w:t>不符合</w:t>
            </w:r>
            <w:r>
              <w:rPr>
                <w:rFonts w:hint="eastAsia" w:ascii="宋体" w:hAnsi="宋体"/>
                <w:szCs w:val="21"/>
              </w:rPr>
              <w:t>项目实际情况</w:t>
            </w:r>
            <w:r>
              <w:rPr>
                <w:rFonts w:hint="eastAsia" w:ascii="宋体" w:hAnsi="宋体" w:eastAsia="宋体" w:cs="Times New Roman"/>
                <w:szCs w:val="21"/>
              </w:rPr>
              <w:t>的本项不得分</w:t>
            </w:r>
            <w:r>
              <w:rPr>
                <w:rFonts w:hint="eastAsia" w:ascii="宋体" w:hAnsi="宋体"/>
                <w:szCs w:val="21"/>
              </w:rPr>
              <w:t>。</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380" w:hRule="atLeast"/>
        </w:trPr>
        <w:tc>
          <w:tcPr>
            <w:tcW w:w="1080"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left"/>
              <w:rPr>
                <w:rFonts w:ascii="宋体" w:hAnsi="宋体" w:eastAsia="宋体" w:cs="宋体"/>
                <w:color w:val="000000"/>
                <w:kern w:val="0"/>
                <w:szCs w:val="21"/>
              </w:rPr>
            </w:pPr>
          </w:p>
        </w:tc>
        <w:tc>
          <w:tcPr>
            <w:tcW w:w="69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根据供应商提供的技术方案情况进行综合评议（20分）：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lang w:bidi="ar"/>
              </w:rPr>
              <w:t>技术方案内容完整，设计合理，具有针对性，措施方法全面、具体，符合采购需求的得</w:t>
            </w:r>
            <w:r>
              <w:rPr>
                <w:rFonts w:hint="eastAsia" w:ascii="宋体" w:hAnsi="宋体" w:eastAsia="宋体" w:cs="宋体"/>
                <w:kern w:val="0"/>
                <w:szCs w:val="21"/>
                <w:lang w:bidi="ar"/>
              </w:rPr>
              <w:t>20分</w:t>
            </w:r>
            <w:r>
              <w:rPr>
                <w:rFonts w:hint="eastAsia" w:ascii="宋体" w:hAnsi="宋体" w:cs="宋体"/>
                <w:kern w:val="0"/>
                <w:szCs w:val="21"/>
                <w:lang w:bidi="ar"/>
              </w:rPr>
              <w:t>；技术</w:t>
            </w:r>
            <w:r>
              <w:rPr>
                <w:rFonts w:hint="eastAsia" w:ascii="宋体"/>
                <w:szCs w:val="21"/>
              </w:rPr>
              <w:t>方案</w:t>
            </w:r>
            <w:r>
              <w:rPr>
                <w:rFonts w:hint="eastAsia" w:ascii="宋体" w:hAnsi="宋体"/>
                <w:szCs w:val="21"/>
              </w:rPr>
              <w:t>内容较为完整，</w:t>
            </w:r>
            <w:r>
              <w:rPr>
                <w:rFonts w:hint="eastAsia" w:ascii="宋体" w:hAnsi="宋体" w:eastAsia="宋体" w:cs="宋体"/>
                <w:kern w:val="0"/>
                <w:szCs w:val="21"/>
                <w:lang w:bidi="ar"/>
              </w:rPr>
              <w:t>措施方法</w:t>
            </w:r>
            <w:r>
              <w:rPr>
                <w:rFonts w:hint="eastAsia" w:ascii="宋体" w:hAnsi="宋体" w:cs="宋体"/>
                <w:kern w:val="0"/>
                <w:szCs w:val="21"/>
                <w:lang w:bidi="ar"/>
              </w:rPr>
              <w:t>较为</w:t>
            </w:r>
            <w:r>
              <w:rPr>
                <w:rFonts w:hint="eastAsia" w:ascii="宋体" w:hAnsi="宋体" w:eastAsia="宋体" w:cs="宋体"/>
                <w:kern w:val="0"/>
                <w:szCs w:val="21"/>
                <w:lang w:bidi="ar"/>
              </w:rPr>
              <w:t>具体</w:t>
            </w:r>
            <w:r>
              <w:rPr>
                <w:rFonts w:hint="eastAsia" w:ascii="宋体" w:hAnsi="宋体" w:cs="宋体"/>
                <w:kern w:val="0"/>
                <w:szCs w:val="21"/>
                <w:lang w:bidi="ar"/>
              </w:rPr>
              <w:t>，</w:t>
            </w:r>
            <w:r>
              <w:rPr>
                <w:rFonts w:hint="eastAsia" w:ascii="宋体" w:hAnsi="宋体"/>
                <w:szCs w:val="21"/>
              </w:rPr>
              <w:t>无重大缺陷的得</w:t>
            </w:r>
            <w:r>
              <w:rPr>
                <w:rFonts w:hint="eastAsia" w:ascii="宋体" w:hAnsi="宋体" w:cs="Times New Roman"/>
                <w:szCs w:val="21"/>
              </w:rPr>
              <w:t>17</w:t>
            </w:r>
            <w:r>
              <w:rPr>
                <w:rFonts w:hint="eastAsia" w:ascii="宋体" w:hAnsi="宋体" w:eastAsia="宋体" w:cs="Times New Roman"/>
                <w:szCs w:val="21"/>
              </w:rPr>
              <w:t>分</w:t>
            </w:r>
            <w:r>
              <w:rPr>
                <w:rFonts w:hint="eastAsia" w:ascii="宋体" w:hAnsi="宋体" w:eastAsia="宋体"/>
                <w:szCs w:val="21"/>
              </w:rPr>
              <w:t>；</w:t>
            </w:r>
            <w:r>
              <w:rPr>
                <w:rFonts w:hint="eastAsia" w:ascii="宋体" w:hAnsi="宋体"/>
                <w:szCs w:val="21"/>
              </w:rPr>
              <w:t>技术</w:t>
            </w:r>
            <w:r>
              <w:rPr>
                <w:rFonts w:hint="eastAsia" w:ascii="宋体"/>
                <w:szCs w:val="21"/>
              </w:rPr>
              <w:t>方案</w:t>
            </w:r>
            <w:r>
              <w:rPr>
                <w:rFonts w:hint="eastAsia" w:ascii="宋体" w:hAnsi="宋体"/>
                <w:szCs w:val="21"/>
              </w:rPr>
              <w:t>内容欠完整或设计有欠缺，</w:t>
            </w:r>
            <w:r>
              <w:rPr>
                <w:rFonts w:hint="eastAsia" w:ascii="宋体" w:hAnsi="宋体"/>
              </w:rPr>
              <w:t>考虑不全面，对工作内容的响应存在一定的不足，</w:t>
            </w:r>
            <w:r>
              <w:rPr>
                <w:rFonts w:hint="eastAsia" w:ascii="宋体" w:hAnsi="宋体"/>
                <w:szCs w:val="21"/>
              </w:rPr>
              <w:t>与采购需求有偏离的得</w:t>
            </w:r>
            <w:r>
              <w:rPr>
                <w:rFonts w:hint="eastAsia" w:ascii="宋体" w:hAnsi="宋体" w:cs="Times New Roman"/>
                <w:szCs w:val="21"/>
              </w:rPr>
              <w:t>14</w:t>
            </w:r>
            <w:r>
              <w:rPr>
                <w:rFonts w:hint="eastAsia" w:ascii="宋体" w:hAnsi="宋体" w:eastAsia="宋体" w:cs="Times New Roman"/>
                <w:szCs w:val="21"/>
              </w:rPr>
              <w:t>分</w:t>
            </w:r>
            <w:r>
              <w:rPr>
                <w:rFonts w:hint="eastAsia" w:ascii="宋体" w:hAnsi="宋体"/>
                <w:szCs w:val="21"/>
              </w:rPr>
              <w:t>；技术方案涵盖的项目内容有缺项，内容不完整，</w:t>
            </w:r>
            <w:r>
              <w:rPr>
                <w:rFonts w:hint="eastAsia" w:ascii="宋体" w:hAnsi="宋体" w:eastAsia="宋体" w:cs="Times New Roman"/>
                <w:szCs w:val="21"/>
              </w:rPr>
              <w:t>不符合采购需求的本项不得分</w:t>
            </w:r>
            <w:r>
              <w:rPr>
                <w:rFonts w:hint="eastAsia" w:ascii="宋体" w:hAnsi="宋体"/>
                <w:szCs w:val="21"/>
              </w:rPr>
              <w:t>。</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106" w:hRule="atLeast"/>
        </w:trPr>
        <w:tc>
          <w:tcPr>
            <w:tcW w:w="1080"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left"/>
              <w:rPr>
                <w:rFonts w:ascii="宋体" w:hAnsi="宋体" w:eastAsia="宋体" w:cs="宋体"/>
                <w:color w:val="000000"/>
                <w:kern w:val="0"/>
                <w:szCs w:val="21"/>
              </w:rPr>
            </w:pPr>
          </w:p>
        </w:tc>
        <w:tc>
          <w:tcPr>
            <w:tcW w:w="69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根据供应商的项目实施方案，包括施工方案设计、现场组织情况、现场管控措施等方面进行综合评议（</w:t>
            </w:r>
            <w:r>
              <w:rPr>
                <w:rFonts w:ascii="宋体" w:hAnsi="宋体" w:eastAsia="宋体" w:cs="宋体"/>
                <w:color w:val="000000"/>
                <w:kern w:val="0"/>
                <w:szCs w:val="21"/>
              </w:rPr>
              <w:t>10</w:t>
            </w:r>
            <w:r>
              <w:rPr>
                <w:rFonts w:hint="eastAsia" w:ascii="宋体" w:hAnsi="宋体" w:eastAsia="宋体" w:cs="宋体"/>
                <w:color w:val="000000"/>
                <w:kern w:val="0"/>
                <w:szCs w:val="21"/>
              </w:rPr>
              <w:t>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szCs w:val="21"/>
              </w:rPr>
              <w:t>实施方案中包含的内容完整、设计合理，具有针对性，符合采购需求的得10分；实施方案中包含的内容较为完整、较具有针对性，无重大缺陷的得8分；实施</w:t>
            </w:r>
            <w:r>
              <w:rPr>
                <w:rFonts w:hint="eastAsia" w:ascii="宋体"/>
                <w:szCs w:val="21"/>
              </w:rPr>
              <w:t>方案</w:t>
            </w:r>
            <w:r>
              <w:rPr>
                <w:rFonts w:hint="eastAsia" w:ascii="宋体" w:hAnsi="宋体"/>
                <w:szCs w:val="21"/>
              </w:rPr>
              <w:t>内容欠完整或设计有欠缺，</w:t>
            </w:r>
            <w:r>
              <w:rPr>
                <w:rFonts w:hint="eastAsia" w:ascii="宋体" w:hAnsi="宋体"/>
              </w:rPr>
              <w:t>考虑不全面，对工作内容的响应存在一定的不足，</w:t>
            </w:r>
            <w:r>
              <w:rPr>
                <w:rFonts w:hint="eastAsia" w:ascii="宋体" w:hAnsi="宋体"/>
                <w:szCs w:val="21"/>
              </w:rPr>
              <w:t>与采购需求有偏离的得</w:t>
            </w:r>
            <w:r>
              <w:rPr>
                <w:rFonts w:hint="eastAsia" w:ascii="宋体" w:hAnsi="宋体" w:cs="Times New Roman"/>
                <w:szCs w:val="21"/>
              </w:rPr>
              <w:t>6</w:t>
            </w:r>
            <w:r>
              <w:rPr>
                <w:rFonts w:hint="eastAsia" w:ascii="宋体" w:hAnsi="宋体" w:eastAsia="宋体" w:cs="Times New Roman"/>
                <w:szCs w:val="21"/>
              </w:rPr>
              <w:t>分</w:t>
            </w:r>
            <w:r>
              <w:rPr>
                <w:rFonts w:hint="eastAsia" w:ascii="宋体" w:hAnsi="宋体"/>
                <w:szCs w:val="21"/>
              </w:rPr>
              <w:t>；实施方案涵盖的项目内容有缺项，内容不完整，</w:t>
            </w:r>
            <w:r>
              <w:rPr>
                <w:rFonts w:hint="eastAsia" w:ascii="宋体" w:hAnsi="宋体" w:eastAsia="宋体" w:cs="Times New Roman"/>
                <w:szCs w:val="21"/>
              </w:rPr>
              <w:t>不</w:t>
            </w:r>
            <w:r>
              <w:rPr>
                <w:rFonts w:hint="eastAsia" w:ascii="宋体" w:hAnsi="宋体" w:cs="Times New Roman"/>
                <w:szCs w:val="21"/>
              </w:rPr>
              <w:t>能满足采购要求</w:t>
            </w:r>
            <w:r>
              <w:rPr>
                <w:rFonts w:hint="eastAsia" w:ascii="宋体" w:hAnsi="宋体" w:eastAsia="宋体" w:cs="Times New Roman"/>
                <w:szCs w:val="21"/>
              </w:rPr>
              <w:t>的本项不得分</w:t>
            </w:r>
            <w:r>
              <w:rPr>
                <w:rFonts w:hint="eastAsia" w:ascii="宋体" w:hAnsi="宋体"/>
                <w:szCs w:val="21"/>
              </w:rPr>
              <w:t>。</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106" w:hRule="atLeast"/>
        </w:trPr>
        <w:tc>
          <w:tcPr>
            <w:tcW w:w="1080"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left"/>
              <w:rPr>
                <w:rFonts w:ascii="宋体" w:hAnsi="宋体" w:eastAsia="宋体" w:cs="宋体"/>
                <w:color w:val="000000"/>
                <w:kern w:val="0"/>
                <w:szCs w:val="21"/>
              </w:rPr>
            </w:pPr>
          </w:p>
        </w:tc>
        <w:tc>
          <w:tcPr>
            <w:tcW w:w="69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spacing w:line="288" w:lineRule="auto"/>
              <w:textAlignment w:val="center"/>
            </w:pPr>
            <w:r>
              <w:rPr>
                <w:rFonts w:hint="eastAsia"/>
              </w:rPr>
              <w:t>根据供应商的服务质量保障方案（服务质量控制、响应时间、服务承诺）进行综合评议：</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rPr>
              <w:t>服务质量保障方案内容完整，措施得当，响应时间及时，承诺切实可行，满足项目质量要求的得</w:t>
            </w:r>
            <w:r>
              <w:t>7</w:t>
            </w:r>
            <w:r>
              <w:rPr>
                <w:rFonts w:hint="eastAsia"/>
              </w:rPr>
              <w:t>分；服务质量保障方案内容较完整，响应时间较及时，</w:t>
            </w:r>
            <w:r>
              <w:rPr>
                <w:rFonts w:hint="eastAsia" w:ascii="宋体" w:hAnsi="宋体"/>
                <w:szCs w:val="21"/>
              </w:rPr>
              <w:t>无重大缺陷的</w:t>
            </w:r>
            <w:r>
              <w:rPr>
                <w:rFonts w:hint="eastAsia"/>
              </w:rPr>
              <w:t>得4分；服务质量保障方案内容欠完整，</w:t>
            </w:r>
            <w:r>
              <w:rPr>
                <w:rFonts w:hint="eastAsia" w:ascii="宋体" w:hAnsi="宋体"/>
              </w:rPr>
              <w:t>考虑不全面，对工作内容的响应存在一定的不足，</w:t>
            </w:r>
            <w:r>
              <w:rPr>
                <w:rFonts w:hint="eastAsia" w:ascii="宋体" w:hAnsi="宋体"/>
                <w:szCs w:val="21"/>
              </w:rPr>
              <w:t>与采购需求有偏离的得</w:t>
            </w:r>
            <w:r>
              <w:rPr>
                <w:rFonts w:hint="eastAsia" w:ascii="宋体" w:hAnsi="宋体" w:cs="Times New Roman"/>
                <w:szCs w:val="21"/>
              </w:rPr>
              <w:t>2</w:t>
            </w:r>
            <w:r>
              <w:rPr>
                <w:rFonts w:hint="eastAsia" w:ascii="宋体" w:hAnsi="宋体" w:eastAsia="宋体" w:cs="Times New Roman"/>
                <w:szCs w:val="21"/>
              </w:rPr>
              <w:t>分</w:t>
            </w:r>
            <w:r>
              <w:rPr>
                <w:rFonts w:hint="eastAsia" w:ascii="宋体" w:hAnsi="宋体" w:cs="Times New Roman"/>
                <w:szCs w:val="21"/>
              </w:rPr>
              <w:t>；</w:t>
            </w:r>
            <w:r>
              <w:rPr>
                <w:rFonts w:hint="eastAsia"/>
              </w:rPr>
              <w:t>服务质量保障方案</w:t>
            </w:r>
            <w:r>
              <w:rPr>
                <w:rFonts w:hint="eastAsia" w:ascii="宋体" w:hAnsi="宋体"/>
                <w:szCs w:val="21"/>
              </w:rPr>
              <w:t>涵盖的项目内容有缺项，内容不完整，</w:t>
            </w:r>
            <w:r>
              <w:rPr>
                <w:rFonts w:hint="eastAsia" w:ascii="宋体" w:hAnsi="宋体" w:eastAsia="宋体" w:cs="Times New Roman"/>
                <w:szCs w:val="21"/>
              </w:rPr>
              <w:t>不</w:t>
            </w:r>
            <w:r>
              <w:rPr>
                <w:rFonts w:hint="eastAsia" w:ascii="宋体" w:hAnsi="宋体" w:cs="Times New Roman"/>
                <w:szCs w:val="21"/>
              </w:rPr>
              <w:t>能满足采购需求</w:t>
            </w:r>
            <w:r>
              <w:rPr>
                <w:rFonts w:hint="eastAsia" w:ascii="宋体" w:hAnsi="宋体" w:eastAsia="宋体" w:cs="Times New Roman"/>
                <w:szCs w:val="21"/>
              </w:rPr>
              <w:t>的本项不得分</w:t>
            </w:r>
            <w:r>
              <w:rPr>
                <w:rFonts w:hint="eastAsia" w:ascii="宋体" w:hAnsi="宋体"/>
                <w:szCs w:val="21"/>
              </w:rPr>
              <w:t>。</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407" w:hRule="atLeast"/>
        </w:trPr>
        <w:tc>
          <w:tcPr>
            <w:tcW w:w="1080"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left"/>
              <w:rPr>
                <w:rFonts w:ascii="宋体" w:hAnsi="宋体" w:eastAsia="宋体" w:cs="宋体"/>
                <w:color w:val="000000"/>
                <w:kern w:val="0"/>
                <w:szCs w:val="21"/>
              </w:rPr>
            </w:pPr>
          </w:p>
        </w:tc>
        <w:tc>
          <w:tcPr>
            <w:tcW w:w="69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服务功能演示：</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根据各供应商演示情况完整性、功能模块的符合度及操作性等进行综合评议（演示时间不超过10分钟）：</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备注：1.本项目不安排现场演示，投标人需事先录制好演示视频（录像或录屏）（格式要求：MP4）并在投标截止时间之前单独密封递交或提前邮寄，投标截止时间后递交的演示视频不予认可，视作未提供演示，本项不得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演示内容应至少包含以下演示内容：</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1、投标人需演示AI智算服务相关功能，包含任务调度，模型配置，后处理算法，AI识别能力，视频管理系统：</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（1）任务调度功能：支持任务列表管理功能，任务新增和编辑功能。</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（2）模型配置功能：支持多预置位配置功能、支持多模型配置功能、支持多预置位和多模型组合配置、支持数据推送配置。</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（3）后处理算法：支持复杂算法处理，包括但不限于多边形电子围栏内报警、多边形电子围栏内外报警、高宽比分析、报警判断过滤等后处理算法配置功能。</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（4）AI识别能力：如焚烧排烟识别、非运维人员违规进入识别、垂钓识别、洗衣识别、船只识别、下塘游玩识别、水位识别、特种车辆识别。</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（5）视频管理系统：支持服务器信息查看、视频分屏展示、国标设备级联、用户管理等功能。</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2、投标人需演示报警处理系统相关功能，包含站点一张图，智能告警，移动端应用的内容：</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（1）站点一张图：支持视频监控在一张图中展示和不同底图切换；支持站点搜索功能；支持站点基本信息查看；支持站点实时视频查看和云台控制功能。</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（2）智能告警：支持按时间筛选查看告警信息基本信息，包括事件发生时间，事件类型，发生地点经纬度等；支持告警事件闭环处理，实现包括事件从发生，到处理派发，到处理结果反馈的信息查看。</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（3）移动端应用：支持与浙政钉平台打通，实现浙政钉端预警信息接收处置功能。</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评审标准：演示内容完整，符合功能模块要求，可操作性强，模块布局合理，功能完善，满足采购需求的得10分，演示内容较完整，功能模块较完善，模块布局较为合理，基本能满足实际应用需求的得8分；演示内容欠完整，演示功能场景有缺失，与演示要求内容有偏离的得6分；演示内容不完整，演示功能场景有较多缺失，模块布局不合理，演示效果差的本项不得分。</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3575" w:hRule="atLeast"/>
        </w:trPr>
        <w:tc>
          <w:tcPr>
            <w:tcW w:w="1080"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left"/>
              <w:rPr>
                <w:rFonts w:ascii="宋体" w:hAnsi="宋体" w:eastAsia="宋体" w:cs="宋体"/>
                <w:color w:val="000000"/>
                <w:kern w:val="0"/>
                <w:szCs w:val="21"/>
              </w:rPr>
            </w:pPr>
          </w:p>
        </w:tc>
        <w:tc>
          <w:tcPr>
            <w:tcW w:w="69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项目团队人员（7分）：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（1）供应商拟派项目负责人具有</w:t>
            </w:r>
            <w:r>
              <w:rPr>
                <w:rFonts w:hint="eastAsia" w:ascii="宋体" w:hAnsi="宋体" w:eastAsia="宋体" w:cs="宋体"/>
                <w:color w:val="000000"/>
                <w:kern w:val="0"/>
                <w:szCs w:val="21"/>
                <w:lang w:val="en-US" w:eastAsia="zh-CN"/>
              </w:rPr>
              <w:t>项目管理专业人员PMP</w:t>
            </w:r>
            <w:r>
              <w:rPr>
                <w:rFonts w:hint="eastAsia" w:ascii="宋体" w:hAnsi="宋体" w:eastAsia="宋体" w:cs="宋体"/>
                <w:color w:val="000000"/>
                <w:kern w:val="0"/>
                <w:szCs w:val="21"/>
              </w:rPr>
              <w:t>的得1分、信息系统项目管理师（高级）证书的得1分、系统规划与管理师（高级）的得1分，满分3分。</w:t>
            </w:r>
            <w:r>
              <w:rPr>
                <w:rFonts w:ascii="宋体" w:hAnsi="宋体" w:eastAsia="宋体" w:cs="宋体"/>
                <w:color w:val="000000"/>
                <w:kern w:val="0"/>
                <w:szCs w:val="21"/>
              </w:rPr>
              <w:t xml:space="preserve"> </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（2）供应商拟投入本项目的驻场运维人员（</w:t>
            </w:r>
            <w:r>
              <w:rPr>
                <w:rFonts w:ascii="宋体" w:hAnsi="宋体" w:eastAsia="宋体" w:cs="宋体"/>
                <w:color w:val="000000"/>
                <w:kern w:val="0"/>
                <w:szCs w:val="21"/>
              </w:rPr>
              <w:t>2</w:t>
            </w:r>
            <w:r>
              <w:rPr>
                <w:rFonts w:hint="eastAsia" w:ascii="宋体" w:hAnsi="宋体" w:eastAsia="宋体" w:cs="宋体"/>
                <w:color w:val="000000"/>
                <w:kern w:val="0"/>
                <w:szCs w:val="21"/>
              </w:rPr>
              <w:t>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供应商拟投入本项目的一名驻场运维人员具有相关环境科学专业高级及以上工程师职称或博士学位的得1分、具有生态环境监测与分析专业中级证书的得</w:t>
            </w:r>
            <w:r>
              <w:rPr>
                <w:rFonts w:ascii="宋体" w:hAnsi="宋体" w:eastAsia="宋体" w:cs="宋体"/>
                <w:color w:val="000000"/>
                <w:kern w:val="0"/>
                <w:szCs w:val="21"/>
              </w:rPr>
              <w:t>1</w:t>
            </w:r>
            <w:r>
              <w:rPr>
                <w:rFonts w:hint="eastAsia" w:ascii="宋体" w:hAnsi="宋体" w:eastAsia="宋体" w:cs="宋体"/>
                <w:color w:val="000000"/>
                <w:kern w:val="0"/>
                <w:szCs w:val="21"/>
              </w:rPr>
              <w:t>分。满分2分。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（3）供应商拟投入本项目的团队人员（除项目负责人）（</w:t>
            </w:r>
            <w:r>
              <w:rPr>
                <w:rFonts w:ascii="宋体" w:hAnsi="宋体" w:eastAsia="宋体" w:cs="宋体"/>
                <w:color w:val="000000"/>
                <w:kern w:val="0"/>
                <w:szCs w:val="21"/>
              </w:rPr>
              <w:t>2</w:t>
            </w:r>
            <w:r>
              <w:rPr>
                <w:rFonts w:hint="eastAsia" w:ascii="宋体" w:hAnsi="宋体" w:eastAsia="宋体" w:cs="宋体"/>
                <w:color w:val="000000"/>
                <w:kern w:val="0"/>
                <w:szCs w:val="21"/>
              </w:rPr>
              <w:t>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供应商拟投入本项目人员中（除项目负责人外），具有信息安全保障人员认证证书（即：CISAW证书）、高级工程师（环境保护）证书，每种证书得1分；满分</w:t>
            </w:r>
            <w:r>
              <w:rPr>
                <w:rFonts w:ascii="宋体" w:hAnsi="宋体" w:eastAsia="宋体" w:cs="宋体"/>
                <w:color w:val="000000"/>
                <w:kern w:val="0"/>
                <w:szCs w:val="21"/>
              </w:rPr>
              <w:t>2</w:t>
            </w:r>
            <w:r>
              <w:rPr>
                <w:rFonts w:hint="eastAsia" w:ascii="宋体" w:hAnsi="宋体" w:eastAsia="宋体" w:cs="宋体"/>
                <w:color w:val="000000"/>
                <w:kern w:val="0"/>
                <w:szCs w:val="21"/>
              </w:rPr>
              <w:t>分，同一人只计算一种证书；</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上述人员必须均为投标人在职员工，根据投标文件中提供以上人员近六个月任一一个月的社保缴纳证明、有关证书进行评分，未提供或不符合以上条件不得分。社保缴纳证明以社保机构出具的社保证明为准。所提供的证书等证明材料需在发标日期之前取得，否则视为无效。）</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929" w:hRule="atLeast"/>
        </w:trPr>
        <w:tc>
          <w:tcPr>
            <w:tcW w:w="1080"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left"/>
              <w:rPr>
                <w:rFonts w:ascii="宋体" w:hAnsi="宋体" w:eastAsia="宋体" w:cs="宋体"/>
                <w:color w:val="000000"/>
                <w:kern w:val="0"/>
                <w:szCs w:val="21"/>
              </w:rPr>
            </w:pPr>
          </w:p>
        </w:tc>
        <w:tc>
          <w:tcPr>
            <w:tcW w:w="69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rPr>
                <w:rFonts w:ascii="宋体" w:hAnsi="宋体" w:eastAsia="宋体" w:cs="宋体"/>
                <w:kern w:val="0"/>
                <w:szCs w:val="21"/>
              </w:rPr>
            </w:pPr>
            <w:r>
              <w:rPr>
                <w:rFonts w:hint="eastAsia" w:ascii="宋体" w:hAnsi="宋体" w:eastAsia="宋体" w:cs="宋体"/>
                <w:kern w:val="0"/>
                <w:szCs w:val="21"/>
              </w:rPr>
              <w:t>供应商资质（4分）：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1、具有GB/T31950-2015企业诚信管理体系认证证书的得 1 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2、具有ISO27701隐私安全管理体系认证证书的得 1 分；</w:t>
            </w:r>
          </w:p>
          <w:p>
            <w:pPr>
              <w:keepNext w:val="0"/>
              <w:keepLines w:val="0"/>
              <w:pageBreakBefore w:val="0"/>
              <w:widowControl/>
              <w:kinsoku/>
              <w:wordWrap/>
              <w:overflowPunct/>
              <w:topLinePunct w:val="0"/>
              <w:autoSpaceDE/>
              <w:autoSpaceDN/>
              <w:bidi w:val="0"/>
              <w:snapToGrid/>
              <w:rPr>
                <w:rFonts w:ascii="宋体" w:hAnsi="宋体" w:eastAsia="宋体" w:cs="宋体"/>
                <w:kern w:val="0"/>
                <w:szCs w:val="21"/>
              </w:rPr>
            </w:pPr>
            <w:r>
              <w:rPr>
                <w:rFonts w:hint="eastAsia" w:ascii="宋体" w:hAnsi="宋体" w:eastAsia="宋体" w:cs="宋体"/>
                <w:kern w:val="0"/>
                <w:szCs w:val="21"/>
              </w:rPr>
              <w:t>3、具有GB-T 29490-知识产权管理体系认证证书的得 1 分；</w:t>
            </w:r>
          </w:p>
          <w:p>
            <w:pPr>
              <w:keepNext w:val="0"/>
              <w:keepLines w:val="0"/>
              <w:pageBreakBefore w:val="0"/>
              <w:widowControl/>
              <w:kinsoku/>
              <w:wordWrap/>
              <w:overflowPunct/>
              <w:topLinePunct w:val="0"/>
              <w:autoSpaceDE/>
              <w:autoSpaceDN/>
              <w:bidi w:val="0"/>
              <w:snapToGrid/>
            </w:pPr>
            <w:r>
              <w:rPr>
                <w:rFonts w:hint="eastAsia" w:ascii="宋体" w:hAnsi="宋体" w:eastAsia="宋体" w:cs="宋体"/>
                <w:color w:val="000000"/>
                <w:kern w:val="0"/>
                <w:szCs w:val="21"/>
              </w:rPr>
              <w:t>4、</w:t>
            </w:r>
            <w:r>
              <w:rPr>
                <w:rFonts w:hint="eastAsia" w:ascii="宋体" w:hAnsi="宋体" w:eastAsia="宋体" w:cs="宋体"/>
                <w:kern w:val="0"/>
                <w:szCs w:val="21"/>
              </w:rPr>
              <w:t>具有环境污染防治工程专项设计服务能力评价证书的得1分；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满分4分，投标文件中提供证书复印件加盖公章</w:t>
            </w:r>
          </w:p>
          <w:p>
            <w:pPr>
              <w:keepNext w:val="0"/>
              <w:keepLines w:val="0"/>
              <w:pageBreakBefore w:val="0"/>
              <w:widowControl/>
              <w:kinsoku/>
              <w:wordWrap/>
              <w:overflowPunct/>
              <w:topLinePunct w:val="0"/>
              <w:autoSpaceDE/>
              <w:autoSpaceDN/>
              <w:bidi w:val="0"/>
              <w:snapToGrid/>
              <w:rPr>
                <w:rFonts w:ascii="宋体" w:hAnsi="宋体" w:eastAsia="宋体" w:cs="宋体"/>
                <w:kern w:val="0"/>
                <w:szCs w:val="21"/>
              </w:rPr>
            </w:pPr>
            <w:r>
              <w:rPr>
                <w:rFonts w:hint="eastAsia" w:ascii="宋体" w:hAnsi="宋体" w:eastAsia="宋体" w:cs="宋体"/>
                <w:color w:val="000000"/>
                <w:kern w:val="0"/>
                <w:szCs w:val="21"/>
              </w:rPr>
              <w:t>（响应文件中提供以上证书复印件加盖供应商公章。）</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380" w:hRule="atLeast"/>
        </w:trPr>
        <w:tc>
          <w:tcPr>
            <w:tcW w:w="1080"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left"/>
              <w:rPr>
                <w:rFonts w:ascii="宋体" w:hAnsi="宋体" w:eastAsia="宋体" w:cs="宋体"/>
                <w:color w:val="000000"/>
                <w:kern w:val="0"/>
                <w:szCs w:val="21"/>
              </w:rPr>
            </w:pPr>
          </w:p>
        </w:tc>
        <w:tc>
          <w:tcPr>
            <w:tcW w:w="69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业绩（</w:t>
            </w:r>
            <w:r>
              <w:rPr>
                <w:rFonts w:ascii="宋体" w:hAnsi="宋体" w:eastAsia="宋体" w:cs="宋体"/>
                <w:color w:val="000000"/>
                <w:kern w:val="0"/>
                <w:szCs w:val="21"/>
              </w:rPr>
              <w:t>1</w:t>
            </w:r>
            <w:r>
              <w:rPr>
                <w:rFonts w:hint="eastAsia" w:ascii="宋体" w:hAnsi="宋体" w:eastAsia="宋体" w:cs="宋体"/>
                <w:color w:val="000000"/>
                <w:kern w:val="0"/>
                <w:szCs w:val="21"/>
              </w:rPr>
              <w:t>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供应商自2020年1月1日以来承担过类似电子围栏监测项目的，每有1个业绩得0.5分，本项最多得1分。</w:t>
            </w:r>
          </w:p>
          <w:p>
            <w:pPr>
              <w:keepNext w:val="0"/>
              <w:keepLines w:val="0"/>
              <w:pageBreakBefore w:val="0"/>
              <w:widowControl/>
              <w:kinsoku/>
              <w:wordWrap/>
              <w:overflowPunct/>
              <w:topLinePunct w:val="0"/>
              <w:autoSpaceDE/>
              <w:autoSpaceDN/>
              <w:bidi w:val="0"/>
              <w:snapToGrid/>
              <w:rPr>
                <w:rFonts w:ascii="宋体" w:hAnsi="宋体" w:eastAsia="宋体" w:cs="宋体"/>
                <w:color w:val="000000"/>
                <w:kern w:val="0"/>
                <w:szCs w:val="21"/>
              </w:rPr>
            </w:pPr>
            <w:r>
              <w:rPr>
                <w:rFonts w:hint="eastAsia" w:ascii="宋体" w:hAnsi="宋体" w:eastAsia="宋体" w:cs="宋体"/>
                <w:color w:val="000000"/>
                <w:kern w:val="0"/>
                <w:szCs w:val="21"/>
              </w:rPr>
              <w:t>（响应文件中提供合同复印件和中标通知书加盖供应商公章，业绩时间以合同签订时间为准。）</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387" w:hRule="atLeast"/>
        </w:trPr>
        <w:tc>
          <w:tcPr>
            <w:tcW w:w="1080"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r>
              <w:rPr>
                <w:rFonts w:hint="eastAsia" w:ascii="宋体" w:hAnsi="宋体" w:eastAsia="宋体" w:cs="宋体"/>
                <w:color w:val="000000"/>
                <w:kern w:val="0"/>
                <w:szCs w:val="21"/>
              </w:rPr>
              <w:t>价格分10分</w:t>
            </w:r>
          </w:p>
        </w:tc>
        <w:tc>
          <w:tcPr>
            <w:tcW w:w="6980" w:type="dxa"/>
            <w:tcBorders>
              <w:top w:val="nil"/>
              <w:left w:val="nil"/>
              <w:bottom w:val="single" w:color="auto" w:sz="8" w:space="0"/>
              <w:right w:val="single" w:color="auto" w:sz="8" w:space="0"/>
            </w:tcBorders>
            <w:noWrap w:val="0"/>
            <w:vAlign w:val="center"/>
          </w:tcPr>
          <w:p>
            <w:pPr>
              <w:rPr>
                <w:rFonts w:ascii="Calibri" w:hAnsi="Calibri"/>
                <w:color w:val="auto"/>
                <w:szCs w:val="21"/>
              </w:rPr>
            </w:pPr>
            <w:r>
              <w:rPr>
                <w:rFonts w:hint="eastAsia" w:ascii="Calibri" w:hAnsi="Calibri"/>
                <w:color w:val="auto"/>
                <w:szCs w:val="21"/>
              </w:rPr>
              <w:t>参与评审的价格=满足</w:t>
            </w:r>
            <w:r>
              <w:rPr>
                <w:rFonts w:hint="eastAsia" w:ascii="Calibri" w:hAnsi="Calibri"/>
                <w:color w:val="auto"/>
                <w:szCs w:val="21"/>
                <w:lang w:val="en-US" w:eastAsia="zh-CN"/>
              </w:rPr>
              <w:t>磋商</w:t>
            </w:r>
            <w:r>
              <w:rPr>
                <w:rFonts w:hint="eastAsia" w:ascii="Calibri" w:hAnsi="Calibri"/>
                <w:color w:val="auto"/>
                <w:szCs w:val="21"/>
              </w:rPr>
              <w:t>文件要求的</w:t>
            </w:r>
            <w:r>
              <w:rPr>
                <w:rFonts w:hint="eastAsia" w:ascii="Calibri" w:hAnsi="Calibri"/>
                <w:color w:val="auto"/>
                <w:szCs w:val="21"/>
                <w:lang w:val="en-US" w:eastAsia="zh-CN"/>
              </w:rPr>
              <w:t>最终</w:t>
            </w:r>
            <w:r>
              <w:rPr>
                <w:rFonts w:hint="eastAsia" w:ascii="Calibri" w:hAnsi="Calibri"/>
                <w:color w:val="auto"/>
                <w:szCs w:val="21"/>
              </w:rPr>
              <w:t>磋商报价</w:t>
            </w:r>
          </w:p>
          <w:p>
            <w:pPr>
              <w:rPr>
                <w:rFonts w:ascii="Calibri" w:hAnsi="Calibri"/>
                <w:color w:val="auto"/>
                <w:szCs w:val="21"/>
              </w:rPr>
            </w:pPr>
            <w:r>
              <w:rPr>
                <w:rFonts w:hint="eastAsia" w:ascii="Calibri" w:hAnsi="Calibri"/>
                <w:color w:val="auto"/>
                <w:szCs w:val="21"/>
              </w:rPr>
              <w:t>基准价=</w:t>
            </w:r>
            <w:r>
              <w:rPr>
                <w:rFonts w:hint="eastAsia"/>
                <w:color w:val="auto"/>
              </w:rPr>
              <w:t>参与评审的价格中最低的报价</w:t>
            </w:r>
          </w:p>
          <w:p>
            <w:pPr>
              <w:rPr>
                <w:rFonts w:ascii="Calibri" w:hAnsi="Calibri"/>
                <w:color w:val="auto"/>
                <w:szCs w:val="21"/>
              </w:rPr>
            </w:pPr>
            <w:r>
              <w:rPr>
                <w:rFonts w:hint="eastAsia" w:ascii="Calibri" w:hAnsi="Calibri"/>
                <w:color w:val="auto"/>
                <w:szCs w:val="21"/>
              </w:rPr>
              <w:t>基准价的得分为10分</w:t>
            </w:r>
          </w:p>
          <w:p>
            <w:pPr>
              <w:spacing w:line="320" w:lineRule="exact"/>
              <w:jc w:val="left"/>
              <w:textAlignment w:val="baseline"/>
              <w:rPr>
                <w:rFonts w:ascii="宋体" w:hAnsi="宋体" w:eastAsia="宋体" w:cs="宋体"/>
                <w:color w:val="000000"/>
                <w:kern w:val="0"/>
                <w:szCs w:val="21"/>
              </w:rPr>
            </w:pPr>
            <w:r>
              <w:rPr>
                <w:rFonts w:hint="eastAsia" w:ascii="Calibri" w:hAnsi="Calibri"/>
                <w:color w:val="auto"/>
                <w:szCs w:val="21"/>
              </w:rPr>
              <w:t>报价得分=（基准价/参与评审的价格）×10</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292" w:hRule="atLeast"/>
        </w:trPr>
        <w:tc>
          <w:tcPr>
            <w:tcW w:w="806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r>
              <w:rPr>
                <w:rFonts w:hint="eastAsia" w:ascii="宋体" w:hAnsi="宋体" w:eastAsia="宋体" w:cs="宋体"/>
                <w:color w:val="000000"/>
                <w:kern w:val="0"/>
                <w:szCs w:val="21"/>
              </w:rPr>
              <w:t>综合评分</w:t>
            </w:r>
          </w:p>
        </w:tc>
        <w:tc>
          <w:tcPr>
            <w:tcW w:w="108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snapToGrid/>
              <w:jc w:val="center"/>
              <w:rPr>
                <w:rFonts w:ascii="宋体" w:hAnsi="宋体" w:eastAsia="宋体" w:cs="宋体"/>
                <w:color w:val="000000"/>
                <w:kern w:val="0"/>
                <w:szCs w:val="21"/>
              </w:rPr>
            </w:pPr>
          </w:p>
        </w:tc>
      </w:tr>
      <w:bookmarkEnd w:id="43"/>
    </w:tbl>
    <w:p>
      <w:pPr>
        <w:spacing w:line="360" w:lineRule="auto"/>
        <w:ind w:firstLine="422" w:firstLineChars="200"/>
        <w:rPr>
          <w:rFonts w:ascii="宋体" w:hAnsi="宋体"/>
          <w:b/>
          <w:szCs w:val="21"/>
        </w:rPr>
      </w:pPr>
      <w:r>
        <w:rPr>
          <w:rFonts w:hint="eastAsia" w:ascii="宋体" w:hAnsi="宋体"/>
          <w:b/>
          <w:szCs w:val="21"/>
        </w:rPr>
        <w:t>3</w:t>
      </w:r>
      <w:r>
        <w:rPr>
          <w:rFonts w:ascii="宋体" w:hAnsi="宋体"/>
          <w:b/>
          <w:szCs w:val="21"/>
        </w:rPr>
        <w:t>.</w:t>
      </w:r>
      <w:r>
        <w:rPr>
          <w:rFonts w:hint="eastAsia" w:ascii="宋体" w:hAnsi="宋体"/>
          <w:b/>
          <w:szCs w:val="21"/>
        </w:rPr>
        <w:t>评标标准（评委打分表）</w:t>
      </w:r>
    </w:p>
    <w:p>
      <w:pPr>
        <w:spacing w:before="120" w:beforeLines="50" w:line="360" w:lineRule="auto"/>
        <w:ind w:firstLine="476" w:firstLineChars="200"/>
        <w:rPr>
          <w:rFonts w:ascii="宋体" w:hAnsi="宋体"/>
          <w:spacing w:val="14"/>
          <w:szCs w:val="21"/>
        </w:rPr>
      </w:pPr>
      <w:r>
        <w:rPr>
          <w:rFonts w:hint="eastAsia" w:ascii="宋体" w:hAnsi="宋体"/>
          <w:spacing w:val="14"/>
          <w:szCs w:val="21"/>
        </w:rPr>
        <w:t>评委签名：                                 日  期：</w:t>
      </w:r>
    </w:p>
    <w:p>
      <w:pPr>
        <w:pStyle w:val="40"/>
        <w:spacing w:line="360" w:lineRule="auto"/>
        <w:rPr>
          <w:rFonts w:ascii="宋体" w:hAnsi="宋体" w:eastAsia="宋体"/>
          <w:sz w:val="32"/>
        </w:rPr>
      </w:pPr>
      <w:r>
        <w:rPr>
          <w:rFonts w:ascii="宋体" w:hAnsi="宋体" w:eastAsia="宋体"/>
          <w:sz w:val="28"/>
        </w:rPr>
        <w:br w:type="page"/>
      </w:r>
      <w:bookmarkStart w:id="44" w:name="_Toc34844745"/>
      <w:r>
        <w:rPr>
          <w:rFonts w:hint="eastAsia" w:ascii="宋体" w:hAnsi="宋体" w:eastAsia="宋体"/>
          <w:sz w:val="24"/>
        </w:rPr>
        <w:t>第五章  合同文本</w:t>
      </w:r>
      <w:bookmarkEnd w:id="44"/>
    </w:p>
    <w:p>
      <w:pPr>
        <w:spacing w:line="400" w:lineRule="exact"/>
        <w:rPr>
          <w:b/>
          <w:color w:val="000000"/>
          <w:szCs w:val="21"/>
        </w:rPr>
      </w:pPr>
      <w:r>
        <w:rPr>
          <w:rFonts w:hint="eastAsia"/>
          <w:b/>
          <w:color w:val="000000"/>
          <w:szCs w:val="21"/>
        </w:rPr>
        <w:t>甲</w:t>
      </w:r>
      <w:r>
        <w:rPr>
          <w:b/>
          <w:color w:val="000000"/>
          <w:szCs w:val="21"/>
        </w:rPr>
        <w:t xml:space="preserve">    </w:t>
      </w:r>
      <w:r>
        <w:rPr>
          <w:rFonts w:hint="eastAsia"/>
          <w:b/>
          <w:color w:val="000000"/>
          <w:szCs w:val="21"/>
        </w:rPr>
        <w:t>方</w:t>
      </w:r>
      <w:r>
        <w:rPr>
          <w:rFonts w:hint="eastAsia"/>
          <w:color w:val="000000"/>
          <w:szCs w:val="21"/>
        </w:rPr>
        <w:t>（采购人）</w:t>
      </w:r>
      <w:r>
        <w:rPr>
          <w:rFonts w:hint="eastAsia"/>
          <w:b/>
          <w:color w:val="000000"/>
          <w:szCs w:val="21"/>
        </w:rPr>
        <w:t>：</w:t>
      </w:r>
      <w:r>
        <w:rPr>
          <w:b/>
          <w:color w:val="000000"/>
          <w:szCs w:val="21"/>
          <w:u w:val="single"/>
        </w:rPr>
        <w:t xml:space="preserve"> </w:t>
      </w:r>
      <w:r>
        <w:rPr>
          <w:rFonts w:hint="eastAsia"/>
          <w:b/>
          <w:color w:val="000000"/>
          <w:szCs w:val="21"/>
          <w:u w:val="single"/>
        </w:rPr>
        <w:t xml:space="preserve">                  </w:t>
      </w:r>
    </w:p>
    <w:p>
      <w:pPr>
        <w:spacing w:line="400" w:lineRule="exact"/>
        <w:rPr>
          <w:color w:val="000000"/>
          <w:szCs w:val="21"/>
        </w:rPr>
      </w:pPr>
      <w:r>
        <w:rPr>
          <w:rFonts w:hint="eastAsia"/>
          <w:b/>
          <w:color w:val="000000"/>
          <w:szCs w:val="21"/>
        </w:rPr>
        <w:t>乙</w:t>
      </w:r>
      <w:r>
        <w:rPr>
          <w:b/>
          <w:color w:val="000000"/>
          <w:szCs w:val="21"/>
        </w:rPr>
        <w:t xml:space="preserve">    </w:t>
      </w:r>
      <w:r>
        <w:rPr>
          <w:rFonts w:hint="eastAsia"/>
          <w:b/>
          <w:color w:val="000000"/>
          <w:szCs w:val="21"/>
        </w:rPr>
        <w:t>方</w:t>
      </w:r>
      <w:r>
        <w:rPr>
          <w:rFonts w:hint="eastAsia"/>
          <w:color w:val="000000"/>
          <w:szCs w:val="21"/>
        </w:rPr>
        <w:t>（中标人）</w:t>
      </w:r>
      <w:r>
        <w:rPr>
          <w:rFonts w:hint="eastAsia"/>
          <w:b/>
          <w:color w:val="000000"/>
          <w:szCs w:val="21"/>
        </w:rPr>
        <w:t>：</w:t>
      </w:r>
      <w:r>
        <w:rPr>
          <w:b/>
          <w:color w:val="000000"/>
          <w:szCs w:val="21"/>
          <w:u w:val="single"/>
        </w:rPr>
        <w:t xml:space="preserve">                   </w:t>
      </w:r>
      <w:r>
        <w:rPr>
          <w:b/>
          <w:color w:val="000000"/>
          <w:szCs w:val="21"/>
        </w:rPr>
        <w:br w:type="textWrapping"/>
      </w:r>
    </w:p>
    <w:p>
      <w:pPr>
        <w:spacing w:line="400" w:lineRule="exact"/>
        <w:rPr>
          <w:color w:val="000000"/>
          <w:szCs w:val="21"/>
        </w:rPr>
      </w:pPr>
    </w:p>
    <w:p>
      <w:pPr>
        <w:spacing w:line="360" w:lineRule="exact"/>
        <w:ind w:firstLine="315" w:firstLineChars="150"/>
        <w:rPr>
          <w:rFonts w:hAnsi="宋体"/>
          <w:color w:val="000000"/>
          <w:szCs w:val="21"/>
        </w:rPr>
      </w:pPr>
      <w:r>
        <w:rPr>
          <w:rFonts w:hint="eastAsia" w:hAnsi="宋体"/>
          <w:color w:val="000000"/>
          <w:szCs w:val="21"/>
        </w:rPr>
        <w:t>根据</w:t>
      </w:r>
      <w:r>
        <w:rPr>
          <w:rFonts w:hint="eastAsia" w:hAnsi="宋体"/>
          <w:color w:val="000000"/>
          <w:szCs w:val="21"/>
          <w:u w:val="single"/>
        </w:rPr>
        <w:t xml:space="preserve"> </w:t>
      </w:r>
      <w:r>
        <w:rPr>
          <w:rFonts w:hAnsi="宋体"/>
          <w:color w:val="000000"/>
          <w:szCs w:val="21"/>
          <w:u w:val="single"/>
        </w:rPr>
        <w:t xml:space="preserve">                                     </w:t>
      </w:r>
      <w:r>
        <w:rPr>
          <w:rFonts w:hint="eastAsia" w:hAnsi="宋体"/>
          <w:color w:val="000000"/>
          <w:szCs w:val="21"/>
          <w:u w:val="single"/>
        </w:rPr>
        <w:t>项目</w:t>
      </w:r>
      <w:r>
        <w:rPr>
          <w:rFonts w:hint="eastAsia" w:hAnsi="宋体"/>
          <w:color w:val="000000"/>
          <w:szCs w:val="21"/>
        </w:rPr>
        <w:t>（项目编号：</w:t>
      </w:r>
      <w:r>
        <w:rPr>
          <w:bCs/>
          <w:color w:val="000000"/>
          <w:szCs w:val="21"/>
          <w:u w:val="single"/>
        </w:rPr>
        <w:t xml:space="preserve">               </w:t>
      </w:r>
      <w:r>
        <w:rPr>
          <w:rFonts w:hint="eastAsia"/>
          <w:bCs/>
          <w:color w:val="000000"/>
          <w:szCs w:val="21"/>
          <w:u w:val="single"/>
        </w:rPr>
        <w:t xml:space="preserve"> </w:t>
      </w:r>
      <w:r>
        <w:rPr>
          <w:rFonts w:hint="eastAsia" w:hAnsi="宋体"/>
          <w:color w:val="000000"/>
          <w:szCs w:val="21"/>
        </w:rPr>
        <w:t>）的采购结果，按照《中华人民共和国政府采购法》及其实施条例、</w:t>
      </w:r>
      <w:r>
        <w:rPr>
          <w:color w:val="000000"/>
          <w:szCs w:val="21"/>
        </w:rPr>
        <w:t>87</w:t>
      </w:r>
      <w:r>
        <w:rPr>
          <w:rFonts w:hint="eastAsia" w:hAnsi="宋体"/>
          <w:color w:val="000000"/>
          <w:szCs w:val="21"/>
        </w:rPr>
        <w:t>号令、《中华人民共和国民法典》的规定，</w:t>
      </w:r>
      <w:r>
        <w:rPr>
          <w:rFonts w:hint="eastAsia" w:hAnsi="宋体"/>
          <w:color w:val="000000"/>
          <w:kern w:val="28"/>
          <w:szCs w:val="21"/>
        </w:rPr>
        <w:t>经双方协商，</w:t>
      </w:r>
      <w:r>
        <w:rPr>
          <w:rFonts w:hint="eastAsia" w:hAnsi="宋体"/>
          <w:color w:val="000000"/>
          <w:szCs w:val="21"/>
        </w:rPr>
        <w:t>本着平等互利和诚实信用的原则，</w:t>
      </w:r>
      <w:r>
        <w:rPr>
          <w:rFonts w:hint="eastAsia" w:hAnsi="宋体"/>
          <w:color w:val="000000"/>
          <w:kern w:val="28"/>
          <w:szCs w:val="21"/>
        </w:rPr>
        <w:t>一致同意签订本合同如下</w:t>
      </w:r>
      <w:r>
        <w:rPr>
          <w:rFonts w:hint="eastAsia" w:hAnsi="宋体"/>
          <w:color w:val="000000"/>
          <w:szCs w:val="21"/>
        </w:rPr>
        <w:t>。</w:t>
      </w:r>
    </w:p>
    <w:p>
      <w:pPr>
        <w:spacing w:line="400" w:lineRule="exact"/>
        <w:ind w:firstLine="420" w:firstLineChars="200"/>
        <w:rPr>
          <w:color w:val="000000"/>
          <w:szCs w:val="21"/>
        </w:rPr>
      </w:pPr>
    </w:p>
    <w:p>
      <w:pPr>
        <w:spacing w:line="400" w:lineRule="exact"/>
        <w:rPr>
          <w:color w:val="000000"/>
          <w:szCs w:val="21"/>
        </w:rPr>
      </w:pPr>
      <w:r>
        <w:rPr>
          <w:rFonts w:hint="eastAsia"/>
          <w:color w:val="000000"/>
          <w:szCs w:val="21"/>
        </w:rPr>
        <w:t>一、</w:t>
      </w:r>
      <w:bookmarkStart w:id="45" w:name="_Toc435540759"/>
      <w:r>
        <w:rPr>
          <w:rFonts w:hint="eastAsia"/>
          <w:color w:val="000000"/>
          <w:szCs w:val="21"/>
        </w:rPr>
        <w:t>合同金额</w:t>
      </w:r>
      <w:bookmarkEnd w:id="45"/>
    </w:p>
    <w:p>
      <w:pPr>
        <w:pStyle w:val="24"/>
        <w:spacing w:beforeLines="0" w:afterLines="0"/>
        <w:ind w:firstLine="420" w:firstLineChars="200"/>
        <w:rPr>
          <w:rFonts w:ascii="Times New Roman" w:hAnsi="Times New Roman"/>
          <w:color w:val="000000"/>
          <w:sz w:val="21"/>
          <w:szCs w:val="21"/>
        </w:rPr>
      </w:pPr>
      <w:r>
        <w:rPr>
          <w:rFonts w:hint="eastAsia" w:ascii="Times New Roman" w:hAnsi="宋体"/>
          <w:color w:val="000000"/>
          <w:sz w:val="21"/>
          <w:szCs w:val="21"/>
        </w:rPr>
        <w:t>合同金额为（大写）：</w:t>
      </w:r>
      <w:r>
        <w:rPr>
          <w:rFonts w:ascii="Times New Roman" w:hAnsi="Times New Roman"/>
          <w:color w:val="000000"/>
          <w:sz w:val="21"/>
          <w:szCs w:val="21"/>
        </w:rPr>
        <w:t>_________________</w:t>
      </w:r>
      <w:r>
        <w:rPr>
          <w:rFonts w:hint="eastAsia" w:ascii="Times New Roman" w:hAnsi="宋体"/>
          <w:color w:val="000000"/>
          <w:sz w:val="21"/>
          <w:szCs w:val="21"/>
        </w:rPr>
        <w:t>元（小写</w:t>
      </w:r>
      <w:r>
        <w:rPr>
          <w:rFonts w:ascii="Times New Roman" w:hAnsi="Times New Roman"/>
          <w:color w:val="000000"/>
          <w:sz w:val="21"/>
          <w:szCs w:val="21"/>
        </w:rPr>
        <w:t>_______________</w:t>
      </w:r>
      <w:r>
        <w:rPr>
          <w:rFonts w:hint="eastAsia" w:ascii="Times New Roman" w:hAnsi="宋体"/>
          <w:color w:val="000000"/>
          <w:sz w:val="21"/>
          <w:szCs w:val="21"/>
        </w:rPr>
        <w:t>元），已包含人工、材料、交通、通讯、差旅、材料审查、成果编制等乙方为履行本合同所需的所有费用。</w:t>
      </w:r>
    </w:p>
    <w:p>
      <w:pPr>
        <w:spacing w:line="400" w:lineRule="exact"/>
        <w:rPr>
          <w:color w:val="000000"/>
          <w:szCs w:val="21"/>
        </w:rPr>
      </w:pPr>
      <w:bookmarkStart w:id="46" w:name="_Toc435540760"/>
      <w:r>
        <w:rPr>
          <w:rFonts w:hint="eastAsia"/>
          <w:color w:val="000000"/>
          <w:szCs w:val="21"/>
        </w:rPr>
        <w:t>二、服务范围</w:t>
      </w:r>
      <w:bookmarkEnd w:id="46"/>
    </w:p>
    <w:p>
      <w:pPr>
        <w:spacing w:line="360" w:lineRule="exact"/>
        <w:rPr>
          <w:color w:val="000000"/>
          <w:szCs w:val="21"/>
          <w:u w:val="single"/>
        </w:rPr>
      </w:pPr>
      <w:r>
        <w:rPr>
          <w:rFonts w:hint="eastAsia" w:hAnsi="宋体"/>
          <w:color w:val="000000"/>
          <w:szCs w:val="21"/>
        </w:rPr>
        <w:t>　　</w:t>
      </w:r>
      <w:r>
        <w:rPr>
          <w:color w:val="000000"/>
          <w:szCs w:val="21"/>
        </w:rPr>
        <w:t>1</w:t>
      </w:r>
      <w:r>
        <w:rPr>
          <w:rFonts w:hint="eastAsia" w:hAnsi="宋体"/>
          <w:color w:val="000000"/>
          <w:szCs w:val="21"/>
        </w:rPr>
        <w:t>．本合同项下的服务指</w:t>
      </w:r>
      <w:r>
        <w:rPr>
          <w:rFonts w:hint="eastAsia" w:ascii="Arial" w:hAnsi="宋体" w:cs="Arial"/>
          <w:color w:val="000000"/>
          <w:szCs w:val="21"/>
          <w:u w:val="single"/>
        </w:rPr>
        <w:t xml:space="preserve">                </w:t>
      </w:r>
      <w:r>
        <w:rPr>
          <w:color w:val="000000"/>
          <w:szCs w:val="21"/>
          <w:u w:val="single"/>
        </w:rPr>
        <w:t xml:space="preserve"> </w:t>
      </w:r>
    </w:p>
    <w:p>
      <w:pPr>
        <w:spacing w:line="400" w:lineRule="exact"/>
        <w:rPr>
          <w:color w:val="000000"/>
          <w:szCs w:val="21"/>
        </w:rPr>
      </w:pPr>
      <w:r>
        <w:rPr>
          <w:rFonts w:hint="eastAsia" w:hAnsi="宋体"/>
          <w:color w:val="000000"/>
          <w:szCs w:val="21"/>
        </w:rPr>
        <w:t>　　</w:t>
      </w:r>
      <w:r>
        <w:rPr>
          <w:color w:val="000000"/>
          <w:szCs w:val="21"/>
        </w:rPr>
        <w:t>2</w:t>
      </w:r>
      <w:r>
        <w:rPr>
          <w:rFonts w:hint="eastAsia" w:hAnsi="宋体"/>
          <w:color w:val="000000"/>
          <w:szCs w:val="21"/>
        </w:rPr>
        <w:t>．服务范围：</w:t>
      </w:r>
      <w:r>
        <w:rPr>
          <w:rFonts w:hint="eastAsia" w:ascii="Arial" w:cs="Arial"/>
          <w:color w:val="000000"/>
          <w:szCs w:val="21"/>
          <w:u w:val="single"/>
        </w:rPr>
        <w:t xml:space="preserve"> </w:t>
      </w:r>
      <w:r>
        <w:rPr>
          <w:rFonts w:ascii="Arial" w:cs="Arial"/>
          <w:color w:val="000000"/>
          <w:szCs w:val="21"/>
          <w:u w:val="single"/>
        </w:rPr>
        <w:t xml:space="preserve">                                    </w:t>
      </w:r>
      <w:r>
        <w:rPr>
          <w:rFonts w:ascii="Arial" w:hAnsi="Arial" w:cs="Arial"/>
          <w:color w:val="000000"/>
          <w:szCs w:val="21"/>
          <w:u w:val="single"/>
        </w:rPr>
        <w:t xml:space="preserve">   </w:t>
      </w:r>
    </w:p>
    <w:p>
      <w:pPr>
        <w:spacing w:line="400" w:lineRule="exact"/>
        <w:rPr>
          <w:color w:val="000000"/>
          <w:szCs w:val="21"/>
        </w:rPr>
      </w:pPr>
      <w:bookmarkStart w:id="47" w:name="_Toc435540761"/>
      <w:r>
        <w:rPr>
          <w:rFonts w:hint="eastAsia"/>
          <w:color w:val="000000"/>
          <w:szCs w:val="21"/>
        </w:rPr>
        <w:t>三、甲方乙方的权利和义务</w:t>
      </w:r>
      <w:bookmarkEnd w:id="47"/>
    </w:p>
    <w:p>
      <w:pPr>
        <w:spacing w:line="400" w:lineRule="exact"/>
        <w:rPr>
          <w:color w:val="000000"/>
          <w:szCs w:val="21"/>
        </w:rPr>
      </w:pPr>
      <w:r>
        <w:rPr>
          <w:rFonts w:hint="eastAsia" w:hAnsi="宋体"/>
          <w:color w:val="000000"/>
          <w:szCs w:val="21"/>
        </w:rPr>
        <w:t>　　（一）甲方的义务：按合同约定支付合同款项。</w:t>
      </w:r>
    </w:p>
    <w:p>
      <w:pPr>
        <w:spacing w:line="400" w:lineRule="exact"/>
        <w:ind w:left="405"/>
        <w:rPr>
          <w:rFonts w:hAnsi="宋体"/>
          <w:color w:val="000000"/>
          <w:szCs w:val="21"/>
        </w:rPr>
      </w:pPr>
      <w:r>
        <w:rPr>
          <w:rFonts w:hint="eastAsia" w:hAnsi="宋体"/>
          <w:color w:val="000000"/>
          <w:szCs w:val="21"/>
        </w:rPr>
        <w:t>（二）乙方的义务：</w:t>
      </w:r>
    </w:p>
    <w:p>
      <w:pPr>
        <w:spacing w:line="400" w:lineRule="exact"/>
        <w:ind w:left="405" w:firstLine="210" w:firstLineChars="100"/>
        <w:rPr>
          <w:rFonts w:hAnsi="宋体"/>
          <w:color w:val="000000"/>
          <w:szCs w:val="21"/>
        </w:rPr>
      </w:pPr>
      <w:r>
        <w:rPr>
          <w:rFonts w:hint="eastAsia" w:hAnsi="宋体"/>
          <w:color w:val="000000"/>
          <w:szCs w:val="21"/>
        </w:rPr>
        <w:t>1、按合同约定完成本项目全部服务内容并提交给甲方通过甲方审查验收。</w:t>
      </w:r>
    </w:p>
    <w:p>
      <w:pPr>
        <w:spacing w:line="400" w:lineRule="exact"/>
        <w:ind w:left="405" w:firstLine="210" w:firstLineChars="100"/>
        <w:rPr>
          <w:rFonts w:hAnsi="宋体"/>
          <w:color w:val="000000"/>
          <w:szCs w:val="21"/>
        </w:rPr>
      </w:pPr>
      <w:r>
        <w:rPr>
          <w:rFonts w:hint="eastAsia" w:hAnsi="宋体"/>
          <w:color w:val="000000"/>
          <w:szCs w:val="21"/>
        </w:rPr>
        <w:t>2、保证其提供服务的合法性及项目成果的真实性、准确性和完整性，且此责任不因合同终止、解除等情况免除或减轻。</w:t>
      </w:r>
    </w:p>
    <w:p>
      <w:pPr>
        <w:spacing w:line="400" w:lineRule="exact"/>
        <w:rPr>
          <w:color w:val="000000"/>
          <w:szCs w:val="21"/>
        </w:rPr>
      </w:pPr>
      <w:bookmarkStart w:id="48" w:name="_Toc435540762"/>
      <w:r>
        <w:rPr>
          <w:rFonts w:hint="eastAsia"/>
          <w:color w:val="000000"/>
          <w:szCs w:val="21"/>
        </w:rPr>
        <w:t>五、</w:t>
      </w:r>
      <w:bookmarkEnd w:id="48"/>
      <w:r>
        <w:rPr>
          <w:rFonts w:hint="eastAsia"/>
          <w:color w:val="000000"/>
          <w:szCs w:val="21"/>
        </w:rPr>
        <w:t>服务时间：</w:t>
      </w:r>
      <w:r>
        <w:rPr>
          <w:color w:val="000000"/>
          <w:szCs w:val="21"/>
        </w:rPr>
        <w:t xml:space="preserve"> </w:t>
      </w:r>
    </w:p>
    <w:p>
      <w:pPr>
        <w:spacing w:line="400" w:lineRule="exact"/>
        <w:ind w:firstLine="435"/>
        <w:rPr>
          <w:rFonts w:ascii="Arial" w:hAnsi="宋体" w:cs="Arial"/>
          <w:szCs w:val="21"/>
        </w:rPr>
      </w:pPr>
    </w:p>
    <w:p>
      <w:pPr>
        <w:spacing w:line="400" w:lineRule="exact"/>
        <w:rPr>
          <w:rFonts w:hAnsi="宋体"/>
          <w:szCs w:val="21"/>
        </w:rPr>
      </w:pPr>
      <w:r>
        <w:rPr>
          <w:rFonts w:hint="eastAsia"/>
        </w:rPr>
        <w:t>六、履约保证金：</w:t>
      </w:r>
    </w:p>
    <w:p/>
    <w:p>
      <w:pPr>
        <w:spacing w:line="400" w:lineRule="exact"/>
        <w:rPr>
          <w:szCs w:val="21"/>
        </w:rPr>
      </w:pPr>
      <w:r>
        <w:rPr>
          <w:rFonts w:hint="eastAsia"/>
          <w:szCs w:val="21"/>
        </w:rPr>
        <w:t>六、</w:t>
      </w:r>
      <w:bookmarkStart w:id="49" w:name="_Toc435540763"/>
      <w:r>
        <w:rPr>
          <w:rFonts w:hint="eastAsia"/>
          <w:szCs w:val="21"/>
        </w:rPr>
        <w:t>付款</w:t>
      </w:r>
      <w:bookmarkEnd w:id="49"/>
      <w:r>
        <w:rPr>
          <w:rFonts w:hint="eastAsia"/>
          <w:szCs w:val="21"/>
        </w:rPr>
        <w:t>方法</w:t>
      </w:r>
    </w:p>
    <w:p>
      <w:pPr>
        <w:spacing w:line="400" w:lineRule="exact"/>
        <w:ind w:firstLine="435"/>
        <w:rPr>
          <w:rFonts w:ascii="Arial" w:hAnsi="宋体" w:cs="Arial"/>
          <w:szCs w:val="21"/>
        </w:rPr>
      </w:pPr>
      <w:bookmarkStart w:id="50" w:name="_Toc435540764"/>
    </w:p>
    <w:p>
      <w:pPr>
        <w:spacing w:line="400" w:lineRule="exact"/>
        <w:rPr>
          <w:szCs w:val="21"/>
        </w:rPr>
      </w:pPr>
      <w:r>
        <w:rPr>
          <w:rFonts w:hint="eastAsia"/>
          <w:szCs w:val="21"/>
        </w:rPr>
        <w:t>七、知识产权产权归属</w:t>
      </w:r>
      <w:bookmarkEnd w:id="50"/>
    </w:p>
    <w:p>
      <w:pPr>
        <w:spacing w:line="400" w:lineRule="exact"/>
        <w:ind w:firstLine="420" w:firstLineChars="200"/>
        <w:rPr>
          <w:rFonts w:hAnsi="宋体"/>
          <w:color w:val="000000"/>
          <w:szCs w:val="21"/>
        </w:rPr>
      </w:pPr>
      <w:r>
        <w:rPr>
          <w:rFonts w:hint="eastAsia" w:hAnsi="宋体"/>
          <w:color w:val="000000"/>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bookmarkStart w:id="51" w:name="_Toc435540765"/>
    </w:p>
    <w:p>
      <w:pPr>
        <w:spacing w:line="400" w:lineRule="exact"/>
        <w:ind w:firstLine="420" w:firstLineChars="200"/>
        <w:rPr>
          <w:rFonts w:hAnsi="宋体"/>
          <w:color w:val="000000"/>
          <w:szCs w:val="21"/>
        </w:rPr>
      </w:pPr>
      <w:r>
        <w:rPr>
          <w:rFonts w:hint="eastAsia" w:hAnsi="宋体"/>
          <w:color w:val="000000"/>
          <w:szCs w:val="21"/>
        </w:rPr>
        <w:t>乙方在项目实施过程中所形成的所有原始资料、中间及最终成果及其所涉知识产权归甲方所有。</w:t>
      </w:r>
    </w:p>
    <w:p>
      <w:pPr>
        <w:spacing w:line="400" w:lineRule="exact"/>
        <w:rPr>
          <w:color w:val="000000"/>
          <w:szCs w:val="21"/>
        </w:rPr>
      </w:pPr>
      <w:r>
        <w:rPr>
          <w:rFonts w:hint="eastAsia"/>
          <w:color w:val="000000"/>
          <w:szCs w:val="21"/>
        </w:rPr>
        <w:t>八、保密</w:t>
      </w:r>
      <w:bookmarkEnd w:id="51"/>
    </w:p>
    <w:p>
      <w:pPr>
        <w:spacing w:line="400" w:lineRule="exact"/>
        <w:ind w:firstLine="420" w:firstLineChars="200"/>
        <w:rPr>
          <w:color w:val="000000"/>
          <w:szCs w:val="21"/>
        </w:rPr>
      </w:pPr>
      <w:r>
        <w:rPr>
          <w:rFonts w:hint="eastAsia" w:hAnsi="宋体"/>
          <w:color w:val="000000"/>
          <w:szCs w:val="21"/>
        </w:rPr>
        <w:t>乙方必须采取措施对本项目实施过程中的技术资料保密，否则，由于乙方过错导致的上述资料泄密的，乙方必须承担一切责任。项目完成后，乙方有责任对本项目的技术保密承担责任。</w:t>
      </w:r>
    </w:p>
    <w:p>
      <w:pPr>
        <w:tabs>
          <w:tab w:val="left" w:pos="900"/>
        </w:tabs>
        <w:spacing w:line="400" w:lineRule="exact"/>
        <w:ind w:firstLine="420" w:firstLineChars="200"/>
        <w:rPr>
          <w:color w:val="000000"/>
          <w:szCs w:val="21"/>
        </w:rPr>
      </w:pPr>
      <w:r>
        <w:rPr>
          <w:color w:val="000000"/>
          <w:szCs w:val="21"/>
        </w:rPr>
        <w:t>1</w:t>
      </w:r>
      <w:r>
        <w:rPr>
          <w:rFonts w:hint="eastAsia" w:hAnsi="宋体"/>
          <w:color w:val="000000"/>
          <w:szCs w:val="21"/>
        </w:rPr>
        <w:t>）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400" w:lineRule="exact"/>
        <w:ind w:firstLine="420" w:firstLineChars="200"/>
        <w:rPr>
          <w:color w:val="000000"/>
          <w:szCs w:val="21"/>
        </w:rPr>
      </w:pPr>
      <w:r>
        <w:rPr>
          <w:color w:val="000000"/>
          <w:szCs w:val="21"/>
        </w:rPr>
        <w:t>2</w:t>
      </w:r>
      <w:r>
        <w:rPr>
          <w:rFonts w:hint="eastAsia" w:hAnsi="宋体"/>
          <w:color w:val="000000"/>
          <w:szCs w:val="21"/>
        </w:rPr>
        <w:t>）如果甲方有要求，乙方在完成合同后应将有关资料还给甲方。</w:t>
      </w:r>
    </w:p>
    <w:p>
      <w:pPr>
        <w:spacing w:line="400" w:lineRule="exact"/>
        <w:rPr>
          <w:color w:val="000000"/>
          <w:szCs w:val="21"/>
        </w:rPr>
      </w:pPr>
      <w:bookmarkStart w:id="52" w:name="_Toc435540766"/>
      <w:bookmarkStart w:id="53" w:name="_Toc435540767"/>
      <w:r>
        <w:rPr>
          <w:rFonts w:hint="eastAsia"/>
          <w:color w:val="000000"/>
          <w:szCs w:val="21"/>
        </w:rPr>
        <w:t>九、违约责任与赔偿损失</w:t>
      </w:r>
      <w:bookmarkEnd w:id="52"/>
    </w:p>
    <w:p>
      <w:pPr>
        <w:spacing w:line="400" w:lineRule="exact"/>
        <w:ind w:firstLine="420" w:firstLineChars="200"/>
        <w:rPr>
          <w:color w:val="000000"/>
          <w:szCs w:val="21"/>
        </w:rPr>
      </w:pPr>
      <w:r>
        <w:rPr>
          <w:color w:val="000000"/>
          <w:szCs w:val="21"/>
        </w:rPr>
        <w:t>1</w:t>
      </w:r>
      <w:r>
        <w:rPr>
          <w:rFonts w:hint="eastAsia"/>
          <w:color w:val="000000"/>
          <w:szCs w:val="21"/>
        </w:rPr>
        <w:t>）乙方提供的服务不符合采购文件、投标文件或本合同规定的，甲方有权拒收，并且乙方须向甲方支付本合同总价10%的违约金。</w:t>
      </w:r>
    </w:p>
    <w:p>
      <w:pPr>
        <w:tabs>
          <w:tab w:val="left" w:pos="720"/>
          <w:tab w:val="left" w:pos="900"/>
        </w:tabs>
        <w:spacing w:line="400" w:lineRule="exact"/>
        <w:ind w:right="51" w:firstLine="420" w:firstLineChars="200"/>
        <w:rPr>
          <w:color w:val="000000"/>
          <w:szCs w:val="21"/>
        </w:rPr>
      </w:pPr>
      <w:r>
        <w:rPr>
          <w:color w:val="000000"/>
          <w:szCs w:val="21"/>
        </w:rPr>
        <w:t>2</w:t>
      </w:r>
      <w:r>
        <w:rPr>
          <w:rFonts w:hint="eastAsia" w:hAnsi="宋体"/>
          <w:color w:val="000000"/>
          <w:szCs w:val="21"/>
        </w:rPr>
        <w:t>）乙方未能按本合同规定的交货时间交付货物的</w:t>
      </w:r>
      <w:r>
        <w:rPr>
          <w:color w:val="000000"/>
          <w:szCs w:val="21"/>
        </w:rPr>
        <w:t>/</w:t>
      </w:r>
      <w:r>
        <w:rPr>
          <w:rFonts w:hint="eastAsia" w:hAnsi="宋体"/>
          <w:color w:val="000000"/>
          <w:szCs w:val="21"/>
        </w:rPr>
        <w:t>提供服务的，从逾期之日起每日按本合同总价</w:t>
      </w:r>
      <w:r>
        <w:rPr>
          <w:rFonts w:hint="eastAsia"/>
          <w:color w:val="000000"/>
          <w:szCs w:val="21"/>
        </w:rPr>
        <w:t>的</w:t>
      </w:r>
      <w:r>
        <w:rPr>
          <w:rFonts w:hint="eastAsia" w:hAnsi="宋体"/>
          <w:color w:val="000000"/>
          <w:szCs w:val="21"/>
        </w:rPr>
        <w:t>万分之五向甲方偿付违约金；逾期</w:t>
      </w:r>
      <w:r>
        <w:rPr>
          <w:color w:val="000000"/>
          <w:szCs w:val="21"/>
        </w:rPr>
        <w:t>15</w:t>
      </w:r>
      <w:r>
        <w:rPr>
          <w:rFonts w:hint="eastAsia" w:hAnsi="宋体"/>
          <w:color w:val="000000"/>
          <w:szCs w:val="21"/>
        </w:rPr>
        <w:t>天以上（含</w:t>
      </w:r>
      <w:r>
        <w:rPr>
          <w:color w:val="000000"/>
          <w:szCs w:val="21"/>
        </w:rPr>
        <w:t>15</w:t>
      </w:r>
      <w:r>
        <w:rPr>
          <w:rFonts w:hint="eastAsia" w:hAnsi="宋体"/>
          <w:color w:val="000000"/>
          <w:szCs w:val="21"/>
        </w:rPr>
        <w:t>天）的，甲方有权终止合同，并要求乙方按合同总价的20%支付违约金，并且给甲方造成的经济损失由乙方承担赔偿责任。</w:t>
      </w:r>
    </w:p>
    <w:p>
      <w:pPr>
        <w:spacing w:line="400" w:lineRule="exact"/>
        <w:ind w:firstLine="420" w:firstLineChars="200"/>
        <w:rPr>
          <w:bCs/>
          <w:color w:val="000000"/>
          <w:szCs w:val="21"/>
        </w:rPr>
      </w:pPr>
      <w:r>
        <w:rPr>
          <w:rFonts w:hint="eastAsia"/>
          <w:bCs/>
          <w:color w:val="000000"/>
          <w:szCs w:val="21"/>
        </w:rPr>
        <w:t>3</w:t>
      </w:r>
      <w:r>
        <w:rPr>
          <w:rFonts w:hint="eastAsia" w:hAnsi="宋体"/>
          <w:bCs/>
          <w:color w:val="000000"/>
          <w:szCs w:val="21"/>
        </w:rPr>
        <w:t>）其它违约责任按《中华人民共和国民法典》处理。</w:t>
      </w:r>
    </w:p>
    <w:p>
      <w:pPr>
        <w:spacing w:line="400" w:lineRule="exact"/>
        <w:rPr>
          <w:color w:val="000000"/>
          <w:szCs w:val="21"/>
        </w:rPr>
      </w:pPr>
      <w:r>
        <w:rPr>
          <w:rFonts w:hint="eastAsia"/>
          <w:color w:val="000000"/>
          <w:szCs w:val="21"/>
        </w:rPr>
        <w:t>十、争端的解决</w:t>
      </w:r>
      <w:bookmarkEnd w:id="53"/>
    </w:p>
    <w:p>
      <w:pPr>
        <w:spacing w:line="400" w:lineRule="exact"/>
        <w:ind w:firstLine="420" w:firstLineChars="200"/>
        <w:rPr>
          <w:color w:val="000000"/>
          <w:szCs w:val="21"/>
        </w:rPr>
      </w:pPr>
      <w:r>
        <w:rPr>
          <w:rFonts w:hint="eastAsia" w:hAnsi="宋体"/>
          <w:color w:val="000000"/>
          <w:szCs w:val="21"/>
        </w:rPr>
        <w:t>合同执行过程中发生的任何争议，如双方不能通过友好协商解决，甲、乙双方一致同意向甲方所在地人民法院提起诉讼。</w:t>
      </w:r>
    </w:p>
    <w:p>
      <w:pPr>
        <w:spacing w:line="400" w:lineRule="exact"/>
        <w:rPr>
          <w:color w:val="000000"/>
          <w:szCs w:val="21"/>
        </w:rPr>
      </w:pPr>
      <w:bookmarkStart w:id="54" w:name="_Toc435540768"/>
      <w:r>
        <w:rPr>
          <w:rFonts w:hint="eastAsia"/>
          <w:color w:val="000000"/>
          <w:szCs w:val="21"/>
        </w:rPr>
        <w:t>十一、不可抗力</w:t>
      </w:r>
      <w:bookmarkEnd w:id="54"/>
    </w:p>
    <w:p>
      <w:pPr>
        <w:spacing w:line="400" w:lineRule="exact"/>
        <w:ind w:firstLine="420" w:firstLineChars="200"/>
        <w:rPr>
          <w:color w:val="000000"/>
          <w:szCs w:val="21"/>
        </w:rPr>
      </w:pPr>
      <w:r>
        <w:rPr>
          <w:rFonts w:hint="eastAsia" w:hAnsi="宋体"/>
          <w:color w:val="000000"/>
          <w:szCs w:val="21"/>
        </w:rPr>
        <w:t>任何一方由于不可抗力原因不能履行合同时，应在不可抗力事件结束后</w:t>
      </w:r>
      <w:r>
        <w:rPr>
          <w:color w:val="000000"/>
          <w:szCs w:val="21"/>
        </w:rPr>
        <w:t>1</w:t>
      </w:r>
      <w:r>
        <w:rPr>
          <w:rFonts w:hint="eastAsia" w:hAnsi="宋体"/>
          <w:color w:val="000000"/>
          <w:szCs w:val="21"/>
        </w:rPr>
        <w:t>日内向对方通报，以减轻可能给对方造成的损失，在取得有关机构的不可抗力证明或双方谅解确认后，允许延期履行或修订合同，并根据情况可部分或全部免于承担违约责任。</w:t>
      </w:r>
    </w:p>
    <w:p>
      <w:pPr>
        <w:spacing w:line="400" w:lineRule="exact"/>
        <w:rPr>
          <w:color w:val="000000"/>
          <w:szCs w:val="21"/>
        </w:rPr>
      </w:pPr>
      <w:bookmarkStart w:id="55" w:name="_Toc435540769"/>
      <w:r>
        <w:rPr>
          <w:rFonts w:hint="eastAsia"/>
          <w:color w:val="000000"/>
          <w:szCs w:val="21"/>
        </w:rPr>
        <w:t>十二、税费</w:t>
      </w:r>
      <w:bookmarkEnd w:id="55"/>
    </w:p>
    <w:p>
      <w:pPr>
        <w:spacing w:line="400" w:lineRule="exact"/>
        <w:ind w:firstLine="420" w:firstLineChars="200"/>
        <w:rPr>
          <w:color w:val="000000"/>
          <w:szCs w:val="21"/>
        </w:rPr>
      </w:pPr>
      <w:r>
        <w:rPr>
          <w:rFonts w:hint="eastAsia" w:hAnsi="宋体"/>
          <w:color w:val="000000"/>
          <w:szCs w:val="21"/>
        </w:rPr>
        <w:t>在中国境内、外发生的与本合同执行有关的一切税费均由乙方负担。</w:t>
      </w:r>
    </w:p>
    <w:p>
      <w:pPr>
        <w:spacing w:line="400" w:lineRule="exact"/>
        <w:rPr>
          <w:color w:val="000000"/>
          <w:szCs w:val="21"/>
        </w:rPr>
      </w:pPr>
      <w:bookmarkStart w:id="56" w:name="_Toc435540770"/>
      <w:r>
        <w:rPr>
          <w:rFonts w:hint="eastAsia"/>
          <w:color w:val="000000"/>
          <w:szCs w:val="21"/>
        </w:rPr>
        <w:t>十三、其它</w:t>
      </w:r>
      <w:bookmarkEnd w:id="56"/>
    </w:p>
    <w:p>
      <w:pPr>
        <w:spacing w:line="400" w:lineRule="exact"/>
        <w:ind w:firstLine="420" w:firstLineChars="200"/>
        <w:rPr>
          <w:b/>
          <w:color w:val="000000"/>
          <w:szCs w:val="21"/>
        </w:rPr>
      </w:pPr>
      <w:r>
        <w:rPr>
          <w:color w:val="000000"/>
          <w:szCs w:val="21"/>
        </w:rPr>
        <w:t>1</w:t>
      </w:r>
      <w:r>
        <w:rPr>
          <w:rFonts w:hint="eastAsia" w:hAnsi="宋体"/>
          <w:color w:val="000000"/>
          <w:szCs w:val="21"/>
        </w:rPr>
        <w:t>）本合同所有附件、采购文件、投标文件、中标通知书均为合同的有效组成部分，与本合同具有同等法律效力。</w:t>
      </w:r>
    </w:p>
    <w:p>
      <w:pPr>
        <w:spacing w:line="400" w:lineRule="exact"/>
        <w:ind w:firstLine="420" w:firstLineChars="200"/>
        <w:rPr>
          <w:color w:val="000000"/>
          <w:szCs w:val="21"/>
        </w:rPr>
      </w:pPr>
      <w:r>
        <w:rPr>
          <w:bCs/>
          <w:color w:val="000000"/>
          <w:szCs w:val="21"/>
        </w:rPr>
        <w:t>2</w:t>
      </w:r>
      <w:r>
        <w:rPr>
          <w:rFonts w:hint="eastAsia" w:hAnsi="宋体"/>
          <w:color w:val="000000"/>
          <w:szCs w:val="21"/>
        </w:rPr>
        <w:t>）在执行本合同的过程中，所有经双方签署确认的文件（包括会议纪要、补充协议、往来信函）即成为本合同的有效组成部分。</w:t>
      </w:r>
    </w:p>
    <w:p>
      <w:pPr>
        <w:spacing w:line="400" w:lineRule="exact"/>
        <w:ind w:firstLine="420" w:firstLineChars="200"/>
        <w:rPr>
          <w:color w:val="000000"/>
          <w:szCs w:val="21"/>
        </w:rPr>
      </w:pPr>
      <w:r>
        <w:rPr>
          <w:color w:val="000000"/>
          <w:szCs w:val="21"/>
        </w:rPr>
        <w:t>3</w:t>
      </w:r>
      <w:r>
        <w:rPr>
          <w:rFonts w:hint="eastAsia" w:hAnsi="宋体"/>
          <w:color w:val="000000"/>
          <w:szCs w:val="21"/>
        </w:rPr>
        <w:t>）如一方地址、电话、传真号码有变更，应在变更当日内书面通知对方，否则，应承担相应责任。</w:t>
      </w:r>
      <w:r>
        <w:rPr>
          <w:color w:val="000000"/>
          <w:szCs w:val="21"/>
        </w:rPr>
        <w:t xml:space="preserve"> </w:t>
      </w:r>
    </w:p>
    <w:p>
      <w:pPr>
        <w:spacing w:line="400" w:lineRule="exact"/>
        <w:ind w:firstLine="420" w:firstLineChars="200"/>
        <w:rPr>
          <w:color w:val="000000"/>
          <w:szCs w:val="21"/>
        </w:rPr>
      </w:pPr>
      <w:r>
        <w:rPr>
          <w:color w:val="000000"/>
          <w:szCs w:val="21"/>
        </w:rPr>
        <w:t>4</w:t>
      </w:r>
      <w:r>
        <w:rPr>
          <w:rFonts w:hint="eastAsia" w:hAnsi="宋体"/>
          <w:color w:val="000000"/>
          <w:szCs w:val="21"/>
        </w:rPr>
        <w:t>）除甲方事先书面同意外，乙方不得部分或全部转让其应履行的合同项下的义务。</w:t>
      </w:r>
    </w:p>
    <w:p>
      <w:pPr>
        <w:spacing w:line="400" w:lineRule="exact"/>
        <w:rPr>
          <w:color w:val="000000"/>
          <w:szCs w:val="21"/>
        </w:rPr>
      </w:pPr>
      <w:bookmarkStart w:id="57" w:name="_Toc435540771"/>
      <w:r>
        <w:rPr>
          <w:rFonts w:hint="eastAsia"/>
          <w:color w:val="000000"/>
          <w:szCs w:val="21"/>
        </w:rPr>
        <w:t>十四、合同生效</w:t>
      </w:r>
      <w:bookmarkEnd w:id="57"/>
    </w:p>
    <w:p>
      <w:pPr>
        <w:spacing w:line="400" w:lineRule="exact"/>
        <w:ind w:firstLine="420" w:firstLineChars="200"/>
        <w:rPr>
          <w:color w:val="000000"/>
          <w:szCs w:val="21"/>
        </w:rPr>
      </w:pPr>
      <w:r>
        <w:rPr>
          <w:color w:val="000000"/>
          <w:szCs w:val="21"/>
        </w:rPr>
        <w:t>1</w:t>
      </w:r>
      <w:r>
        <w:rPr>
          <w:rFonts w:hint="eastAsia" w:hAnsi="宋体"/>
          <w:color w:val="000000"/>
          <w:szCs w:val="21"/>
        </w:rPr>
        <w:t>）合同自甲乙双方</w:t>
      </w:r>
      <w:r>
        <w:rPr>
          <w:rFonts w:hint="eastAsia" w:ascii="Arial" w:cs="Arial"/>
          <w:color w:val="000000"/>
          <w:szCs w:val="21"/>
        </w:rPr>
        <w:t>法定代表人</w:t>
      </w:r>
      <w:r>
        <w:rPr>
          <w:rFonts w:hint="eastAsia" w:hAnsi="宋体"/>
          <w:color w:val="000000"/>
          <w:szCs w:val="21"/>
        </w:rPr>
        <w:t>或其</w:t>
      </w:r>
      <w:r>
        <w:rPr>
          <w:rFonts w:hint="eastAsia" w:ascii="Arial" w:cs="Arial"/>
          <w:color w:val="000000"/>
          <w:szCs w:val="21"/>
        </w:rPr>
        <w:t>授权代表人</w:t>
      </w:r>
      <w:r>
        <w:rPr>
          <w:rFonts w:hint="eastAsia" w:hAnsi="宋体"/>
          <w:color w:val="000000"/>
          <w:szCs w:val="21"/>
        </w:rPr>
        <w:t>签字盖章，甲方收到履约保证金后生效。</w:t>
      </w:r>
    </w:p>
    <w:p>
      <w:pPr>
        <w:spacing w:line="400" w:lineRule="exact"/>
        <w:ind w:firstLine="420" w:firstLineChars="200"/>
        <w:rPr>
          <w:color w:val="000000"/>
          <w:szCs w:val="21"/>
        </w:rPr>
      </w:pPr>
      <w:r>
        <w:rPr>
          <w:color w:val="000000"/>
          <w:szCs w:val="21"/>
        </w:rPr>
        <w:t>2</w:t>
      </w:r>
      <w:r>
        <w:rPr>
          <w:rFonts w:hint="eastAsia" w:hAnsi="宋体"/>
          <w:color w:val="000000"/>
          <w:szCs w:val="21"/>
        </w:rPr>
        <w:t>）合同壹式</w:t>
      </w:r>
      <w:r>
        <w:rPr>
          <w:color w:val="000000"/>
          <w:szCs w:val="21"/>
          <w:u w:val="single"/>
        </w:rPr>
        <w:t xml:space="preserve"> </w:t>
      </w:r>
      <w:r>
        <w:rPr>
          <w:rFonts w:hint="eastAsia"/>
          <w:color w:val="000000"/>
          <w:szCs w:val="21"/>
          <w:u w:val="single"/>
        </w:rPr>
        <w:t>伍</w:t>
      </w:r>
      <w:r>
        <w:rPr>
          <w:color w:val="000000"/>
          <w:szCs w:val="21"/>
          <w:u w:val="single"/>
        </w:rPr>
        <w:t xml:space="preserve"> </w:t>
      </w:r>
      <w:r>
        <w:rPr>
          <w:rFonts w:hint="eastAsia" w:hAnsi="宋体"/>
          <w:color w:val="000000"/>
          <w:szCs w:val="21"/>
        </w:rPr>
        <w:t>份，其中甲乙双方各执</w:t>
      </w:r>
      <w:r>
        <w:rPr>
          <w:color w:val="000000"/>
          <w:szCs w:val="21"/>
          <w:u w:val="single"/>
        </w:rPr>
        <w:t xml:space="preserve"> </w:t>
      </w:r>
      <w:r>
        <w:rPr>
          <w:rFonts w:hint="eastAsia"/>
          <w:color w:val="000000"/>
          <w:szCs w:val="21"/>
          <w:u w:val="single"/>
        </w:rPr>
        <w:t>贰</w:t>
      </w:r>
      <w:r>
        <w:rPr>
          <w:color w:val="000000"/>
          <w:szCs w:val="21"/>
          <w:u w:val="single"/>
        </w:rPr>
        <w:t xml:space="preserve"> </w:t>
      </w:r>
      <w:r>
        <w:rPr>
          <w:rFonts w:hint="eastAsia" w:hAnsi="宋体"/>
          <w:color w:val="000000"/>
          <w:szCs w:val="21"/>
        </w:rPr>
        <w:t>份，采购代理机构执壹份。</w:t>
      </w:r>
    </w:p>
    <w:p>
      <w:pPr>
        <w:tabs>
          <w:tab w:val="left" w:pos="720"/>
        </w:tabs>
        <w:spacing w:line="400" w:lineRule="exact"/>
        <w:rPr>
          <w:color w:val="000000"/>
          <w:szCs w:val="21"/>
        </w:rPr>
      </w:pPr>
    </w:p>
    <w:p>
      <w:pPr>
        <w:spacing w:line="400" w:lineRule="exact"/>
        <w:rPr>
          <w:rFonts w:ascii="Arial" w:hAnsi="Arial" w:cs="Arial"/>
          <w:color w:val="000000"/>
          <w:szCs w:val="21"/>
        </w:rPr>
      </w:pPr>
      <w:r>
        <w:rPr>
          <w:rFonts w:ascii="Arial" w:hAnsi="Arial" w:cs="Arial"/>
          <w:color w:val="000000"/>
          <w:szCs w:val="21"/>
        </w:rPr>
        <w:t xml:space="preserve">  </w:t>
      </w:r>
      <w:r>
        <w:rPr>
          <w:rFonts w:hint="eastAsia" w:ascii="Arial" w:cs="Arial"/>
          <w:color w:val="000000"/>
          <w:szCs w:val="21"/>
        </w:rPr>
        <w:t>甲方：</w:t>
      </w:r>
      <w:r>
        <w:rPr>
          <w:rFonts w:ascii="Arial" w:hAnsi="Arial" w:cs="Arial"/>
          <w:color w:val="000000"/>
          <w:szCs w:val="21"/>
        </w:rPr>
        <w:t xml:space="preserve">                                   </w:t>
      </w:r>
      <w:r>
        <w:rPr>
          <w:rFonts w:hint="eastAsia" w:ascii="Arial" w:cs="Arial"/>
          <w:color w:val="000000"/>
          <w:szCs w:val="21"/>
        </w:rPr>
        <w:t>乙方：</w:t>
      </w:r>
      <w:r>
        <w:rPr>
          <w:rFonts w:ascii="Arial" w:hAnsi="Arial" w:cs="Arial"/>
          <w:color w:val="000000"/>
          <w:szCs w:val="21"/>
        </w:rPr>
        <w:t xml:space="preserve"> </w:t>
      </w:r>
    </w:p>
    <w:p>
      <w:pPr>
        <w:spacing w:line="400" w:lineRule="exact"/>
        <w:rPr>
          <w:rFonts w:ascii="Arial" w:hAnsi="Arial" w:cs="Arial"/>
          <w:color w:val="000000"/>
          <w:szCs w:val="21"/>
        </w:rPr>
      </w:pPr>
      <w:r>
        <w:rPr>
          <w:rFonts w:ascii="Arial" w:hAnsi="Arial" w:cs="Arial"/>
          <w:color w:val="000000"/>
          <w:szCs w:val="21"/>
        </w:rPr>
        <w:t xml:space="preserve">  </w:t>
      </w:r>
      <w:r>
        <w:rPr>
          <w:rFonts w:hint="eastAsia" w:ascii="Arial" w:cs="Arial"/>
          <w:color w:val="000000"/>
          <w:szCs w:val="21"/>
        </w:rPr>
        <w:t>地址：</w:t>
      </w:r>
      <w:r>
        <w:rPr>
          <w:rFonts w:ascii="Arial" w:hAnsi="Arial" w:cs="Arial"/>
          <w:color w:val="000000"/>
          <w:szCs w:val="21"/>
        </w:rPr>
        <w:t xml:space="preserve">                                   </w:t>
      </w:r>
      <w:r>
        <w:rPr>
          <w:rFonts w:hint="eastAsia" w:ascii="Arial" w:cs="Arial"/>
          <w:color w:val="000000"/>
          <w:szCs w:val="21"/>
        </w:rPr>
        <w:t>地址：</w:t>
      </w:r>
      <w:r>
        <w:rPr>
          <w:rFonts w:ascii="Arial" w:hAnsi="Arial" w:cs="Arial"/>
          <w:color w:val="000000"/>
          <w:szCs w:val="21"/>
        </w:rPr>
        <w:t xml:space="preserve"> </w:t>
      </w:r>
    </w:p>
    <w:p>
      <w:pPr>
        <w:spacing w:line="400" w:lineRule="exact"/>
        <w:rPr>
          <w:rFonts w:ascii="Arial" w:hAnsi="Arial" w:cs="Arial"/>
          <w:color w:val="000000"/>
          <w:szCs w:val="21"/>
        </w:rPr>
      </w:pPr>
      <w:r>
        <w:rPr>
          <w:rFonts w:ascii="Arial" w:hAnsi="Arial" w:cs="Arial"/>
          <w:color w:val="000000"/>
          <w:szCs w:val="21"/>
        </w:rPr>
        <w:t xml:space="preserve">  </w:t>
      </w:r>
      <w:r>
        <w:rPr>
          <w:rFonts w:hint="eastAsia" w:ascii="Arial" w:cs="Arial"/>
          <w:color w:val="000000"/>
          <w:szCs w:val="21"/>
        </w:rPr>
        <w:t>法定代表人（或授权代表人）：</w:t>
      </w:r>
      <w:r>
        <w:rPr>
          <w:rFonts w:ascii="Arial" w:hAnsi="Arial" w:cs="Arial"/>
          <w:color w:val="000000"/>
          <w:szCs w:val="21"/>
        </w:rPr>
        <w:t xml:space="preserve">                </w:t>
      </w:r>
      <w:r>
        <w:rPr>
          <w:rFonts w:hint="eastAsia" w:ascii="Arial" w:cs="Arial"/>
          <w:color w:val="000000"/>
          <w:szCs w:val="21"/>
        </w:rPr>
        <w:t>法定代表人（或授权代表人）：</w:t>
      </w:r>
    </w:p>
    <w:p>
      <w:pPr>
        <w:pStyle w:val="384"/>
        <w:spacing w:line="360" w:lineRule="auto"/>
        <w:ind w:left="0" w:leftChars="0" w:firstLine="210" w:firstLineChars="100"/>
        <w:rPr>
          <w:rFonts w:asciiTheme="minorEastAsia" w:hAnsiTheme="minorEastAsia" w:eastAsiaTheme="minorEastAsia"/>
          <w:u w:val="single"/>
        </w:rPr>
      </w:pPr>
      <w:r>
        <w:rPr>
          <w:rFonts w:hint="eastAsia" w:ascii="Arial" w:cs="Arial"/>
          <w:color w:val="000000"/>
        </w:rPr>
        <w:t>签字日期：</w:t>
      </w:r>
      <w:r>
        <w:rPr>
          <w:rFonts w:ascii="Arial" w:hAnsi="Arial" w:cs="Arial"/>
          <w:color w:val="000000"/>
        </w:rPr>
        <w:t xml:space="preserve">      </w:t>
      </w:r>
      <w:r>
        <w:rPr>
          <w:rFonts w:hint="eastAsia" w:ascii="Arial" w:cs="Arial"/>
          <w:color w:val="000000"/>
        </w:rPr>
        <w:t>年</w:t>
      </w:r>
      <w:r>
        <w:rPr>
          <w:rFonts w:ascii="Arial" w:hAnsi="Arial" w:cs="Arial"/>
          <w:color w:val="000000"/>
        </w:rPr>
        <w:t xml:space="preserve">  </w:t>
      </w:r>
      <w:r>
        <w:rPr>
          <w:rFonts w:hint="eastAsia" w:ascii="Arial" w:cs="Arial"/>
          <w:color w:val="000000"/>
        </w:rPr>
        <w:t>月</w:t>
      </w:r>
      <w:r>
        <w:rPr>
          <w:rFonts w:ascii="Arial" w:hAnsi="Arial" w:cs="Arial"/>
          <w:color w:val="000000"/>
        </w:rPr>
        <w:t xml:space="preserve">  </w:t>
      </w:r>
      <w:r>
        <w:rPr>
          <w:rFonts w:hint="eastAsia" w:ascii="Arial" w:hAnsi="Arial" w:cs="Arial"/>
          <w:color w:val="000000"/>
        </w:rPr>
        <w:t>日</w:t>
      </w:r>
      <w:r>
        <w:rPr>
          <w:rFonts w:ascii="Arial" w:hAnsi="Arial" w:cs="Arial"/>
          <w:color w:val="000000"/>
        </w:rPr>
        <w:t xml:space="preserve">                 </w:t>
      </w:r>
      <w:r>
        <w:rPr>
          <w:rFonts w:hint="eastAsia" w:ascii="Arial" w:hAnsi="Arial" w:cs="Arial"/>
          <w:color w:val="000000"/>
        </w:rPr>
        <w:t>签字日期：</w:t>
      </w:r>
      <w:r>
        <w:rPr>
          <w:rFonts w:ascii="Arial" w:hAnsi="Arial" w:cs="Arial"/>
          <w:color w:val="000000"/>
        </w:rPr>
        <w:t xml:space="preserve">      </w:t>
      </w:r>
      <w:r>
        <w:rPr>
          <w:rFonts w:hint="eastAsia" w:ascii="Arial" w:hAnsi="Arial" w:cs="Arial"/>
          <w:color w:val="000000"/>
        </w:rPr>
        <w:t>年</w:t>
      </w:r>
      <w:r>
        <w:rPr>
          <w:rFonts w:ascii="Arial" w:hAnsi="Arial" w:cs="Arial"/>
          <w:color w:val="000000"/>
        </w:rPr>
        <w:t xml:space="preserve">  </w:t>
      </w:r>
      <w:r>
        <w:rPr>
          <w:rFonts w:hint="eastAsia" w:ascii="Arial" w:hAnsi="Arial" w:cs="Arial"/>
          <w:color w:val="000000"/>
        </w:rPr>
        <w:t>月</w:t>
      </w:r>
      <w:r>
        <w:rPr>
          <w:rFonts w:ascii="Arial" w:hAnsi="Arial" w:cs="Arial"/>
          <w:color w:val="000000"/>
        </w:rPr>
        <w:t xml:space="preserve">  </w:t>
      </w:r>
      <w:r>
        <w:rPr>
          <w:rFonts w:hint="eastAsia" w:ascii="Arial" w:hAnsi="Arial" w:cs="Arial"/>
          <w:color w:val="000000"/>
        </w:rPr>
        <w:t>日</w:t>
      </w:r>
    </w:p>
    <w:p>
      <w:pPr>
        <w:pStyle w:val="384"/>
        <w:spacing w:line="360" w:lineRule="auto"/>
        <w:ind w:left="0" w:leftChars="0" w:firstLine="0"/>
        <w:jc w:val="center"/>
        <w:rPr>
          <w:rFonts w:ascii="宋体" w:hAnsi="宋体"/>
          <w:b/>
          <w:sz w:val="28"/>
        </w:rPr>
      </w:pPr>
      <w:r>
        <w:rPr>
          <w:rFonts w:ascii="宋体" w:hAnsi="宋体"/>
        </w:rPr>
        <w:br w:type="page"/>
      </w:r>
      <w:bookmarkStart w:id="58" w:name="_Toc34844746"/>
      <w:r>
        <w:rPr>
          <w:rFonts w:hint="eastAsia" w:ascii="宋体" w:hAnsi="宋体"/>
          <w:b/>
          <w:sz w:val="24"/>
        </w:rPr>
        <w:t>第六章  投标文件格式</w:t>
      </w:r>
      <w:bookmarkEnd w:id="58"/>
    </w:p>
    <w:p>
      <w:pPr>
        <w:snapToGrid w:val="0"/>
        <w:spacing w:line="360" w:lineRule="auto"/>
        <w:ind w:left="-23" w:leftChars="-11" w:right="-214" w:rightChars="-102" w:firstLine="21" w:firstLineChars="10"/>
        <w:jc w:val="left"/>
        <w:rPr>
          <w:rFonts w:ascii="宋体" w:hAnsi="宋体"/>
          <w:b/>
        </w:rPr>
      </w:pPr>
      <w:r>
        <w:rPr>
          <w:rFonts w:hint="eastAsia" w:ascii="宋体" w:hAnsi="宋体"/>
          <w:b/>
        </w:rPr>
        <w:t>1、资格要求响应文件的有关格式</w:t>
      </w:r>
    </w:p>
    <w:p>
      <w:pPr>
        <w:pStyle w:val="20"/>
        <w:spacing w:line="360" w:lineRule="auto"/>
        <w:ind w:left="0" w:leftChars="0"/>
        <w:jc w:val="center"/>
        <w:rPr>
          <w:rFonts w:ascii="宋体" w:hAnsi="宋体" w:cs="宋体"/>
          <w:b/>
          <w:kern w:val="1"/>
          <w:szCs w:val="21"/>
        </w:rPr>
      </w:pPr>
      <w:r>
        <w:rPr>
          <w:rFonts w:ascii="宋体" w:hAnsi="宋体" w:cs="宋体"/>
          <w:b/>
          <w:sz w:val="21"/>
          <w:szCs w:val="21"/>
        </w:rPr>
        <w:t>投标人资格声明函</w:t>
      </w:r>
    </w:p>
    <w:p>
      <w:pPr>
        <w:spacing w:line="360" w:lineRule="auto"/>
        <w:rPr>
          <w:rFonts w:ascii="宋体" w:hAnsi="宋体" w:cs="宋体"/>
          <w:b/>
          <w:kern w:val="1"/>
          <w:szCs w:val="21"/>
        </w:rPr>
      </w:pPr>
      <w:r>
        <w:rPr>
          <w:rFonts w:hint="eastAsia" w:ascii="宋体" w:hAnsi="宋体"/>
          <w:bCs/>
          <w:szCs w:val="21"/>
        </w:rPr>
        <w:t>致：</w:t>
      </w:r>
      <w:r>
        <w:rPr>
          <w:rFonts w:hint="eastAsia" w:ascii="宋体" w:hAnsi="宋体"/>
          <w:szCs w:val="21"/>
          <w:u w:val="single"/>
        </w:rPr>
        <w:t>宁波市生态环境局、宁波名诚招标代理有限公司</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根据贵方的招标公告和投标邀请，我方自愿</w:t>
      </w:r>
      <w:r>
        <w:rPr>
          <w:rFonts w:cs="Arial" w:asciiTheme="minorEastAsia" w:hAnsiTheme="minorEastAsia" w:eastAsiaTheme="minorEastAsia"/>
          <w:szCs w:val="21"/>
        </w:rPr>
        <w:t>参加投标并声明</w:t>
      </w:r>
      <w:r>
        <w:rPr>
          <w:rFonts w:hint="eastAsia" w:cs="Arial" w:asciiTheme="minorEastAsia" w:hAnsiTheme="minorEastAsia" w:eastAsiaTheme="minorEastAsia"/>
          <w:szCs w:val="21"/>
        </w:rPr>
        <w:t>：</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1.具有独立承担民事责任的能力；</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2.具有良好的商业信誉和健全的财务会计制度；</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3.具有履行本项目合同所必需的设备和专业技术能力；</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4.有依法缴纳税收和社会保障资金的良好记录；</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5.在参加本次政府采购活动前三年内，在经营活动中没有重大违法记录（没有因违法经营受到刑事处罚或者责令停产停业、吊销许可证或者执照、较大数额罚款等行政处罚）；</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6.至投标截止日未被列入“信用中国”网站(www.creditchina.gov.cn)“失信被执行人或重大税收违法案件当事人名单或政府采购严重违法失信名单”且不处于中国政府采购网(www.ccgp.gov.cn)“政府采购严重违法失信行为信息记录”中的禁止参加政府采购活动期间；</w:t>
      </w:r>
    </w:p>
    <w:p>
      <w:pPr>
        <w:spacing w:line="360" w:lineRule="auto"/>
        <w:ind w:firstLine="424"/>
        <w:rPr>
          <w:rFonts w:ascii="宋体" w:hAnsi="宋体" w:cs="Arial"/>
          <w:color w:val="FF0000"/>
          <w:szCs w:val="21"/>
        </w:rPr>
      </w:pPr>
      <w:r>
        <w:rPr>
          <w:rFonts w:hint="eastAsia" w:cs="Arial" w:asciiTheme="minorEastAsia" w:hAnsiTheme="minorEastAsia" w:eastAsiaTheme="minorEastAsia"/>
          <w:szCs w:val="21"/>
        </w:rPr>
        <w:t>7.具有</w:t>
      </w:r>
      <w:r>
        <w:rPr>
          <w:rFonts w:cs="Arial" w:asciiTheme="minorEastAsia" w:hAnsiTheme="minorEastAsia" w:eastAsiaTheme="minorEastAsia"/>
          <w:szCs w:val="21"/>
        </w:rPr>
        <w:t>法律、行政法规规定的其他条件</w:t>
      </w:r>
      <w:r>
        <w:rPr>
          <w:rFonts w:hint="eastAsia" w:cs="Arial" w:asciiTheme="minorEastAsia" w:hAnsiTheme="minorEastAsia" w:eastAsiaTheme="minorEastAsia"/>
          <w:szCs w:val="21"/>
        </w:rPr>
        <w:t>。</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color w:val="000000"/>
          <w:szCs w:val="21"/>
        </w:rPr>
      </w:pPr>
      <w:r>
        <w:rPr>
          <w:rFonts w:hint="eastAsia" w:ascii="宋体" w:hAnsi="宋体"/>
          <w:color w:val="000000"/>
          <w:szCs w:val="21"/>
        </w:rPr>
        <w:t>投标人：</w:t>
      </w:r>
      <w:r>
        <w:rPr>
          <w:rFonts w:ascii="宋体" w:hAnsi="宋体"/>
          <w:color w:val="000000"/>
          <w:szCs w:val="21"/>
          <w:u w:val="single"/>
        </w:rPr>
        <w:t>___</w:t>
      </w:r>
      <w:r>
        <w:rPr>
          <w:rFonts w:hint="eastAsia" w:ascii="宋体" w:hAnsi="宋体"/>
          <w:color w:val="000000"/>
          <w:szCs w:val="21"/>
          <w:u w:val="single"/>
        </w:rPr>
        <w:t xml:space="preserve">    （填写全称并加盖公章)</w:t>
      </w:r>
      <w:r>
        <w:rPr>
          <w:rFonts w:ascii="宋体" w:hAnsi="宋体"/>
          <w:color w:val="000000"/>
          <w:szCs w:val="21"/>
          <w:u w:val="single"/>
        </w:rPr>
        <w:t>___________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法定代表人或授权代表：</w:t>
      </w:r>
      <w:r>
        <w:rPr>
          <w:rFonts w:ascii="宋体" w:hAnsi="宋体"/>
          <w:color w:val="000000"/>
          <w:szCs w:val="21"/>
          <w:u w:val="single"/>
        </w:rPr>
        <w:t xml:space="preserve"> ___</w:t>
      </w:r>
      <w:r>
        <w:rPr>
          <w:rFonts w:hint="eastAsia" w:ascii="宋体" w:hAnsi="宋体"/>
          <w:szCs w:val="21"/>
          <w:u w:val="single"/>
        </w:rPr>
        <w:t>（签字或盖章）</w:t>
      </w:r>
      <w:r>
        <w:rPr>
          <w:rFonts w:ascii="宋体" w:hAnsi="宋体"/>
          <w:color w:val="000000"/>
          <w:szCs w:val="21"/>
          <w:u w:val="single"/>
        </w:rPr>
        <w:t>_____</w:t>
      </w:r>
      <w:r>
        <w:rPr>
          <w:rFonts w:ascii="宋体" w:hAnsi="宋体"/>
          <w:color w:val="000000"/>
          <w:szCs w:val="21"/>
        </w:rPr>
        <w:t>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日  期：</w:t>
      </w:r>
    </w:p>
    <w:p>
      <w:pPr>
        <w:rPr>
          <w:rFonts w:ascii="宋体" w:hAnsi="宋体"/>
          <w:color w:val="000000"/>
          <w:szCs w:val="21"/>
        </w:rPr>
      </w:pPr>
      <w:r>
        <w:rPr>
          <w:rFonts w:hint="eastAsia" w:ascii="宋体" w:hAnsi="宋体"/>
          <w:color w:val="000000"/>
          <w:szCs w:val="21"/>
        </w:rPr>
        <w:br w:type="page"/>
      </w:r>
    </w:p>
    <w:p>
      <w:pPr>
        <w:snapToGrid w:val="0"/>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联合体协议书</w:t>
      </w:r>
    </w:p>
    <w:p>
      <w:pPr>
        <w:pStyle w:val="39"/>
        <w:spacing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（允许联合体投标且投标人为联合体投标的，请编制此件加盖公章后作为资格要求响应文件的组成部分）</w:t>
      </w:r>
    </w:p>
    <w:p>
      <w:pPr>
        <w:spacing w:line="360" w:lineRule="auto"/>
        <w:ind w:firstLine="435"/>
        <w:rPr>
          <w:rFonts w:asciiTheme="minorEastAsia" w:hAnsiTheme="minorEastAsia" w:eastAsiaTheme="minorEastAsia"/>
          <w:szCs w:val="21"/>
        </w:rPr>
      </w:pPr>
    </w:p>
    <w:p>
      <w:pPr>
        <w:spacing w:line="360" w:lineRule="auto"/>
        <w:ind w:firstLine="435"/>
        <w:rPr>
          <w:rFonts w:asciiTheme="minorEastAsia" w:hAnsiTheme="minorEastAsia" w:eastAsiaTheme="minorEastAsia"/>
          <w:szCs w:val="21"/>
          <w:u w:val="single"/>
        </w:rPr>
      </w:pPr>
      <w:r>
        <w:rPr>
          <w:rFonts w:hint="eastAsia" w:asciiTheme="minorEastAsia" w:hAnsiTheme="minorEastAsia" w:eastAsiaTheme="minorEastAsia"/>
          <w:szCs w:val="21"/>
        </w:rPr>
        <w:t>联合体成员一名称：</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ind w:firstLine="435"/>
        <w:rPr>
          <w:rFonts w:asciiTheme="minorEastAsia" w:hAnsiTheme="minorEastAsia" w:eastAsiaTheme="minorEastAsia"/>
          <w:szCs w:val="21"/>
          <w:u w:val="single"/>
        </w:rPr>
      </w:pPr>
      <w:r>
        <w:rPr>
          <w:rFonts w:hint="eastAsia" w:asciiTheme="minorEastAsia" w:hAnsiTheme="minorEastAsia" w:eastAsiaTheme="minorEastAsia"/>
          <w:szCs w:val="21"/>
        </w:rPr>
        <w:t>联合体成员二名称：</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上述各成员单位经过友好协商，自愿组成</w:t>
      </w:r>
      <w:r>
        <w:rPr>
          <w:rFonts w:asciiTheme="minorEastAsia" w:hAnsiTheme="minorEastAsia" w:eastAsiaTheme="minorEastAsia"/>
          <w:szCs w:val="21"/>
        </w:rPr>
        <w:t>联合体，共同参加</w:t>
      </w:r>
      <w:r>
        <w:rPr>
          <w:rFonts w:hint="eastAsia" w:asciiTheme="minorEastAsia" w:hAnsiTheme="minorEastAsia" w:eastAsiaTheme="minorEastAsia"/>
          <w:szCs w:val="21"/>
        </w:rPr>
        <w:t>本项目的投标，</w:t>
      </w:r>
      <w:r>
        <w:rPr>
          <w:rFonts w:asciiTheme="minorEastAsia" w:hAnsiTheme="minorEastAsia" w:eastAsiaTheme="minorEastAsia"/>
          <w:szCs w:val="21"/>
        </w:rPr>
        <w:t>现就联合体投标事宜订立如下协议：</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（某成员单位名称）为联合体牵头人。</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.联合体各成员单位内部的职责分工</w:t>
      </w:r>
      <w:r>
        <w:rPr>
          <w:rFonts w:hint="eastAsia" w:asciiTheme="minorEastAsia" w:hAnsiTheme="minorEastAsia" w:eastAsiaTheme="minorEastAsia"/>
          <w:szCs w:val="21"/>
        </w:rPr>
        <w:t>及各方负责内容的合同金额占总合同金额的百分比</w:t>
      </w:r>
      <w:r>
        <w:rPr>
          <w:rFonts w:asciiTheme="minorEastAsia" w:hAnsiTheme="minorEastAsia" w:eastAsiaTheme="minorEastAsia"/>
          <w:szCs w:val="21"/>
        </w:rPr>
        <w:t>如下：</w:t>
      </w:r>
    </w:p>
    <w:p>
      <w:pPr>
        <w:spacing w:line="360" w:lineRule="auto"/>
        <w:ind w:firstLine="435"/>
        <w:rPr>
          <w:rFonts w:asciiTheme="minorEastAsia" w:hAnsiTheme="minorEastAsia" w:eastAsiaTheme="minorEastAsia"/>
          <w:szCs w:val="21"/>
          <w:u w:val="single"/>
        </w:rPr>
      </w:pPr>
      <w:r>
        <w:rPr>
          <w:rFonts w:hint="eastAsia" w:asciiTheme="minorEastAsia" w:hAnsiTheme="minorEastAsia" w:eastAsiaTheme="minorEastAsia"/>
          <w:szCs w:val="21"/>
        </w:rPr>
        <w:t>联合体成员一名称：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，承担</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工作，负责内容的合同金额占总合同金额的百分比：</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ind w:firstLine="435"/>
        <w:rPr>
          <w:rFonts w:asciiTheme="minorEastAsia" w:hAnsiTheme="minorEastAsia" w:eastAsiaTheme="minorEastAsia"/>
          <w:szCs w:val="21"/>
          <w:u w:val="single"/>
        </w:rPr>
      </w:pPr>
      <w:r>
        <w:rPr>
          <w:rFonts w:hint="eastAsia" w:asciiTheme="minorEastAsia" w:hAnsiTheme="minorEastAsia" w:eastAsiaTheme="minorEastAsia"/>
          <w:szCs w:val="21"/>
        </w:rPr>
        <w:t>联合体成员二名称：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，承担</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工作，负责内容的合同金额占总合同金额的百分比：</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ind w:firstLine="435"/>
        <w:rPr>
          <w:rFonts w:asciiTheme="minorEastAsia" w:hAnsiTheme="minorEastAsia" w:eastAsiaTheme="minorEastAsia"/>
          <w:szCs w:val="21"/>
          <w:u w:val="single"/>
        </w:rPr>
      </w:pPr>
      <w:r>
        <w:rPr>
          <w:rFonts w:hint="eastAsia"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asciiTheme="minorEastAsia" w:hAnsiTheme="minorEastAsia" w:eastAsiaTheme="minorEastAsia"/>
          <w:szCs w:val="21"/>
        </w:rPr>
        <w:t>4．投标工作和联合体在中标后</w:t>
      </w:r>
      <w:r>
        <w:rPr>
          <w:rFonts w:hint="eastAsia" w:asciiTheme="minorEastAsia" w:hAnsiTheme="minorEastAsia" w:eastAsiaTheme="minorEastAsia"/>
          <w:szCs w:val="21"/>
        </w:rPr>
        <w:t>项目</w:t>
      </w:r>
      <w:r>
        <w:rPr>
          <w:rFonts w:asciiTheme="minorEastAsia" w:hAnsiTheme="minorEastAsia" w:eastAsiaTheme="minorEastAsia"/>
          <w:szCs w:val="21"/>
        </w:rPr>
        <w:t>实施过程中的有关费用按各自承担的工作量分摊。</w:t>
      </w:r>
    </w:p>
    <w:p>
      <w:pPr>
        <w:spacing w:line="360" w:lineRule="auto"/>
        <w:ind w:firstLine="435"/>
        <w:rPr>
          <w:rFonts w:asciiTheme="minorEastAsia" w:hAnsiTheme="minorEastAsia" w:eastAsiaTheme="minorEastAsia"/>
          <w:szCs w:val="21"/>
        </w:rPr>
      </w:pPr>
      <w:r>
        <w:rPr>
          <w:rFonts w:asciiTheme="minorEastAsia" w:hAnsiTheme="minorEastAsia" w:eastAsiaTheme="minorEastAsia"/>
          <w:szCs w:val="21"/>
        </w:rPr>
        <w:t>5．联合体中标后，本联合协议是合同的附件，对联合体各成员单位有合同约束力。</w:t>
      </w:r>
    </w:p>
    <w:p>
      <w:pPr>
        <w:spacing w:line="360" w:lineRule="auto"/>
        <w:ind w:firstLine="435"/>
        <w:rPr>
          <w:rFonts w:asciiTheme="minorEastAsia" w:hAnsiTheme="minorEastAsia" w:eastAsiaTheme="minorEastAsia"/>
          <w:szCs w:val="21"/>
        </w:rPr>
      </w:pPr>
      <w:r>
        <w:rPr>
          <w:rFonts w:asciiTheme="minorEastAsia" w:hAnsiTheme="minorEastAsia" w:eastAsiaTheme="minorEastAsia"/>
          <w:szCs w:val="21"/>
        </w:rPr>
        <w:t>6．本协议书自签署之日起生效，联合体未中标或者合同履行完毕后自动失效。</w:t>
      </w:r>
    </w:p>
    <w:p>
      <w:pPr>
        <w:spacing w:line="360" w:lineRule="auto"/>
        <w:ind w:firstLine="435"/>
        <w:rPr>
          <w:rFonts w:asciiTheme="minorEastAsia" w:hAnsiTheme="minorEastAsia" w:eastAsiaTheme="minorEastAsia"/>
          <w:szCs w:val="21"/>
        </w:rPr>
      </w:pP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联合体成员一：</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（公章）</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法定代表人：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（签字或盖章）</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联合体成员二：</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（公章）</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法定代表人：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（签字或盖章）</w:t>
      </w:r>
    </w:p>
    <w:p>
      <w:pPr>
        <w:pStyle w:val="39"/>
        <w:spacing w:line="360" w:lineRule="auto"/>
        <w:ind w:firstLine="420"/>
        <w:rPr>
          <w:rFonts w:asciiTheme="minorEastAsia" w:hAnsiTheme="minorEastAsia" w:eastAsiaTheme="minorEastAsia"/>
          <w:sz w:val="21"/>
          <w:szCs w:val="21"/>
        </w:rPr>
      </w:pPr>
    </w:p>
    <w:p>
      <w:pPr>
        <w:pStyle w:val="53"/>
      </w:pPr>
      <w:r>
        <w:rPr>
          <w:rFonts w:hint="eastAsia" w:asciiTheme="minorEastAsia" w:hAnsiTheme="minorEastAsia" w:eastAsiaTheme="minorEastAsia"/>
          <w:szCs w:val="21"/>
        </w:rPr>
        <w:t>签订日期:</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snapToGrid w:val="0"/>
        <w:spacing w:line="360" w:lineRule="auto"/>
        <w:ind w:left="-23" w:leftChars="-11" w:right="-214" w:rightChars="-102" w:firstLine="21" w:firstLineChars="10"/>
        <w:jc w:val="left"/>
        <w:rPr>
          <w:rFonts w:ascii="宋体" w:hAnsi="宋体" w:cs="宋体"/>
          <w:b/>
          <w:szCs w:val="21"/>
        </w:rPr>
      </w:pPr>
      <w:r>
        <w:rPr>
          <w:rFonts w:ascii="宋体" w:hAnsi="宋体" w:cs="宋体"/>
          <w:b/>
          <w:szCs w:val="21"/>
        </w:rPr>
        <w:br w:type="page"/>
      </w:r>
      <w:r>
        <w:rPr>
          <w:rFonts w:hint="eastAsia" w:ascii="宋体" w:hAnsi="宋体"/>
          <w:b/>
        </w:rPr>
        <w:t>2、商务技术文件的有关格式</w:t>
      </w:r>
    </w:p>
    <w:p>
      <w:pPr>
        <w:pStyle w:val="20"/>
        <w:spacing w:line="360" w:lineRule="auto"/>
        <w:ind w:left="0" w:leftChars="0"/>
        <w:jc w:val="center"/>
        <w:rPr>
          <w:rFonts w:ascii="宋体" w:hAnsi="宋体" w:cs="宋体"/>
          <w:b/>
          <w:sz w:val="21"/>
          <w:szCs w:val="21"/>
        </w:rPr>
      </w:pPr>
      <w:r>
        <w:rPr>
          <w:rFonts w:hint="eastAsia" w:ascii="宋体" w:hAnsi="宋体" w:cs="宋体"/>
          <w:b/>
          <w:sz w:val="21"/>
          <w:szCs w:val="21"/>
        </w:rPr>
        <w:t>1）投标函</w:t>
      </w: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宁波市生态环境局、宁波名诚招标代理有限公司</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根据贵方的招标公告和投标邀请，我方兹宣布同意如下：</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1.按招标文件规定提供的服务（包括安装调试等工作）的最终投标报价见开标一览表。</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2.我方将根据招标文件的规定，严格履行合同的责任和义务。</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3.我方已详细审核全部招标文件，包括招标文件的澄清或修改（如有），参考资料及有关附件，我方正式认可并遵守本项目招标文件，并对招标文件各项条款、规定及要求均无异议。我方知道必须放弃提出含糊不清或误解问题的权利。</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4.我方的投标文件在招标文件规定的投标有效期之前均对我方具有约束力。</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5.我方声明投标文件所提供的一切资料均真实无误、及时、有效，企业（单位）运营正常。由于我方提供资料不实而造成的责任和后果由我方独自承担。我方同意按照贵方提出的要求，提供与投标有关的任何证据、数据或资料。</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6.我方完全理解最低报价并不是中标的唯一标准。</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rPr>
        <w:t>7</w:t>
      </w:r>
      <w:r>
        <w:rPr>
          <w:rFonts w:asciiTheme="minorEastAsia" w:hAnsiTheme="minorEastAsia" w:eastAsiaTheme="minorEastAsia"/>
        </w:rPr>
        <w:t>.如我方获得中标</w:t>
      </w:r>
      <w:r>
        <w:rPr>
          <w:rFonts w:asciiTheme="minorEastAsia" w:hAnsiTheme="minorEastAsia" w:eastAsiaTheme="minorEastAsia"/>
          <w:szCs w:val="21"/>
        </w:rPr>
        <w:t>，承诺按照招标文件规定的金额、时间和方式支付</w:t>
      </w:r>
      <w:r>
        <w:rPr>
          <w:rFonts w:hint="eastAsia" w:asciiTheme="minorEastAsia" w:hAnsiTheme="minorEastAsia" w:eastAsiaTheme="minorEastAsia"/>
          <w:szCs w:val="21"/>
        </w:rPr>
        <w:t>采购</w:t>
      </w:r>
      <w:r>
        <w:rPr>
          <w:rFonts w:asciiTheme="minorEastAsia" w:hAnsiTheme="minorEastAsia" w:eastAsiaTheme="minorEastAsia"/>
          <w:szCs w:val="21"/>
        </w:rPr>
        <w:t>代理服务费。因我方违约致使</w:t>
      </w:r>
      <w:r>
        <w:rPr>
          <w:rFonts w:hint="eastAsia" w:asciiTheme="minorEastAsia" w:hAnsiTheme="minorEastAsia" w:eastAsiaTheme="minorEastAsia"/>
          <w:szCs w:val="21"/>
        </w:rPr>
        <w:t>采购</w:t>
      </w:r>
      <w:r>
        <w:rPr>
          <w:rFonts w:asciiTheme="minorEastAsia" w:hAnsiTheme="minorEastAsia" w:eastAsiaTheme="minorEastAsia"/>
          <w:szCs w:val="21"/>
        </w:rPr>
        <w:t>代理机构采取诉讼或仲裁等方式实现债权，为此支付的</w:t>
      </w:r>
      <w:r>
        <w:rPr>
          <w:rFonts w:hint="eastAsia" w:asciiTheme="minorEastAsia" w:hAnsiTheme="minorEastAsia" w:eastAsiaTheme="minorEastAsia"/>
          <w:szCs w:val="21"/>
        </w:rPr>
        <w:t>律师费、诉讼费、</w:t>
      </w:r>
      <w:r>
        <w:rPr>
          <w:rFonts w:asciiTheme="minorEastAsia" w:hAnsiTheme="minorEastAsia" w:eastAsiaTheme="minorEastAsia"/>
          <w:szCs w:val="21"/>
        </w:rPr>
        <w:t>执行费</w:t>
      </w:r>
      <w:r>
        <w:rPr>
          <w:rFonts w:hint="eastAsia" w:asciiTheme="minorEastAsia" w:hAnsiTheme="minorEastAsia" w:eastAsiaTheme="minorEastAsia"/>
          <w:szCs w:val="21"/>
        </w:rPr>
        <w:t>、公证费、认证费、鉴定费、保全费、担保费、差旅费等为</w:t>
      </w:r>
      <w:r>
        <w:rPr>
          <w:rFonts w:asciiTheme="minorEastAsia" w:hAnsiTheme="minorEastAsia" w:eastAsiaTheme="minorEastAsia"/>
          <w:szCs w:val="21"/>
        </w:rPr>
        <w:t>实现债权的一切费用由我方承担。</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8.所有有关本次投标的函电请寄：</w:t>
      </w:r>
    </w:p>
    <w:p>
      <w:pPr>
        <w:snapToGrid w:val="0"/>
        <w:spacing w:line="360" w:lineRule="auto"/>
        <w:rPr>
          <w:rFonts w:ascii="宋体" w:hAnsi="宋体"/>
          <w:u w:val="single"/>
        </w:rPr>
      </w:pPr>
      <w:r>
        <w:rPr>
          <w:rFonts w:hint="eastAsia" w:asciiTheme="minorEastAsia" w:hAnsiTheme="minorEastAsia" w:eastAsiaTheme="minorEastAsia"/>
          <w:szCs w:val="21"/>
        </w:rPr>
        <w:t>地址：</w:t>
      </w:r>
      <w:r>
        <w:rPr>
          <w:rFonts w:hint="eastAsia" w:ascii="宋体" w:hAnsi="宋体"/>
          <w:u w:val="single"/>
        </w:rPr>
        <w:t xml:space="preserve">           </w:t>
      </w:r>
      <w:r>
        <w:rPr>
          <w:rFonts w:hint="eastAsia" w:asciiTheme="minorEastAsia" w:hAnsiTheme="minorEastAsia" w:eastAsiaTheme="minorEastAsia"/>
          <w:szCs w:val="21"/>
        </w:rPr>
        <w:t xml:space="preserve">   邮编：</w:t>
      </w:r>
      <w:r>
        <w:rPr>
          <w:rFonts w:hint="eastAsia" w:ascii="宋体" w:hAnsi="宋体"/>
          <w:u w:val="single"/>
        </w:rPr>
        <w:t xml:space="preserve">           </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电话：</w:t>
      </w:r>
      <w:r>
        <w:rPr>
          <w:rFonts w:hint="eastAsia" w:ascii="宋体" w:hAnsi="宋体"/>
          <w:u w:val="single"/>
        </w:rPr>
        <w:t xml:space="preserve">           </w:t>
      </w:r>
      <w:r>
        <w:rPr>
          <w:rFonts w:hint="eastAsia" w:asciiTheme="minorEastAsia" w:hAnsiTheme="minorEastAsia" w:eastAsiaTheme="minorEastAsia"/>
          <w:szCs w:val="21"/>
        </w:rPr>
        <w:t xml:space="preserve">   电子邮箱： </w:t>
      </w:r>
      <w:r>
        <w:rPr>
          <w:rFonts w:hint="eastAsia" w:ascii="宋体" w:hAnsi="宋体"/>
          <w:u w:val="single"/>
        </w:rPr>
        <w:t xml:space="preserve">           </w:t>
      </w:r>
    </w:p>
    <w:p>
      <w:pPr>
        <w:snapToGrid w:val="0"/>
        <w:spacing w:line="360" w:lineRule="auto"/>
        <w:rPr>
          <w:rFonts w:ascii="宋体" w:hAnsi="宋体"/>
          <w:color w:val="000000"/>
          <w:szCs w:val="21"/>
        </w:rPr>
      </w:pPr>
    </w:p>
    <w:p>
      <w:pPr>
        <w:snapToGrid w:val="0"/>
        <w:spacing w:line="360" w:lineRule="auto"/>
        <w:rPr>
          <w:rFonts w:ascii="宋体" w:hAnsi="宋体"/>
          <w:color w:val="000000"/>
          <w:szCs w:val="21"/>
        </w:rPr>
      </w:pPr>
    </w:p>
    <w:p>
      <w:pPr>
        <w:snapToGrid w:val="0"/>
        <w:spacing w:line="360" w:lineRule="auto"/>
        <w:ind w:firstLine="3685" w:firstLineChars="1755"/>
        <w:rPr>
          <w:rFonts w:ascii="宋体" w:hAnsi="宋体"/>
          <w:color w:val="000000"/>
          <w:szCs w:val="21"/>
        </w:rPr>
      </w:pPr>
      <w:r>
        <w:rPr>
          <w:rFonts w:hint="eastAsia" w:ascii="宋体" w:hAnsi="宋体"/>
          <w:color w:val="000000"/>
          <w:szCs w:val="21"/>
        </w:rPr>
        <w:t>投标人：</w:t>
      </w:r>
      <w:r>
        <w:rPr>
          <w:rFonts w:ascii="宋体" w:hAnsi="宋体"/>
          <w:color w:val="000000"/>
          <w:szCs w:val="21"/>
          <w:u w:val="single"/>
        </w:rPr>
        <w:t>___</w:t>
      </w:r>
      <w:r>
        <w:rPr>
          <w:rFonts w:hint="eastAsia" w:ascii="宋体" w:hAnsi="宋体"/>
          <w:color w:val="000000"/>
          <w:szCs w:val="21"/>
          <w:u w:val="single"/>
        </w:rPr>
        <w:t xml:space="preserve">    （填写全称并加盖公章)</w:t>
      </w:r>
      <w:r>
        <w:rPr>
          <w:rFonts w:ascii="宋体" w:hAnsi="宋体"/>
          <w:color w:val="000000"/>
          <w:szCs w:val="21"/>
          <w:u w:val="single"/>
        </w:rPr>
        <w:t>___________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法定代表人或授权代表签名：</w:t>
      </w:r>
      <w:r>
        <w:rPr>
          <w:rFonts w:ascii="宋体" w:hAnsi="宋体"/>
          <w:color w:val="000000"/>
          <w:szCs w:val="21"/>
          <w:u w:val="single"/>
        </w:rPr>
        <w:t xml:space="preserve"> </w:t>
      </w:r>
      <w:r>
        <w:rPr>
          <w:rFonts w:hint="eastAsia" w:ascii="宋体" w:hAnsi="宋体"/>
          <w:szCs w:val="21"/>
          <w:u w:val="single"/>
        </w:rPr>
        <w:t>（签字或盖章）</w:t>
      </w:r>
      <w:r>
        <w:rPr>
          <w:rFonts w:ascii="宋体" w:hAnsi="宋体"/>
          <w:color w:val="000000"/>
          <w:szCs w:val="21"/>
          <w:u w:val="single"/>
        </w:rPr>
        <w:t>_____</w:t>
      </w:r>
      <w:r>
        <w:rPr>
          <w:rFonts w:ascii="宋体" w:hAnsi="宋体"/>
          <w:color w:val="000000"/>
          <w:szCs w:val="21"/>
        </w:rPr>
        <w:t>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日  期：</w:t>
      </w:r>
    </w:p>
    <w:p>
      <w:pPr>
        <w:pStyle w:val="20"/>
        <w:spacing w:line="360" w:lineRule="auto"/>
        <w:ind w:left="0" w:leftChars="0"/>
        <w:jc w:val="center"/>
        <w:rPr>
          <w:rFonts w:ascii="宋体" w:hAnsi="宋体"/>
          <w:b/>
          <w:szCs w:val="21"/>
        </w:rPr>
      </w:pPr>
      <w:r>
        <w:rPr>
          <w:rFonts w:ascii="宋体" w:hAnsi="宋体"/>
          <w:b/>
          <w:szCs w:val="21"/>
        </w:rPr>
        <w:br w:type="page"/>
      </w:r>
      <w:r>
        <w:rPr>
          <w:rFonts w:hint="eastAsia" w:ascii="宋体" w:hAnsi="宋体"/>
          <w:b/>
          <w:sz w:val="21"/>
          <w:szCs w:val="21"/>
        </w:rPr>
        <w:t>2）</w:t>
      </w:r>
      <w:r>
        <w:rPr>
          <w:rFonts w:ascii="宋体" w:hAnsi="宋体" w:cs="宋体"/>
          <w:b/>
          <w:sz w:val="21"/>
          <w:szCs w:val="21"/>
        </w:rPr>
        <w:t>法定代表人授权委托书</w:t>
      </w: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宁波市生态环境局、宁波名诚招标代理有限公司</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我</w:t>
      </w:r>
      <w:r>
        <w:rPr>
          <w:rFonts w:hint="eastAsia" w:asciiTheme="minorEastAsia" w:hAnsiTheme="minorEastAsia" w:eastAsiaTheme="minorEastAsia"/>
          <w:szCs w:val="21"/>
          <w:u w:val="single"/>
        </w:rPr>
        <w:t xml:space="preserve">    （姓名）     </w:t>
      </w:r>
      <w:r>
        <w:rPr>
          <w:rFonts w:hint="eastAsia" w:asciiTheme="minorEastAsia" w:hAnsiTheme="minorEastAsia" w:eastAsiaTheme="minorEastAsia"/>
          <w:szCs w:val="21"/>
        </w:rPr>
        <w:t>系</w:t>
      </w:r>
      <w:r>
        <w:rPr>
          <w:rFonts w:hint="eastAsia" w:asciiTheme="minorEastAsia" w:hAnsiTheme="minorEastAsia" w:eastAsiaTheme="minorEastAsia"/>
          <w:szCs w:val="21"/>
          <w:u w:val="single"/>
        </w:rPr>
        <w:t xml:space="preserve">    （投标人名称）   </w:t>
      </w:r>
      <w:r>
        <w:rPr>
          <w:rFonts w:hint="eastAsia" w:asciiTheme="minorEastAsia" w:hAnsiTheme="minorEastAsia" w:eastAsiaTheme="minorEastAsia"/>
          <w:szCs w:val="21"/>
        </w:rPr>
        <w:t>的法定代表人，现授权委托</w:t>
      </w:r>
      <w:r>
        <w:rPr>
          <w:rFonts w:hint="eastAsia" w:asciiTheme="minorEastAsia" w:hAnsiTheme="minorEastAsia" w:eastAsiaTheme="minorEastAsia"/>
          <w:szCs w:val="21"/>
          <w:u w:val="single"/>
        </w:rPr>
        <w:t>（姓名）</w:t>
      </w:r>
      <w:r>
        <w:rPr>
          <w:rFonts w:hint="eastAsia" w:asciiTheme="minorEastAsia" w:hAnsiTheme="minorEastAsia" w:eastAsiaTheme="minorEastAsia"/>
          <w:szCs w:val="21"/>
        </w:rPr>
        <w:t>、身份证号：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以我方的名义参加</w:t>
      </w:r>
      <w:r>
        <w:rPr>
          <w:rFonts w:hint="eastAsia" w:asciiTheme="minorEastAsia" w:hAnsiTheme="minorEastAsia" w:eastAsiaTheme="minorEastAsia"/>
          <w:szCs w:val="21"/>
          <w:u w:val="single"/>
          <w:lang w:eastAsia="zh-CN"/>
        </w:rPr>
        <w:t>饮用水水源地电子围栏数据采购项目（服务采购部分）</w:t>
      </w:r>
      <w:r>
        <w:rPr>
          <w:rFonts w:hint="eastAsia" w:asciiTheme="minorEastAsia" w:hAnsiTheme="minorEastAsia" w:eastAsiaTheme="minorEastAsia"/>
          <w:szCs w:val="21"/>
        </w:rPr>
        <w:t>的投标活动，并代表我方全权办理针对上述项目投标有关的具体事务办理并签署相关文件。</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我方对授权代表的签名事项负全部责任。</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在撤销授权的书面通知以前，本授权委托书一直有效。授权代表在授权委托书有效期内签署的所有文件不因授权的撤销而失效。</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授权代表无转委托权，特此委托。</w:t>
      </w:r>
    </w:p>
    <w:p>
      <w:pPr>
        <w:snapToGrid w:val="0"/>
        <w:spacing w:line="360" w:lineRule="auto"/>
        <w:rPr>
          <w:rFonts w:asciiTheme="minorEastAsia" w:hAnsiTheme="minorEastAsia" w:eastAsiaTheme="minorEastAsia"/>
          <w:szCs w:val="21"/>
        </w:rPr>
      </w:pPr>
    </w:p>
    <w:p>
      <w:pPr>
        <w:snapToGrid w:val="0"/>
        <w:spacing w:line="360" w:lineRule="auto"/>
        <w:ind w:firstLine="3685" w:firstLineChars="1755"/>
        <w:rPr>
          <w:rFonts w:ascii="宋体" w:hAnsi="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hint="eastAsia" w:ascii="宋体" w:hAnsi="宋体"/>
          <w:szCs w:val="21"/>
          <w:u w:val="single"/>
        </w:rPr>
        <w:t xml:space="preserve">          （填写全称并加盖公章）     </w:t>
      </w:r>
    </w:p>
    <w:p>
      <w:pPr>
        <w:snapToGrid w:val="0"/>
        <w:spacing w:line="360" w:lineRule="auto"/>
        <w:ind w:firstLine="3685" w:firstLineChars="1755"/>
        <w:rPr>
          <w:rFonts w:ascii="宋体" w:hAnsi="宋体"/>
          <w:szCs w:val="21"/>
        </w:rPr>
      </w:pPr>
      <w:r>
        <w:rPr>
          <w:rFonts w:hint="eastAsia" w:ascii="宋体" w:hAnsi="宋体"/>
          <w:szCs w:val="21"/>
        </w:rPr>
        <w:t>法定代表人：</w:t>
      </w:r>
      <w:r>
        <w:rPr>
          <w:rFonts w:hint="eastAsia" w:ascii="宋体" w:hAnsi="宋体"/>
          <w:szCs w:val="21"/>
          <w:u w:val="single"/>
        </w:rPr>
        <w:t xml:space="preserve">           （签字</w:t>
      </w:r>
      <w:r>
        <w:rPr>
          <w:rFonts w:hint="eastAsia" w:asciiTheme="minorEastAsia" w:hAnsiTheme="minorEastAsia" w:eastAsiaTheme="minorEastAsia"/>
          <w:szCs w:val="21"/>
          <w:u w:val="single"/>
        </w:rPr>
        <w:t>或盖章</w:t>
      </w:r>
      <w:r>
        <w:rPr>
          <w:rFonts w:hint="eastAsia" w:ascii="宋体" w:hAnsi="宋体"/>
          <w:szCs w:val="21"/>
          <w:u w:val="single"/>
        </w:rPr>
        <w:t xml:space="preserve">）        </w:t>
      </w:r>
    </w:p>
    <w:p>
      <w:pPr>
        <w:snapToGrid w:val="0"/>
        <w:spacing w:line="360" w:lineRule="auto"/>
        <w:ind w:firstLine="3685" w:firstLineChars="1755"/>
        <w:rPr>
          <w:rFonts w:ascii="宋体" w:hAnsi="宋体"/>
          <w:szCs w:val="21"/>
          <w:u w:val="single"/>
        </w:rPr>
      </w:pPr>
      <w:r>
        <w:rPr>
          <w:rFonts w:hint="eastAsia" w:ascii="宋体" w:hAnsi="宋体"/>
          <w:szCs w:val="21"/>
        </w:rPr>
        <w:t>授权代表：</w:t>
      </w:r>
      <w:r>
        <w:rPr>
          <w:rFonts w:hint="eastAsia" w:ascii="宋体" w:hAnsi="宋体"/>
          <w:szCs w:val="21"/>
          <w:u w:val="single"/>
        </w:rPr>
        <w:t xml:space="preserve">              （签字</w:t>
      </w:r>
      <w:r>
        <w:rPr>
          <w:rFonts w:hint="eastAsia" w:asciiTheme="minorEastAsia" w:hAnsiTheme="minorEastAsia" w:eastAsiaTheme="minorEastAsia"/>
          <w:szCs w:val="21"/>
          <w:u w:val="single"/>
        </w:rPr>
        <w:t>或盖章</w:t>
      </w:r>
      <w:r>
        <w:rPr>
          <w:rFonts w:hint="eastAsia" w:ascii="宋体" w:hAnsi="宋体"/>
          <w:szCs w:val="21"/>
          <w:u w:val="single"/>
        </w:rPr>
        <w:t xml:space="preserve">）       </w:t>
      </w:r>
    </w:p>
    <w:p>
      <w:pPr>
        <w:snapToGrid w:val="0"/>
        <w:spacing w:line="360" w:lineRule="auto"/>
        <w:ind w:firstLine="3685" w:firstLineChars="1755"/>
        <w:rPr>
          <w:rFonts w:ascii="宋体" w:hAnsi="宋体"/>
          <w:szCs w:val="21"/>
        </w:rPr>
      </w:pPr>
      <w:r>
        <w:rPr>
          <w:rFonts w:hint="eastAsia" w:ascii="宋体" w:hAnsi="宋体"/>
          <w:szCs w:val="21"/>
        </w:rPr>
        <w:t>授权委托日期：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hint="eastAsia" w:asciiTheme="minorEastAsia" w:hAnsiTheme="minorEastAsia" w:eastAsiaTheme="minorEastAsia"/>
          <w:b/>
          <w:szCs w:val="21"/>
        </w:rPr>
        <w:t>注：本项目只允许有唯一的投标人授权代表，附授权代表</w:t>
      </w:r>
      <w:r>
        <w:rPr>
          <w:rFonts w:hint="eastAsia" w:asciiTheme="minorEastAsia" w:hAnsiTheme="minorEastAsia" w:eastAsiaTheme="minorEastAsia"/>
          <w:b/>
          <w:szCs w:val="21"/>
          <w:u w:val="single"/>
        </w:rPr>
        <w:t>身份证正反面</w:t>
      </w:r>
      <w:r>
        <w:rPr>
          <w:rFonts w:hint="eastAsia" w:asciiTheme="minorEastAsia" w:hAnsiTheme="minorEastAsia" w:eastAsiaTheme="minorEastAsia"/>
          <w:b/>
          <w:szCs w:val="21"/>
        </w:rPr>
        <w:t>、</w:t>
      </w:r>
      <w:r>
        <w:rPr>
          <w:rFonts w:hint="eastAsia" w:asciiTheme="minorEastAsia" w:hAnsiTheme="minorEastAsia" w:eastAsiaTheme="minorEastAsia"/>
          <w:b/>
          <w:szCs w:val="21"/>
          <w:u w:val="single"/>
        </w:rPr>
        <w:t>近六个月任意一个月的社保证明或提供劳动人事部门出示的相关在册人员的证明材料</w:t>
      </w:r>
      <w:r>
        <w:rPr>
          <w:rFonts w:hint="eastAsia" w:asciiTheme="minorEastAsia" w:hAnsiTheme="minorEastAsia" w:eastAsiaTheme="minorEastAsia"/>
          <w:b/>
          <w:szCs w:val="21"/>
        </w:rPr>
        <w:t>复印件</w:t>
      </w:r>
    </w:p>
    <w:p>
      <w:pPr>
        <w:spacing w:line="360" w:lineRule="auto"/>
        <w:jc w:val="center"/>
        <w:rPr>
          <w:rFonts w:ascii="宋体" w:hAnsi="宋体"/>
          <w:szCs w:val="21"/>
        </w:rPr>
      </w:pPr>
    </w:p>
    <w:p>
      <w:pPr>
        <w:snapToGrid w:val="0"/>
        <w:spacing w:line="360" w:lineRule="auto"/>
        <w:jc w:val="left"/>
        <w:rPr>
          <w:rFonts w:ascii="宋体" w:hAnsi="宋体"/>
          <w:szCs w:val="21"/>
        </w:rPr>
      </w:pPr>
    </w:p>
    <w:p>
      <w:pPr>
        <w:pStyle w:val="20"/>
        <w:spacing w:line="360" w:lineRule="auto"/>
        <w:ind w:left="0" w:leftChars="0"/>
        <w:jc w:val="center"/>
        <w:rPr>
          <w:rFonts w:ascii="宋体" w:hAnsi="宋体"/>
          <w:color w:val="000000"/>
          <w:szCs w:val="21"/>
        </w:rPr>
      </w:pPr>
      <w:r>
        <w:rPr>
          <w:rFonts w:ascii="宋体" w:hAnsi="宋体"/>
          <w:szCs w:val="21"/>
        </w:rPr>
        <w:br w:type="page"/>
      </w:r>
      <w:r>
        <w:rPr>
          <w:rFonts w:hint="eastAsia" w:ascii="宋体" w:hAnsi="宋体"/>
          <w:b/>
          <w:sz w:val="21"/>
          <w:szCs w:val="21"/>
        </w:rPr>
        <w:t>3）</w:t>
      </w:r>
      <w:r>
        <w:rPr>
          <w:rFonts w:hint="eastAsia" w:ascii="宋体" w:hAnsi="宋体" w:cs="宋体"/>
          <w:b/>
          <w:sz w:val="21"/>
          <w:szCs w:val="21"/>
        </w:rPr>
        <w:t>评委打分</w:t>
      </w:r>
      <w:r>
        <w:rPr>
          <w:rFonts w:hint="eastAsia" w:ascii="宋体" w:hAnsi="宋体"/>
          <w:b/>
          <w:sz w:val="21"/>
          <w:szCs w:val="21"/>
        </w:rPr>
        <w:t>索引表</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3742"/>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序号</w:t>
            </w:r>
          </w:p>
        </w:tc>
        <w:tc>
          <w:tcPr>
            <w:tcW w:w="3742" w:type="dxa"/>
            <w:vAlign w:val="center"/>
          </w:tcPr>
          <w:p>
            <w:pPr>
              <w:spacing w:line="300" w:lineRule="exact"/>
              <w:jc w:val="center"/>
              <w:rPr>
                <w:rFonts w:ascii="宋体" w:hAnsi="宋体"/>
                <w:szCs w:val="21"/>
              </w:rPr>
            </w:pPr>
            <w:r>
              <w:rPr>
                <w:rFonts w:hint="eastAsia" w:ascii="宋体" w:hAnsi="宋体"/>
                <w:szCs w:val="21"/>
              </w:rPr>
              <w:t>评分项目</w:t>
            </w:r>
          </w:p>
        </w:tc>
        <w:tc>
          <w:tcPr>
            <w:tcW w:w="1701" w:type="dxa"/>
            <w:vAlign w:val="center"/>
          </w:tcPr>
          <w:p>
            <w:pPr>
              <w:spacing w:line="300" w:lineRule="exact"/>
              <w:jc w:val="center"/>
              <w:rPr>
                <w:rFonts w:ascii="宋体" w:hAnsi="宋体"/>
                <w:szCs w:val="21"/>
              </w:rPr>
            </w:pPr>
            <w:r>
              <w:rPr>
                <w:rFonts w:hint="eastAsia" w:ascii="宋体" w:hAnsi="宋体"/>
                <w:szCs w:val="21"/>
              </w:rPr>
              <w:t>文件或证明材料所在页码区间</w:t>
            </w:r>
          </w:p>
        </w:tc>
        <w:tc>
          <w:tcPr>
            <w:tcW w:w="2268" w:type="dxa"/>
            <w:vAlign w:val="center"/>
          </w:tcPr>
          <w:p>
            <w:pPr>
              <w:spacing w:line="300" w:lineRule="exact"/>
              <w:jc w:val="center"/>
              <w:rPr>
                <w:rFonts w:ascii="宋体" w:hAnsi="宋体"/>
                <w:szCs w:val="21"/>
              </w:rPr>
            </w:pPr>
            <w:r>
              <w:rPr>
                <w:rFonts w:hint="eastAsia" w:ascii="宋体" w:hAnsi="宋体"/>
                <w:szCs w:val="21"/>
              </w:rPr>
              <w:t>自评得分（主观评审部分不用填写自评得分）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1</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2</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3</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4</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5</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bl>
    <w:p>
      <w:pPr>
        <w:pStyle w:val="20"/>
        <w:spacing w:before="120" w:beforeLines="50" w:line="360" w:lineRule="auto"/>
        <w:ind w:left="141" w:leftChars="67"/>
        <w:rPr>
          <w:rFonts w:ascii="宋体" w:hAnsi="宋体"/>
          <w:sz w:val="21"/>
          <w:szCs w:val="21"/>
        </w:rPr>
      </w:pPr>
      <w:r>
        <w:rPr>
          <w:rFonts w:hint="eastAsia" w:ascii="宋体" w:hAnsi="宋体"/>
          <w:sz w:val="21"/>
          <w:szCs w:val="21"/>
        </w:rPr>
        <w:t>注：按照评委打分表内容逐项填写</w:t>
      </w:r>
      <w:r>
        <w:rPr>
          <w:rFonts w:hint="eastAsia" w:asciiTheme="minorEastAsia" w:hAnsiTheme="minorEastAsia" w:eastAsiaTheme="minorEastAsia"/>
          <w:sz w:val="21"/>
          <w:szCs w:val="21"/>
        </w:rPr>
        <w:t>，报价项无需列入</w:t>
      </w:r>
      <w:r>
        <w:rPr>
          <w:rFonts w:hint="eastAsia" w:ascii="宋体" w:hAnsi="宋体"/>
          <w:sz w:val="21"/>
          <w:szCs w:val="21"/>
        </w:rPr>
        <w:t>。</w:t>
      </w:r>
    </w:p>
    <w:p>
      <w:pPr>
        <w:pStyle w:val="20"/>
        <w:spacing w:line="360" w:lineRule="auto"/>
        <w:rPr>
          <w:rFonts w:ascii="宋体" w:hAnsi="宋体"/>
          <w:b/>
          <w:sz w:val="21"/>
          <w:szCs w:val="21"/>
        </w:rPr>
      </w:pPr>
    </w:p>
    <w:p>
      <w:pPr>
        <w:snapToGrid w:val="0"/>
        <w:spacing w:before="50" w:after="50" w:line="360" w:lineRule="auto"/>
        <w:ind w:left="-21" w:leftChars="-72" w:right="-817" w:rightChars="-389" w:hanging="130" w:hangingChars="62"/>
        <w:rPr>
          <w:rFonts w:ascii="宋体" w:hAnsi="宋体"/>
          <w:szCs w:val="21"/>
        </w:rPr>
      </w:pPr>
    </w:p>
    <w:p>
      <w:pPr>
        <w:pStyle w:val="20"/>
        <w:spacing w:line="360" w:lineRule="auto"/>
        <w:ind w:left="0" w:leftChars="0"/>
        <w:jc w:val="center"/>
        <w:rPr>
          <w:rFonts w:ascii="宋体" w:hAnsi="宋体" w:cs="宋体"/>
          <w:b/>
          <w:sz w:val="21"/>
          <w:szCs w:val="21"/>
        </w:rPr>
      </w:pPr>
      <w:r>
        <w:rPr>
          <w:rFonts w:ascii="宋体" w:hAnsi="宋体"/>
          <w:kern w:val="1"/>
          <w:sz w:val="21"/>
          <w:szCs w:val="21"/>
        </w:rPr>
        <w:br w:type="page"/>
      </w:r>
      <w:r>
        <w:rPr>
          <w:rFonts w:hint="eastAsia" w:ascii="宋体" w:hAnsi="宋体" w:cs="宋体"/>
          <w:b/>
          <w:sz w:val="21"/>
          <w:szCs w:val="21"/>
        </w:rPr>
        <w:t>4）服务要求响应表</w:t>
      </w:r>
    </w:p>
    <w:tbl>
      <w:tblPr>
        <w:tblStyle w:val="44"/>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93"/>
        <w:gridCol w:w="3260"/>
        <w:gridCol w:w="2551"/>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序号</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kern w:val="1"/>
                <w:szCs w:val="21"/>
              </w:rPr>
              <w:t>项目</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招标文件</w:t>
            </w:r>
            <w:r>
              <w:rPr>
                <w:rFonts w:hint="eastAsia" w:ascii="宋体" w:hAnsi="宋体"/>
                <w:szCs w:val="21"/>
              </w:rPr>
              <w:t>的条款描述</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响应情况</w:t>
            </w:r>
          </w:p>
          <w:p>
            <w:pPr>
              <w:widowControl/>
              <w:jc w:val="center"/>
              <w:rPr>
                <w:rFonts w:ascii="宋体" w:hAnsi="宋体"/>
                <w:szCs w:val="21"/>
              </w:rPr>
            </w:pPr>
            <w:r>
              <w:rPr>
                <w:rFonts w:hint="eastAsia" w:ascii="宋体" w:hAnsi="宋体"/>
                <w:szCs w:val="21"/>
              </w:rPr>
              <w:t>（正偏离/响应/负偏离）</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2</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3</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4</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5</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1"/>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6</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7</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8</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cs="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9</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10</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bl>
    <w:p>
      <w:pPr>
        <w:snapToGrid w:val="0"/>
        <w:spacing w:before="50" w:after="50" w:line="360" w:lineRule="auto"/>
        <w:ind w:left="-23" w:leftChars="-11" w:right="-57" w:rightChars="-27" w:firstLine="21" w:firstLineChars="10"/>
        <w:rPr>
          <w:rFonts w:ascii="宋体" w:hAnsi="宋体"/>
          <w:b/>
          <w:szCs w:val="21"/>
        </w:rPr>
      </w:pPr>
      <w:r>
        <w:rPr>
          <w:rFonts w:hint="eastAsia" w:ascii="宋体" w:hAnsi="宋体"/>
          <w:b/>
          <w:szCs w:val="21"/>
        </w:rPr>
        <w:t>注：响应情况栏填写“响应”即为满足</w:t>
      </w:r>
      <w:r>
        <w:rPr>
          <w:rFonts w:ascii="宋体" w:hAnsi="宋体"/>
          <w:b/>
          <w:szCs w:val="21"/>
        </w:rPr>
        <w:t>招标文件</w:t>
      </w:r>
      <w:r>
        <w:rPr>
          <w:rFonts w:hint="eastAsia" w:ascii="宋体" w:hAnsi="宋体"/>
          <w:b/>
          <w:szCs w:val="21"/>
        </w:rPr>
        <w:t>的要求，填写“正偏离”为优于</w:t>
      </w:r>
      <w:r>
        <w:rPr>
          <w:rFonts w:ascii="宋体" w:hAnsi="宋体"/>
          <w:b/>
          <w:szCs w:val="21"/>
        </w:rPr>
        <w:t>招标文件</w:t>
      </w:r>
      <w:r>
        <w:rPr>
          <w:rFonts w:hint="eastAsia" w:ascii="宋体" w:hAnsi="宋体"/>
          <w:b/>
          <w:szCs w:val="21"/>
        </w:rPr>
        <w:t>的要求，填写“负偏离”为不能满足</w:t>
      </w:r>
      <w:r>
        <w:rPr>
          <w:rFonts w:ascii="宋体" w:hAnsi="宋体"/>
          <w:b/>
          <w:szCs w:val="21"/>
        </w:rPr>
        <w:t>招标文件</w:t>
      </w:r>
      <w:r>
        <w:rPr>
          <w:rFonts w:hint="eastAsia" w:ascii="宋体" w:hAnsi="宋体"/>
          <w:b/>
          <w:szCs w:val="21"/>
        </w:rPr>
        <w:t>的要求，响应条款有“正偏离”和“负偏离”的应当在“偏离情况说明”栏进行明确描述，响应情况由评标委员会认定。</w:t>
      </w:r>
    </w:p>
    <w:p>
      <w:pPr>
        <w:snapToGrid w:val="0"/>
        <w:spacing w:before="50" w:after="50" w:line="360" w:lineRule="auto"/>
        <w:ind w:left="-23" w:leftChars="-11" w:right="27" w:rightChars="13" w:firstLine="21" w:firstLineChars="10"/>
        <w:rPr>
          <w:rFonts w:ascii="宋体" w:hAnsi="宋体" w:cs="宋体"/>
          <w:b/>
          <w:bCs/>
          <w:szCs w:val="30"/>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color w:val="000000"/>
          <w:szCs w:val="21"/>
        </w:rPr>
      </w:pPr>
      <w:r>
        <w:rPr>
          <w:rFonts w:hint="eastAsia" w:ascii="宋体" w:hAnsi="宋体"/>
          <w:color w:val="000000"/>
          <w:szCs w:val="21"/>
        </w:rPr>
        <w:t>投标人：</w:t>
      </w:r>
      <w:r>
        <w:rPr>
          <w:rFonts w:ascii="宋体" w:hAnsi="宋体"/>
          <w:color w:val="000000"/>
          <w:szCs w:val="21"/>
          <w:u w:val="single"/>
        </w:rPr>
        <w:t>___</w:t>
      </w:r>
      <w:r>
        <w:rPr>
          <w:rFonts w:hint="eastAsia" w:ascii="宋体" w:hAnsi="宋体"/>
          <w:color w:val="000000"/>
          <w:szCs w:val="21"/>
          <w:u w:val="single"/>
        </w:rPr>
        <w:t xml:space="preserve">    （填写全称并加盖公章)</w:t>
      </w:r>
      <w:r>
        <w:rPr>
          <w:rFonts w:ascii="宋体" w:hAnsi="宋体"/>
          <w:color w:val="000000"/>
          <w:szCs w:val="21"/>
          <w:u w:val="single"/>
        </w:rPr>
        <w:t>___________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法定代表人或授权代表签名：</w:t>
      </w:r>
      <w:r>
        <w:rPr>
          <w:rFonts w:ascii="宋体" w:hAnsi="宋体"/>
          <w:color w:val="000000"/>
          <w:szCs w:val="21"/>
          <w:u w:val="single"/>
        </w:rPr>
        <w:t xml:space="preserve"> _</w:t>
      </w:r>
      <w:r>
        <w:rPr>
          <w:rFonts w:hint="eastAsia" w:ascii="宋体" w:hAnsi="宋体"/>
          <w:szCs w:val="21"/>
          <w:u w:val="single"/>
        </w:rPr>
        <w:t>（签字或盖章）</w:t>
      </w:r>
      <w:r>
        <w:rPr>
          <w:rFonts w:ascii="宋体" w:hAnsi="宋体"/>
          <w:color w:val="000000"/>
          <w:szCs w:val="21"/>
          <w:u w:val="single"/>
        </w:rPr>
        <w:t>_____</w:t>
      </w:r>
      <w:r>
        <w:rPr>
          <w:rFonts w:ascii="宋体" w:hAnsi="宋体"/>
          <w:color w:val="000000"/>
          <w:szCs w:val="21"/>
        </w:rPr>
        <w:t>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日  期：</w:t>
      </w:r>
    </w:p>
    <w:p>
      <w:pPr>
        <w:pStyle w:val="20"/>
        <w:spacing w:line="360" w:lineRule="auto"/>
        <w:ind w:left="0" w:leftChars="0"/>
        <w:jc w:val="center"/>
        <w:rPr>
          <w:rFonts w:ascii="宋体" w:hAnsi="宋体" w:cs="宋体"/>
          <w:b/>
          <w:sz w:val="21"/>
          <w:szCs w:val="21"/>
        </w:rPr>
      </w:pPr>
      <w:r>
        <w:rPr>
          <w:rFonts w:ascii="宋体" w:hAnsi="宋体"/>
          <w:color w:val="000000"/>
          <w:szCs w:val="21"/>
        </w:rPr>
        <w:br w:type="page"/>
      </w:r>
      <w:r>
        <w:rPr>
          <w:rFonts w:hint="eastAsia" w:ascii="宋体" w:hAnsi="宋体" w:cs="宋体"/>
          <w:b/>
          <w:sz w:val="21"/>
          <w:szCs w:val="21"/>
        </w:rPr>
        <w:t>5）商务要求响应表</w:t>
      </w:r>
    </w:p>
    <w:tbl>
      <w:tblPr>
        <w:tblStyle w:val="44"/>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93"/>
        <w:gridCol w:w="3260"/>
        <w:gridCol w:w="2551"/>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序号</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kern w:val="1"/>
                <w:szCs w:val="21"/>
              </w:rPr>
              <w:t>项目</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招标文件</w:t>
            </w:r>
            <w:r>
              <w:rPr>
                <w:rFonts w:hint="eastAsia" w:ascii="宋体" w:hAnsi="宋体"/>
                <w:szCs w:val="21"/>
              </w:rPr>
              <w:t>的条款描述</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响应情况</w:t>
            </w:r>
          </w:p>
          <w:p>
            <w:pPr>
              <w:widowControl/>
              <w:jc w:val="center"/>
              <w:rPr>
                <w:rFonts w:ascii="宋体" w:hAnsi="宋体"/>
                <w:szCs w:val="21"/>
              </w:rPr>
            </w:pPr>
            <w:r>
              <w:rPr>
                <w:rFonts w:hint="eastAsia" w:ascii="宋体" w:hAnsi="宋体"/>
                <w:szCs w:val="21"/>
              </w:rPr>
              <w:t>（正偏离/响应/负偏离）</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2</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3</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4</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5</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1"/>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6</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7</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8</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cs="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9</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10</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bl>
    <w:p>
      <w:pPr>
        <w:snapToGrid w:val="0"/>
        <w:spacing w:before="50" w:after="50" w:line="360" w:lineRule="auto"/>
        <w:ind w:left="-23" w:leftChars="-11" w:right="-57" w:rightChars="-27" w:firstLine="21" w:firstLineChars="10"/>
        <w:rPr>
          <w:rFonts w:ascii="宋体" w:hAnsi="宋体"/>
          <w:b/>
          <w:szCs w:val="21"/>
        </w:rPr>
      </w:pPr>
      <w:r>
        <w:rPr>
          <w:rFonts w:hint="eastAsia" w:ascii="宋体" w:hAnsi="宋体"/>
          <w:b/>
          <w:szCs w:val="21"/>
        </w:rPr>
        <w:t>注：响应情况栏填写“响应”即为满足</w:t>
      </w:r>
      <w:r>
        <w:rPr>
          <w:rFonts w:ascii="宋体" w:hAnsi="宋体"/>
          <w:b/>
          <w:szCs w:val="21"/>
        </w:rPr>
        <w:t>招标文件</w:t>
      </w:r>
      <w:r>
        <w:rPr>
          <w:rFonts w:hint="eastAsia" w:ascii="宋体" w:hAnsi="宋体"/>
          <w:b/>
          <w:szCs w:val="21"/>
        </w:rPr>
        <w:t>的要求，填写“正偏离”为优于</w:t>
      </w:r>
      <w:r>
        <w:rPr>
          <w:rFonts w:ascii="宋体" w:hAnsi="宋体"/>
          <w:b/>
          <w:szCs w:val="21"/>
        </w:rPr>
        <w:t>招标文件</w:t>
      </w:r>
      <w:r>
        <w:rPr>
          <w:rFonts w:hint="eastAsia" w:ascii="宋体" w:hAnsi="宋体"/>
          <w:b/>
          <w:szCs w:val="21"/>
        </w:rPr>
        <w:t>的要求，填写“负偏离”为不能满足</w:t>
      </w:r>
      <w:r>
        <w:rPr>
          <w:rFonts w:ascii="宋体" w:hAnsi="宋体"/>
          <w:b/>
          <w:szCs w:val="21"/>
        </w:rPr>
        <w:t>招标文件</w:t>
      </w:r>
      <w:r>
        <w:rPr>
          <w:rFonts w:hint="eastAsia" w:ascii="宋体" w:hAnsi="宋体"/>
          <w:b/>
          <w:szCs w:val="21"/>
        </w:rPr>
        <w:t>的要求，响应条款有“正偏离”和“负偏离”的应当在“偏离情况说明”栏进行明确描述，响应情况由评标委员会认定。</w:t>
      </w:r>
    </w:p>
    <w:p>
      <w:pPr>
        <w:snapToGrid w:val="0"/>
        <w:spacing w:before="50" w:after="50" w:line="360" w:lineRule="auto"/>
        <w:ind w:left="-23" w:leftChars="-11" w:right="-57" w:rightChars="-27" w:firstLine="21" w:firstLineChars="10"/>
        <w:rPr>
          <w:rFonts w:ascii="宋体" w:hAnsi="宋体"/>
          <w:b/>
          <w:szCs w:val="21"/>
        </w:rPr>
      </w:pPr>
    </w:p>
    <w:p>
      <w:pPr>
        <w:snapToGrid w:val="0"/>
        <w:spacing w:line="360" w:lineRule="auto"/>
        <w:ind w:firstLine="3685" w:firstLineChars="1755"/>
        <w:rPr>
          <w:rFonts w:ascii="宋体" w:hAnsi="宋体"/>
          <w:color w:val="000000"/>
          <w:szCs w:val="21"/>
        </w:rPr>
      </w:pPr>
    </w:p>
    <w:p>
      <w:pPr>
        <w:snapToGrid w:val="0"/>
        <w:spacing w:line="360" w:lineRule="auto"/>
        <w:ind w:firstLine="3685" w:firstLineChars="1755"/>
        <w:rPr>
          <w:rFonts w:ascii="宋体" w:hAnsi="宋体"/>
          <w:color w:val="000000"/>
          <w:szCs w:val="21"/>
        </w:rPr>
      </w:pPr>
      <w:r>
        <w:rPr>
          <w:rFonts w:hint="eastAsia" w:ascii="宋体" w:hAnsi="宋体"/>
          <w:color w:val="000000"/>
          <w:szCs w:val="21"/>
        </w:rPr>
        <w:t>投标人：</w:t>
      </w:r>
      <w:r>
        <w:rPr>
          <w:rFonts w:ascii="宋体" w:hAnsi="宋体"/>
          <w:color w:val="000000"/>
          <w:szCs w:val="21"/>
          <w:u w:val="single"/>
        </w:rPr>
        <w:t>___</w:t>
      </w:r>
      <w:r>
        <w:rPr>
          <w:rFonts w:hint="eastAsia" w:ascii="宋体" w:hAnsi="宋体"/>
          <w:color w:val="000000"/>
          <w:szCs w:val="21"/>
          <w:u w:val="single"/>
        </w:rPr>
        <w:t xml:space="preserve">    （填写全称并加盖公章)</w:t>
      </w:r>
      <w:r>
        <w:rPr>
          <w:rFonts w:ascii="宋体" w:hAnsi="宋体"/>
          <w:color w:val="000000"/>
          <w:szCs w:val="21"/>
          <w:u w:val="single"/>
        </w:rPr>
        <w:t>___________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法定代表人或授权代表签名：</w:t>
      </w:r>
      <w:r>
        <w:rPr>
          <w:rFonts w:hint="eastAsia" w:ascii="宋体" w:hAnsi="宋体"/>
          <w:szCs w:val="21"/>
          <w:u w:val="single"/>
        </w:rPr>
        <w:t>（签字或盖章）</w:t>
      </w:r>
      <w:r>
        <w:rPr>
          <w:rFonts w:ascii="宋体" w:hAnsi="宋体"/>
          <w:color w:val="000000"/>
          <w:szCs w:val="21"/>
          <w:u w:val="single"/>
        </w:rPr>
        <w:t>_____</w:t>
      </w:r>
      <w:r>
        <w:rPr>
          <w:rFonts w:ascii="宋体" w:hAnsi="宋体"/>
          <w:color w:val="000000"/>
          <w:szCs w:val="21"/>
        </w:rPr>
        <w:t>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日  期：</w:t>
      </w:r>
    </w:p>
    <w:p>
      <w:pPr>
        <w:snapToGrid w:val="0"/>
        <w:spacing w:line="360" w:lineRule="auto"/>
        <w:ind w:firstLine="3685" w:firstLineChars="1755"/>
        <w:rPr>
          <w:rFonts w:ascii="宋体" w:hAnsi="宋体"/>
          <w:color w:val="000000"/>
          <w:szCs w:val="21"/>
        </w:rPr>
      </w:pPr>
    </w:p>
    <w:p>
      <w:pPr>
        <w:pStyle w:val="20"/>
        <w:spacing w:line="360" w:lineRule="auto"/>
        <w:ind w:left="0" w:leftChars="0"/>
        <w:jc w:val="center"/>
        <w:rPr>
          <w:rFonts w:ascii="宋体" w:hAnsi="宋体"/>
          <w:b/>
        </w:rPr>
      </w:pPr>
      <w:r>
        <w:rPr>
          <w:rFonts w:ascii="宋体" w:hAnsi="宋体"/>
          <w:szCs w:val="21"/>
        </w:rPr>
        <w:br w:type="page"/>
      </w:r>
      <w:r>
        <w:rPr>
          <w:rFonts w:hint="eastAsia" w:ascii="宋体" w:hAnsi="宋体" w:cs="宋体"/>
          <w:b/>
          <w:sz w:val="21"/>
          <w:szCs w:val="21"/>
        </w:rPr>
        <w:t>6）项目实施人员情况表</w:t>
      </w:r>
    </w:p>
    <w:tbl>
      <w:tblPr>
        <w:tblStyle w:val="4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27"/>
        <w:gridCol w:w="1167"/>
        <w:gridCol w:w="1275"/>
        <w:gridCol w:w="851"/>
        <w:gridCol w:w="850"/>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bCs/>
                <w:szCs w:val="21"/>
              </w:rPr>
            </w:pPr>
            <w:r>
              <w:rPr>
                <w:rFonts w:hint="eastAsia" w:ascii="宋体" w:hAnsi="宋体"/>
                <w:bCs/>
                <w:szCs w:val="21"/>
              </w:rPr>
              <w:t>序号</w:t>
            </w:r>
          </w:p>
        </w:tc>
        <w:tc>
          <w:tcPr>
            <w:tcW w:w="1527" w:type="dxa"/>
            <w:vAlign w:val="center"/>
          </w:tcPr>
          <w:p>
            <w:pPr>
              <w:jc w:val="center"/>
              <w:rPr>
                <w:rFonts w:ascii="宋体" w:hAnsi="宋体"/>
                <w:bCs/>
                <w:szCs w:val="21"/>
              </w:rPr>
            </w:pPr>
            <w:r>
              <w:rPr>
                <w:rFonts w:hint="eastAsia" w:ascii="宋体" w:hAnsi="宋体"/>
                <w:bCs/>
                <w:szCs w:val="21"/>
              </w:rPr>
              <w:t>姓名</w:t>
            </w:r>
          </w:p>
        </w:tc>
        <w:tc>
          <w:tcPr>
            <w:tcW w:w="1167" w:type="dxa"/>
            <w:vAlign w:val="center"/>
          </w:tcPr>
          <w:p>
            <w:pPr>
              <w:jc w:val="center"/>
              <w:rPr>
                <w:rFonts w:ascii="宋体" w:hAnsi="宋体"/>
                <w:bCs/>
                <w:szCs w:val="21"/>
              </w:rPr>
            </w:pPr>
            <w:r>
              <w:rPr>
                <w:rFonts w:hint="eastAsia" w:ascii="宋体" w:hAnsi="宋体"/>
                <w:bCs/>
                <w:szCs w:val="21"/>
              </w:rPr>
              <w:t>岗位</w:t>
            </w:r>
          </w:p>
        </w:tc>
        <w:tc>
          <w:tcPr>
            <w:tcW w:w="1275" w:type="dxa"/>
            <w:vAlign w:val="center"/>
          </w:tcPr>
          <w:p>
            <w:pPr>
              <w:jc w:val="center"/>
              <w:rPr>
                <w:rFonts w:ascii="宋体" w:hAnsi="宋体"/>
                <w:bCs/>
                <w:szCs w:val="21"/>
              </w:rPr>
            </w:pPr>
            <w:r>
              <w:rPr>
                <w:rFonts w:hint="eastAsia" w:ascii="宋体" w:hAnsi="宋体"/>
                <w:bCs/>
                <w:szCs w:val="21"/>
              </w:rPr>
              <w:t>本项目主要工作内容</w:t>
            </w:r>
          </w:p>
        </w:tc>
        <w:tc>
          <w:tcPr>
            <w:tcW w:w="851" w:type="dxa"/>
            <w:vAlign w:val="center"/>
          </w:tcPr>
          <w:p>
            <w:pPr>
              <w:jc w:val="center"/>
              <w:rPr>
                <w:rFonts w:ascii="宋体" w:hAnsi="宋体"/>
                <w:bCs/>
                <w:szCs w:val="21"/>
              </w:rPr>
            </w:pPr>
            <w:r>
              <w:rPr>
                <w:rFonts w:hint="eastAsia" w:ascii="宋体" w:hAnsi="宋体"/>
                <w:bCs/>
                <w:szCs w:val="21"/>
              </w:rPr>
              <w:t>年龄</w:t>
            </w:r>
          </w:p>
        </w:tc>
        <w:tc>
          <w:tcPr>
            <w:tcW w:w="850" w:type="dxa"/>
            <w:vAlign w:val="center"/>
          </w:tcPr>
          <w:p>
            <w:pPr>
              <w:jc w:val="center"/>
              <w:rPr>
                <w:rFonts w:ascii="宋体" w:hAnsi="宋体"/>
                <w:bCs/>
                <w:szCs w:val="21"/>
              </w:rPr>
            </w:pPr>
            <w:r>
              <w:rPr>
                <w:rFonts w:hint="eastAsia" w:ascii="宋体" w:hAnsi="宋体"/>
                <w:bCs/>
                <w:szCs w:val="21"/>
              </w:rPr>
              <w:t>性别</w:t>
            </w:r>
          </w:p>
        </w:tc>
        <w:tc>
          <w:tcPr>
            <w:tcW w:w="1134" w:type="dxa"/>
            <w:vAlign w:val="center"/>
          </w:tcPr>
          <w:p>
            <w:pPr>
              <w:jc w:val="center"/>
              <w:rPr>
                <w:rFonts w:ascii="宋体" w:hAnsi="宋体"/>
                <w:bCs/>
                <w:szCs w:val="21"/>
              </w:rPr>
            </w:pPr>
            <w:r>
              <w:rPr>
                <w:rFonts w:hint="eastAsia" w:ascii="宋体" w:hAnsi="宋体"/>
                <w:bCs/>
                <w:szCs w:val="21"/>
              </w:rPr>
              <w:t>学历</w:t>
            </w:r>
          </w:p>
        </w:tc>
        <w:tc>
          <w:tcPr>
            <w:tcW w:w="1560" w:type="dxa"/>
            <w:vAlign w:val="center"/>
          </w:tcPr>
          <w:p>
            <w:pPr>
              <w:jc w:val="center"/>
              <w:rPr>
                <w:rFonts w:ascii="宋体" w:hAnsi="宋体"/>
                <w:bCs/>
                <w:szCs w:val="21"/>
              </w:rPr>
            </w:pPr>
            <w:r>
              <w:rPr>
                <w:rFonts w:hint="eastAsia" w:ascii="宋体" w:hAnsi="宋体"/>
                <w:bCs/>
                <w:szCs w:val="21"/>
              </w:rPr>
              <w:t>职称、执业资格等能力情况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1</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2</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3</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4</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5</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bl>
    <w:p>
      <w:pPr>
        <w:spacing w:line="360" w:lineRule="auto"/>
        <w:ind w:left="924" w:hanging="924" w:hangingChars="440"/>
        <w:rPr>
          <w:rFonts w:ascii="宋体" w:hAnsi="宋体" w:cs="宋体"/>
        </w:rPr>
      </w:pPr>
      <w:r>
        <w:rPr>
          <w:rFonts w:hint="eastAsia" w:ascii="宋体" w:hAnsi="宋体" w:cs="宋体"/>
        </w:rPr>
        <w:t>注：1、</w:t>
      </w:r>
      <w:r>
        <w:rPr>
          <w:rFonts w:hint="eastAsia" w:ascii="宋体" w:hAnsi="宋体" w:cs="宋体"/>
          <w:b/>
        </w:rPr>
        <w:t>项目负责人等与评审因素相关的人员列入本表并明确</w:t>
      </w:r>
      <w:r>
        <w:rPr>
          <w:rFonts w:hint="eastAsia" w:ascii="宋体" w:hAnsi="宋体" w:cs="宋体"/>
        </w:rPr>
        <w:t>。</w:t>
      </w:r>
    </w:p>
    <w:p>
      <w:pPr>
        <w:spacing w:line="360" w:lineRule="auto"/>
        <w:ind w:left="924" w:hanging="924" w:hangingChars="440"/>
        <w:rPr>
          <w:rFonts w:ascii="宋体" w:hAnsi="宋体" w:cs="宋体"/>
        </w:rPr>
      </w:pPr>
      <w:r>
        <w:rPr>
          <w:rFonts w:hint="eastAsia" w:ascii="宋体" w:hAnsi="宋体" w:cs="宋体"/>
        </w:rPr>
        <w:t>2、列入本表人员如要更换，需经采购人同意，擅自更换或不到位属违约行为。</w:t>
      </w:r>
    </w:p>
    <w:p>
      <w:pPr>
        <w:spacing w:line="360" w:lineRule="auto"/>
        <w:ind w:left="924" w:hanging="924" w:hangingChars="440"/>
        <w:rPr>
          <w:rFonts w:ascii="宋体" w:hAnsi="宋体" w:cs="宋体"/>
        </w:rPr>
      </w:pPr>
      <w:r>
        <w:rPr>
          <w:rFonts w:hint="eastAsia" w:ascii="宋体" w:hAnsi="宋体" w:cs="宋体"/>
        </w:rPr>
        <w:t>3、</w:t>
      </w:r>
      <w:r>
        <w:rPr>
          <w:rFonts w:hint="eastAsia" w:ascii="宋体" w:hAnsi="宋体"/>
          <w:bCs/>
          <w:szCs w:val="21"/>
        </w:rPr>
        <w:t>职称、执业资格</w:t>
      </w:r>
      <w:r>
        <w:rPr>
          <w:rFonts w:hint="eastAsia" w:ascii="宋体" w:hAnsi="宋体"/>
          <w:bCs/>
          <w:szCs w:val="21"/>
          <w:lang w:eastAsia="zh-CN"/>
        </w:rPr>
        <w:t>、</w:t>
      </w:r>
      <w:r>
        <w:rPr>
          <w:rFonts w:hint="eastAsia" w:ascii="宋体" w:hAnsi="宋体"/>
          <w:bCs/>
          <w:szCs w:val="21"/>
          <w:lang w:val="en-US" w:eastAsia="zh-CN"/>
        </w:rPr>
        <w:t>社保证明</w:t>
      </w:r>
      <w:r>
        <w:rPr>
          <w:rFonts w:hint="eastAsia" w:ascii="宋体" w:hAnsi="宋体"/>
          <w:bCs/>
          <w:szCs w:val="21"/>
        </w:rPr>
        <w:t>等</w:t>
      </w:r>
      <w:r>
        <w:rPr>
          <w:rFonts w:hint="eastAsia" w:ascii="宋体" w:hAnsi="宋体" w:cs="宋体"/>
        </w:rPr>
        <w:t>证明材料的复印件后附（如有）。</w:t>
      </w:r>
    </w:p>
    <w:p>
      <w:pPr>
        <w:spacing w:line="360" w:lineRule="auto"/>
        <w:ind w:firstLine="420" w:firstLineChars="200"/>
        <w:rPr>
          <w:rFonts w:ascii="宋体" w:hAnsi="宋体"/>
          <w:szCs w:val="21"/>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color w:val="000000"/>
          <w:szCs w:val="21"/>
        </w:rPr>
      </w:pPr>
      <w:r>
        <w:rPr>
          <w:rFonts w:hint="eastAsia" w:ascii="宋体" w:hAnsi="宋体"/>
          <w:color w:val="000000"/>
          <w:szCs w:val="21"/>
        </w:rPr>
        <w:t>投标人：</w:t>
      </w:r>
      <w:r>
        <w:rPr>
          <w:rFonts w:ascii="宋体" w:hAnsi="宋体"/>
          <w:color w:val="000000"/>
          <w:szCs w:val="21"/>
          <w:u w:val="single"/>
        </w:rPr>
        <w:t>___</w:t>
      </w:r>
      <w:r>
        <w:rPr>
          <w:rFonts w:hint="eastAsia" w:ascii="宋体" w:hAnsi="宋体"/>
          <w:color w:val="000000"/>
          <w:szCs w:val="21"/>
          <w:u w:val="single"/>
        </w:rPr>
        <w:t xml:space="preserve">    （填写全称并加盖公章)</w:t>
      </w:r>
      <w:r>
        <w:rPr>
          <w:rFonts w:ascii="宋体" w:hAnsi="宋体"/>
          <w:color w:val="000000"/>
          <w:szCs w:val="21"/>
          <w:u w:val="single"/>
        </w:rPr>
        <w:t>___________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法定代表人或授权代表签名：</w:t>
      </w:r>
      <w:r>
        <w:rPr>
          <w:rFonts w:hint="eastAsia" w:ascii="宋体" w:hAnsi="宋体"/>
          <w:szCs w:val="21"/>
          <w:u w:val="single"/>
        </w:rPr>
        <w:t>（签字或盖章）</w:t>
      </w:r>
      <w:r>
        <w:rPr>
          <w:rFonts w:ascii="宋体" w:hAnsi="宋体"/>
          <w:color w:val="000000"/>
          <w:szCs w:val="21"/>
          <w:u w:val="single"/>
        </w:rPr>
        <w:t>_____</w:t>
      </w:r>
      <w:r>
        <w:rPr>
          <w:rFonts w:ascii="宋体" w:hAnsi="宋体"/>
          <w:color w:val="000000"/>
          <w:szCs w:val="21"/>
        </w:rPr>
        <w:t xml:space="preserve">_ </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日  期：</w:t>
      </w:r>
    </w:p>
    <w:p>
      <w:pPr>
        <w:snapToGrid w:val="0"/>
        <w:spacing w:line="360" w:lineRule="auto"/>
        <w:rPr>
          <w:rFonts w:ascii="宋体" w:hAnsi="宋体"/>
          <w:szCs w:val="21"/>
        </w:rPr>
      </w:pPr>
    </w:p>
    <w:p>
      <w:pPr>
        <w:pStyle w:val="20"/>
        <w:spacing w:line="360" w:lineRule="auto"/>
        <w:jc w:val="center"/>
        <w:rPr>
          <w:rFonts w:ascii="宋体" w:hAnsi="宋体"/>
          <w:sz w:val="21"/>
          <w:szCs w:val="21"/>
        </w:rPr>
      </w:pPr>
    </w:p>
    <w:p>
      <w:pPr>
        <w:pStyle w:val="20"/>
        <w:spacing w:line="360" w:lineRule="auto"/>
        <w:ind w:left="0" w:leftChars="0"/>
        <w:jc w:val="center"/>
        <w:rPr>
          <w:rFonts w:ascii="宋体" w:hAnsi="宋体"/>
          <w:szCs w:val="21"/>
        </w:rPr>
      </w:pPr>
      <w:r>
        <w:rPr>
          <w:rFonts w:ascii="宋体" w:hAnsi="宋体"/>
          <w:szCs w:val="21"/>
        </w:rPr>
        <w:br w:type="page"/>
      </w:r>
      <w:r>
        <w:rPr>
          <w:rFonts w:hint="eastAsia" w:ascii="宋体" w:hAnsi="宋体" w:cs="宋体"/>
          <w:b/>
          <w:sz w:val="21"/>
          <w:szCs w:val="21"/>
        </w:rPr>
        <w:t>7）类似项目业绩一览表</w:t>
      </w:r>
    </w:p>
    <w:tbl>
      <w:tblPr>
        <w:tblStyle w:val="44"/>
        <w:tblW w:w="8827"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7"/>
        <w:gridCol w:w="1701"/>
        <w:gridCol w:w="1560"/>
        <w:gridCol w:w="1984"/>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序号</w:t>
            </w:r>
          </w:p>
        </w:tc>
        <w:tc>
          <w:tcPr>
            <w:tcW w:w="1701" w:type="dxa"/>
            <w:vAlign w:val="center"/>
          </w:tcPr>
          <w:p>
            <w:pPr>
              <w:spacing w:line="300" w:lineRule="exact"/>
              <w:jc w:val="center"/>
              <w:rPr>
                <w:rFonts w:ascii="宋体" w:hAnsi="宋体"/>
                <w:bCs/>
                <w:szCs w:val="21"/>
              </w:rPr>
            </w:pPr>
            <w:r>
              <w:rPr>
                <w:rFonts w:hint="eastAsia" w:ascii="宋体" w:hAnsi="宋体"/>
                <w:bCs/>
                <w:szCs w:val="21"/>
              </w:rPr>
              <w:t>用户名称</w:t>
            </w:r>
          </w:p>
        </w:tc>
        <w:tc>
          <w:tcPr>
            <w:tcW w:w="1560" w:type="dxa"/>
            <w:vAlign w:val="center"/>
          </w:tcPr>
          <w:p>
            <w:pPr>
              <w:spacing w:line="300" w:lineRule="exact"/>
              <w:jc w:val="center"/>
              <w:rPr>
                <w:rFonts w:ascii="宋体" w:hAnsi="宋体"/>
                <w:bCs/>
                <w:szCs w:val="21"/>
              </w:rPr>
            </w:pPr>
            <w:r>
              <w:rPr>
                <w:rFonts w:hint="eastAsia" w:ascii="宋体" w:hAnsi="宋体"/>
                <w:bCs/>
                <w:szCs w:val="21"/>
              </w:rPr>
              <w:t>项目内容</w:t>
            </w:r>
          </w:p>
        </w:tc>
        <w:tc>
          <w:tcPr>
            <w:tcW w:w="1984" w:type="dxa"/>
            <w:vAlign w:val="center"/>
          </w:tcPr>
          <w:p>
            <w:pPr>
              <w:spacing w:line="300" w:lineRule="exact"/>
              <w:jc w:val="center"/>
              <w:rPr>
                <w:rFonts w:ascii="宋体" w:hAnsi="宋体"/>
                <w:bCs/>
                <w:szCs w:val="21"/>
              </w:rPr>
            </w:pPr>
            <w:r>
              <w:rPr>
                <w:rFonts w:hint="eastAsia" w:ascii="宋体" w:hAnsi="宋体"/>
                <w:bCs/>
                <w:szCs w:val="21"/>
              </w:rPr>
              <w:t>合同金额</w:t>
            </w:r>
          </w:p>
        </w:tc>
        <w:tc>
          <w:tcPr>
            <w:tcW w:w="2835" w:type="dxa"/>
            <w:tcBorders>
              <w:right w:val="single" w:color="auto" w:sz="4" w:space="0"/>
            </w:tcBorders>
            <w:vAlign w:val="center"/>
          </w:tcPr>
          <w:p>
            <w:pPr>
              <w:spacing w:line="300" w:lineRule="exact"/>
              <w:jc w:val="center"/>
              <w:rPr>
                <w:rFonts w:ascii="宋体" w:hAnsi="宋体"/>
                <w:bCs/>
                <w:szCs w:val="21"/>
              </w:rPr>
            </w:pPr>
            <w:r>
              <w:rPr>
                <w:rFonts w:hint="eastAsia" w:ascii="宋体" w:hAnsi="宋体"/>
                <w:bCs/>
                <w:szCs w:val="21"/>
              </w:rPr>
              <w:t>用户联系人及其联系电话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1</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2</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3</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4</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5</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bl>
    <w:p>
      <w:pPr>
        <w:spacing w:line="360" w:lineRule="auto"/>
        <w:ind w:left="924" w:hanging="924" w:hangingChars="440"/>
        <w:rPr>
          <w:rFonts w:ascii="宋体" w:hAnsi="宋体" w:cs="宋体"/>
        </w:rPr>
      </w:pPr>
      <w:r>
        <w:rPr>
          <w:rFonts w:hint="eastAsia" w:ascii="宋体" w:hAnsi="宋体" w:cs="宋体"/>
          <w:bCs/>
          <w:szCs w:val="21"/>
        </w:rPr>
        <w:t>注：根据评委打分表的要求提供证明材料</w:t>
      </w:r>
      <w:r>
        <w:rPr>
          <w:rFonts w:hint="eastAsia" w:ascii="宋体" w:hAnsi="宋体"/>
          <w:szCs w:val="21"/>
        </w:rPr>
        <w:t>。</w:t>
      </w:r>
    </w:p>
    <w:p>
      <w:pPr>
        <w:snapToGrid w:val="0"/>
        <w:spacing w:before="50" w:after="50" w:line="360" w:lineRule="auto"/>
        <w:ind w:left="-23" w:leftChars="-11" w:right="27" w:rightChars="13" w:firstLine="21" w:firstLineChars="10"/>
        <w:rPr>
          <w:rFonts w:ascii="宋体" w:hAnsi="宋体" w:cs="宋体"/>
          <w:bCs/>
          <w:szCs w:val="21"/>
        </w:rPr>
      </w:pPr>
    </w:p>
    <w:p>
      <w:pPr>
        <w:spacing w:line="360" w:lineRule="auto"/>
        <w:rPr>
          <w:rFonts w:ascii="宋体" w:hAnsi="宋体" w:cs="宋体"/>
          <w:szCs w:val="21"/>
        </w:rPr>
      </w:pPr>
    </w:p>
    <w:p>
      <w:pPr>
        <w:snapToGrid w:val="0"/>
        <w:spacing w:line="360" w:lineRule="auto"/>
        <w:ind w:firstLine="3685" w:firstLineChars="1755"/>
        <w:rPr>
          <w:rFonts w:ascii="宋体" w:hAnsi="宋体"/>
          <w:color w:val="000000"/>
          <w:szCs w:val="21"/>
        </w:rPr>
      </w:pPr>
      <w:r>
        <w:rPr>
          <w:rFonts w:hint="eastAsia" w:ascii="宋体" w:hAnsi="宋体"/>
          <w:color w:val="000000"/>
          <w:szCs w:val="21"/>
        </w:rPr>
        <w:t>投标人：</w:t>
      </w:r>
      <w:r>
        <w:rPr>
          <w:rFonts w:ascii="宋体" w:hAnsi="宋体"/>
          <w:color w:val="000000"/>
          <w:szCs w:val="21"/>
          <w:u w:val="single"/>
        </w:rPr>
        <w:t>___</w:t>
      </w:r>
      <w:r>
        <w:rPr>
          <w:rFonts w:hint="eastAsia" w:ascii="宋体" w:hAnsi="宋体"/>
          <w:color w:val="000000"/>
          <w:szCs w:val="21"/>
          <w:u w:val="single"/>
        </w:rPr>
        <w:t xml:space="preserve">    （填写全称并加盖公章)</w:t>
      </w:r>
      <w:r>
        <w:rPr>
          <w:rFonts w:ascii="宋体" w:hAnsi="宋体"/>
          <w:color w:val="000000"/>
          <w:szCs w:val="21"/>
          <w:u w:val="single"/>
        </w:rPr>
        <w:t>___________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法定代表人或授权代表签名：</w:t>
      </w:r>
      <w:r>
        <w:rPr>
          <w:rFonts w:hint="eastAsia" w:ascii="宋体" w:hAnsi="宋体"/>
          <w:szCs w:val="21"/>
          <w:u w:val="single"/>
        </w:rPr>
        <w:t>（签字或盖章）</w:t>
      </w:r>
      <w:r>
        <w:rPr>
          <w:rFonts w:ascii="宋体" w:hAnsi="宋体"/>
          <w:color w:val="000000"/>
          <w:szCs w:val="21"/>
          <w:u w:val="single"/>
        </w:rPr>
        <w:t>_____</w:t>
      </w:r>
      <w:r>
        <w:rPr>
          <w:rFonts w:ascii="宋体" w:hAnsi="宋体"/>
          <w:color w:val="000000"/>
          <w:szCs w:val="21"/>
        </w:rPr>
        <w:t>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日  期：</w:t>
      </w:r>
    </w:p>
    <w:p>
      <w:pPr>
        <w:snapToGrid w:val="0"/>
        <w:spacing w:line="360" w:lineRule="auto"/>
        <w:ind w:left="-23" w:leftChars="-11" w:right="-214" w:rightChars="-102" w:firstLine="21" w:firstLineChars="10"/>
        <w:jc w:val="left"/>
        <w:rPr>
          <w:rFonts w:ascii="宋体" w:hAnsi="宋体"/>
          <w:b/>
        </w:rPr>
      </w:pPr>
      <w:r>
        <w:rPr>
          <w:rFonts w:ascii="宋体" w:hAnsi="宋体"/>
          <w:b/>
          <w:szCs w:val="21"/>
        </w:rPr>
        <w:br w:type="page"/>
      </w:r>
      <w:r>
        <w:rPr>
          <w:rFonts w:hint="eastAsia" w:ascii="宋体" w:hAnsi="宋体"/>
          <w:b/>
        </w:rPr>
        <w:t>3、报价要求响应文件的有关格式</w:t>
      </w:r>
    </w:p>
    <w:p>
      <w:pPr>
        <w:pStyle w:val="20"/>
        <w:spacing w:line="360" w:lineRule="auto"/>
        <w:ind w:left="0" w:leftChars="0"/>
        <w:jc w:val="center"/>
        <w:rPr>
          <w:rFonts w:ascii="宋体" w:hAnsi="宋体"/>
          <w:kern w:val="1"/>
          <w:szCs w:val="21"/>
        </w:rPr>
      </w:pPr>
      <w:r>
        <w:rPr>
          <w:rFonts w:hint="eastAsia" w:ascii="宋体" w:hAnsi="宋体" w:cs="宋体"/>
          <w:b/>
          <w:sz w:val="21"/>
          <w:szCs w:val="21"/>
        </w:rPr>
        <w:t>1）开标一览表</w:t>
      </w:r>
    </w:p>
    <w:tbl>
      <w:tblPr>
        <w:tblStyle w:val="44"/>
        <w:tblpPr w:leftFromText="180" w:rightFromText="180" w:vertAnchor="text" w:horzAnchor="margin" w:tblpY="1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943" w:type="dxa"/>
            <w:tcBorders>
              <w:top w:val="single" w:color="auto" w:sz="4" w:space="0"/>
              <w:left w:val="single" w:color="auto" w:sz="4" w:space="0"/>
              <w:bottom w:val="single" w:color="auto" w:sz="4" w:space="0"/>
              <w:right w:val="single" w:color="auto" w:sz="4" w:space="0"/>
            </w:tcBorders>
            <w:vAlign w:val="center"/>
          </w:tcPr>
          <w:p>
            <w:pPr>
              <w:pStyle w:val="20"/>
              <w:spacing w:after="0"/>
              <w:ind w:left="457" w:leftChars="0" w:hanging="457" w:hangingChars="218"/>
              <w:jc w:val="center"/>
              <w:rPr>
                <w:rFonts w:ascii="宋体" w:hAnsi="宋体"/>
                <w:kern w:val="2"/>
                <w:sz w:val="21"/>
                <w:szCs w:val="21"/>
              </w:rPr>
            </w:pPr>
            <w:r>
              <w:rPr>
                <w:rFonts w:ascii="宋体" w:hAnsi="宋体"/>
                <w:kern w:val="2"/>
                <w:sz w:val="21"/>
                <w:szCs w:val="21"/>
              </w:rPr>
              <w:t>项目名称</w:t>
            </w:r>
          </w:p>
        </w:tc>
        <w:tc>
          <w:tcPr>
            <w:tcW w:w="5954" w:type="dxa"/>
            <w:tcBorders>
              <w:top w:val="single" w:color="auto" w:sz="4" w:space="0"/>
              <w:left w:val="single" w:color="auto" w:sz="4" w:space="0"/>
              <w:bottom w:val="single" w:color="auto" w:sz="4" w:space="0"/>
              <w:right w:val="single" w:color="auto" w:sz="4" w:space="0"/>
            </w:tcBorders>
            <w:vAlign w:val="center"/>
          </w:tcPr>
          <w:p>
            <w:pPr>
              <w:pStyle w:val="20"/>
              <w:spacing w:after="0"/>
              <w:ind w:left="36" w:leftChars="17"/>
              <w:jc w:val="center"/>
              <w:rPr>
                <w:rFonts w:hint="eastAsia" w:ascii="宋体" w:hAnsi="宋体" w:eastAsia="宋体"/>
                <w:kern w:val="2"/>
                <w:sz w:val="21"/>
                <w:szCs w:val="21"/>
                <w:lang w:eastAsia="zh-CN"/>
              </w:rPr>
            </w:pPr>
            <w:r>
              <w:rPr>
                <w:rFonts w:hint="eastAsia" w:ascii="宋体" w:hAnsi="宋体"/>
                <w:kern w:val="2"/>
                <w:sz w:val="21"/>
                <w:szCs w:val="21"/>
                <w:lang w:eastAsia="zh-CN"/>
              </w:rPr>
              <w:t>饮用水水源地电子围栏数据采购项目（服务采购部分）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943" w:type="dxa"/>
            <w:tcBorders>
              <w:top w:val="single" w:color="auto" w:sz="4" w:space="0"/>
              <w:left w:val="single" w:color="auto" w:sz="4" w:space="0"/>
              <w:right w:val="single" w:color="auto" w:sz="4" w:space="0"/>
            </w:tcBorders>
            <w:vAlign w:val="center"/>
          </w:tcPr>
          <w:p>
            <w:pPr>
              <w:pStyle w:val="20"/>
              <w:spacing w:after="0"/>
              <w:ind w:left="457" w:leftChars="0" w:hanging="457" w:hangingChars="218"/>
              <w:jc w:val="center"/>
              <w:rPr>
                <w:rFonts w:ascii="宋体" w:hAnsi="宋体"/>
                <w:sz w:val="21"/>
                <w:szCs w:val="21"/>
              </w:rPr>
            </w:pPr>
            <w:r>
              <w:rPr>
                <w:rFonts w:hint="eastAsia" w:ascii="宋体" w:hAnsi="宋体"/>
                <w:kern w:val="2"/>
                <w:sz w:val="21"/>
                <w:szCs w:val="21"/>
              </w:rPr>
              <w:t>项目编号</w:t>
            </w:r>
          </w:p>
        </w:tc>
        <w:tc>
          <w:tcPr>
            <w:tcW w:w="5954" w:type="dxa"/>
            <w:tcBorders>
              <w:top w:val="single" w:color="auto" w:sz="4" w:space="0"/>
              <w:left w:val="single" w:color="auto" w:sz="4" w:space="0"/>
              <w:right w:val="single" w:color="auto" w:sz="4" w:space="0"/>
            </w:tcBorders>
            <w:vAlign w:val="center"/>
          </w:tcPr>
          <w:p>
            <w:pPr>
              <w:pStyle w:val="20"/>
              <w:spacing w:after="0"/>
              <w:ind w:left="36" w:leftChars="17"/>
              <w:jc w:val="center"/>
              <w:rPr>
                <w:rFonts w:ascii="宋体" w:hAnsi="宋体"/>
                <w:kern w:val="2"/>
                <w:sz w:val="21"/>
                <w:szCs w:val="21"/>
              </w:rPr>
            </w:pPr>
            <w:r>
              <w:rPr>
                <w:rFonts w:ascii="宋体" w:hAnsi="宋体"/>
                <w:kern w:val="2"/>
                <w:sz w:val="21"/>
                <w:szCs w:val="21"/>
              </w:rPr>
              <w:t>NBMC-</w:t>
            </w:r>
            <w:r>
              <w:rPr>
                <w:rFonts w:hint="eastAsia" w:ascii="宋体" w:hAnsi="宋体"/>
                <w:kern w:val="2"/>
                <w:sz w:val="21"/>
                <w:szCs w:val="21"/>
              </w:rPr>
              <w:t>20229022</w:t>
            </w:r>
            <w:r>
              <w:rPr>
                <w:rFonts w:ascii="宋体" w:hAnsi="宋体"/>
                <w:kern w:val="2"/>
                <w:sz w:val="21"/>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943" w:type="dxa"/>
            <w:tcBorders>
              <w:top w:val="single" w:color="auto" w:sz="4" w:space="0"/>
              <w:left w:val="single" w:color="auto" w:sz="4" w:space="0"/>
              <w:right w:val="single" w:color="auto" w:sz="4" w:space="0"/>
            </w:tcBorders>
            <w:vAlign w:val="center"/>
          </w:tcPr>
          <w:p>
            <w:pPr>
              <w:pStyle w:val="20"/>
              <w:spacing w:after="0"/>
              <w:ind w:left="457" w:leftChars="0" w:hanging="457" w:hangingChars="218"/>
              <w:jc w:val="center"/>
              <w:rPr>
                <w:rFonts w:ascii="宋体" w:hAnsi="宋体"/>
                <w:sz w:val="21"/>
                <w:szCs w:val="21"/>
              </w:rPr>
            </w:pPr>
            <w:r>
              <w:rPr>
                <w:rFonts w:hint="eastAsia" w:ascii="宋体" w:hAnsi="宋体"/>
                <w:kern w:val="2"/>
                <w:sz w:val="21"/>
                <w:szCs w:val="21"/>
              </w:rPr>
              <w:t>标项</w:t>
            </w:r>
          </w:p>
        </w:tc>
        <w:tc>
          <w:tcPr>
            <w:tcW w:w="5954" w:type="dxa"/>
            <w:tcBorders>
              <w:top w:val="single" w:color="auto" w:sz="4" w:space="0"/>
              <w:left w:val="single" w:color="auto" w:sz="4" w:space="0"/>
              <w:right w:val="single" w:color="auto" w:sz="4" w:space="0"/>
            </w:tcBorders>
            <w:vAlign w:val="center"/>
          </w:tcPr>
          <w:p>
            <w:pPr>
              <w:pStyle w:val="20"/>
              <w:spacing w:after="0"/>
              <w:ind w:left="36" w:leftChars="17"/>
              <w:jc w:val="center"/>
              <w:rPr>
                <w:rFonts w:ascii="宋体" w:hAnsi="宋体"/>
                <w:kern w:val="2"/>
                <w:sz w:val="21"/>
                <w:szCs w:val="21"/>
              </w:rPr>
            </w:pPr>
            <w:r>
              <w:rPr>
                <w:rFonts w:hint="eastAsia" w:ascii="宋体" w:hAnsi="宋体"/>
                <w:kern w:val="2"/>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943" w:type="dxa"/>
            <w:tcBorders>
              <w:top w:val="single" w:color="auto" w:sz="4" w:space="0"/>
              <w:left w:val="single" w:color="auto" w:sz="4" w:space="0"/>
              <w:right w:val="single" w:color="auto" w:sz="4" w:space="0"/>
            </w:tcBorders>
            <w:vAlign w:val="center"/>
          </w:tcPr>
          <w:p>
            <w:pPr>
              <w:pStyle w:val="20"/>
              <w:spacing w:after="0"/>
              <w:ind w:left="457" w:leftChars="0" w:hanging="457" w:hangingChars="218"/>
              <w:jc w:val="center"/>
              <w:rPr>
                <w:rFonts w:ascii="宋体" w:hAnsi="宋体"/>
                <w:sz w:val="21"/>
                <w:szCs w:val="21"/>
              </w:rPr>
            </w:pPr>
            <w:r>
              <w:rPr>
                <w:rFonts w:hint="eastAsia" w:ascii="宋体" w:hAnsi="宋体"/>
                <w:kern w:val="2"/>
                <w:sz w:val="21"/>
                <w:szCs w:val="21"/>
              </w:rPr>
              <w:t>投标报价（元）</w:t>
            </w:r>
          </w:p>
        </w:tc>
        <w:tc>
          <w:tcPr>
            <w:tcW w:w="5954" w:type="dxa"/>
            <w:tcBorders>
              <w:top w:val="single" w:color="auto" w:sz="4" w:space="0"/>
              <w:left w:val="single" w:color="auto" w:sz="4" w:space="0"/>
              <w:right w:val="single" w:color="auto" w:sz="4" w:space="0"/>
            </w:tcBorders>
            <w:vAlign w:val="center"/>
          </w:tcPr>
          <w:p>
            <w:pPr>
              <w:pStyle w:val="20"/>
              <w:spacing w:after="0"/>
              <w:ind w:left="457" w:leftChars="0" w:hanging="457" w:hangingChars="218"/>
              <w:jc w:val="left"/>
              <w:rPr>
                <w:rFonts w:ascii="宋体" w:hAnsi="宋体"/>
                <w:sz w:val="21"/>
                <w:szCs w:val="21"/>
              </w:rPr>
            </w:pPr>
            <w:r>
              <w:rPr>
                <w:rFonts w:hint="eastAsia" w:ascii="宋体" w:hAnsi="宋体"/>
                <w:kern w:val="2"/>
                <w:sz w:val="21"/>
                <w:szCs w:val="21"/>
              </w:rPr>
              <w:t>小写：</w:t>
            </w:r>
          </w:p>
          <w:p>
            <w:pPr>
              <w:pStyle w:val="20"/>
              <w:spacing w:after="0"/>
              <w:ind w:left="457" w:leftChars="0" w:hanging="457" w:hangingChars="218"/>
              <w:jc w:val="left"/>
              <w:rPr>
                <w:rFonts w:ascii="宋体" w:hAnsi="宋体"/>
                <w:kern w:val="2"/>
                <w:sz w:val="21"/>
                <w:szCs w:val="21"/>
              </w:rPr>
            </w:pPr>
            <w:r>
              <w:rPr>
                <w:rFonts w:hint="eastAsia" w:ascii="宋体" w:hAnsi="宋体"/>
                <w:kern w:val="2"/>
                <w:sz w:val="21"/>
                <w:szCs w:val="21"/>
              </w:rPr>
              <w:t>大写：</w:t>
            </w:r>
          </w:p>
        </w:tc>
      </w:tr>
    </w:tbl>
    <w:p>
      <w:pPr>
        <w:snapToGrid w:val="0"/>
        <w:spacing w:before="50" w:after="50" w:line="360" w:lineRule="auto"/>
        <w:ind w:left="-23" w:leftChars="-11" w:right="27" w:rightChars="13" w:firstLine="21" w:firstLineChars="10"/>
        <w:rPr>
          <w:rFonts w:ascii="宋体" w:hAnsi="宋体" w:cs="宋体"/>
          <w:bCs/>
          <w:szCs w:val="21"/>
        </w:rPr>
      </w:pPr>
      <w:r>
        <w:rPr>
          <w:rFonts w:hint="eastAsia" w:ascii="宋体" w:hAnsi="宋体" w:cs="宋体"/>
          <w:bCs/>
          <w:szCs w:val="21"/>
        </w:rPr>
        <w:t>注</w:t>
      </w:r>
      <w:r>
        <w:rPr>
          <w:rFonts w:ascii="宋体" w:hAnsi="宋体" w:cs="宋体"/>
          <w:bCs/>
          <w:szCs w:val="21"/>
        </w:rPr>
        <w:t>：</w:t>
      </w:r>
      <w:r>
        <w:rPr>
          <w:rFonts w:hint="eastAsia" w:ascii="宋体" w:hAnsi="宋体" w:cs="宋体"/>
          <w:bCs/>
          <w:szCs w:val="21"/>
        </w:rPr>
        <w:t>1、报价一经涂改，应在涂改处加盖单位公章或由法定代表人或其授权代表签字，否则评标委员会将不接受该修改内容。</w:t>
      </w:r>
    </w:p>
    <w:p>
      <w:pPr>
        <w:snapToGrid w:val="0"/>
        <w:spacing w:before="50" w:after="50" w:line="360" w:lineRule="auto"/>
        <w:ind w:left="-23" w:leftChars="-11" w:right="27" w:rightChars="13" w:firstLine="21" w:firstLineChars="10"/>
        <w:rPr>
          <w:rFonts w:ascii="宋体" w:hAnsi="宋体" w:cs="宋体"/>
          <w:bCs/>
          <w:szCs w:val="21"/>
        </w:rPr>
      </w:pPr>
      <w:r>
        <w:rPr>
          <w:rFonts w:hint="eastAsia" w:ascii="宋体" w:hAnsi="宋体" w:cs="宋体"/>
          <w:bCs/>
          <w:szCs w:val="21"/>
        </w:rPr>
        <w:t>2、以招标文件所述的采购（工作）量的总价填写投标报价。</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color w:val="000000"/>
          <w:szCs w:val="21"/>
        </w:rPr>
      </w:pPr>
      <w:r>
        <w:rPr>
          <w:rFonts w:hint="eastAsia" w:ascii="宋体" w:hAnsi="宋体"/>
          <w:color w:val="000000"/>
          <w:szCs w:val="21"/>
        </w:rPr>
        <w:t>投标人：</w:t>
      </w:r>
      <w:r>
        <w:rPr>
          <w:rFonts w:ascii="宋体" w:hAnsi="宋体"/>
          <w:color w:val="000000"/>
          <w:szCs w:val="21"/>
          <w:u w:val="single"/>
        </w:rPr>
        <w:t>___</w:t>
      </w:r>
      <w:r>
        <w:rPr>
          <w:rFonts w:hint="eastAsia" w:ascii="宋体" w:hAnsi="宋体"/>
          <w:color w:val="000000"/>
          <w:szCs w:val="21"/>
          <w:u w:val="single"/>
        </w:rPr>
        <w:t xml:space="preserve">    （填写全称并加盖公章)</w:t>
      </w:r>
      <w:r>
        <w:rPr>
          <w:rFonts w:ascii="宋体" w:hAnsi="宋体"/>
          <w:color w:val="000000"/>
          <w:szCs w:val="21"/>
          <w:u w:val="single"/>
        </w:rPr>
        <w:t>___________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法定代表人或授权代表签名：</w:t>
      </w:r>
      <w:r>
        <w:rPr>
          <w:rFonts w:hint="eastAsia" w:ascii="宋体" w:hAnsi="宋体"/>
          <w:szCs w:val="21"/>
          <w:u w:val="single"/>
        </w:rPr>
        <w:t>（签字或盖章）</w:t>
      </w:r>
      <w:r>
        <w:rPr>
          <w:rFonts w:ascii="宋体" w:hAnsi="宋体"/>
          <w:color w:val="000000"/>
          <w:szCs w:val="21"/>
          <w:u w:val="single"/>
        </w:rPr>
        <w:t>_____</w:t>
      </w:r>
      <w:r>
        <w:rPr>
          <w:rFonts w:ascii="宋体" w:hAnsi="宋体"/>
          <w:color w:val="000000"/>
          <w:szCs w:val="21"/>
        </w:rPr>
        <w:t>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日  期：</w:t>
      </w:r>
    </w:p>
    <w:p>
      <w:pPr>
        <w:pStyle w:val="20"/>
        <w:spacing w:line="360" w:lineRule="auto"/>
        <w:ind w:left="0" w:leftChars="0"/>
        <w:jc w:val="center"/>
        <w:rPr>
          <w:rFonts w:ascii="宋体" w:hAnsi="宋体"/>
          <w:b/>
          <w:szCs w:val="21"/>
        </w:rPr>
      </w:pPr>
      <w:r>
        <w:rPr>
          <w:rFonts w:ascii="宋体" w:hAnsi="宋体"/>
          <w:b/>
          <w:szCs w:val="21"/>
        </w:rPr>
        <w:br w:type="page"/>
      </w:r>
      <w:r>
        <w:rPr>
          <w:rFonts w:hint="eastAsia" w:ascii="宋体" w:hAnsi="宋体" w:cs="宋体"/>
          <w:b/>
          <w:sz w:val="21"/>
          <w:szCs w:val="21"/>
        </w:rPr>
        <w:t>2</w:t>
      </w:r>
      <w:r>
        <w:rPr>
          <w:rFonts w:ascii="宋体" w:hAnsi="宋体" w:cs="宋体"/>
          <w:b/>
          <w:sz w:val="21"/>
          <w:szCs w:val="21"/>
        </w:rPr>
        <w:t>）投标报价组成明细表</w:t>
      </w:r>
    </w:p>
    <w:tbl>
      <w:tblPr>
        <w:tblStyle w:val="4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839"/>
        <w:gridCol w:w="847"/>
        <w:gridCol w:w="992"/>
        <w:gridCol w:w="170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spacing w:line="300" w:lineRule="exact"/>
              <w:jc w:val="center"/>
              <w:rPr>
                <w:rFonts w:ascii="宋体" w:hAnsi="宋体"/>
                <w:bCs/>
                <w:szCs w:val="21"/>
              </w:rPr>
            </w:pPr>
            <w:r>
              <w:rPr>
                <w:rFonts w:ascii="宋体" w:hAnsi="宋体"/>
                <w:bCs/>
                <w:szCs w:val="21"/>
              </w:rPr>
              <w:t>序号</w:t>
            </w:r>
          </w:p>
        </w:tc>
        <w:tc>
          <w:tcPr>
            <w:tcW w:w="2839" w:type="dxa"/>
            <w:vAlign w:val="center"/>
          </w:tcPr>
          <w:p>
            <w:pPr>
              <w:spacing w:line="300" w:lineRule="exact"/>
              <w:jc w:val="center"/>
              <w:rPr>
                <w:rFonts w:ascii="宋体" w:hAnsi="宋体"/>
                <w:bCs/>
                <w:szCs w:val="21"/>
              </w:rPr>
            </w:pPr>
            <w:r>
              <w:rPr>
                <w:rFonts w:hint="eastAsia" w:ascii="宋体" w:hAnsi="宋体"/>
                <w:szCs w:val="21"/>
                <w:lang w:val="en-GB"/>
              </w:rPr>
              <w:t>费用名称</w:t>
            </w:r>
          </w:p>
        </w:tc>
        <w:tc>
          <w:tcPr>
            <w:tcW w:w="847" w:type="dxa"/>
            <w:vAlign w:val="center"/>
          </w:tcPr>
          <w:p>
            <w:pPr>
              <w:spacing w:line="300" w:lineRule="exact"/>
              <w:jc w:val="center"/>
              <w:rPr>
                <w:rFonts w:ascii="宋体" w:hAnsi="宋体"/>
                <w:bCs/>
                <w:szCs w:val="21"/>
              </w:rPr>
            </w:pPr>
            <w:r>
              <w:rPr>
                <w:rFonts w:hint="eastAsia" w:ascii="宋体" w:hAnsi="宋体"/>
                <w:bCs/>
                <w:szCs w:val="21"/>
              </w:rPr>
              <w:t>单位</w:t>
            </w:r>
          </w:p>
        </w:tc>
        <w:tc>
          <w:tcPr>
            <w:tcW w:w="992" w:type="dxa"/>
            <w:vAlign w:val="center"/>
          </w:tcPr>
          <w:p>
            <w:pPr>
              <w:spacing w:line="300" w:lineRule="exact"/>
              <w:jc w:val="center"/>
              <w:rPr>
                <w:rFonts w:ascii="宋体" w:hAnsi="宋体"/>
                <w:bCs/>
                <w:szCs w:val="21"/>
              </w:rPr>
            </w:pPr>
            <w:r>
              <w:rPr>
                <w:rFonts w:ascii="宋体" w:hAnsi="宋体"/>
                <w:bCs/>
                <w:szCs w:val="21"/>
              </w:rPr>
              <w:t>数量</w:t>
            </w:r>
          </w:p>
        </w:tc>
        <w:tc>
          <w:tcPr>
            <w:tcW w:w="1703" w:type="dxa"/>
            <w:vAlign w:val="center"/>
          </w:tcPr>
          <w:p>
            <w:pPr>
              <w:spacing w:line="300" w:lineRule="exact"/>
              <w:jc w:val="center"/>
              <w:rPr>
                <w:rFonts w:ascii="宋体" w:hAnsi="宋体"/>
                <w:bCs/>
                <w:szCs w:val="21"/>
              </w:rPr>
            </w:pPr>
            <w:r>
              <w:rPr>
                <w:rFonts w:ascii="宋体" w:hAnsi="宋体"/>
                <w:bCs/>
                <w:szCs w:val="21"/>
              </w:rPr>
              <w:t>单价（元）</w:t>
            </w:r>
          </w:p>
        </w:tc>
        <w:tc>
          <w:tcPr>
            <w:tcW w:w="1751" w:type="dxa"/>
            <w:vAlign w:val="center"/>
          </w:tcPr>
          <w:p>
            <w:pPr>
              <w:spacing w:line="300" w:lineRule="exact"/>
              <w:jc w:val="center"/>
              <w:rPr>
                <w:rFonts w:ascii="宋体" w:hAnsi="宋体"/>
                <w:bCs/>
                <w:szCs w:val="21"/>
              </w:rPr>
            </w:pPr>
            <w:r>
              <w:rPr>
                <w:rFonts w:ascii="宋体" w:hAnsi="宋体"/>
                <w:bCs/>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spacing w:line="300" w:lineRule="exact"/>
              <w:jc w:val="center"/>
              <w:rPr>
                <w:rFonts w:ascii="宋体" w:hAnsi="宋体"/>
                <w:caps/>
                <w:szCs w:val="21"/>
              </w:rPr>
            </w:pPr>
            <w:r>
              <w:rPr>
                <w:rFonts w:ascii="宋体" w:hAnsi="宋体"/>
                <w:caps/>
                <w:szCs w:val="21"/>
              </w:rPr>
              <w:t>1</w:t>
            </w:r>
          </w:p>
        </w:tc>
        <w:tc>
          <w:tcPr>
            <w:tcW w:w="2839" w:type="dxa"/>
            <w:vAlign w:val="center"/>
          </w:tcPr>
          <w:p>
            <w:pPr>
              <w:spacing w:line="300" w:lineRule="exact"/>
              <w:rPr>
                <w:rFonts w:ascii="宋体" w:hAnsi="宋体"/>
                <w:b/>
                <w:bCs/>
                <w:kern w:val="44"/>
                <w:szCs w:val="21"/>
              </w:rPr>
            </w:pPr>
          </w:p>
        </w:tc>
        <w:tc>
          <w:tcPr>
            <w:tcW w:w="847" w:type="dxa"/>
            <w:vAlign w:val="center"/>
          </w:tcPr>
          <w:p>
            <w:pPr>
              <w:spacing w:line="300" w:lineRule="exact"/>
              <w:rPr>
                <w:rFonts w:ascii="宋体" w:hAnsi="宋体"/>
                <w:b/>
                <w:bCs/>
                <w:kern w:val="44"/>
                <w:szCs w:val="21"/>
              </w:rPr>
            </w:pPr>
          </w:p>
        </w:tc>
        <w:tc>
          <w:tcPr>
            <w:tcW w:w="992" w:type="dxa"/>
            <w:vAlign w:val="center"/>
          </w:tcPr>
          <w:p>
            <w:pPr>
              <w:spacing w:line="300" w:lineRule="exact"/>
              <w:rPr>
                <w:rFonts w:ascii="宋体" w:hAnsi="宋体"/>
                <w:szCs w:val="21"/>
              </w:rPr>
            </w:pPr>
          </w:p>
        </w:tc>
        <w:tc>
          <w:tcPr>
            <w:tcW w:w="1703" w:type="dxa"/>
            <w:vAlign w:val="center"/>
          </w:tcPr>
          <w:p>
            <w:pPr>
              <w:spacing w:line="300" w:lineRule="exact"/>
              <w:rPr>
                <w:rFonts w:ascii="宋体" w:hAnsi="宋体"/>
                <w:szCs w:val="21"/>
              </w:rPr>
            </w:pPr>
          </w:p>
        </w:tc>
        <w:tc>
          <w:tcPr>
            <w:tcW w:w="1751" w:type="dxa"/>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spacing w:line="300" w:lineRule="exact"/>
              <w:jc w:val="center"/>
              <w:rPr>
                <w:rFonts w:ascii="宋体" w:hAnsi="宋体"/>
                <w:szCs w:val="21"/>
              </w:rPr>
            </w:pPr>
            <w:r>
              <w:rPr>
                <w:rFonts w:ascii="宋体" w:hAnsi="宋体"/>
                <w:szCs w:val="21"/>
              </w:rPr>
              <w:t>2</w:t>
            </w:r>
          </w:p>
        </w:tc>
        <w:tc>
          <w:tcPr>
            <w:tcW w:w="2839" w:type="dxa"/>
            <w:vAlign w:val="center"/>
          </w:tcPr>
          <w:p>
            <w:pPr>
              <w:spacing w:line="300" w:lineRule="exact"/>
              <w:rPr>
                <w:rFonts w:ascii="宋体" w:hAnsi="宋体"/>
                <w:b/>
                <w:bCs/>
                <w:kern w:val="44"/>
                <w:szCs w:val="21"/>
              </w:rPr>
            </w:pPr>
          </w:p>
        </w:tc>
        <w:tc>
          <w:tcPr>
            <w:tcW w:w="847" w:type="dxa"/>
            <w:vAlign w:val="center"/>
          </w:tcPr>
          <w:p>
            <w:pPr>
              <w:spacing w:line="300" w:lineRule="exact"/>
              <w:rPr>
                <w:rFonts w:ascii="宋体" w:hAnsi="宋体"/>
                <w:b/>
                <w:bCs/>
                <w:kern w:val="44"/>
                <w:szCs w:val="21"/>
              </w:rPr>
            </w:pPr>
          </w:p>
        </w:tc>
        <w:tc>
          <w:tcPr>
            <w:tcW w:w="992" w:type="dxa"/>
            <w:vAlign w:val="center"/>
          </w:tcPr>
          <w:p>
            <w:pPr>
              <w:spacing w:line="300" w:lineRule="exact"/>
              <w:rPr>
                <w:rFonts w:ascii="宋体" w:hAnsi="宋体"/>
                <w:szCs w:val="21"/>
              </w:rPr>
            </w:pPr>
          </w:p>
        </w:tc>
        <w:tc>
          <w:tcPr>
            <w:tcW w:w="1703" w:type="dxa"/>
            <w:vAlign w:val="center"/>
          </w:tcPr>
          <w:p>
            <w:pPr>
              <w:spacing w:line="300" w:lineRule="exact"/>
              <w:rPr>
                <w:rFonts w:ascii="宋体" w:hAnsi="宋体"/>
                <w:szCs w:val="21"/>
              </w:rPr>
            </w:pPr>
          </w:p>
        </w:tc>
        <w:tc>
          <w:tcPr>
            <w:tcW w:w="1751" w:type="dxa"/>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spacing w:line="300" w:lineRule="exact"/>
              <w:jc w:val="center"/>
              <w:rPr>
                <w:rFonts w:ascii="宋体" w:hAnsi="宋体"/>
                <w:szCs w:val="21"/>
              </w:rPr>
            </w:pPr>
            <w:r>
              <w:rPr>
                <w:rFonts w:ascii="宋体" w:hAnsi="宋体"/>
                <w:szCs w:val="21"/>
              </w:rPr>
              <w:t>3</w:t>
            </w:r>
          </w:p>
        </w:tc>
        <w:tc>
          <w:tcPr>
            <w:tcW w:w="2839" w:type="dxa"/>
            <w:vAlign w:val="center"/>
          </w:tcPr>
          <w:p>
            <w:pPr>
              <w:spacing w:line="300" w:lineRule="exact"/>
              <w:rPr>
                <w:rFonts w:ascii="宋体" w:hAnsi="宋体"/>
                <w:b/>
                <w:bCs/>
                <w:kern w:val="44"/>
                <w:szCs w:val="21"/>
              </w:rPr>
            </w:pPr>
          </w:p>
        </w:tc>
        <w:tc>
          <w:tcPr>
            <w:tcW w:w="847" w:type="dxa"/>
            <w:vAlign w:val="center"/>
          </w:tcPr>
          <w:p>
            <w:pPr>
              <w:spacing w:line="300" w:lineRule="exact"/>
              <w:rPr>
                <w:rFonts w:ascii="宋体" w:hAnsi="宋体"/>
                <w:b/>
                <w:bCs/>
                <w:kern w:val="44"/>
                <w:szCs w:val="21"/>
              </w:rPr>
            </w:pPr>
          </w:p>
        </w:tc>
        <w:tc>
          <w:tcPr>
            <w:tcW w:w="992" w:type="dxa"/>
            <w:vAlign w:val="center"/>
          </w:tcPr>
          <w:p>
            <w:pPr>
              <w:spacing w:line="300" w:lineRule="exact"/>
              <w:rPr>
                <w:rFonts w:ascii="宋体" w:hAnsi="宋体"/>
                <w:szCs w:val="21"/>
              </w:rPr>
            </w:pPr>
          </w:p>
        </w:tc>
        <w:tc>
          <w:tcPr>
            <w:tcW w:w="1703" w:type="dxa"/>
            <w:vAlign w:val="center"/>
          </w:tcPr>
          <w:p>
            <w:pPr>
              <w:spacing w:line="300" w:lineRule="exact"/>
              <w:rPr>
                <w:rFonts w:ascii="宋体" w:hAnsi="宋体"/>
                <w:szCs w:val="21"/>
              </w:rPr>
            </w:pPr>
          </w:p>
        </w:tc>
        <w:tc>
          <w:tcPr>
            <w:tcW w:w="1751" w:type="dxa"/>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spacing w:line="300" w:lineRule="exact"/>
              <w:jc w:val="center"/>
              <w:rPr>
                <w:rFonts w:ascii="宋体" w:hAnsi="宋体"/>
                <w:szCs w:val="21"/>
              </w:rPr>
            </w:pPr>
            <w:r>
              <w:rPr>
                <w:rFonts w:hint="eastAsia" w:ascii="宋体" w:hAnsi="宋体"/>
                <w:szCs w:val="21"/>
              </w:rPr>
              <w:t>4</w:t>
            </w:r>
          </w:p>
        </w:tc>
        <w:tc>
          <w:tcPr>
            <w:tcW w:w="2839" w:type="dxa"/>
            <w:vAlign w:val="center"/>
          </w:tcPr>
          <w:p>
            <w:pPr>
              <w:spacing w:line="300" w:lineRule="exact"/>
              <w:rPr>
                <w:rFonts w:ascii="宋体" w:hAnsi="宋体"/>
                <w:b/>
                <w:bCs/>
                <w:kern w:val="44"/>
                <w:szCs w:val="21"/>
              </w:rPr>
            </w:pPr>
          </w:p>
        </w:tc>
        <w:tc>
          <w:tcPr>
            <w:tcW w:w="847" w:type="dxa"/>
            <w:vAlign w:val="center"/>
          </w:tcPr>
          <w:p>
            <w:pPr>
              <w:spacing w:line="300" w:lineRule="exact"/>
              <w:rPr>
                <w:rFonts w:ascii="宋体" w:hAnsi="宋体"/>
                <w:b/>
                <w:bCs/>
                <w:kern w:val="44"/>
                <w:szCs w:val="21"/>
              </w:rPr>
            </w:pPr>
          </w:p>
        </w:tc>
        <w:tc>
          <w:tcPr>
            <w:tcW w:w="992" w:type="dxa"/>
            <w:vAlign w:val="center"/>
          </w:tcPr>
          <w:p>
            <w:pPr>
              <w:spacing w:line="300" w:lineRule="exact"/>
              <w:rPr>
                <w:rFonts w:ascii="宋体" w:hAnsi="宋体"/>
                <w:szCs w:val="21"/>
              </w:rPr>
            </w:pPr>
          </w:p>
        </w:tc>
        <w:tc>
          <w:tcPr>
            <w:tcW w:w="1703" w:type="dxa"/>
            <w:vAlign w:val="center"/>
          </w:tcPr>
          <w:p>
            <w:pPr>
              <w:spacing w:line="300" w:lineRule="exact"/>
              <w:rPr>
                <w:rFonts w:ascii="宋体" w:hAnsi="宋体"/>
                <w:szCs w:val="21"/>
              </w:rPr>
            </w:pPr>
          </w:p>
        </w:tc>
        <w:tc>
          <w:tcPr>
            <w:tcW w:w="1751" w:type="dxa"/>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spacing w:line="300" w:lineRule="exact"/>
              <w:jc w:val="center"/>
              <w:rPr>
                <w:rFonts w:ascii="宋体" w:hAnsi="宋体"/>
                <w:szCs w:val="21"/>
              </w:rPr>
            </w:pPr>
            <w:r>
              <w:rPr>
                <w:rFonts w:hint="eastAsia" w:ascii="宋体" w:hAnsi="宋体"/>
                <w:szCs w:val="21"/>
              </w:rPr>
              <w:t>5</w:t>
            </w:r>
          </w:p>
        </w:tc>
        <w:tc>
          <w:tcPr>
            <w:tcW w:w="2839" w:type="dxa"/>
            <w:vAlign w:val="center"/>
          </w:tcPr>
          <w:p>
            <w:pPr>
              <w:spacing w:line="300" w:lineRule="exact"/>
              <w:rPr>
                <w:rFonts w:ascii="宋体" w:hAnsi="宋体"/>
                <w:b/>
                <w:bCs/>
                <w:kern w:val="44"/>
                <w:szCs w:val="21"/>
              </w:rPr>
            </w:pPr>
          </w:p>
        </w:tc>
        <w:tc>
          <w:tcPr>
            <w:tcW w:w="847" w:type="dxa"/>
            <w:vAlign w:val="center"/>
          </w:tcPr>
          <w:p>
            <w:pPr>
              <w:spacing w:line="300" w:lineRule="exact"/>
              <w:rPr>
                <w:rFonts w:ascii="宋体" w:hAnsi="宋体"/>
                <w:b/>
                <w:bCs/>
                <w:kern w:val="44"/>
                <w:szCs w:val="21"/>
              </w:rPr>
            </w:pPr>
          </w:p>
        </w:tc>
        <w:tc>
          <w:tcPr>
            <w:tcW w:w="992" w:type="dxa"/>
            <w:vAlign w:val="center"/>
          </w:tcPr>
          <w:p>
            <w:pPr>
              <w:spacing w:line="300" w:lineRule="exact"/>
              <w:rPr>
                <w:rFonts w:ascii="宋体" w:hAnsi="宋体"/>
                <w:szCs w:val="21"/>
              </w:rPr>
            </w:pPr>
          </w:p>
        </w:tc>
        <w:tc>
          <w:tcPr>
            <w:tcW w:w="1703" w:type="dxa"/>
            <w:vAlign w:val="center"/>
          </w:tcPr>
          <w:p>
            <w:pPr>
              <w:spacing w:line="300" w:lineRule="exact"/>
              <w:rPr>
                <w:rFonts w:ascii="宋体" w:hAnsi="宋体"/>
                <w:szCs w:val="21"/>
              </w:rPr>
            </w:pPr>
          </w:p>
        </w:tc>
        <w:tc>
          <w:tcPr>
            <w:tcW w:w="1751" w:type="dxa"/>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spacing w:line="300" w:lineRule="exact"/>
              <w:jc w:val="center"/>
              <w:rPr>
                <w:rFonts w:ascii="宋体" w:hAnsi="宋体"/>
                <w:szCs w:val="21"/>
              </w:rPr>
            </w:pPr>
            <w:r>
              <w:rPr>
                <w:rFonts w:hint="eastAsia" w:ascii="宋体" w:hAnsi="宋体"/>
                <w:szCs w:val="21"/>
              </w:rPr>
              <w:t>...</w:t>
            </w:r>
          </w:p>
        </w:tc>
        <w:tc>
          <w:tcPr>
            <w:tcW w:w="2839" w:type="dxa"/>
            <w:vAlign w:val="center"/>
          </w:tcPr>
          <w:p>
            <w:pPr>
              <w:spacing w:line="300" w:lineRule="exact"/>
              <w:rPr>
                <w:rFonts w:ascii="宋体" w:hAnsi="宋体"/>
                <w:b/>
                <w:bCs/>
                <w:kern w:val="44"/>
                <w:szCs w:val="21"/>
              </w:rPr>
            </w:pPr>
          </w:p>
        </w:tc>
        <w:tc>
          <w:tcPr>
            <w:tcW w:w="847" w:type="dxa"/>
            <w:vAlign w:val="center"/>
          </w:tcPr>
          <w:p>
            <w:pPr>
              <w:spacing w:line="300" w:lineRule="exact"/>
              <w:rPr>
                <w:rFonts w:ascii="宋体" w:hAnsi="宋体"/>
                <w:b/>
                <w:bCs/>
                <w:kern w:val="44"/>
                <w:szCs w:val="21"/>
              </w:rPr>
            </w:pPr>
          </w:p>
        </w:tc>
        <w:tc>
          <w:tcPr>
            <w:tcW w:w="992" w:type="dxa"/>
            <w:vAlign w:val="center"/>
          </w:tcPr>
          <w:p>
            <w:pPr>
              <w:spacing w:line="300" w:lineRule="exact"/>
              <w:rPr>
                <w:rFonts w:ascii="宋体" w:hAnsi="宋体"/>
                <w:szCs w:val="21"/>
              </w:rPr>
            </w:pPr>
          </w:p>
        </w:tc>
        <w:tc>
          <w:tcPr>
            <w:tcW w:w="1703" w:type="dxa"/>
            <w:vAlign w:val="center"/>
          </w:tcPr>
          <w:p>
            <w:pPr>
              <w:spacing w:line="300" w:lineRule="exact"/>
              <w:rPr>
                <w:rFonts w:ascii="宋体" w:hAnsi="宋体"/>
                <w:szCs w:val="21"/>
              </w:rPr>
            </w:pPr>
          </w:p>
        </w:tc>
        <w:tc>
          <w:tcPr>
            <w:tcW w:w="1751" w:type="dxa"/>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90" w:type="dxa"/>
            <w:gridSpan w:val="4"/>
            <w:vAlign w:val="center"/>
          </w:tcPr>
          <w:p>
            <w:pPr>
              <w:spacing w:line="300" w:lineRule="exact"/>
              <w:jc w:val="center"/>
              <w:rPr>
                <w:rFonts w:ascii="宋体" w:hAnsi="宋体"/>
                <w:szCs w:val="21"/>
              </w:rPr>
            </w:pPr>
            <w:r>
              <w:rPr>
                <w:rFonts w:hint="eastAsia" w:ascii="宋体" w:hAnsi="宋体"/>
                <w:szCs w:val="21"/>
              </w:rPr>
              <w:t>投标报价（元）</w:t>
            </w:r>
          </w:p>
        </w:tc>
        <w:tc>
          <w:tcPr>
            <w:tcW w:w="3454" w:type="dxa"/>
            <w:gridSpan w:val="2"/>
            <w:vAlign w:val="center"/>
          </w:tcPr>
          <w:p>
            <w:pPr>
              <w:spacing w:line="300" w:lineRule="exact"/>
              <w:jc w:val="left"/>
              <w:rPr>
                <w:rFonts w:ascii="宋体" w:hAnsi="宋体"/>
                <w:szCs w:val="21"/>
              </w:rPr>
            </w:pPr>
            <w:r>
              <w:rPr>
                <w:rFonts w:hint="eastAsia" w:ascii="宋体" w:hAnsi="宋体"/>
                <w:szCs w:val="21"/>
              </w:rPr>
              <w:t>小写：</w:t>
            </w:r>
          </w:p>
        </w:tc>
      </w:tr>
    </w:tbl>
    <w:p>
      <w:pPr>
        <w:snapToGrid w:val="0"/>
        <w:spacing w:before="50" w:after="50" w:line="360" w:lineRule="auto"/>
        <w:ind w:left="-23" w:leftChars="-11" w:right="27" w:rightChars="13" w:firstLine="21" w:firstLineChars="10"/>
        <w:rPr>
          <w:rFonts w:ascii="宋体" w:hAnsi="宋体" w:cs="宋体"/>
          <w:bCs/>
          <w:szCs w:val="21"/>
        </w:rPr>
      </w:pPr>
      <w:r>
        <w:rPr>
          <w:rFonts w:hint="eastAsia" w:ascii="宋体" w:hAnsi="宋体" w:cs="宋体"/>
          <w:bCs/>
          <w:szCs w:val="21"/>
        </w:rPr>
        <w:t>注：上述各项的详细分项报价及具体内容，可另页描述。</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color w:val="000000"/>
          <w:szCs w:val="21"/>
        </w:rPr>
      </w:pPr>
      <w:r>
        <w:rPr>
          <w:rFonts w:hint="eastAsia" w:ascii="宋体" w:hAnsi="宋体"/>
          <w:color w:val="000000"/>
          <w:szCs w:val="21"/>
        </w:rPr>
        <w:t>投标人：</w:t>
      </w:r>
      <w:r>
        <w:rPr>
          <w:rFonts w:ascii="宋体" w:hAnsi="宋体"/>
          <w:color w:val="000000"/>
          <w:szCs w:val="21"/>
          <w:u w:val="single"/>
        </w:rPr>
        <w:t>___</w:t>
      </w:r>
      <w:r>
        <w:rPr>
          <w:rFonts w:hint="eastAsia" w:ascii="宋体" w:hAnsi="宋体"/>
          <w:color w:val="000000"/>
          <w:szCs w:val="21"/>
          <w:u w:val="single"/>
        </w:rPr>
        <w:t xml:space="preserve">    （填写全称并加盖公章)</w:t>
      </w:r>
      <w:r>
        <w:rPr>
          <w:rFonts w:ascii="宋体" w:hAnsi="宋体"/>
          <w:color w:val="000000"/>
          <w:szCs w:val="21"/>
          <w:u w:val="single"/>
        </w:rPr>
        <w:t>___________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法定代表人或授权代表签名：</w:t>
      </w:r>
      <w:r>
        <w:rPr>
          <w:rFonts w:ascii="宋体" w:hAnsi="宋体"/>
          <w:color w:val="000000"/>
          <w:szCs w:val="21"/>
          <w:u w:val="single"/>
        </w:rPr>
        <w:t xml:space="preserve"> </w:t>
      </w:r>
      <w:r>
        <w:rPr>
          <w:rFonts w:hint="eastAsia" w:ascii="宋体" w:hAnsi="宋体"/>
          <w:szCs w:val="21"/>
          <w:u w:val="single"/>
        </w:rPr>
        <w:t>（签字或盖章）</w:t>
      </w:r>
      <w:r>
        <w:rPr>
          <w:rFonts w:ascii="宋体" w:hAnsi="宋体"/>
          <w:color w:val="000000"/>
          <w:szCs w:val="21"/>
          <w:u w:val="single"/>
        </w:rPr>
        <w:t>_____</w:t>
      </w:r>
      <w:r>
        <w:rPr>
          <w:rFonts w:ascii="宋体" w:hAnsi="宋体"/>
          <w:color w:val="000000"/>
          <w:szCs w:val="21"/>
        </w:rPr>
        <w:t>_</w:t>
      </w:r>
    </w:p>
    <w:p>
      <w:pPr>
        <w:snapToGrid w:val="0"/>
        <w:spacing w:line="360" w:lineRule="auto"/>
        <w:ind w:firstLine="3685" w:firstLineChars="1755"/>
        <w:rPr>
          <w:rFonts w:ascii="宋体" w:hAnsi="宋体"/>
          <w:color w:val="000000"/>
          <w:szCs w:val="21"/>
        </w:rPr>
      </w:pPr>
      <w:r>
        <w:rPr>
          <w:rFonts w:hint="eastAsia" w:ascii="宋体" w:hAnsi="宋体"/>
          <w:color w:val="000000"/>
          <w:szCs w:val="21"/>
        </w:rPr>
        <w:t>日  期：</w:t>
      </w:r>
    </w:p>
    <w:p>
      <w:pPr>
        <w:pStyle w:val="20"/>
        <w:spacing w:line="360" w:lineRule="auto"/>
        <w:ind w:left="0" w:leftChars="0"/>
        <w:jc w:val="center"/>
        <w:rPr>
          <w:rFonts w:ascii="宋体" w:hAnsi="宋体"/>
        </w:rPr>
      </w:pPr>
      <w:r>
        <w:rPr>
          <w:rFonts w:ascii="宋体" w:hAnsi="宋体"/>
          <w:szCs w:val="21"/>
        </w:rPr>
        <w:br w:type="page"/>
      </w:r>
      <w:r>
        <w:rPr>
          <w:rFonts w:hint="eastAsia" w:ascii="宋体" w:hAnsi="宋体" w:cs="宋体"/>
          <w:b/>
          <w:sz w:val="21"/>
          <w:szCs w:val="21"/>
        </w:rPr>
        <w:t>3）</w:t>
      </w:r>
      <w:r>
        <w:rPr>
          <w:rFonts w:ascii="宋体" w:hAnsi="宋体" w:cs="宋体"/>
          <w:b/>
          <w:sz w:val="21"/>
          <w:szCs w:val="21"/>
        </w:rPr>
        <w:t>中小企业声明函</w:t>
      </w:r>
    </w:p>
    <w:p>
      <w:pPr>
        <w:spacing w:line="360" w:lineRule="auto"/>
        <w:ind w:firstLine="420" w:firstLineChars="200"/>
        <w:jc w:val="left"/>
        <w:rPr>
          <w:rFonts w:ascii="宋体" w:hAnsi="宋体"/>
          <w:b w:val="0"/>
          <w:bCs w:val="0"/>
        </w:rPr>
      </w:pPr>
      <w:r>
        <w:rPr>
          <w:rFonts w:ascii="宋体" w:hAnsi="宋体"/>
        </w:rPr>
        <w:t>本公司（联合体）郑重声明，根据《政府采购促进中小企业发展管理办法》（财库﹝2020﹞46号）的规定，本公司（联合体）参加</w:t>
      </w:r>
      <w:r>
        <w:rPr>
          <w:rFonts w:hint="eastAsia" w:ascii="宋体" w:hAnsi="宋体"/>
          <w:u w:val="single"/>
        </w:rPr>
        <w:t>宁波市生态环境局</w:t>
      </w:r>
      <w:r>
        <w:rPr>
          <w:rFonts w:ascii="宋体" w:hAnsi="宋体"/>
        </w:rPr>
        <w:t>的</w:t>
      </w:r>
      <w:r>
        <w:rPr>
          <w:rFonts w:hint="eastAsia" w:ascii="宋体" w:hAnsi="宋体"/>
          <w:szCs w:val="28"/>
          <w:u w:val="single"/>
          <w:lang w:eastAsia="zh-CN"/>
        </w:rPr>
        <w:t>饮用水水源地电子围栏数据采购项目（服务采购部分）</w:t>
      </w:r>
      <w:r>
        <w:rPr>
          <w:rFonts w:ascii="宋体" w:hAnsi="宋体"/>
        </w:rPr>
        <w:t>采购活动，服务全部由符合政策要求的中小企业承接。相关企业（含联合体中的中小企业、签订分包意向协议的中小企业）的具体情况如下：</w:t>
      </w:r>
    </w:p>
    <w:p>
      <w:pPr>
        <w:spacing w:line="360" w:lineRule="auto"/>
        <w:ind w:firstLine="420" w:firstLineChars="200"/>
        <w:jc w:val="left"/>
        <w:rPr>
          <w:rFonts w:ascii="宋体" w:hAnsi="宋体"/>
          <w:b w:val="0"/>
          <w:bCs w:val="0"/>
        </w:rPr>
      </w:pPr>
      <w:r>
        <w:rPr>
          <w:rFonts w:ascii="宋体" w:hAnsi="宋体"/>
          <w:b w:val="0"/>
          <w:bCs w:val="0"/>
        </w:rPr>
        <w:t xml:space="preserve">1. </w:t>
      </w:r>
      <w:r>
        <w:rPr>
          <w:rFonts w:hint="eastAsia" w:ascii="宋体" w:hAnsi="宋体"/>
          <w:b w:val="0"/>
          <w:bCs w:val="0"/>
          <w:iCs/>
          <w:u w:val="single"/>
          <w:lang w:eastAsia="zh-CN"/>
        </w:rPr>
        <w:t>饮用水水源地电子围栏数据采购项目（服务采购部分）</w:t>
      </w:r>
      <w:r>
        <w:rPr>
          <w:rFonts w:ascii="宋体" w:hAnsi="宋体"/>
          <w:b w:val="0"/>
          <w:bCs w:val="0"/>
        </w:rPr>
        <w:t>，属于</w:t>
      </w:r>
      <w:r>
        <w:rPr>
          <w:rFonts w:hint="eastAsia" w:ascii="宋体" w:hAnsi="宋体"/>
          <w:b w:val="0"/>
          <w:bCs w:val="0"/>
          <w:iCs/>
          <w:u w:val="none"/>
          <w:lang w:eastAsia="zh-CN"/>
        </w:rPr>
        <w:t>软件和信息技术服务业</w:t>
      </w:r>
      <w:r>
        <w:rPr>
          <w:rFonts w:ascii="宋体" w:hAnsi="宋体"/>
          <w:b w:val="0"/>
          <w:bCs w:val="0"/>
        </w:rPr>
        <w:t>；承接企业为</w:t>
      </w:r>
      <w:r>
        <w:rPr>
          <w:rFonts w:ascii="宋体" w:hAnsi="宋体"/>
          <w:b w:val="0"/>
          <w:bCs w:val="0"/>
          <w:u w:val="single"/>
        </w:rPr>
        <w:t>（</w:t>
      </w:r>
      <w:r>
        <w:rPr>
          <w:rFonts w:ascii="宋体" w:hAnsi="宋体"/>
          <w:b w:val="0"/>
          <w:bCs w:val="0"/>
          <w:i/>
          <w:u w:val="single"/>
        </w:rPr>
        <w:t>企业名称</w:t>
      </w:r>
      <w:r>
        <w:rPr>
          <w:rFonts w:ascii="宋体" w:hAnsi="宋体"/>
          <w:b w:val="0"/>
          <w:bCs w:val="0"/>
          <w:u w:val="single"/>
        </w:rPr>
        <w:t>）</w:t>
      </w:r>
      <w:r>
        <w:rPr>
          <w:rFonts w:ascii="宋体" w:hAnsi="宋体"/>
          <w:b w:val="0"/>
          <w:bCs w:val="0"/>
        </w:rPr>
        <w:t>，从业人员</w:t>
      </w:r>
      <w:r>
        <w:rPr>
          <w:rFonts w:hint="eastAsia" w:ascii="宋体" w:hAnsi="宋体"/>
          <w:b w:val="0"/>
          <w:bCs w:val="0"/>
          <w:u w:val="single"/>
        </w:rPr>
        <w:t xml:space="preserve">   </w:t>
      </w:r>
      <w:r>
        <w:rPr>
          <w:rFonts w:ascii="宋体" w:hAnsi="宋体"/>
          <w:b w:val="0"/>
          <w:bCs w:val="0"/>
        </w:rPr>
        <w:t>人，营业收入为</w:t>
      </w:r>
      <w:r>
        <w:rPr>
          <w:rFonts w:hint="eastAsia" w:ascii="宋体" w:hAnsi="宋体"/>
          <w:b w:val="0"/>
          <w:bCs w:val="0"/>
          <w:u w:val="single"/>
        </w:rPr>
        <w:t xml:space="preserve">   </w:t>
      </w:r>
      <w:r>
        <w:rPr>
          <w:rFonts w:ascii="宋体" w:hAnsi="宋体"/>
          <w:b w:val="0"/>
          <w:bCs w:val="0"/>
        </w:rPr>
        <w:t>万元，资产总额为</w:t>
      </w:r>
      <w:r>
        <w:rPr>
          <w:rFonts w:hint="eastAsia" w:ascii="宋体" w:hAnsi="宋体"/>
          <w:b w:val="0"/>
          <w:bCs w:val="0"/>
          <w:u w:val="single"/>
        </w:rPr>
        <w:t xml:space="preserve">   </w:t>
      </w:r>
      <w:r>
        <w:rPr>
          <w:rFonts w:ascii="宋体" w:hAnsi="宋体"/>
          <w:b w:val="0"/>
          <w:bCs w:val="0"/>
        </w:rPr>
        <w:t>万元，属于</w:t>
      </w:r>
      <w:r>
        <w:rPr>
          <w:rFonts w:ascii="宋体" w:hAnsi="宋体"/>
          <w:b w:val="0"/>
          <w:bCs w:val="0"/>
          <w:i/>
          <w:u w:val="single"/>
        </w:rPr>
        <w:t>（中型企业、小型企业、微型企业）</w:t>
      </w:r>
      <w:r>
        <w:rPr>
          <w:rFonts w:ascii="宋体" w:hAnsi="宋体"/>
          <w:b w:val="0"/>
          <w:bCs w:val="0"/>
        </w:rPr>
        <w:t>；</w:t>
      </w:r>
    </w:p>
    <w:p>
      <w:pPr>
        <w:spacing w:line="360" w:lineRule="auto"/>
        <w:ind w:firstLine="420" w:firstLineChars="200"/>
        <w:jc w:val="left"/>
        <w:rPr>
          <w:rFonts w:ascii="宋体" w:hAnsi="宋体"/>
        </w:rPr>
      </w:pPr>
      <w:r>
        <w:rPr>
          <w:rFonts w:ascii="宋体" w:hAnsi="宋体"/>
          <w:b w:val="0"/>
          <w:bCs w:val="0"/>
        </w:rPr>
        <w:t xml:space="preserve">2. </w:t>
      </w:r>
      <w:r>
        <w:rPr>
          <w:rFonts w:hint="eastAsia" w:ascii="宋体" w:hAnsi="宋体"/>
          <w:b w:val="0"/>
          <w:bCs w:val="0"/>
          <w:iCs/>
          <w:u w:val="single"/>
          <w:lang w:eastAsia="zh-CN"/>
        </w:rPr>
        <w:t>饮用水水源地电子围栏数据采购项目（服务采购部分）</w:t>
      </w:r>
      <w:r>
        <w:rPr>
          <w:rFonts w:ascii="宋体" w:hAnsi="宋体"/>
          <w:b w:val="0"/>
          <w:bCs w:val="0"/>
        </w:rPr>
        <w:t>，属于</w:t>
      </w:r>
      <w:r>
        <w:rPr>
          <w:rFonts w:hint="eastAsia" w:ascii="宋体" w:hAnsi="宋体"/>
          <w:b w:val="0"/>
          <w:bCs w:val="0"/>
          <w:iCs/>
          <w:u w:val="none"/>
          <w:lang w:eastAsia="zh-CN"/>
        </w:rPr>
        <w:t>软件和信息技术服务业</w:t>
      </w:r>
      <w:r>
        <w:rPr>
          <w:rFonts w:ascii="宋体" w:hAnsi="宋体"/>
          <w:b w:val="0"/>
          <w:bCs w:val="0"/>
          <w:u w:val="none"/>
        </w:rPr>
        <w:t>；</w:t>
      </w:r>
      <w:r>
        <w:rPr>
          <w:rFonts w:ascii="宋体" w:hAnsi="宋体"/>
          <w:b w:val="0"/>
          <w:bCs w:val="0"/>
        </w:rPr>
        <w:t>承</w:t>
      </w:r>
      <w:r>
        <w:rPr>
          <w:rFonts w:ascii="宋体" w:hAnsi="宋体"/>
        </w:rPr>
        <w:t>接企业为</w:t>
      </w:r>
      <w:r>
        <w:rPr>
          <w:rFonts w:ascii="宋体" w:hAnsi="宋体"/>
          <w:u w:val="single"/>
        </w:rPr>
        <w:t>（</w:t>
      </w:r>
      <w:r>
        <w:rPr>
          <w:rFonts w:ascii="宋体" w:hAnsi="宋体"/>
          <w:i/>
          <w:u w:val="single"/>
        </w:rPr>
        <w:t>企业名称</w:t>
      </w:r>
      <w:r>
        <w:rPr>
          <w:rFonts w:ascii="宋体" w:hAnsi="宋体"/>
          <w:u w:val="single"/>
        </w:rPr>
        <w:t>）</w:t>
      </w:r>
      <w:r>
        <w:rPr>
          <w:rFonts w:ascii="宋体" w:hAnsi="宋体"/>
        </w:rPr>
        <w:t>，从业人员</w:t>
      </w:r>
      <w:r>
        <w:rPr>
          <w:rFonts w:hint="eastAsia" w:ascii="宋体" w:hAnsi="宋体"/>
          <w:u w:val="single"/>
        </w:rPr>
        <w:t xml:space="preserve">   </w:t>
      </w:r>
      <w:r>
        <w:rPr>
          <w:rFonts w:ascii="宋体" w:hAnsi="宋体"/>
        </w:rPr>
        <w:t>人，营业收入为</w:t>
      </w:r>
      <w:r>
        <w:rPr>
          <w:rFonts w:hint="eastAsia" w:ascii="宋体" w:hAnsi="宋体"/>
          <w:u w:val="single"/>
        </w:rPr>
        <w:t xml:space="preserve">   </w:t>
      </w:r>
      <w:r>
        <w:rPr>
          <w:rFonts w:ascii="宋体" w:hAnsi="宋体"/>
        </w:rPr>
        <w:t>万元，资产总额为</w:t>
      </w:r>
      <w:r>
        <w:rPr>
          <w:rFonts w:hint="eastAsia" w:ascii="宋体" w:hAnsi="宋体"/>
          <w:u w:val="single"/>
        </w:rPr>
        <w:t xml:space="preserve">   </w:t>
      </w:r>
      <w:r>
        <w:rPr>
          <w:rFonts w:ascii="宋体" w:hAnsi="宋体"/>
        </w:rPr>
        <w:t>万元，属于</w:t>
      </w:r>
      <w:r>
        <w:rPr>
          <w:rFonts w:ascii="宋体" w:hAnsi="宋体"/>
          <w:i/>
          <w:u w:val="single"/>
        </w:rPr>
        <w:t>（中型企业、 小型企业、微型企业）</w:t>
      </w:r>
      <w:r>
        <w:rPr>
          <w:rFonts w:ascii="宋体" w:hAnsi="宋体"/>
        </w:rPr>
        <w:t>；</w:t>
      </w:r>
    </w:p>
    <w:p>
      <w:pPr>
        <w:spacing w:line="360" w:lineRule="auto"/>
        <w:ind w:firstLine="420" w:firstLineChars="200"/>
        <w:jc w:val="left"/>
        <w:rPr>
          <w:rFonts w:ascii="宋体" w:hAnsi="宋体"/>
        </w:rPr>
      </w:pPr>
      <w:r>
        <w:rPr>
          <w:rFonts w:ascii="宋体" w:hAnsi="宋体"/>
        </w:rPr>
        <w:t>……</w:t>
      </w:r>
    </w:p>
    <w:p>
      <w:pPr>
        <w:spacing w:line="360" w:lineRule="auto"/>
        <w:ind w:firstLine="420" w:firstLineChars="200"/>
        <w:jc w:val="left"/>
        <w:rPr>
          <w:rFonts w:ascii="宋体" w:hAnsi="宋体"/>
        </w:rPr>
      </w:pPr>
      <w:r>
        <w:rPr>
          <w:rFonts w:ascii="宋体" w:hAnsi="宋体"/>
        </w:rPr>
        <w:t>以上企业，不属于大企业的分支机构，不存在控股股东为大企业的情形，也不存在与大企业的负责人为同一人的情形。</w:t>
      </w:r>
    </w:p>
    <w:p>
      <w:pPr>
        <w:spacing w:line="360" w:lineRule="auto"/>
        <w:ind w:firstLine="420" w:firstLineChars="200"/>
        <w:jc w:val="left"/>
        <w:rPr>
          <w:rFonts w:ascii="宋体" w:hAnsi="宋体"/>
        </w:rPr>
      </w:pPr>
      <w:r>
        <w:rPr>
          <w:rFonts w:ascii="宋体" w:hAnsi="宋体"/>
        </w:rPr>
        <w:t>本企业对上述声明内容的真实性负责。如有虚假，将依法承担相应责任。</w:t>
      </w:r>
    </w:p>
    <w:p>
      <w:pPr>
        <w:spacing w:line="360" w:lineRule="auto"/>
        <w:ind w:firstLine="420" w:firstLineChars="200"/>
        <w:jc w:val="left"/>
        <w:rPr>
          <w:rFonts w:ascii="宋体" w:hAnsi="宋体"/>
        </w:rPr>
      </w:pPr>
    </w:p>
    <w:p>
      <w:pPr>
        <w:spacing w:line="360" w:lineRule="auto"/>
        <w:ind w:firstLine="4676" w:firstLineChars="2227"/>
        <w:jc w:val="left"/>
        <w:rPr>
          <w:rFonts w:ascii="宋体" w:hAnsi="宋体"/>
        </w:rPr>
      </w:pPr>
      <w:r>
        <w:rPr>
          <w:rFonts w:ascii="宋体" w:hAnsi="宋体"/>
        </w:rPr>
        <w:t>企业名称（盖章）：</w:t>
      </w:r>
    </w:p>
    <w:p>
      <w:pPr>
        <w:spacing w:line="360" w:lineRule="auto"/>
        <w:ind w:firstLine="4676" w:firstLineChars="2227"/>
        <w:jc w:val="left"/>
        <w:rPr>
          <w:rFonts w:ascii="宋体" w:hAnsi="宋体"/>
        </w:rPr>
      </w:pPr>
      <w:r>
        <w:rPr>
          <w:rFonts w:ascii="宋体" w:hAnsi="宋体"/>
        </w:rPr>
        <w:t>日 期：</w:t>
      </w:r>
    </w:p>
    <w:p>
      <w:pPr>
        <w:pStyle w:val="20"/>
        <w:spacing w:line="360" w:lineRule="auto"/>
        <w:jc w:val="center"/>
        <w:rPr>
          <w:rFonts w:ascii="宋体" w:hAnsi="宋体"/>
        </w:rPr>
      </w:pPr>
    </w:p>
    <w:p>
      <w:pPr>
        <w:snapToGrid w:val="0"/>
        <w:spacing w:before="50" w:after="50" w:line="360" w:lineRule="auto"/>
        <w:ind w:left="-23" w:leftChars="-11" w:right="-214" w:rightChars="-102"/>
        <w:jc w:val="left"/>
        <w:rPr>
          <w:rFonts w:asciiTheme="minorEastAsia" w:hAnsiTheme="minorEastAsia" w:eastAsiaTheme="minorEastAsia"/>
          <w:b/>
          <w:color w:val="000000" w:themeColor="text1"/>
          <w14:textFill>
            <w14:solidFill>
              <w14:schemeClr w14:val="tx1"/>
            </w14:solidFill>
          </w14:textFill>
        </w:rPr>
      </w:pPr>
    </w:p>
    <w:p>
      <w:pPr>
        <w:snapToGrid w:val="0"/>
        <w:spacing w:before="50" w:after="50" w:line="360" w:lineRule="auto"/>
        <w:ind w:left="-23" w:leftChars="-11" w:right="-214" w:rightChars="-102"/>
        <w:jc w:val="left"/>
        <w:rPr>
          <w:rFonts w:hint="eastAsia" w:ascii="宋体" w:hAnsi="宋体" w:eastAsia="宋体"/>
          <w:lang w:eastAsia="zh-CN"/>
        </w:rPr>
      </w:pPr>
      <w:r>
        <w:rPr>
          <w:rFonts w:hint="eastAsia" w:asciiTheme="minorEastAsia" w:hAnsiTheme="minorEastAsia" w:eastAsiaTheme="minorEastAsia"/>
          <w:b/>
          <w:color w:val="000000" w:themeColor="text1"/>
          <w14:textFill>
            <w14:solidFill>
              <w14:schemeClr w14:val="tx1"/>
            </w14:solidFill>
          </w14:textFill>
        </w:rPr>
        <w:t>说明：</w:t>
      </w:r>
      <w:r>
        <w:rPr>
          <w:rFonts w:hint="eastAsia" w:ascii="宋体" w:hAnsi="宋体" w:eastAsiaTheme="minorEastAsia"/>
          <w:b/>
          <w:color w:val="000000" w:themeColor="text1"/>
          <w:lang w:eastAsia="zh-CN"/>
          <w14:textFill>
            <w14:solidFill>
              <w14:schemeClr w14:val="tx1"/>
            </w14:solidFill>
          </w14:textFill>
        </w:rPr>
        <w:t>软件和信息技术服务业</w:t>
      </w:r>
      <w:r>
        <w:rPr>
          <w:rFonts w:hint="eastAsia" w:ascii="宋体" w:hAnsi="宋体"/>
          <w:b/>
          <w:color w:val="000000" w:themeColor="text1"/>
          <w14:textFill>
            <w14:solidFill>
              <w14:schemeClr w14:val="tx1"/>
            </w14:solidFill>
          </w14:textFill>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hAnsi="宋体"/>
          <w:b/>
          <w:color w:val="000000" w:themeColor="text1"/>
          <w:lang w:eastAsia="zh-CN"/>
          <w14:textFill>
            <w14:solidFill>
              <w14:schemeClr w14:val="tx1"/>
            </w14:solidFill>
          </w14:textFill>
        </w:rPr>
        <w:t>。</w:t>
      </w:r>
    </w:p>
    <w:p>
      <w:pPr>
        <w:snapToGrid w:val="0"/>
        <w:spacing w:before="50" w:after="50" w:line="360" w:lineRule="auto"/>
        <w:ind w:left="-23" w:leftChars="-11" w:right="-214" w:rightChars="-102" w:firstLine="21" w:firstLineChars="10"/>
        <w:jc w:val="left"/>
        <w:rPr>
          <w:rFonts w:ascii="宋体" w:hAnsi="宋体"/>
          <w:b/>
        </w:rPr>
      </w:pPr>
      <w:r>
        <w:rPr>
          <w:rFonts w:hint="eastAsia" w:ascii="宋体" w:hAnsi="宋体"/>
          <w:b/>
        </w:rPr>
        <w:t>注：1、从业人员、营业收入、资产总额填报上一年度数据，无上一年度数据的新成立企业可不填报。</w:t>
      </w:r>
    </w:p>
    <w:p>
      <w:pPr>
        <w:snapToGrid w:val="0"/>
        <w:spacing w:before="50" w:after="50" w:line="360" w:lineRule="auto"/>
        <w:ind w:left="-23" w:leftChars="-11" w:right="-214" w:rightChars="-102" w:firstLine="21" w:firstLineChars="10"/>
        <w:jc w:val="left"/>
        <w:rPr>
          <w:rFonts w:ascii="宋体" w:hAnsi="宋体"/>
          <w:b/>
        </w:rPr>
      </w:pPr>
      <w:r>
        <w:rPr>
          <w:rFonts w:hint="eastAsia" w:ascii="宋体" w:hAnsi="宋体"/>
          <w:b/>
        </w:rPr>
        <w:t>2、供应商应当对其出具的《中小企业声明函》真实性负责，供应商出具的《中小企业声明函》内容不实的，属于提供虚假材料。</w:t>
      </w:r>
    </w:p>
    <w:p>
      <w:pPr>
        <w:snapToGrid w:val="0"/>
        <w:spacing w:before="50" w:after="50" w:line="360" w:lineRule="auto"/>
        <w:ind w:left="-23" w:leftChars="-11" w:right="-214" w:rightChars="-102" w:firstLine="21" w:firstLineChars="10"/>
        <w:jc w:val="left"/>
        <w:rPr>
          <w:rFonts w:ascii="宋体" w:hAnsi="宋体"/>
          <w:b/>
        </w:rPr>
      </w:pPr>
      <w:r>
        <w:rPr>
          <w:rFonts w:hint="eastAsia" w:ascii="宋体" w:hAnsi="宋体"/>
          <w:b/>
        </w:rPr>
        <w:t>3、事业单位不属于企业不应提交本声明函，其他组织形式的供应商参与本项目并提交本声明函前请仔细阅读相关文件。</w:t>
      </w:r>
    </w:p>
    <w:p>
      <w:pPr>
        <w:tabs>
          <w:tab w:val="left" w:pos="4860"/>
        </w:tabs>
        <w:spacing w:line="360" w:lineRule="auto"/>
        <w:ind w:right="1560" w:firstLine="420" w:firstLineChars="200"/>
        <w:jc w:val="center"/>
        <w:rPr>
          <w:rFonts w:ascii="宋体" w:hAnsi="宋体"/>
          <w:szCs w:val="21"/>
        </w:rPr>
      </w:pPr>
    </w:p>
    <w:p>
      <w:pPr>
        <w:spacing w:line="360" w:lineRule="auto"/>
        <w:ind w:firstLine="420" w:firstLineChars="200"/>
        <w:jc w:val="left"/>
        <w:rPr>
          <w:rFonts w:ascii="宋体" w:hAnsi="宋体"/>
          <w:szCs w:val="21"/>
        </w:rPr>
      </w:pPr>
    </w:p>
    <w:p>
      <w:pPr>
        <w:pStyle w:val="20"/>
        <w:spacing w:line="360" w:lineRule="auto"/>
        <w:ind w:left="0" w:leftChars="0"/>
        <w:jc w:val="center"/>
        <w:rPr>
          <w:rFonts w:ascii="宋体" w:hAnsi="宋体"/>
          <w:b/>
          <w:spacing w:val="6"/>
          <w:szCs w:val="21"/>
        </w:rPr>
      </w:pPr>
      <w:bookmarkStart w:id="59" w:name="OLE_LINK14"/>
      <w:bookmarkStart w:id="60" w:name="OLE_LINK13"/>
      <w:r>
        <w:rPr>
          <w:rFonts w:ascii="宋体" w:hAnsi="宋体"/>
          <w:szCs w:val="21"/>
        </w:rPr>
        <w:br w:type="page"/>
      </w:r>
      <w:r>
        <w:rPr>
          <w:rFonts w:hint="eastAsia" w:ascii="宋体" w:hAnsi="宋体" w:cs="宋体"/>
          <w:b/>
          <w:sz w:val="21"/>
          <w:szCs w:val="21"/>
        </w:rPr>
        <w:t>4）残疾人福利性单位声明函</w:t>
      </w:r>
      <w:bookmarkEnd w:id="59"/>
      <w:bookmarkEnd w:id="60"/>
    </w:p>
    <w:p>
      <w:pPr>
        <w:spacing w:line="360" w:lineRule="auto"/>
        <w:ind w:firstLine="444" w:firstLineChars="200"/>
        <w:rPr>
          <w:rFonts w:asciiTheme="minorEastAsia" w:hAnsiTheme="minorEastAsia" w:eastAsiaTheme="minorEastAsia"/>
          <w:spacing w:val="6"/>
        </w:rPr>
      </w:pPr>
      <w:r>
        <w:rPr>
          <w:rFonts w:hint="eastAsia" w:asciiTheme="minorEastAsia" w:hAnsiTheme="minorEastAsia" w:eastAsiaTheme="minorEastAsia"/>
          <w:spacing w:val="6"/>
        </w:rPr>
        <w:t>本单位郑重声明，根据《财政部 民政部 中国残疾人联合会关于促进残疾人就业政府采购政策的通知》（财库</w:t>
      </w:r>
      <w:r>
        <w:rPr>
          <w:rFonts w:hint="eastAsia" w:asciiTheme="minorEastAsia" w:hAnsiTheme="minorEastAsia" w:eastAsiaTheme="minorEastAsia"/>
        </w:rPr>
        <w:t>〔2017〕 141</w:t>
      </w:r>
      <w:r>
        <w:rPr>
          <w:rFonts w:hint="eastAsia" w:asciiTheme="minorEastAsia" w:hAnsiTheme="minorEastAsia" w:eastAsiaTheme="minorEastAsia"/>
          <w:spacing w:val="6"/>
        </w:rPr>
        <w:t>号）的规定，本单位为符合条件的残疾人福利性单位，且本单位参加</w:t>
      </w:r>
      <w:r>
        <w:rPr>
          <w:rFonts w:hint="eastAsia" w:asciiTheme="minorEastAsia" w:hAnsiTheme="minorEastAsia" w:eastAsiaTheme="minorEastAsia"/>
          <w:spacing w:val="6"/>
          <w:u w:val="single"/>
        </w:rPr>
        <w:t xml:space="preserve">   （填采购人名称）      </w:t>
      </w:r>
      <w:r>
        <w:rPr>
          <w:rFonts w:hint="eastAsia" w:asciiTheme="minorEastAsia" w:hAnsiTheme="minorEastAsia" w:eastAsiaTheme="minorEastAsia"/>
          <w:spacing w:val="6"/>
        </w:rPr>
        <w:t>单位的</w:t>
      </w:r>
      <w:r>
        <w:rPr>
          <w:rFonts w:hint="eastAsia" w:asciiTheme="minorEastAsia" w:hAnsiTheme="minorEastAsia" w:eastAsiaTheme="minorEastAsia"/>
          <w:spacing w:val="6"/>
          <w:u w:val="single"/>
        </w:rPr>
        <w:t xml:space="preserve">     （填项目名称）       </w:t>
      </w:r>
      <w:r>
        <w:rPr>
          <w:rFonts w:hint="eastAsia" w:asciiTheme="minorEastAsia" w:hAnsiTheme="minorEastAsia" w:eastAsiaTheme="minorEastAsia"/>
          <w:spacing w:val="6"/>
        </w:rPr>
        <w:t>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Theme="minorEastAsia" w:hAnsiTheme="minorEastAsia" w:eastAsiaTheme="minorEastAsia"/>
          <w:spacing w:val="6"/>
        </w:rPr>
      </w:pPr>
      <w:r>
        <w:rPr>
          <w:rFonts w:hint="eastAsia" w:asciiTheme="minorEastAsia" w:hAnsiTheme="minorEastAsia" w:eastAsiaTheme="minorEastAsia"/>
          <w:spacing w:val="6"/>
        </w:rPr>
        <w:t>本单位对上述声明的真实性负责。如有虚假，将依法承担相应责任。</w:t>
      </w:r>
    </w:p>
    <w:p>
      <w:pPr>
        <w:spacing w:line="360" w:lineRule="auto"/>
        <w:ind w:firstLine="444" w:firstLineChars="200"/>
        <w:rPr>
          <w:rFonts w:asciiTheme="minorEastAsia" w:hAnsiTheme="minorEastAsia" w:eastAsiaTheme="minorEastAsia"/>
          <w:spacing w:val="6"/>
        </w:rPr>
      </w:pPr>
    </w:p>
    <w:p>
      <w:pPr>
        <w:spacing w:line="360" w:lineRule="auto"/>
        <w:ind w:firstLine="444" w:firstLineChars="200"/>
        <w:rPr>
          <w:rFonts w:asciiTheme="minorEastAsia" w:hAnsiTheme="minorEastAsia" w:eastAsiaTheme="minorEastAsia"/>
          <w:spacing w:val="6"/>
        </w:rPr>
      </w:pPr>
    </w:p>
    <w:p>
      <w:pPr>
        <w:tabs>
          <w:tab w:val="left" w:pos="4860"/>
        </w:tabs>
        <w:spacing w:line="360" w:lineRule="auto"/>
        <w:ind w:right="1560" w:firstLine="444" w:firstLineChars="200"/>
        <w:jc w:val="center"/>
        <w:rPr>
          <w:rFonts w:asciiTheme="minorEastAsia" w:hAnsiTheme="minorEastAsia" w:eastAsiaTheme="minorEastAsia"/>
          <w:spacing w:val="6"/>
        </w:rPr>
      </w:pPr>
      <w:r>
        <w:rPr>
          <w:rFonts w:hint="eastAsia" w:asciiTheme="minorEastAsia" w:hAnsiTheme="minorEastAsia" w:eastAsiaTheme="minorEastAsia"/>
          <w:spacing w:val="6"/>
        </w:rPr>
        <w:t>单位名称（盖章）：</w:t>
      </w:r>
    </w:p>
    <w:p>
      <w:pPr>
        <w:tabs>
          <w:tab w:val="left" w:pos="4860"/>
        </w:tabs>
        <w:spacing w:line="360" w:lineRule="auto"/>
        <w:ind w:right="1560" w:firstLine="444" w:firstLineChars="200"/>
        <w:jc w:val="center"/>
        <w:rPr>
          <w:rFonts w:asciiTheme="minorEastAsia" w:hAnsiTheme="minorEastAsia" w:eastAsiaTheme="minorEastAsia"/>
          <w:spacing w:val="6"/>
        </w:rPr>
      </w:pPr>
      <w:r>
        <w:rPr>
          <w:rFonts w:hint="eastAsia" w:asciiTheme="minorEastAsia" w:hAnsiTheme="minorEastAsia" w:eastAsiaTheme="minorEastAsia"/>
          <w:spacing w:val="6"/>
        </w:rPr>
        <w:t>日  期：</w:t>
      </w:r>
    </w:p>
    <w:p>
      <w:pPr>
        <w:pStyle w:val="20"/>
        <w:snapToGrid w:val="0"/>
        <w:spacing w:line="360" w:lineRule="auto"/>
        <w:ind w:firstLine="437" w:firstLineChars="196"/>
        <w:rPr>
          <w:rFonts w:ascii="宋体" w:hAnsi="宋体" w:cs="宋体"/>
          <w:b/>
          <w:spacing w:val="6"/>
          <w:sz w:val="21"/>
          <w:szCs w:val="21"/>
        </w:rPr>
      </w:pPr>
    </w:p>
    <w:p>
      <w:pPr>
        <w:pStyle w:val="20"/>
        <w:snapToGrid w:val="0"/>
        <w:spacing w:line="360" w:lineRule="auto"/>
        <w:ind w:firstLine="437" w:firstLineChars="196"/>
        <w:rPr>
          <w:rFonts w:ascii="宋体" w:hAnsi="宋体" w:cs="宋体"/>
          <w:b/>
          <w:spacing w:val="6"/>
          <w:sz w:val="21"/>
          <w:szCs w:val="21"/>
        </w:rPr>
      </w:pPr>
    </w:p>
    <w:p>
      <w:pPr>
        <w:pStyle w:val="20"/>
        <w:snapToGrid w:val="0"/>
        <w:spacing w:line="360" w:lineRule="auto"/>
        <w:ind w:firstLine="437" w:firstLineChars="196"/>
        <w:rPr>
          <w:rFonts w:ascii="宋体" w:hAnsi="宋体" w:cs="宋体"/>
          <w:b/>
          <w:spacing w:val="6"/>
          <w:sz w:val="21"/>
          <w:szCs w:val="21"/>
        </w:rPr>
      </w:pPr>
    </w:p>
    <w:p>
      <w:pPr>
        <w:spacing w:line="360" w:lineRule="auto"/>
        <w:rPr>
          <w:rFonts w:ascii="宋体" w:hAnsi="宋体"/>
          <w:b/>
        </w:rPr>
      </w:pPr>
    </w:p>
    <w:p>
      <w:pPr>
        <w:spacing w:line="360" w:lineRule="auto"/>
        <w:rPr>
          <w:rFonts w:ascii="宋体" w:hAnsi="宋体"/>
          <w:b/>
        </w:rPr>
      </w:pPr>
      <w:r>
        <w:rPr>
          <w:rFonts w:hint="eastAsia" w:ascii="宋体" w:hAnsi="宋体"/>
          <w:b/>
        </w:rPr>
        <w:t>说明：不属于残疾人福利性单位无需且不应当提供本声明函，否则自行承担相应的责任。</w:t>
      </w:r>
    </w:p>
    <w:p>
      <w:pPr>
        <w:spacing w:line="360" w:lineRule="auto"/>
        <w:ind w:firstLine="422" w:firstLineChars="200"/>
        <w:rPr>
          <w:rFonts w:ascii="宋体" w:hAnsi="宋体"/>
          <w:b/>
          <w:szCs w:val="21"/>
        </w:rPr>
      </w:pPr>
    </w:p>
    <w:sectPr>
      <w:headerReference r:id="rId8" w:type="default"/>
      <w:footerReference r:id="rId9" w:type="even"/>
      <w:pgSz w:w="11906" w:h="16838"/>
      <w:pgMar w:top="1276" w:right="1440" w:bottom="1276" w:left="161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Helvetica">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華康辦公用具篇">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urier">
    <w:panose1 w:val="02060409020205020404"/>
    <w:charset w:val="00"/>
    <w:family w:val="modern"/>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7</w:t>
    </w:r>
    <w:r>
      <w:rPr>
        <w:rFonts w:ascii="宋体" w:hAnsi="宋体"/>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ceVkaCAIAABIEAAAOAAAAAAAAAAEAIAAAAB4BAABkcnMv&#10;ZTJvRG9jLnhtbFBLBQYAAAAABgAGAFkBAACY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8"/>
      </w:rPr>
    </w:pPr>
    <w:r>
      <w:fldChar w:fldCharType="begin"/>
    </w:r>
    <w:r>
      <w:rPr>
        <w:rStyle w:val="48"/>
      </w:rPr>
      <w:instrText xml:space="preserve">PAGE  </w:instrText>
    </w:r>
    <w:r>
      <w:fldChar w:fldCharType="end"/>
    </w:r>
  </w:p>
  <w:p>
    <w:pPr>
      <w:pStyle w:val="2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C8042"/>
    <w:multiLevelType w:val="singleLevel"/>
    <w:tmpl w:val="9B2C8042"/>
    <w:lvl w:ilvl="0" w:tentative="0">
      <w:start w:val="1"/>
      <w:numFmt w:val="decimal"/>
      <w:lvlText w:val="(%1)"/>
      <w:lvlJc w:val="left"/>
      <w:pPr>
        <w:tabs>
          <w:tab w:val="left" w:pos="420"/>
        </w:tabs>
        <w:ind w:left="845" w:hanging="425"/>
      </w:pPr>
      <w:rPr>
        <w:rFonts w:hint="default"/>
      </w:rPr>
    </w:lvl>
  </w:abstractNum>
  <w:abstractNum w:abstractNumId="1">
    <w:nsid w:val="00000005"/>
    <w:multiLevelType w:val="multilevel"/>
    <w:tmpl w:val="00000005"/>
    <w:lvl w:ilvl="0" w:tentative="0">
      <w:start w:val="1"/>
      <w:numFmt w:val="decimal"/>
      <w:pStyle w:val="14"/>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NjFkNDc0NTJiZTI2MTFkNWVjMWVkNzhlOTBjYjMifQ=="/>
  </w:docVars>
  <w:rsids>
    <w:rsidRoot w:val="003E2D88"/>
    <w:rsid w:val="00000FB1"/>
    <w:rsid w:val="00003B2E"/>
    <w:rsid w:val="00004BCB"/>
    <w:rsid w:val="00005489"/>
    <w:rsid w:val="000058AD"/>
    <w:rsid w:val="00005F49"/>
    <w:rsid w:val="00007484"/>
    <w:rsid w:val="0001041F"/>
    <w:rsid w:val="00010A88"/>
    <w:rsid w:val="0001181A"/>
    <w:rsid w:val="00012AAB"/>
    <w:rsid w:val="00012BD8"/>
    <w:rsid w:val="00013295"/>
    <w:rsid w:val="00013641"/>
    <w:rsid w:val="0001460A"/>
    <w:rsid w:val="00016639"/>
    <w:rsid w:val="00016D6A"/>
    <w:rsid w:val="00017683"/>
    <w:rsid w:val="0001783E"/>
    <w:rsid w:val="000210F3"/>
    <w:rsid w:val="00022B6E"/>
    <w:rsid w:val="0002338A"/>
    <w:rsid w:val="0002554D"/>
    <w:rsid w:val="0002586E"/>
    <w:rsid w:val="00025EC1"/>
    <w:rsid w:val="0002731E"/>
    <w:rsid w:val="000314AF"/>
    <w:rsid w:val="00034A7D"/>
    <w:rsid w:val="000361E5"/>
    <w:rsid w:val="00036FA2"/>
    <w:rsid w:val="00040AD2"/>
    <w:rsid w:val="00040D82"/>
    <w:rsid w:val="000414F8"/>
    <w:rsid w:val="00042DCA"/>
    <w:rsid w:val="00043D09"/>
    <w:rsid w:val="00044921"/>
    <w:rsid w:val="00044F0D"/>
    <w:rsid w:val="000453DF"/>
    <w:rsid w:val="0004704A"/>
    <w:rsid w:val="00047B97"/>
    <w:rsid w:val="0005081C"/>
    <w:rsid w:val="00051340"/>
    <w:rsid w:val="00051C25"/>
    <w:rsid w:val="00053642"/>
    <w:rsid w:val="00053A47"/>
    <w:rsid w:val="00053B0C"/>
    <w:rsid w:val="0005427E"/>
    <w:rsid w:val="00054668"/>
    <w:rsid w:val="00054A34"/>
    <w:rsid w:val="00055BE8"/>
    <w:rsid w:val="0005609E"/>
    <w:rsid w:val="00056188"/>
    <w:rsid w:val="000569B8"/>
    <w:rsid w:val="00057999"/>
    <w:rsid w:val="000602AB"/>
    <w:rsid w:val="000629A5"/>
    <w:rsid w:val="000646CB"/>
    <w:rsid w:val="000655A5"/>
    <w:rsid w:val="000656CA"/>
    <w:rsid w:val="00065D43"/>
    <w:rsid w:val="00066348"/>
    <w:rsid w:val="00066D44"/>
    <w:rsid w:val="000670FA"/>
    <w:rsid w:val="0007082C"/>
    <w:rsid w:val="00070B7E"/>
    <w:rsid w:val="00070D34"/>
    <w:rsid w:val="000711DD"/>
    <w:rsid w:val="00071B75"/>
    <w:rsid w:val="000721AA"/>
    <w:rsid w:val="0007412D"/>
    <w:rsid w:val="00074A24"/>
    <w:rsid w:val="000750F1"/>
    <w:rsid w:val="00076320"/>
    <w:rsid w:val="0007652A"/>
    <w:rsid w:val="000772D0"/>
    <w:rsid w:val="00077C51"/>
    <w:rsid w:val="0008036E"/>
    <w:rsid w:val="00080EE8"/>
    <w:rsid w:val="00081F9E"/>
    <w:rsid w:val="00082082"/>
    <w:rsid w:val="00082B8F"/>
    <w:rsid w:val="00082FC2"/>
    <w:rsid w:val="00085BE6"/>
    <w:rsid w:val="00090224"/>
    <w:rsid w:val="00090A04"/>
    <w:rsid w:val="000917BA"/>
    <w:rsid w:val="00091AF7"/>
    <w:rsid w:val="00091D00"/>
    <w:rsid w:val="000928C4"/>
    <w:rsid w:val="0009369B"/>
    <w:rsid w:val="00093C95"/>
    <w:rsid w:val="00093DD1"/>
    <w:rsid w:val="00094A2D"/>
    <w:rsid w:val="00096667"/>
    <w:rsid w:val="00097827"/>
    <w:rsid w:val="00097C49"/>
    <w:rsid w:val="000A0470"/>
    <w:rsid w:val="000A12BF"/>
    <w:rsid w:val="000A1BD6"/>
    <w:rsid w:val="000A2717"/>
    <w:rsid w:val="000A2945"/>
    <w:rsid w:val="000A2EC7"/>
    <w:rsid w:val="000A2FA0"/>
    <w:rsid w:val="000A3D8C"/>
    <w:rsid w:val="000A79AA"/>
    <w:rsid w:val="000B17C7"/>
    <w:rsid w:val="000B2161"/>
    <w:rsid w:val="000B2EFC"/>
    <w:rsid w:val="000B3666"/>
    <w:rsid w:val="000B3948"/>
    <w:rsid w:val="000B3FA8"/>
    <w:rsid w:val="000B405E"/>
    <w:rsid w:val="000B5760"/>
    <w:rsid w:val="000B5B1A"/>
    <w:rsid w:val="000B5BA9"/>
    <w:rsid w:val="000B621D"/>
    <w:rsid w:val="000B6E3B"/>
    <w:rsid w:val="000C0A82"/>
    <w:rsid w:val="000C3D43"/>
    <w:rsid w:val="000C5050"/>
    <w:rsid w:val="000C59EF"/>
    <w:rsid w:val="000C6491"/>
    <w:rsid w:val="000C658D"/>
    <w:rsid w:val="000C74C3"/>
    <w:rsid w:val="000D132B"/>
    <w:rsid w:val="000D2439"/>
    <w:rsid w:val="000D24E4"/>
    <w:rsid w:val="000D3745"/>
    <w:rsid w:val="000D39B4"/>
    <w:rsid w:val="000D4B5F"/>
    <w:rsid w:val="000D4BAB"/>
    <w:rsid w:val="000D6F04"/>
    <w:rsid w:val="000D7745"/>
    <w:rsid w:val="000D7BBF"/>
    <w:rsid w:val="000D7FFC"/>
    <w:rsid w:val="000E148F"/>
    <w:rsid w:val="000E176D"/>
    <w:rsid w:val="000E1863"/>
    <w:rsid w:val="000E30E9"/>
    <w:rsid w:val="000E3701"/>
    <w:rsid w:val="000E4B85"/>
    <w:rsid w:val="000E5B4F"/>
    <w:rsid w:val="000E5C77"/>
    <w:rsid w:val="000E5F40"/>
    <w:rsid w:val="000E61E4"/>
    <w:rsid w:val="000E77C4"/>
    <w:rsid w:val="000E7E17"/>
    <w:rsid w:val="000F196D"/>
    <w:rsid w:val="000F4607"/>
    <w:rsid w:val="000F52B9"/>
    <w:rsid w:val="000F765B"/>
    <w:rsid w:val="00103A7C"/>
    <w:rsid w:val="00104929"/>
    <w:rsid w:val="0010500C"/>
    <w:rsid w:val="00105764"/>
    <w:rsid w:val="00105B77"/>
    <w:rsid w:val="001066B9"/>
    <w:rsid w:val="001067DC"/>
    <w:rsid w:val="00107B7A"/>
    <w:rsid w:val="00107D5A"/>
    <w:rsid w:val="00110F1E"/>
    <w:rsid w:val="00111BBA"/>
    <w:rsid w:val="00112256"/>
    <w:rsid w:val="0011530A"/>
    <w:rsid w:val="00115456"/>
    <w:rsid w:val="00116493"/>
    <w:rsid w:val="00117330"/>
    <w:rsid w:val="00117D03"/>
    <w:rsid w:val="00124D50"/>
    <w:rsid w:val="00125FD5"/>
    <w:rsid w:val="00130BC0"/>
    <w:rsid w:val="00131096"/>
    <w:rsid w:val="001311D7"/>
    <w:rsid w:val="0013137F"/>
    <w:rsid w:val="00133046"/>
    <w:rsid w:val="00133400"/>
    <w:rsid w:val="00134DF0"/>
    <w:rsid w:val="0013587D"/>
    <w:rsid w:val="00135B6F"/>
    <w:rsid w:val="00135EB5"/>
    <w:rsid w:val="0013630C"/>
    <w:rsid w:val="0013692D"/>
    <w:rsid w:val="00136D06"/>
    <w:rsid w:val="00137EDD"/>
    <w:rsid w:val="00140197"/>
    <w:rsid w:val="00140458"/>
    <w:rsid w:val="001404E9"/>
    <w:rsid w:val="00140814"/>
    <w:rsid w:val="00141CEF"/>
    <w:rsid w:val="0014297F"/>
    <w:rsid w:val="00143818"/>
    <w:rsid w:val="00143FCF"/>
    <w:rsid w:val="00146925"/>
    <w:rsid w:val="001469A5"/>
    <w:rsid w:val="001476FE"/>
    <w:rsid w:val="00147B0A"/>
    <w:rsid w:val="00150D65"/>
    <w:rsid w:val="00151CCB"/>
    <w:rsid w:val="001528B0"/>
    <w:rsid w:val="001534DD"/>
    <w:rsid w:val="00153B15"/>
    <w:rsid w:val="00153BE7"/>
    <w:rsid w:val="00153FD2"/>
    <w:rsid w:val="00154D3B"/>
    <w:rsid w:val="00156D02"/>
    <w:rsid w:val="00157973"/>
    <w:rsid w:val="00161721"/>
    <w:rsid w:val="0016179A"/>
    <w:rsid w:val="00161D2D"/>
    <w:rsid w:val="00162871"/>
    <w:rsid w:val="00164318"/>
    <w:rsid w:val="001652AB"/>
    <w:rsid w:val="00165980"/>
    <w:rsid w:val="0016603F"/>
    <w:rsid w:val="0016640A"/>
    <w:rsid w:val="00166849"/>
    <w:rsid w:val="001703EC"/>
    <w:rsid w:val="00170558"/>
    <w:rsid w:val="0017055E"/>
    <w:rsid w:val="00170FF9"/>
    <w:rsid w:val="00173244"/>
    <w:rsid w:val="00174B4A"/>
    <w:rsid w:val="00180189"/>
    <w:rsid w:val="00180AE4"/>
    <w:rsid w:val="00181F56"/>
    <w:rsid w:val="00184771"/>
    <w:rsid w:val="00184CD7"/>
    <w:rsid w:val="001862DF"/>
    <w:rsid w:val="00186E43"/>
    <w:rsid w:val="0018755D"/>
    <w:rsid w:val="00187F7E"/>
    <w:rsid w:val="00191CF6"/>
    <w:rsid w:val="00191E38"/>
    <w:rsid w:val="00192313"/>
    <w:rsid w:val="0019413A"/>
    <w:rsid w:val="00194142"/>
    <w:rsid w:val="00196D9B"/>
    <w:rsid w:val="0019759D"/>
    <w:rsid w:val="001A0732"/>
    <w:rsid w:val="001A14BB"/>
    <w:rsid w:val="001A15E6"/>
    <w:rsid w:val="001A1F33"/>
    <w:rsid w:val="001A2CFA"/>
    <w:rsid w:val="001A2F99"/>
    <w:rsid w:val="001A2FCE"/>
    <w:rsid w:val="001A3512"/>
    <w:rsid w:val="001A3874"/>
    <w:rsid w:val="001A3E4C"/>
    <w:rsid w:val="001A4B0E"/>
    <w:rsid w:val="001A59A9"/>
    <w:rsid w:val="001A5A5D"/>
    <w:rsid w:val="001A7873"/>
    <w:rsid w:val="001A7D73"/>
    <w:rsid w:val="001B22A7"/>
    <w:rsid w:val="001B25BA"/>
    <w:rsid w:val="001B2973"/>
    <w:rsid w:val="001B2CCD"/>
    <w:rsid w:val="001B3104"/>
    <w:rsid w:val="001B3F6D"/>
    <w:rsid w:val="001B4D51"/>
    <w:rsid w:val="001B5292"/>
    <w:rsid w:val="001B6C3E"/>
    <w:rsid w:val="001C520B"/>
    <w:rsid w:val="001C5B24"/>
    <w:rsid w:val="001C63A1"/>
    <w:rsid w:val="001C6AB1"/>
    <w:rsid w:val="001C6AEE"/>
    <w:rsid w:val="001D12DB"/>
    <w:rsid w:val="001D24EA"/>
    <w:rsid w:val="001D3024"/>
    <w:rsid w:val="001D35BD"/>
    <w:rsid w:val="001D3B2C"/>
    <w:rsid w:val="001D4239"/>
    <w:rsid w:val="001D46E7"/>
    <w:rsid w:val="001D4944"/>
    <w:rsid w:val="001D4B1A"/>
    <w:rsid w:val="001D5309"/>
    <w:rsid w:val="001D6A6C"/>
    <w:rsid w:val="001D7AAC"/>
    <w:rsid w:val="001D7CF0"/>
    <w:rsid w:val="001E0FDC"/>
    <w:rsid w:val="001E16C8"/>
    <w:rsid w:val="001E2FDA"/>
    <w:rsid w:val="001E3740"/>
    <w:rsid w:val="001E3FE2"/>
    <w:rsid w:val="001E6C06"/>
    <w:rsid w:val="001E7E64"/>
    <w:rsid w:val="001F0501"/>
    <w:rsid w:val="001F0E3A"/>
    <w:rsid w:val="001F1CFE"/>
    <w:rsid w:val="001F2802"/>
    <w:rsid w:val="001F38AB"/>
    <w:rsid w:val="001F4F64"/>
    <w:rsid w:val="001F67A3"/>
    <w:rsid w:val="001F693A"/>
    <w:rsid w:val="002005BD"/>
    <w:rsid w:val="0020105E"/>
    <w:rsid w:val="002019A0"/>
    <w:rsid w:val="002019B4"/>
    <w:rsid w:val="00201E34"/>
    <w:rsid w:val="00201E7D"/>
    <w:rsid w:val="00202DE9"/>
    <w:rsid w:val="00202E1D"/>
    <w:rsid w:val="00205CFA"/>
    <w:rsid w:val="00207959"/>
    <w:rsid w:val="00207A20"/>
    <w:rsid w:val="00212063"/>
    <w:rsid w:val="00212D12"/>
    <w:rsid w:val="00213ADF"/>
    <w:rsid w:val="00213F66"/>
    <w:rsid w:val="00216B4E"/>
    <w:rsid w:val="00216FD6"/>
    <w:rsid w:val="002170E1"/>
    <w:rsid w:val="0021793A"/>
    <w:rsid w:val="00220EE2"/>
    <w:rsid w:val="00221651"/>
    <w:rsid w:val="00224529"/>
    <w:rsid w:val="0022470C"/>
    <w:rsid w:val="002264D3"/>
    <w:rsid w:val="00226CD8"/>
    <w:rsid w:val="00227154"/>
    <w:rsid w:val="00227555"/>
    <w:rsid w:val="00232EB5"/>
    <w:rsid w:val="00233365"/>
    <w:rsid w:val="0023340E"/>
    <w:rsid w:val="0023497F"/>
    <w:rsid w:val="00234A80"/>
    <w:rsid w:val="002356CE"/>
    <w:rsid w:val="00235D2B"/>
    <w:rsid w:val="002375AD"/>
    <w:rsid w:val="002410C2"/>
    <w:rsid w:val="0024158A"/>
    <w:rsid w:val="002420DA"/>
    <w:rsid w:val="0024401C"/>
    <w:rsid w:val="002446D5"/>
    <w:rsid w:val="00244C44"/>
    <w:rsid w:val="00246E5E"/>
    <w:rsid w:val="00247071"/>
    <w:rsid w:val="002470E1"/>
    <w:rsid w:val="00247772"/>
    <w:rsid w:val="002501A0"/>
    <w:rsid w:val="00254BC6"/>
    <w:rsid w:val="00254D9C"/>
    <w:rsid w:val="00255DB2"/>
    <w:rsid w:val="00255DE4"/>
    <w:rsid w:val="002565F3"/>
    <w:rsid w:val="00256F84"/>
    <w:rsid w:val="002570FF"/>
    <w:rsid w:val="00260A57"/>
    <w:rsid w:val="00260B20"/>
    <w:rsid w:val="00262BF3"/>
    <w:rsid w:val="002632B8"/>
    <w:rsid w:val="0026350D"/>
    <w:rsid w:val="00263B0D"/>
    <w:rsid w:val="0026504D"/>
    <w:rsid w:val="00266B8D"/>
    <w:rsid w:val="00267F56"/>
    <w:rsid w:val="00271B06"/>
    <w:rsid w:val="00273EF7"/>
    <w:rsid w:val="00273F1F"/>
    <w:rsid w:val="00274A78"/>
    <w:rsid w:val="0027512C"/>
    <w:rsid w:val="00275E97"/>
    <w:rsid w:val="0027766B"/>
    <w:rsid w:val="00282346"/>
    <w:rsid w:val="002836C0"/>
    <w:rsid w:val="00285478"/>
    <w:rsid w:val="002860A0"/>
    <w:rsid w:val="002864EF"/>
    <w:rsid w:val="002874C3"/>
    <w:rsid w:val="002877AC"/>
    <w:rsid w:val="00290339"/>
    <w:rsid w:val="002903A5"/>
    <w:rsid w:val="00290701"/>
    <w:rsid w:val="002924F4"/>
    <w:rsid w:val="00292B6D"/>
    <w:rsid w:val="0029380C"/>
    <w:rsid w:val="00293E89"/>
    <w:rsid w:val="00294289"/>
    <w:rsid w:val="00294439"/>
    <w:rsid w:val="0029526A"/>
    <w:rsid w:val="00297E71"/>
    <w:rsid w:val="002A0C88"/>
    <w:rsid w:val="002A0ED0"/>
    <w:rsid w:val="002A19B4"/>
    <w:rsid w:val="002A20D2"/>
    <w:rsid w:val="002A33A0"/>
    <w:rsid w:val="002A33C2"/>
    <w:rsid w:val="002A37C1"/>
    <w:rsid w:val="002A4A1C"/>
    <w:rsid w:val="002A521C"/>
    <w:rsid w:val="002B0E6C"/>
    <w:rsid w:val="002B20C5"/>
    <w:rsid w:val="002B5A68"/>
    <w:rsid w:val="002B68DE"/>
    <w:rsid w:val="002B7060"/>
    <w:rsid w:val="002B7933"/>
    <w:rsid w:val="002B7BA3"/>
    <w:rsid w:val="002B7C06"/>
    <w:rsid w:val="002C217D"/>
    <w:rsid w:val="002C2286"/>
    <w:rsid w:val="002C4373"/>
    <w:rsid w:val="002C4406"/>
    <w:rsid w:val="002C6B00"/>
    <w:rsid w:val="002C6DCB"/>
    <w:rsid w:val="002D0343"/>
    <w:rsid w:val="002D1AC2"/>
    <w:rsid w:val="002D222F"/>
    <w:rsid w:val="002D2E76"/>
    <w:rsid w:val="002D4E64"/>
    <w:rsid w:val="002D5326"/>
    <w:rsid w:val="002D5C6E"/>
    <w:rsid w:val="002D6335"/>
    <w:rsid w:val="002D6B16"/>
    <w:rsid w:val="002D6E20"/>
    <w:rsid w:val="002D76BD"/>
    <w:rsid w:val="002E11F2"/>
    <w:rsid w:val="002E2727"/>
    <w:rsid w:val="002E466C"/>
    <w:rsid w:val="002E6353"/>
    <w:rsid w:val="002E7704"/>
    <w:rsid w:val="002E7820"/>
    <w:rsid w:val="002F09FA"/>
    <w:rsid w:val="002F0BA3"/>
    <w:rsid w:val="002F20E5"/>
    <w:rsid w:val="002F3598"/>
    <w:rsid w:val="002F4142"/>
    <w:rsid w:val="002F4860"/>
    <w:rsid w:val="002F556D"/>
    <w:rsid w:val="002F6DF7"/>
    <w:rsid w:val="0030256A"/>
    <w:rsid w:val="00307484"/>
    <w:rsid w:val="00310F45"/>
    <w:rsid w:val="00312BA1"/>
    <w:rsid w:val="00313678"/>
    <w:rsid w:val="00313943"/>
    <w:rsid w:val="00315019"/>
    <w:rsid w:val="003157BE"/>
    <w:rsid w:val="0031678D"/>
    <w:rsid w:val="00317760"/>
    <w:rsid w:val="00317E72"/>
    <w:rsid w:val="00320549"/>
    <w:rsid w:val="0032068B"/>
    <w:rsid w:val="00323CB0"/>
    <w:rsid w:val="003253AF"/>
    <w:rsid w:val="003255FC"/>
    <w:rsid w:val="003258FB"/>
    <w:rsid w:val="0032594F"/>
    <w:rsid w:val="00330939"/>
    <w:rsid w:val="00330965"/>
    <w:rsid w:val="0033165B"/>
    <w:rsid w:val="00331A7B"/>
    <w:rsid w:val="00331FE0"/>
    <w:rsid w:val="00332FA6"/>
    <w:rsid w:val="00333940"/>
    <w:rsid w:val="0033428F"/>
    <w:rsid w:val="003358AA"/>
    <w:rsid w:val="00340FB1"/>
    <w:rsid w:val="003433AE"/>
    <w:rsid w:val="003437D2"/>
    <w:rsid w:val="00343959"/>
    <w:rsid w:val="00344ED0"/>
    <w:rsid w:val="00347371"/>
    <w:rsid w:val="00347B8F"/>
    <w:rsid w:val="00347BFD"/>
    <w:rsid w:val="0035053A"/>
    <w:rsid w:val="00350E19"/>
    <w:rsid w:val="00351433"/>
    <w:rsid w:val="00352721"/>
    <w:rsid w:val="00353516"/>
    <w:rsid w:val="00354A37"/>
    <w:rsid w:val="00354B3C"/>
    <w:rsid w:val="00356CB7"/>
    <w:rsid w:val="00357403"/>
    <w:rsid w:val="00360669"/>
    <w:rsid w:val="003610DA"/>
    <w:rsid w:val="0036185C"/>
    <w:rsid w:val="00361E52"/>
    <w:rsid w:val="00362DAF"/>
    <w:rsid w:val="00362ECC"/>
    <w:rsid w:val="00363102"/>
    <w:rsid w:val="00363253"/>
    <w:rsid w:val="00363BB0"/>
    <w:rsid w:val="00365795"/>
    <w:rsid w:val="00365E0E"/>
    <w:rsid w:val="003674AC"/>
    <w:rsid w:val="00367A67"/>
    <w:rsid w:val="0037012F"/>
    <w:rsid w:val="00373CB3"/>
    <w:rsid w:val="00374BC9"/>
    <w:rsid w:val="00376AA5"/>
    <w:rsid w:val="0037719F"/>
    <w:rsid w:val="003778C5"/>
    <w:rsid w:val="00377AC0"/>
    <w:rsid w:val="00381B66"/>
    <w:rsid w:val="00381DC6"/>
    <w:rsid w:val="00382288"/>
    <w:rsid w:val="00382B53"/>
    <w:rsid w:val="00382B8A"/>
    <w:rsid w:val="00383E21"/>
    <w:rsid w:val="00383F04"/>
    <w:rsid w:val="00383FF6"/>
    <w:rsid w:val="00384103"/>
    <w:rsid w:val="00384FDB"/>
    <w:rsid w:val="00386453"/>
    <w:rsid w:val="0038660A"/>
    <w:rsid w:val="00386F65"/>
    <w:rsid w:val="0038796C"/>
    <w:rsid w:val="00390BA5"/>
    <w:rsid w:val="003930C5"/>
    <w:rsid w:val="00393DB8"/>
    <w:rsid w:val="003971BA"/>
    <w:rsid w:val="003A1F55"/>
    <w:rsid w:val="003A20F9"/>
    <w:rsid w:val="003A2972"/>
    <w:rsid w:val="003A348B"/>
    <w:rsid w:val="003A39B6"/>
    <w:rsid w:val="003A4FC3"/>
    <w:rsid w:val="003A5FA3"/>
    <w:rsid w:val="003A69D2"/>
    <w:rsid w:val="003B1A3E"/>
    <w:rsid w:val="003B1F20"/>
    <w:rsid w:val="003B1FFB"/>
    <w:rsid w:val="003B2003"/>
    <w:rsid w:val="003B2202"/>
    <w:rsid w:val="003B32C8"/>
    <w:rsid w:val="003B3C44"/>
    <w:rsid w:val="003B3D69"/>
    <w:rsid w:val="003B42DA"/>
    <w:rsid w:val="003B44C0"/>
    <w:rsid w:val="003B4DD5"/>
    <w:rsid w:val="003B60B1"/>
    <w:rsid w:val="003B6657"/>
    <w:rsid w:val="003B6A76"/>
    <w:rsid w:val="003C0BE4"/>
    <w:rsid w:val="003C0E55"/>
    <w:rsid w:val="003C142F"/>
    <w:rsid w:val="003C2384"/>
    <w:rsid w:val="003C2561"/>
    <w:rsid w:val="003C6276"/>
    <w:rsid w:val="003C6757"/>
    <w:rsid w:val="003D2B0F"/>
    <w:rsid w:val="003D3060"/>
    <w:rsid w:val="003D4E49"/>
    <w:rsid w:val="003D641C"/>
    <w:rsid w:val="003D677D"/>
    <w:rsid w:val="003D6BD7"/>
    <w:rsid w:val="003D6ECD"/>
    <w:rsid w:val="003E0751"/>
    <w:rsid w:val="003E2D88"/>
    <w:rsid w:val="003E5BE4"/>
    <w:rsid w:val="003E5CF9"/>
    <w:rsid w:val="003E610A"/>
    <w:rsid w:val="003E6B06"/>
    <w:rsid w:val="003E70B8"/>
    <w:rsid w:val="003E7966"/>
    <w:rsid w:val="003F090C"/>
    <w:rsid w:val="003F1E1D"/>
    <w:rsid w:val="003F2AB1"/>
    <w:rsid w:val="003F3A34"/>
    <w:rsid w:val="003F4523"/>
    <w:rsid w:val="003F4996"/>
    <w:rsid w:val="003F56A5"/>
    <w:rsid w:val="003F5D06"/>
    <w:rsid w:val="003F704F"/>
    <w:rsid w:val="003F74BD"/>
    <w:rsid w:val="003F74F9"/>
    <w:rsid w:val="003F7772"/>
    <w:rsid w:val="003F78B9"/>
    <w:rsid w:val="003F7EB1"/>
    <w:rsid w:val="00401F27"/>
    <w:rsid w:val="0040229E"/>
    <w:rsid w:val="00402769"/>
    <w:rsid w:val="0040475A"/>
    <w:rsid w:val="00406EDB"/>
    <w:rsid w:val="004104CC"/>
    <w:rsid w:val="00411D87"/>
    <w:rsid w:val="00414960"/>
    <w:rsid w:val="00414E83"/>
    <w:rsid w:val="004159D7"/>
    <w:rsid w:val="00415A5F"/>
    <w:rsid w:val="00415D56"/>
    <w:rsid w:val="004168CD"/>
    <w:rsid w:val="00416EBB"/>
    <w:rsid w:val="004202C8"/>
    <w:rsid w:val="004213F1"/>
    <w:rsid w:val="004239A3"/>
    <w:rsid w:val="0043047C"/>
    <w:rsid w:val="00430D2A"/>
    <w:rsid w:val="004312C0"/>
    <w:rsid w:val="0043132E"/>
    <w:rsid w:val="004314B5"/>
    <w:rsid w:val="00431742"/>
    <w:rsid w:val="0043223A"/>
    <w:rsid w:val="004343C3"/>
    <w:rsid w:val="00435E6E"/>
    <w:rsid w:val="004365A5"/>
    <w:rsid w:val="00437475"/>
    <w:rsid w:val="00437A8D"/>
    <w:rsid w:val="00437DB2"/>
    <w:rsid w:val="004400C4"/>
    <w:rsid w:val="004412CB"/>
    <w:rsid w:val="00441824"/>
    <w:rsid w:val="00441A5F"/>
    <w:rsid w:val="00441AD2"/>
    <w:rsid w:val="00441B71"/>
    <w:rsid w:val="00441F23"/>
    <w:rsid w:val="004445C9"/>
    <w:rsid w:val="00444DA6"/>
    <w:rsid w:val="004454D3"/>
    <w:rsid w:val="0044568E"/>
    <w:rsid w:val="004470B0"/>
    <w:rsid w:val="0044714E"/>
    <w:rsid w:val="0044763D"/>
    <w:rsid w:val="00450365"/>
    <w:rsid w:val="004509A8"/>
    <w:rsid w:val="00450D48"/>
    <w:rsid w:val="0045180D"/>
    <w:rsid w:val="00451EE5"/>
    <w:rsid w:val="004529F5"/>
    <w:rsid w:val="00452AB7"/>
    <w:rsid w:val="004540BB"/>
    <w:rsid w:val="0045446D"/>
    <w:rsid w:val="0045459A"/>
    <w:rsid w:val="00461B95"/>
    <w:rsid w:val="004632E0"/>
    <w:rsid w:val="00464A44"/>
    <w:rsid w:val="00465510"/>
    <w:rsid w:val="00467702"/>
    <w:rsid w:val="0047178D"/>
    <w:rsid w:val="0047302F"/>
    <w:rsid w:val="00473E7D"/>
    <w:rsid w:val="00474E5F"/>
    <w:rsid w:val="004766FE"/>
    <w:rsid w:val="004774B9"/>
    <w:rsid w:val="00482DA6"/>
    <w:rsid w:val="00482FD9"/>
    <w:rsid w:val="00483B54"/>
    <w:rsid w:val="00483F6D"/>
    <w:rsid w:val="00484C2B"/>
    <w:rsid w:val="0048504C"/>
    <w:rsid w:val="004853D6"/>
    <w:rsid w:val="00485766"/>
    <w:rsid w:val="00486D95"/>
    <w:rsid w:val="00486E22"/>
    <w:rsid w:val="00487D4C"/>
    <w:rsid w:val="00487E32"/>
    <w:rsid w:val="00491018"/>
    <w:rsid w:val="00492998"/>
    <w:rsid w:val="00494DA4"/>
    <w:rsid w:val="0049591A"/>
    <w:rsid w:val="00496BB9"/>
    <w:rsid w:val="00496C8B"/>
    <w:rsid w:val="00496F08"/>
    <w:rsid w:val="004A0D0F"/>
    <w:rsid w:val="004A162D"/>
    <w:rsid w:val="004A2144"/>
    <w:rsid w:val="004A2B68"/>
    <w:rsid w:val="004A54D4"/>
    <w:rsid w:val="004A630E"/>
    <w:rsid w:val="004B02D9"/>
    <w:rsid w:val="004B0A9B"/>
    <w:rsid w:val="004B12F4"/>
    <w:rsid w:val="004B3FA3"/>
    <w:rsid w:val="004B5FDC"/>
    <w:rsid w:val="004B6D9A"/>
    <w:rsid w:val="004B7F68"/>
    <w:rsid w:val="004C13FC"/>
    <w:rsid w:val="004C250C"/>
    <w:rsid w:val="004C40FE"/>
    <w:rsid w:val="004C497F"/>
    <w:rsid w:val="004C4E7C"/>
    <w:rsid w:val="004C6785"/>
    <w:rsid w:val="004D1842"/>
    <w:rsid w:val="004D3513"/>
    <w:rsid w:val="004D3F3B"/>
    <w:rsid w:val="004D6025"/>
    <w:rsid w:val="004D6D1F"/>
    <w:rsid w:val="004D7E80"/>
    <w:rsid w:val="004E08A7"/>
    <w:rsid w:val="004E218B"/>
    <w:rsid w:val="004E2B01"/>
    <w:rsid w:val="004E3699"/>
    <w:rsid w:val="004E43D7"/>
    <w:rsid w:val="004E4B4E"/>
    <w:rsid w:val="004E5DA5"/>
    <w:rsid w:val="004E6F29"/>
    <w:rsid w:val="004E72E9"/>
    <w:rsid w:val="004F1C50"/>
    <w:rsid w:val="004F26ED"/>
    <w:rsid w:val="004F352B"/>
    <w:rsid w:val="004F371F"/>
    <w:rsid w:val="004F48B6"/>
    <w:rsid w:val="004F59B6"/>
    <w:rsid w:val="004F67EF"/>
    <w:rsid w:val="005011D7"/>
    <w:rsid w:val="00501216"/>
    <w:rsid w:val="00501517"/>
    <w:rsid w:val="005019E1"/>
    <w:rsid w:val="00501C2A"/>
    <w:rsid w:val="00502256"/>
    <w:rsid w:val="005033D1"/>
    <w:rsid w:val="00503707"/>
    <w:rsid w:val="00503964"/>
    <w:rsid w:val="005039EB"/>
    <w:rsid w:val="00504C8A"/>
    <w:rsid w:val="00505BD5"/>
    <w:rsid w:val="00506372"/>
    <w:rsid w:val="00506B1E"/>
    <w:rsid w:val="00506D1E"/>
    <w:rsid w:val="00510A7B"/>
    <w:rsid w:val="00510ECC"/>
    <w:rsid w:val="00511275"/>
    <w:rsid w:val="00512027"/>
    <w:rsid w:val="00514B87"/>
    <w:rsid w:val="00515C14"/>
    <w:rsid w:val="005162B6"/>
    <w:rsid w:val="00516715"/>
    <w:rsid w:val="00517018"/>
    <w:rsid w:val="00517199"/>
    <w:rsid w:val="005207CF"/>
    <w:rsid w:val="00520FDA"/>
    <w:rsid w:val="00521246"/>
    <w:rsid w:val="00522041"/>
    <w:rsid w:val="0052240F"/>
    <w:rsid w:val="005227D8"/>
    <w:rsid w:val="00523398"/>
    <w:rsid w:val="00527907"/>
    <w:rsid w:val="00531090"/>
    <w:rsid w:val="00531B71"/>
    <w:rsid w:val="005324AB"/>
    <w:rsid w:val="005325C7"/>
    <w:rsid w:val="0053437D"/>
    <w:rsid w:val="00534592"/>
    <w:rsid w:val="005345A8"/>
    <w:rsid w:val="0053502F"/>
    <w:rsid w:val="00535707"/>
    <w:rsid w:val="005362C9"/>
    <w:rsid w:val="005363CE"/>
    <w:rsid w:val="00536620"/>
    <w:rsid w:val="00536C65"/>
    <w:rsid w:val="0053732B"/>
    <w:rsid w:val="0054111C"/>
    <w:rsid w:val="00542EE4"/>
    <w:rsid w:val="0054330D"/>
    <w:rsid w:val="00543572"/>
    <w:rsid w:val="005445AA"/>
    <w:rsid w:val="00545763"/>
    <w:rsid w:val="00545E1C"/>
    <w:rsid w:val="00545FF2"/>
    <w:rsid w:val="005465E4"/>
    <w:rsid w:val="005474BB"/>
    <w:rsid w:val="005506C9"/>
    <w:rsid w:val="0055222F"/>
    <w:rsid w:val="005525D1"/>
    <w:rsid w:val="00552EAC"/>
    <w:rsid w:val="00553794"/>
    <w:rsid w:val="00554034"/>
    <w:rsid w:val="00554310"/>
    <w:rsid w:val="005554A0"/>
    <w:rsid w:val="0055559B"/>
    <w:rsid w:val="00556AAC"/>
    <w:rsid w:val="00560116"/>
    <w:rsid w:val="005601E5"/>
    <w:rsid w:val="005602CD"/>
    <w:rsid w:val="00560FBE"/>
    <w:rsid w:val="00561997"/>
    <w:rsid w:val="00562539"/>
    <w:rsid w:val="0056327E"/>
    <w:rsid w:val="00563776"/>
    <w:rsid w:val="00563785"/>
    <w:rsid w:val="00564A7F"/>
    <w:rsid w:val="0056673C"/>
    <w:rsid w:val="005673B1"/>
    <w:rsid w:val="00567832"/>
    <w:rsid w:val="0057005D"/>
    <w:rsid w:val="005714AE"/>
    <w:rsid w:val="00571707"/>
    <w:rsid w:val="005721E0"/>
    <w:rsid w:val="00572F79"/>
    <w:rsid w:val="00574125"/>
    <w:rsid w:val="00576557"/>
    <w:rsid w:val="00580A7B"/>
    <w:rsid w:val="00580B9C"/>
    <w:rsid w:val="005825C9"/>
    <w:rsid w:val="00582A7A"/>
    <w:rsid w:val="00582BC3"/>
    <w:rsid w:val="005846E4"/>
    <w:rsid w:val="005856DC"/>
    <w:rsid w:val="005908FE"/>
    <w:rsid w:val="00591B75"/>
    <w:rsid w:val="005924DD"/>
    <w:rsid w:val="005948BF"/>
    <w:rsid w:val="005949A6"/>
    <w:rsid w:val="00594F24"/>
    <w:rsid w:val="00596156"/>
    <w:rsid w:val="0059638F"/>
    <w:rsid w:val="005965FA"/>
    <w:rsid w:val="00597CE9"/>
    <w:rsid w:val="005A05A0"/>
    <w:rsid w:val="005A13F2"/>
    <w:rsid w:val="005A163B"/>
    <w:rsid w:val="005A1FA0"/>
    <w:rsid w:val="005A4A02"/>
    <w:rsid w:val="005A5A46"/>
    <w:rsid w:val="005A7BDC"/>
    <w:rsid w:val="005A7CDA"/>
    <w:rsid w:val="005A7D9B"/>
    <w:rsid w:val="005B051F"/>
    <w:rsid w:val="005B0D7C"/>
    <w:rsid w:val="005B1084"/>
    <w:rsid w:val="005B1B76"/>
    <w:rsid w:val="005B1E49"/>
    <w:rsid w:val="005B3368"/>
    <w:rsid w:val="005B3CBB"/>
    <w:rsid w:val="005B3EAF"/>
    <w:rsid w:val="005B591D"/>
    <w:rsid w:val="005B671E"/>
    <w:rsid w:val="005B6F71"/>
    <w:rsid w:val="005B7F7D"/>
    <w:rsid w:val="005C0270"/>
    <w:rsid w:val="005C04E2"/>
    <w:rsid w:val="005C3A23"/>
    <w:rsid w:val="005C568E"/>
    <w:rsid w:val="005C5B45"/>
    <w:rsid w:val="005C5D10"/>
    <w:rsid w:val="005C60D2"/>
    <w:rsid w:val="005C633C"/>
    <w:rsid w:val="005C64F2"/>
    <w:rsid w:val="005C667E"/>
    <w:rsid w:val="005D002C"/>
    <w:rsid w:val="005D1B1F"/>
    <w:rsid w:val="005D276A"/>
    <w:rsid w:val="005D2CC0"/>
    <w:rsid w:val="005D471B"/>
    <w:rsid w:val="005D4C66"/>
    <w:rsid w:val="005D4D7B"/>
    <w:rsid w:val="005D5535"/>
    <w:rsid w:val="005D6F77"/>
    <w:rsid w:val="005D7D04"/>
    <w:rsid w:val="005D7E20"/>
    <w:rsid w:val="005E01E6"/>
    <w:rsid w:val="005E13FF"/>
    <w:rsid w:val="005E214D"/>
    <w:rsid w:val="005E2A8F"/>
    <w:rsid w:val="005E4816"/>
    <w:rsid w:val="005E504B"/>
    <w:rsid w:val="005E51D8"/>
    <w:rsid w:val="005E6528"/>
    <w:rsid w:val="005E720F"/>
    <w:rsid w:val="005E7C74"/>
    <w:rsid w:val="005F32AA"/>
    <w:rsid w:val="005F3442"/>
    <w:rsid w:val="005F4A7E"/>
    <w:rsid w:val="005F4A9B"/>
    <w:rsid w:val="005F531B"/>
    <w:rsid w:val="005F5ACD"/>
    <w:rsid w:val="005F5F3A"/>
    <w:rsid w:val="005F6E4E"/>
    <w:rsid w:val="006001EA"/>
    <w:rsid w:val="00601CF8"/>
    <w:rsid w:val="00603EDA"/>
    <w:rsid w:val="00604766"/>
    <w:rsid w:val="00605635"/>
    <w:rsid w:val="00605EAE"/>
    <w:rsid w:val="00606493"/>
    <w:rsid w:val="00610120"/>
    <w:rsid w:val="006106CD"/>
    <w:rsid w:val="00610A4F"/>
    <w:rsid w:val="00611FE3"/>
    <w:rsid w:val="006125DA"/>
    <w:rsid w:val="006133E0"/>
    <w:rsid w:val="00614126"/>
    <w:rsid w:val="00614617"/>
    <w:rsid w:val="006158AE"/>
    <w:rsid w:val="00615F18"/>
    <w:rsid w:val="00616309"/>
    <w:rsid w:val="0061720E"/>
    <w:rsid w:val="006230A6"/>
    <w:rsid w:val="00626344"/>
    <w:rsid w:val="006278B1"/>
    <w:rsid w:val="00627FA6"/>
    <w:rsid w:val="00630C2A"/>
    <w:rsid w:val="0063138D"/>
    <w:rsid w:val="00632422"/>
    <w:rsid w:val="00632B7C"/>
    <w:rsid w:val="0063427A"/>
    <w:rsid w:val="006344AB"/>
    <w:rsid w:val="00636C1E"/>
    <w:rsid w:val="00637086"/>
    <w:rsid w:val="006412C6"/>
    <w:rsid w:val="006417B9"/>
    <w:rsid w:val="006427C0"/>
    <w:rsid w:val="006445FB"/>
    <w:rsid w:val="0064707F"/>
    <w:rsid w:val="00652036"/>
    <w:rsid w:val="00652336"/>
    <w:rsid w:val="00652956"/>
    <w:rsid w:val="00652A46"/>
    <w:rsid w:val="0065325A"/>
    <w:rsid w:val="0065462C"/>
    <w:rsid w:val="00654BDA"/>
    <w:rsid w:val="00654FD3"/>
    <w:rsid w:val="00655462"/>
    <w:rsid w:val="00655694"/>
    <w:rsid w:val="00657120"/>
    <w:rsid w:val="00657A7B"/>
    <w:rsid w:val="00657E32"/>
    <w:rsid w:val="00657E49"/>
    <w:rsid w:val="00665A32"/>
    <w:rsid w:val="00665C39"/>
    <w:rsid w:val="00666A30"/>
    <w:rsid w:val="00666B8C"/>
    <w:rsid w:val="00666FD1"/>
    <w:rsid w:val="00667B92"/>
    <w:rsid w:val="006700E6"/>
    <w:rsid w:val="00670EF5"/>
    <w:rsid w:val="006713DC"/>
    <w:rsid w:val="0067146E"/>
    <w:rsid w:val="0067231C"/>
    <w:rsid w:val="00672735"/>
    <w:rsid w:val="006728FF"/>
    <w:rsid w:val="00672907"/>
    <w:rsid w:val="006757D4"/>
    <w:rsid w:val="00676F6A"/>
    <w:rsid w:val="00677938"/>
    <w:rsid w:val="006827B0"/>
    <w:rsid w:val="00683239"/>
    <w:rsid w:val="00685CC8"/>
    <w:rsid w:val="00690C3A"/>
    <w:rsid w:val="006913AF"/>
    <w:rsid w:val="0069183F"/>
    <w:rsid w:val="00693C72"/>
    <w:rsid w:val="006951B3"/>
    <w:rsid w:val="006964B5"/>
    <w:rsid w:val="00696685"/>
    <w:rsid w:val="006971F7"/>
    <w:rsid w:val="006A0BAC"/>
    <w:rsid w:val="006A1402"/>
    <w:rsid w:val="006A1894"/>
    <w:rsid w:val="006A21B9"/>
    <w:rsid w:val="006A2873"/>
    <w:rsid w:val="006A3BFD"/>
    <w:rsid w:val="006A41CB"/>
    <w:rsid w:val="006A4C03"/>
    <w:rsid w:val="006A4E05"/>
    <w:rsid w:val="006A4FD5"/>
    <w:rsid w:val="006A58AF"/>
    <w:rsid w:val="006A65E3"/>
    <w:rsid w:val="006A7455"/>
    <w:rsid w:val="006A76F0"/>
    <w:rsid w:val="006B0B33"/>
    <w:rsid w:val="006B10CB"/>
    <w:rsid w:val="006B309D"/>
    <w:rsid w:val="006B32F7"/>
    <w:rsid w:val="006B3883"/>
    <w:rsid w:val="006B39DA"/>
    <w:rsid w:val="006B50B9"/>
    <w:rsid w:val="006B6139"/>
    <w:rsid w:val="006B68F8"/>
    <w:rsid w:val="006B71B6"/>
    <w:rsid w:val="006C0759"/>
    <w:rsid w:val="006C0AA7"/>
    <w:rsid w:val="006C22A1"/>
    <w:rsid w:val="006C29E9"/>
    <w:rsid w:val="006C3208"/>
    <w:rsid w:val="006C5B67"/>
    <w:rsid w:val="006C68DB"/>
    <w:rsid w:val="006C6DED"/>
    <w:rsid w:val="006C7C16"/>
    <w:rsid w:val="006C7FF1"/>
    <w:rsid w:val="006D0C84"/>
    <w:rsid w:val="006D0EE6"/>
    <w:rsid w:val="006D10A2"/>
    <w:rsid w:val="006D128D"/>
    <w:rsid w:val="006D18F1"/>
    <w:rsid w:val="006D1AAD"/>
    <w:rsid w:val="006D2467"/>
    <w:rsid w:val="006D275A"/>
    <w:rsid w:val="006D2FDE"/>
    <w:rsid w:val="006D4804"/>
    <w:rsid w:val="006D6796"/>
    <w:rsid w:val="006D74E7"/>
    <w:rsid w:val="006D791B"/>
    <w:rsid w:val="006E0770"/>
    <w:rsid w:val="006E119B"/>
    <w:rsid w:val="006E1B49"/>
    <w:rsid w:val="006E2D9A"/>
    <w:rsid w:val="006E37AE"/>
    <w:rsid w:val="006E3E9B"/>
    <w:rsid w:val="006E5971"/>
    <w:rsid w:val="006E5D3B"/>
    <w:rsid w:val="006F3353"/>
    <w:rsid w:val="006F4249"/>
    <w:rsid w:val="006F5B5C"/>
    <w:rsid w:val="006F5EF9"/>
    <w:rsid w:val="00702BB2"/>
    <w:rsid w:val="00705FD0"/>
    <w:rsid w:val="00706D8E"/>
    <w:rsid w:val="00711496"/>
    <w:rsid w:val="00711925"/>
    <w:rsid w:val="00711DB3"/>
    <w:rsid w:val="00712311"/>
    <w:rsid w:val="00712E87"/>
    <w:rsid w:val="00714D25"/>
    <w:rsid w:val="00714DE2"/>
    <w:rsid w:val="0071693C"/>
    <w:rsid w:val="00717493"/>
    <w:rsid w:val="00721CF6"/>
    <w:rsid w:val="00721F7D"/>
    <w:rsid w:val="00722356"/>
    <w:rsid w:val="007227BE"/>
    <w:rsid w:val="00725DAA"/>
    <w:rsid w:val="00726212"/>
    <w:rsid w:val="007264C0"/>
    <w:rsid w:val="0072689E"/>
    <w:rsid w:val="0072789A"/>
    <w:rsid w:val="00732B37"/>
    <w:rsid w:val="007343E1"/>
    <w:rsid w:val="00734A7B"/>
    <w:rsid w:val="00735088"/>
    <w:rsid w:val="007367E0"/>
    <w:rsid w:val="00736E6A"/>
    <w:rsid w:val="00741467"/>
    <w:rsid w:val="007422AB"/>
    <w:rsid w:val="007428D8"/>
    <w:rsid w:val="00744620"/>
    <w:rsid w:val="00746507"/>
    <w:rsid w:val="00746FF0"/>
    <w:rsid w:val="007470A0"/>
    <w:rsid w:val="007476BB"/>
    <w:rsid w:val="00747D0E"/>
    <w:rsid w:val="007513C5"/>
    <w:rsid w:val="00751AD1"/>
    <w:rsid w:val="00751B95"/>
    <w:rsid w:val="00751C04"/>
    <w:rsid w:val="00751ECF"/>
    <w:rsid w:val="00752BAC"/>
    <w:rsid w:val="00753362"/>
    <w:rsid w:val="00754169"/>
    <w:rsid w:val="007544A4"/>
    <w:rsid w:val="00755435"/>
    <w:rsid w:val="0075718D"/>
    <w:rsid w:val="0075752F"/>
    <w:rsid w:val="007576E2"/>
    <w:rsid w:val="007605D9"/>
    <w:rsid w:val="007615EB"/>
    <w:rsid w:val="007622CE"/>
    <w:rsid w:val="00762628"/>
    <w:rsid w:val="00765D32"/>
    <w:rsid w:val="00766DAF"/>
    <w:rsid w:val="00766DD8"/>
    <w:rsid w:val="00767BD0"/>
    <w:rsid w:val="00767C06"/>
    <w:rsid w:val="00767ED6"/>
    <w:rsid w:val="0077275F"/>
    <w:rsid w:val="0077388C"/>
    <w:rsid w:val="0077631B"/>
    <w:rsid w:val="00776A7D"/>
    <w:rsid w:val="00776DEC"/>
    <w:rsid w:val="007774AE"/>
    <w:rsid w:val="00780516"/>
    <w:rsid w:val="00781920"/>
    <w:rsid w:val="00781AB5"/>
    <w:rsid w:val="00781F37"/>
    <w:rsid w:val="007828BD"/>
    <w:rsid w:val="00783C73"/>
    <w:rsid w:val="00783DD7"/>
    <w:rsid w:val="00784161"/>
    <w:rsid w:val="00784CD9"/>
    <w:rsid w:val="007855A5"/>
    <w:rsid w:val="007855F3"/>
    <w:rsid w:val="00787674"/>
    <w:rsid w:val="007876C0"/>
    <w:rsid w:val="00791272"/>
    <w:rsid w:val="00792348"/>
    <w:rsid w:val="00792A0D"/>
    <w:rsid w:val="007931F7"/>
    <w:rsid w:val="00793A2B"/>
    <w:rsid w:val="00793FF6"/>
    <w:rsid w:val="00794389"/>
    <w:rsid w:val="00794DEB"/>
    <w:rsid w:val="00794E61"/>
    <w:rsid w:val="00795A7F"/>
    <w:rsid w:val="00796918"/>
    <w:rsid w:val="00796CF1"/>
    <w:rsid w:val="007A09EF"/>
    <w:rsid w:val="007A125C"/>
    <w:rsid w:val="007A31FF"/>
    <w:rsid w:val="007A5249"/>
    <w:rsid w:val="007A78FD"/>
    <w:rsid w:val="007B21A4"/>
    <w:rsid w:val="007B220E"/>
    <w:rsid w:val="007B300E"/>
    <w:rsid w:val="007B3683"/>
    <w:rsid w:val="007B37FA"/>
    <w:rsid w:val="007B45E5"/>
    <w:rsid w:val="007B663F"/>
    <w:rsid w:val="007B6798"/>
    <w:rsid w:val="007B6B5F"/>
    <w:rsid w:val="007B6CAC"/>
    <w:rsid w:val="007B774B"/>
    <w:rsid w:val="007B7A5C"/>
    <w:rsid w:val="007C0944"/>
    <w:rsid w:val="007C11EC"/>
    <w:rsid w:val="007C217A"/>
    <w:rsid w:val="007C42F8"/>
    <w:rsid w:val="007C462D"/>
    <w:rsid w:val="007C50D6"/>
    <w:rsid w:val="007C720F"/>
    <w:rsid w:val="007D0996"/>
    <w:rsid w:val="007D0AE2"/>
    <w:rsid w:val="007D1C90"/>
    <w:rsid w:val="007D1C91"/>
    <w:rsid w:val="007D1F2A"/>
    <w:rsid w:val="007D687B"/>
    <w:rsid w:val="007E05BF"/>
    <w:rsid w:val="007E0BB1"/>
    <w:rsid w:val="007E35C1"/>
    <w:rsid w:val="007E37E9"/>
    <w:rsid w:val="007E3989"/>
    <w:rsid w:val="007E53B9"/>
    <w:rsid w:val="007E5CD1"/>
    <w:rsid w:val="007E63CF"/>
    <w:rsid w:val="007E6AD5"/>
    <w:rsid w:val="007E7ED4"/>
    <w:rsid w:val="007F0237"/>
    <w:rsid w:val="007F0268"/>
    <w:rsid w:val="007F03F1"/>
    <w:rsid w:val="007F0977"/>
    <w:rsid w:val="007F0FD5"/>
    <w:rsid w:val="007F104B"/>
    <w:rsid w:val="007F25AB"/>
    <w:rsid w:val="007F40EC"/>
    <w:rsid w:val="007F4D47"/>
    <w:rsid w:val="007F529D"/>
    <w:rsid w:val="007F71AE"/>
    <w:rsid w:val="007F7A72"/>
    <w:rsid w:val="00800263"/>
    <w:rsid w:val="00800926"/>
    <w:rsid w:val="00800E91"/>
    <w:rsid w:val="00801FAC"/>
    <w:rsid w:val="008032DB"/>
    <w:rsid w:val="00805544"/>
    <w:rsid w:val="008103A3"/>
    <w:rsid w:val="00810D37"/>
    <w:rsid w:val="00810F81"/>
    <w:rsid w:val="00811B37"/>
    <w:rsid w:val="008131D7"/>
    <w:rsid w:val="008148F7"/>
    <w:rsid w:val="00814EA3"/>
    <w:rsid w:val="00815A3B"/>
    <w:rsid w:val="00815DB1"/>
    <w:rsid w:val="00820946"/>
    <w:rsid w:val="00821D20"/>
    <w:rsid w:val="00821F3C"/>
    <w:rsid w:val="008221B5"/>
    <w:rsid w:val="00823894"/>
    <w:rsid w:val="0082416E"/>
    <w:rsid w:val="008244AD"/>
    <w:rsid w:val="00824E15"/>
    <w:rsid w:val="00826281"/>
    <w:rsid w:val="00826608"/>
    <w:rsid w:val="008273D1"/>
    <w:rsid w:val="0082788F"/>
    <w:rsid w:val="008310DE"/>
    <w:rsid w:val="00831146"/>
    <w:rsid w:val="008315A6"/>
    <w:rsid w:val="008327FC"/>
    <w:rsid w:val="00832CF1"/>
    <w:rsid w:val="00833A86"/>
    <w:rsid w:val="00833E93"/>
    <w:rsid w:val="00834C6F"/>
    <w:rsid w:val="00835468"/>
    <w:rsid w:val="0083566E"/>
    <w:rsid w:val="008429E3"/>
    <w:rsid w:val="008437A0"/>
    <w:rsid w:val="00845B4C"/>
    <w:rsid w:val="00845C55"/>
    <w:rsid w:val="00845D3F"/>
    <w:rsid w:val="008469A3"/>
    <w:rsid w:val="00847A4D"/>
    <w:rsid w:val="00851B7B"/>
    <w:rsid w:val="00852296"/>
    <w:rsid w:val="00852496"/>
    <w:rsid w:val="00852719"/>
    <w:rsid w:val="00852BC5"/>
    <w:rsid w:val="008533A9"/>
    <w:rsid w:val="00853A9E"/>
    <w:rsid w:val="00854666"/>
    <w:rsid w:val="00854CCA"/>
    <w:rsid w:val="00856189"/>
    <w:rsid w:val="008577FC"/>
    <w:rsid w:val="00857DEB"/>
    <w:rsid w:val="008603C4"/>
    <w:rsid w:val="00860EC5"/>
    <w:rsid w:val="0086199B"/>
    <w:rsid w:val="00861A09"/>
    <w:rsid w:val="0086280C"/>
    <w:rsid w:val="00862A99"/>
    <w:rsid w:val="00863A49"/>
    <w:rsid w:val="00865840"/>
    <w:rsid w:val="00865AD6"/>
    <w:rsid w:val="00865B75"/>
    <w:rsid w:val="00865D01"/>
    <w:rsid w:val="00867C15"/>
    <w:rsid w:val="008706AD"/>
    <w:rsid w:val="00871471"/>
    <w:rsid w:val="00871599"/>
    <w:rsid w:val="0087356D"/>
    <w:rsid w:val="008744CB"/>
    <w:rsid w:val="00875180"/>
    <w:rsid w:val="008752A4"/>
    <w:rsid w:val="00875DDB"/>
    <w:rsid w:val="00876AB2"/>
    <w:rsid w:val="008776AF"/>
    <w:rsid w:val="00881F65"/>
    <w:rsid w:val="008822B3"/>
    <w:rsid w:val="00882486"/>
    <w:rsid w:val="00882B75"/>
    <w:rsid w:val="00882C99"/>
    <w:rsid w:val="008839FB"/>
    <w:rsid w:val="00883AFC"/>
    <w:rsid w:val="00883F48"/>
    <w:rsid w:val="00884671"/>
    <w:rsid w:val="00886874"/>
    <w:rsid w:val="00886965"/>
    <w:rsid w:val="00886B4C"/>
    <w:rsid w:val="008876AA"/>
    <w:rsid w:val="008901D6"/>
    <w:rsid w:val="0089077A"/>
    <w:rsid w:val="00890A35"/>
    <w:rsid w:val="00890D8D"/>
    <w:rsid w:val="00890EB5"/>
    <w:rsid w:val="00891189"/>
    <w:rsid w:val="00891250"/>
    <w:rsid w:val="00891743"/>
    <w:rsid w:val="0089238A"/>
    <w:rsid w:val="00893626"/>
    <w:rsid w:val="00893B29"/>
    <w:rsid w:val="008947B3"/>
    <w:rsid w:val="00896244"/>
    <w:rsid w:val="00896FCE"/>
    <w:rsid w:val="008A0148"/>
    <w:rsid w:val="008A03BE"/>
    <w:rsid w:val="008A06F1"/>
    <w:rsid w:val="008A12BA"/>
    <w:rsid w:val="008A1444"/>
    <w:rsid w:val="008A1AD7"/>
    <w:rsid w:val="008A38D7"/>
    <w:rsid w:val="008A3A5D"/>
    <w:rsid w:val="008A4504"/>
    <w:rsid w:val="008A4F84"/>
    <w:rsid w:val="008A5541"/>
    <w:rsid w:val="008A58B2"/>
    <w:rsid w:val="008A5E13"/>
    <w:rsid w:val="008A7C88"/>
    <w:rsid w:val="008B00B6"/>
    <w:rsid w:val="008B18C6"/>
    <w:rsid w:val="008B2A09"/>
    <w:rsid w:val="008B3D57"/>
    <w:rsid w:val="008B427D"/>
    <w:rsid w:val="008B5440"/>
    <w:rsid w:val="008B6D9F"/>
    <w:rsid w:val="008B7AEF"/>
    <w:rsid w:val="008C00D0"/>
    <w:rsid w:val="008C1FC5"/>
    <w:rsid w:val="008C2B0D"/>
    <w:rsid w:val="008D1092"/>
    <w:rsid w:val="008D145D"/>
    <w:rsid w:val="008D27DF"/>
    <w:rsid w:val="008D2CDC"/>
    <w:rsid w:val="008D43AD"/>
    <w:rsid w:val="008D5E46"/>
    <w:rsid w:val="008D6D7B"/>
    <w:rsid w:val="008D7EF7"/>
    <w:rsid w:val="008D7FAA"/>
    <w:rsid w:val="008E480B"/>
    <w:rsid w:val="008E49C8"/>
    <w:rsid w:val="008E5C39"/>
    <w:rsid w:val="008E6610"/>
    <w:rsid w:val="008E718A"/>
    <w:rsid w:val="008F06F5"/>
    <w:rsid w:val="008F0A4D"/>
    <w:rsid w:val="008F0C25"/>
    <w:rsid w:val="008F2531"/>
    <w:rsid w:val="008F3037"/>
    <w:rsid w:val="008F30D5"/>
    <w:rsid w:val="008F521A"/>
    <w:rsid w:val="008F5EB9"/>
    <w:rsid w:val="008F738F"/>
    <w:rsid w:val="008F73CA"/>
    <w:rsid w:val="008F7791"/>
    <w:rsid w:val="008F7868"/>
    <w:rsid w:val="008F7DAD"/>
    <w:rsid w:val="0090276A"/>
    <w:rsid w:val="00902B6D"/>
    <w:rsid w:val="009030BA"/>
    <w:rsid w:val="00903DA0"/>
    <w:rsid w:val="00903ECD"/>
    <w:rsid w:val="00904827"/>
    <w:rsid w:val="0090510E"/>
    <w:rsid w:val="009066AE"/>
    <w:rsid w:val="0090712F"/>
    <w:rsid w:val="00907A19"/>
    <w:rsid w:val="00907DEE"/>
    <w:rsid w:val="009122BE"/>
    <w:rsid w:val="009140C5"/>
    <w:rsid w:val="00914DCB"/>
    <w:rsid w:val="00917137"/>
    <w:rsid w:val="009175A0"/>
    <w:rsid w:val="00917D49"/>
    <w:rsid w:val="009209F3"/>
    <w:rsid w:val="00921647"/>
    <w:rsid w:val="00922121"/>
    <w:rsid w:val="009231F9"/>
    <w:rsid w:val="00923297"/>
    <w:rsid w:val="0092503C"/>
    <w:rsid w:val="00927826"/>
    <w:rsid w:val="00927E34"/>
    <w:rsid w:val="00932731"/>
    <w:rsid w:val="00932C8C"/>
    <w:rsid w:val="009341B1"/>
    <w:rsid w:val="009344D8"/>
    <w:rsid w:val="00934A3F"/>
    <w:rsid w:val="00935A52"/>
    <w:rsid w:val="009361CA"/>
    <w:rsid w:val="0093687D"/>
    <w:rsid w:val="00937368"/>
    <w:rsid w:val="009403B5"/>
    <w:rsid w:val="00940E87"/>
    <w:rsid w:val="00941E62"/>
    <w:rsid w:val="00942153"/>
    <w:rsid w:val="009433FB"/>
    <w:rsid w:val="00943C15"/>
    <w:rsid w:val="009457A6"/>
    <w:rsid w:val="0094581C"/>
    <w:rsid w:val="00945C8A"/>
    <w:rsid w:val="00945CD6"/>
    <w:rsid w:val="00946058"/>
    <w:rsid w:val="00947B1B"/>
    <w:rsid w:val="00950B06"/>
    <w:rsid w:val="00950B7D"/>
    <w:rsid w:val="00950DB7"/>
    <w:rsid w:val="00952074"/>
    <w:rsid w:val="009530A2"/>
    <w:rsid w:val="00953AC0"/>
    <w:rsid w:val="0095454E"/>
    <w:rsid w:val="00954602"/>
    <w:rsid w:val="0095527D"/>
    <w:rsid w:val="009552FE"/>
    <w:rsid w:val="009561CF"/>
    <w:rsid w:val="00956F50"/>
    <w:rsid w:val="00957483"/>
    <w:rsid w:val="00960D52"/>
    <w:rsid w:val="00961943"/>
    <w:rsid w:val="0096236B"/>
    <w:rsid w:val="00962C16"/>
    <w:rsid w:val="009647E4"/>
    <w:rsid w:val="00964AFC"/>
    <w:rsid w:val="00965F01"/>
    <w:rsid w:val="00966745"/>
    <w:rsid w:val="009700CE"/>
    <w:rsid w:val="0097177C"/>
    <w:rsid w:val="009721E6"/>
    <w:rsid w:val="009740E9"/>
    <w:rsid w:val="009752D1"/>
    <w:rsid w:val="00977126"/>
    <w:rsid w:val="00982E1A"/>
    <w:rsid w:val="00983368"/>
    <w:rsid w:val="009833E0"/>
    <w:rsid w:val="00983B9F"/>
    <w:rsid w:val="00985C90"/>
    <w:rsid w:val="009870CF"/>
    <w:rsid w:val="009875FC"/>
    <w:rsid w:val="00990667"/>
    <w:rsid w:val="0099143D"/>
    <w:rsid w:val="00991919"/>
    <w:rsid w:val="00992176"/>
    <w:rsid w:val="00992883"/>
    <w:rsid w:val="00993534"/>
    <w:rsid w:val="009944F8"/>
    <w:rsid w:val="009949DD"/>
    <w:rsid w:val="009959B8"/>
    <w:rsid w:val="00996CCE"/>
    <w:rsid w:val="0099732B"/>
    <w:rsid w:val="009977A8"/>
    <w:rsid w:val="009A02A3"/>
    <w:rsid w:val="009A1D6A"/>
    <w:rsid w:val="009A2EDF"/>
    <w:rsid w:val="009A467E"/>
    <w:rsid w:val="009A47D2"/>
    <w:rsid w:val="009A4A38"/>
    <w:rsid w:val="009A5342"/>
    <w:rsid w:val="009A5A4F"/>
    <w:rsid w:val="009A5C10"/>
    <w:rsid w:val="009A7827"/>
    <w:rsid w:val="009A7E6A"/>
    <w:rsid w:val="009B080D"/>
    <w:rsid w:val="009B104E"/>
    <w:rsid w:val="009B1991"/>
    <w:rsid w:val="009B2959"/>
    <w:rsid w:val="009B3877"/>
    <w:rsid w:val="009B4242"/>
    <w:rsid w:val="009B442D"/>
    <w:rsid w:val="009B50BC"/>
    <w:rsid w:val="009B5BF1"/>
    <w:rsid w:val="009B5D12"/>
    <w:rsid w:val="009B6B2E"/>
    <w:rsid w:val="009B7D11"/>
    <w:rsid w:val="009C09F8"/>
    <w:rsid w:val="009C0E80"/>
    <w:rsid w:val="009C2591"/>
    <w:rsid w:val="009C32E7"/>
    <w:rsid w:val="009C4A57"/>
    <w:rsid w:val="009C4E92"/>
    <w:rsid w:val="009C53B5"/>
    <w:rsid w:val="009C5830"/>
    <w:rsid w:val="009C6880"/>
    <w:rsid w:val="009D1212"/>
    <w:rsid w:val="009D1551"/>
    <w:rsid w:val="009D16C7"/>
    <w:rsid w:val="009D1A18"/>
    <w:rsid w:val="009D228B"/>
    <w:rsid w:val="009D38FE"/>
    <w:rsid w:val="009D4061"/>
    <w:rsid w:val="009D4C84"/>
    <w:rsid w:val="009D5759"/>
    <w:rsid w:val="009D61F7"/>
    <w:rsid w:val="009E066F"/>
    <w:rsid w:val="009E2322"/>
    <w:rsid w:val="009E56C1"/>
    <w:rsid w:val="009E5CA9"/>
    <w:rsid w:val="009E5D0A"/>
    <w:rsid w:val="009E5F0A"/>
    <w:rsid w:val="009E666A"/>
    <w:rsid w:val="009F0A3F"/>
    <w:rsid w:val="009F0C13"/>
    <w:rsid w:val="009F1D9D"/>
    <w:rsid w:val="009F1DB3"/>
    <w:rsid w:val="009F207E"/>
    <w:rsid w:val="009F2177"/>
    <w:rsid w:val="009F3156"/>
    <w:rsid w:val="009F3DA7"/>
    <w:rsid w:val="009F4473"/>
    <w:rsid w:val="009F69C5"/>
    <w:rsid w:val="009F7746"/>
    <w:rsid w:val="00A01396"/>
    <w:rsid w:val="00A02648"/>
    <w:rsid w:val="00A03F51"/>
    <w:rsid w:val="00A0411F"/>
    <w:rsid w:val="00A04F2D"/>
    <w:rsid w:val="00A05D81"/>
    <w:rsid w:val="00A07917"/>
    <w:rsid w:val="00A11782"/>
    <w:rsid w:val="00A11D92"/>
    <w:rsid w:val="00A11E55"/>
    <w:rsid w:val="00A20643"/>
    <w:rsid w:val="00A20690"/>
    <w:rsid w:val="00A20C25"/>
    <w:rsid w:val="00A217D0"/>
    <w:rsid w:val="00A2274D"/>
    <w:rsid w:val="00A22D72"/>
    <w:rsid w:val="00A26455"/>
    <w:rsid w:val="00A27960"/>
    <w:rsid w:val="00A30ABE"/>
    <w:rsid w:val="00A31281"/>
    <w:rsid w:val="00A320B4"/>
    <w:rsid w:val="00A32563"/>
    <w:rsid w:val="00A32841"/>
    <w:rsid w:val="00A32F46"/>
    <w:rsid w:val="00A353BD"/>
    <w:rsid w:val="00A35A41"/>
    <w:rsid w:val="00A36F35"/>
    <w:rsid w:val="00A371C7"/>
    <w:rsid w:val="00A3738D"/>
    <w:rsid w:val="00A3769A"/>
    <w:rsid w:val="00A379D3"/>
    <w:rsid w:val="00A4065B"/>
    <w:rsid w:val="00A406F7"/>
    <w:rsid w:val="00A41A3E"/>
    <w:rsid w:val="00A431A4"/>
    <w:rsid w:val="00A448AD"/>
    <w:rsid w:val="00A459DE"/>
    <w:rsid w:val="00A459DF"/>
    <w:rsid w:val="00A45D6A"/>
    <w:rsid w:val="00A463C3"/>
    <w:rsid w:val="00A46890"/>
    <w:rsid w:val="00A47A0D"/>
    <w:rsid w:val="00A47D24"/>
    <w:rsid w:val="00A47E8F"/>
    <w:rsid w:val="00A50E0A"/>
    <w:rsid w:val="00A523EB"/>
    <w:rsid w:val="00A52CFC"/>
    <w:rsid w:val="00A543BF"/>
    <w:rsid w:val="00A5522E"/>
    <w:rsid w:val="00A61368"/>
    <w:rsid w:val="00A61445"/>
    <w:rsid w:val="00A63B93"/>
    <w:rsid w:val="00A64B65"/>
    <w:rsid w:val="00A64D8C"/>
    <w:rsid w:val="00A64F5D"/>
    <w:rsid w:val="00A65210"/>
    <w:rsid w:val="00A66765"/>
    <w:rsid w:val="00A66819"/>
    <w:rsid w:val="00A66C4B"/>
    <w:rsid w:val="00A713DB"/>
    <w:rsid w:val="00A72BB8"/>
    <w:rsid w:val="00A72D4B"/>
    <w:rsid w:val="00A74189"/>
    <w:rsid w:val="00A755C9"/>
    <w:rsid w:val="00A76209"/>
    <w:rsid w:val="00A76DE5"/>
    <w:rsid w:val="00A811DF"/>
    <w:rsid w:val="00A8141A"/>
    <w:rsid w:val="00A81B47"/>
    <w:rsid w:val="00A8335F"/>
    <w:rsid w:val="00A8365B"/>
    <w:rsid w:val="00A86281"/>
    <w:rsid w:val="00A90CE8"/>
    <w:rsid w:val="00A920CC"/>
    <w:rsid w:val="00A938B0"/>
    <w:rsid w:val="00A959CC"/>
    <w:rsid w:val="00A969F6"/>
    <w:rsid w:val="00A96D58"/>
    <w:rsid w:val="00A97381"/>
    <w:rsid w:val="00AA0424"/>
    <w:rsid w:val="00AA0F74"/>
    <w:rsid w:val="00AA216A"/>
    <w:rsid w:val="00AA4F62"/>
    <w:rsid w:val="00AA58CE"/>
    <w:rsid w:val="00AA5B84"/>
    <w:rsid w:val="00AA5D1D"/>
    <w:rsid w:val="00AA5E96"/>
    <w:rsid w:val="00AA7B4E"/>
    <w:rsid w:val="00AA7C35"/>
    <w:rsid w:val="00AB08C9"/>
    <w:rsid w:val="00AB0AB3"/>
    <w:rsid w:val="00AB23CC"/>
    <w:rsid w:val="00AB26D9"/>
    <w:rsid w:val="00AB300D"/>
    <w:rsid w:val="00AB31B3"/>
    <w:rsid w:val="00AB3ED9"/>
    <w:rsid w:val="00AB6848"/>
    <w:rsid w:val="00AB7C9F"/>
    <w:rsid w:val="00AC0897"/>
    <w:rsid w:val="00AC1186"/>
    <w:rsid w:val="00AC21C0"/>
    <w:rsid w:val="00AC24F8"/>
    <w:rsid w:val="00AC31B0"/>
    <w:rsid w:val="00AC34E2"/>
    <w:rsid w:val="00AC360D"/>
    <w:rsid w:val="00AC42FB"/>
    <w:rsid w:val="00AC47C9"/>
    <w:rsid w:val="00AC4908"/>
    <w:rsid w:val="00AC67E2"/>
    <w:rsid w:val="00AD0080"/>
    <w:rsid w:val="00AD40C0"/>
    <w:rsid w:val="00AD57B9"/>
    <w:rsid w:val="00AD7923"/>
    <w:rsid w:val="00AE286C"/>
    <w:rsid w:val="00AE4AED"/>
    <w:rsid w:val="00AE5167"/>
    <w:rsid w:val="00AE583E"/>
    <w:rsid w:val="00AE5EF2"/>
    <w:rsid w:val="00AF0F52"/>
    <w:rsid w:val="00AF1CAC"/>
    <w:rsid w:val="00AF3143"/>
    <w:rsid w:val="00AF5424"/>
    <w:rsid w:val="00AF71FF"/>
    <w:rsid w:val="00AF72F7"/>
    <w:rsid w:val="00AF7922"/>
    <w:rsid w:val="00AF7F5B"/>
    <w:rsid w:val="00B00FC8"/>
    <w:rsid w:val="00B01697"/>
    <w:rsid w:val="00B01E32"/>
    <w:rsid w:val="00B021D6"/>
    <w:rsid w:val="00B0254A"/>
    <w:rsid w:val="00B03278"/>
    <w:rsid w:val="00B046CE"/>
    <w:rsid w:val="00B04DD9"/>
    <w:rsid w:val="00B04E5C"/>
    <w:rsid w:val="00B05E4F"/>
    <w:rsid w:val="00B10AD1"/>
    <w:rsid w:val="00B10CAC"/>
    <w:rsid w:val="00B10D2A"/>
    <w:rsid w:val="00B11BF2"/>
    <w:rsid w:val="00B1227A"/>
    <w:rsid w:val="00B13398"/>
    <w:rsid w:val="00B137D0"/>
    <w:rsid w:val="00B13857"/>
    <w:rsid w:val="00B205F8"/>
    <w:rsid w:val="00B20EF2"/>
    <w:rsid w:val="00B21330"/>
    <w:rsid w:val="00B2202A"/>
    <w:rsid w:val="00B220D8"/>
    <w:rsid w:val="00B22D31"/>
    <w:rsid w:val="00B22F51"/>
    <w:rsid w:val="00B23CE3"/>
    <w:rsid w:val="00B24024"/>
    <w:rsid w:val="00B2454F"/>
    <w:rsid w:val="00B2586C"/>
    <w:rsid w:val="00B26131"/>
    <w:rsid w:val="00B308C0"/>
    <w:rsid w:val="00B31391"/>
    <w:rsid w:val="00B3164A"/>
    <w:rsid w:val="00B32733"/>
    <w:rsid w:val="00B333FF"/>
    <w:rsid w:val="00B33BAD"/>
    <w:rsid w:val="00B35246"/>
    <w:rsid w:val="00B40DBD"/>
    <w:rsid w:val="00B41043"/>
    <w:rsid w:val="00B411DB"/>
    <w:rsid w:val="00B42D40"/>
    <w:rsid w:val="00B43223"/>
    <w:rsid w:val="00B445FE"/>
    <w:rsid w:val="00B45238"/>
    <w:rsid w:val="00B47B48"/>
    <w:rsid w:val="00B5174F"/>
    <w:rsid w:val="00B52029"/>
    <w:rsid w:val="00B528C3"/>
    <w:rsid w:val="00B52E48"/>
    <w:rsid w:val="00B53359"/>
    <w:rsid w:val="00B533D2"/>
    <w:rsid w:val="00B53793"/>
    <w:rsid w:val="00B53F5A"/>
    <w:rsid w:val="00B554AD"/>
    <w:rsid w:val="00B626EC"/>
    <w:rsid w:val="00B63C1E"/>
    <w:rsid w:val="00B6525F"/>
    <w:rsid w:val="00B6539B"/>
    <w:rsid w:val="00B65569"/>
    <w:rsid w:val="00B655E7"/>
    <w:rsid w:val="00B656EB"/>
    <w:rsid w:val="00B65729"/>
    <w:rsid w:val="00B659D0"/>
    <w:rsid w:val="00B66285"/>
    <w:rsid w:val="00B66760"/>
    <w:rsid w:val="00B66797"/>
    <w:rsid w:val="00B67ACE"/>
    <w:rsid w:val="00B67D5A"/>
    <w:rsid w:val="00B67E10"/>
    <w:rsid w:val="00B67EDE"/>
    <w:rsid w:val="00B71247"/>
    <w:rsid w:val="00B714F0"/>
    <w:rsid w:val="00B72CB6"/>
    <w:rsid w:val="00B73309"/>
    <w:rsid w:val="00B74B8B"/>
    <w:rsid w:val="00B74FCA"/>
    <w:rsid w:val="00B75ED9"/>
    <w:rsid w:val="00B76736"/>
    <w:rsid w:val="00B771A0"/>
    <w:rsid w:val="00B7769E"/>
    <w:rsid w:val="00B808B1"/>
    <w:rsid w:val="00B81563"/>
    <w:rsid w:val="00B81D5A"/>
    <w:rsid w:val="00B8244B"/>
    <w:rsid w:val="00B82968"/>
    <w:rsid w:val="00B8477A"/>
    <w:rsid w:val="00B84E61"/>
    <w:rsid w:val="00B85EF6"/>
    <w:rsid w:val="00B90B55"/>
    <w:rsid w:val="00B9594B"/>
    <w:rsid w:val="00B95E5B"/>
    <w:rsid w:val="00B97CCF"/>
    <w:rsid w:val="00BA0511"/>
    <w:rsid w:val="00BA2186"/>
    <w:rsid w:val="00BA3154"/>
    <w:rsid w:val="00BA36E2"/>
    <w:rsid w:val="00BA428D"/>
    <w:rsid w:val="00BA46FC"/>
    <w:rsid w:val="00BA66D0"/>
    <w:rsid w:val="00BB03A4"/>
    <w:rsid w:val="00BB3942"/>
    <w:rsid w:val="00BB3957"/>
    <w:rsid w:val="00BB40DC"/>
    <w:rsid w:val="00BB64B8"/>
    <w:rsid w:val="00BB7EDD"/>
    <w:rsid w:val="00BC0D1D"/>
    <w:rsid w:val="00BC0E40"/>
    <w:rsid w:val="00BC1F70"/>
    <w:rsid w:val="00BC3360"/>
    <w:rsid w:val="00BC4C6A"/>
    <w:rsid w:val="00BC4F25"/>
    <w:rsid w:val="00BC55B5"/>
    <w:rsid w:val="00BC560A"/>
    <w:rsid w:val="00BC6061"/>
    <w:rsid w:val="00BC62E5"/>
    <w:rsid w:val="00BC6547"/>
    <w:rsid w:val="00BC7567"/>
    <w:rsid w:val="00BC7AEF"/>
    <w:rsid w:val="00BD1756"/>
    <w:rsid w:val="00BD2000"/>
    <w:rsid w:val="00BD4C1A"/>
    <w:rsid w:val="00BD6A92"/>
    <w:rsid w:val="00BD6BCF"/>
    <w:rsid w:val="00BD7653"/>
    <w:rsid w:val="00BD7AC1"/>
    <w:rsid w:val="00BE0ACC"/>
    <w:rsid w:val="00BE0B86"/>
    <w:rsid w:val="00BE10D2"/>
    <w:rsid w:val="00BE11BA"/>
    <w:rsid w:val="00BE144D"/>
    <w:rsid w:val="00BE1897"/>
    <w:rsid w:val="00BE28E2"/>
    <w:rsid w:val="00BE2F58"/>
    <w:rsid w:val="00BE3787"/>
    <w:rsid w:val="00BE4632"/>
    <w:rsid w:val="00BE4D44"/>
    <w:rsid w:val="00BE53C1"/>
    <w:rsid w:val="00BE5FF0"/>
    <w:rsid w:val="00BF001C"/>
    <w:rsid w:val="00BF1798"/>
    <w:rsid w:val="00BF32F6"/>
    <w:rsid w:val="00BF378A"/>
    <w:rsid w:val="00BF522B"/>
    <w:rsid w:val="00BF5D1F"/>
    <w:rsid w:val="00BF6D2C"/>
    <w:rsid w:val="00BF75CF"/>
    <w:rsid w:val="00C01291"/>
    <w:rsid w:val="00C02185"/>
    <w:rsid w:val="00C0286F"/>
    <w:rsid w:val="00C0287B"/>
    <w:rsid w:val="00C02CFB"/>
    <w:rsid w:val="00C04B21"/>
    <w:rsid w:val="00C04D0B"/>
    <w:rsid w:val="00C052D6"/>
    <w:rsid w:val="00C06047"/>
    <w:rsid w:val="00C10B55"/>
    <w:rsid w:val="00C10E98"/>
    <w:rsid w:val="00C1109C"/>
    <w:rsid w:val="00C128BC"/>
    <w:rsid w:val="00C14272"/>
    <w:rsid w:val="00C155F8"/>
    <w:rsid w:val="00C15EE8"/>
    <w:rsid w:val="00C15F89"/>
    <w:rsid w:val="00C17EC1"/>
    <w:rsid w:val="00C208F0"/>
    <w:rsid w:val="00C21503"/>
    <w:rsid w:val="00C2239B"/>
    <w:rsid w:val="00C2390B"/>
    <w:rsid w:val="00C2439B"/>
    <w:rsid w:val="00C25C8E"/>
    <w:rsid w:val="00C25E7D"/>
    <w:rsid w:val="00C26035"/>
    <w:rsid w:val="00C267BA"/>
    <w:rsid w:val="00C274D5"/>
    <w:rsid w:val="00C30389"/>
    <w:rsid w:val="00C307C5"/>
    <w:rsid w:val="00C30FFB"/>
    <w:rsid w:val="00C3119F"/>
    <w:rsid w:val="00C313C2"/>
    <w:rsid w:val="00C31A3B"/>
    <w:rsid w:val="00C323BD"/>
    <w:rsid w:val="00C33403"/>
    <w:rsid w:val="00C342B0"/>
    <w:rsid w:val="00C347F1"/>
    <w:rsid w:val="00C360E0"/>
    <w:rsid w:val="00C368EC"/>
    <w:rsid w:val="00C41104"/>
    <w:rsid w:val="00C4182B"/>
    <w:rsid w:val="00C42C20"/>
    <w:rsid w:val="00C431B6"/>
    <w:rsid w:val="00C471A3"/>
    <w:rsid w:val="00C47EE6"/>
    <w:rsid w:val="00C52029"/>
    <w:rsid w:val="00C52F80"/>
    <w:rsid w:val="00C56570"/>
    <w:rsid w:val="00C57911"/>
    <w:rsid w:val="00C57CEB"/>
    <w:rsid w:val="00C61A2E"/>
    <w:rsid w:val="00C61F0F"/>
    <w:rsid w:val="00C623BB"/>
    <w:rsid w:val="00C6343E"/>
    <w:rsid w:val="00C640FE"/>
    <w:rsid w:val="00C642AE"/>
    <w:rsid w:val="00C65163"/>
    <w:rsid w:val="00C65A19"/>
    <w:rsid w:val="00C667ED"/>
    <w:rsid w:val="00C669D8"/>
    <w:rsid w:val="00C66B17"/>
    <w:rsid w:val="00C67603"/>
    <w:rsid w:val="00C70A4E"/>
    <w:rsid w:val="00C73216"/>
    <w:rsid w:val="00C73A53"/>
    <w:rsid w:val="00C73F7D"/>
    <w:rsid w:val="00C74D85"/>
    <w:rsid w:val="00C75173"/>
    <w:rsid w:val="00C75181"/>
    <w:rsid w:val="00C75235"/>
    <w:rsid w:val="00C774AB"/>
    <w:rsid w:val="00C77C29"/>
    <w:rsid w:val="00C803C1"/>
    <w:rsid w:val="00C8053E"/>
    <w:rsid w:val="00C80983"/>
    <w:rsid w:val="00C80FD7"/>
    <w:rsid w:val="00C8211E"/>
    <w:rsid w:val="00C83206"/>
    <w:rsid w:val="00C83C4E"/>
    <w:rsid w:val="00C843E8"/>
    <w:rsid w:val="00C86D73"/>
    <w:rsid w:val="00C86E2B"/>
    <w:rsid w:val="00C86F0B"/>
    <w:rsid w:val="00C87AC5"/>
    <w:rsid w:val="00C87F17"/>
    <w:rsid w:val="00C90A2B"/>
    <w:rsid w:val="00C916FA"/>
    <w:rsid w:val="00C92B0B"/>
    <w:rsid w:val="00C932A2"/>
    <w:rsid w:val="00C939BA"/>
    <w:rsid w:val="00C96EA3"/>
    <w:rsid w:val="00C9711A"/>
    <w:rsid w:val="00C9764A"/>
    <w:rsid w:val="00C97DC6"/>
    <w:rsid w:val="00CA0F45"/>
    <w:rsid w:val="00CA1A3B"/>
    <w:rsid w:val="00CA1D18"/>
    <w:rsid w:val="00CA3523"/>
    <w:rsid w:val="00CA366B"/>
    <w:rsid w:val="00CA3FAA"/>
    <w:rsid w:val="00CA4152"/>
    <w:rsid w:val="00CA4E72"/>
    <w:rsid w:val="00CA5C7F"/>
    <w:rsid w:val="00CB129C"/>
    <w:rsid w:val="00CB2B47"/>
    <w:rsid w:val="00CB5526"/>
    <w:rsid w:val="00CB5D54"/>
    <w:rsid w:val="00CB6BFA"/>
    <w:rsid w:val="00CB7236"/>
    <w:rsid w:val="00CB74DE"/>
    <w:rsid w:val="00CB78D4"/>
    <w:rsid w:val="00CC0804"/>
    <w:rsid w:val="00CC0A7D"/>
    <w:rsid w:val="00CC0AF3"/>
    <w:rsid w:val="00CC19F9"/>
    <w:rsid w:val="00CC22C9"/>
    <w:rsid w:val="00CC2E50"/>
    <w:rsid w:val="00CC2FA4"/>
    <w:rsid w:val="00CC30D0"/>
    <w:rsid w:val="00CC3701"/>
    <w:rsid w:val="00CC4BC4"/>
    <w:rsid w:val="00CC6A54"/>
    <w:rsid w:val="00CC6DE6"/>
    <w:rsid w:val="00CD0489"/>
    <w:rsid w:val="00CD04D8"/>
    <w:rsid w:val="00CD0E41"/>
    <w:rsid w:val="00CD14F1"/>
    <w:rsid w:val="00CD251F"/>
    <w:rsid w:val="00CD310D"/>
    <w:rsid w:val="00CD3753"/>
    <w:rsid w:val="00CD421B"/>
    <w:rsid w:val="00CD4423"/>
    <w:rsid w:val="00CD462D"/>
    <w:rsid w:val="00CD4B80"/>
    <w:rsid w:val="00CD4EA0"/>
    <w:rsid w:val="00CD50D2"/>
    <w:rsid w:val="00CD5A2A"/>
    <w:rsid w:val="00CD6F3D"/>
    <w:rsid w:val="00CD78FB"/>
    <w:rsid w:val="00CD7DD6"/>
    <w:rsid w:val="00CE0108"/>
    <w:rsid w:val="00CE04EE"/>
    <w:rsid w:val="00CE0D50"/>
    <w:rsid w:val="00CE0DFF"/>
    <w:rsid w:val="00CE1715"/>
    <w:rsid w:val="00CE422B"/>
    <w:rsid w:val="00CE5685"/>
    <w:rsid w:val="00CE608E"/>
    <w:rsid w:val="00CE6197"/>
    <w:rsid w:val="00CE6781"/>
    <w:rsid w:val="00CE6DE8"/>
    <w:rsid w:val="00CE79F8"/>
    <w:rsid w:val="00CF148F"/>
    <w:rsid w:val="00CF1B03"/>
    <w:rsid w:val="00CF1D9D"/>
    <w:rsid w:val="00CF64AF"/>
    <w:rsid w:val="00CF6FCB"/>
    <w:rsid w:val="00CF7D0D"/>
    <w:rsid w:val="00D00E9D"/>
    <w:rsid w:val="00D01EA0"/>
    <w:rsid w:val="00D02AB8"/>
    <w:rsid w:val="00D02BF2"/>
    <w:rsid w:val="00D03640"/>
    <w:rsid w:val="00D04A38"/>
    <w:rsid w:val="00D05EF4"/>
    <w:rsid w:val="00D065AB"/>
    <w:rsid w:val="00D066EB"/>
    <w:rsid w:val="00D11C72"/>
    <w:rsid w:val="00D11E9B"/>
    <w:rsid w:val="00D11F16"/>
    <w:rsid w:val="00D131B2"/>
    <w:rsid w:val="00D13531"/>
    <w:rsid w:val="00D136C2"/>
    <w:rsid w:val="00D14A0E"/>
    <w:rsid w:val="00D14A8D"/>
    <w:rsid w:val="00D169BB"/>
    <w:rsid w:val="00D17F51"/>
    <w:rsid w:val="00D20674"/>
    <w:rsid w:val="00D20696"/>
    <w:rsid w:val="00D20D0E"/>
    <w:rsid w:val="00D2113A"/>
    <w:rsid w:val="00D21302"/>
    <w:rsid w:val="00D21515"/>
    <w:rsid w:val="00D215FD"/>
    <w:rsid w:val="00D22BCD"/>
    <w:rsid w:val="00D238BF"/>
    <w:rsid w:val="00D2426B"/>
    <w:rsid w:val="00D260F9"/>
    <w:rsid w:val="00D269FE"/>
    <w:rsid w:val="00D26E3A"/>
    <w:rsid w:val="00D278ED"/>
    <w:rsid w:val="00D27DAB"/>
    <w:rsid w:val="00D32CA0"/>
    <w:rsid w:val="00D33DD9"/>
    <w:rsid w:val="00D34707"/>
    <w:rsid w:val="00D37870"/>
    <w:rsid w:val="00D37E4D"/>
    <w:rsid w:val="00D37F20"/>
    <w:rsid w:val="00D40278"/>
    <w:rsid w:val="00D4275C"/>
    <w:rsid w:val="00D43977"/>
    <w:rsid w:val="00D44CEE"/>
    <w:rsid w:val="00D5070C"/>
    <w:rsid w:val="00D50742"/>
    <w:rsid w:val="00D54176"/>
    <w:rsid w:val="00D54774"/>
    <w:rsid w:val="00D54C55"/>
    <w:rsid w:val="00D54EFA"/>
    <w:rsid w:val="00D55214"/>
    <w:rsid w:val="00D553E0"/>
    <w:rsid w:val="00D55E48"/>
    <w:rsid w:val="00D56D9E"/>
    <w:rsid w:val="00D57585"/>
    <w:rsid w:val="00D57813"/>
    <w:rsid w:val="00D6282D"/>
    <w:rsid w:val="00D629C4"/>
    <w:rsid w:val="00D62B14"/>
    <w:rsid w:val="00D66F70"/>
    <w:rsid w:val="00D70B11"/>
    <w:rsid w:val="00D710B6"/>
    <w:rsid w:val="00D726FC"/>
    <w:rsid w:val="00D72DC9"/>
    <w:rsid w:val="00D732C1"/>
    <w:rsid w:val="00D73C25"/>
    <w:rsid w:val="00D73D62"/>
    <w:rsid w:val="00D75944"/>
    <w:rsid w:val="00D75A15"/>
    <w:rsid w:val="00D766FA"/>
    <w:rsid w:val="00D803CA"/>
    <w:rsid w:val="00D814E7"/>
    <w:rsid w:val="00D825E9"/>
    <w:rsid w:val="00D82BD6"/>
    <w:rsid w:val="00D83EC1"/>
    <w:rsid w:val="00D844B1"/>
    <w:rsid w:val="00D8475C"/>
    <w:rsid w:val="00D859AF"/>
    <w:rsid w:val="00D85EF7"/>
    <w:rsid w:val="00D87B09"/>
    <w:rsid w:val="00D87BC3"/>
    <w:rsid w:val="00D92BA1"/>
    <w:rsid w:val="00D93BD0"/>
    <w:rsid w:val="00D94496"/>
    <w:rsid w:val="00D950F8"/>
    <w:rsid w:val="00DA3688"/>
    <w:rsid w:val="00DB080F"/>
    <w:rsid w:val="00DB0FE3"/>
    <w:rsid w:val="00DB1B52"/>
    <w:rsid w:val="00DB27EA"/>
    <w:rsid w:val="00DB31B8"/>
    <w:rsid w:val="00DB3493"/>
    <w:rsid w:val="00DB4B20"/>
    <w:rsid w:val="00DB7525"/>
    <w:rsid w:val="00DB7925"/>
    <w:rsid w:val="00DC0289"/>
    <w:rsid w:val="00DC0C58"/>
    <w:rsid w:val="00DC0CFE"/>
    <w:rsid w:val="00DC16D3"/>
    <w:rsid w:val="00DC3F21"/>
    <w:rsid w:val="00DC46D5"/>
    <w:rsid w:val="00DC4C32"/>
    <w:rsid w:val="00DC6F87"/>
    <w:rsid w:val="00DD0866"/>
    <w:rsid w:val="00DD118D"/>
    <w:rsid w:val="00DD1445"/>
    <w:rsid w:val="00DD2192"/>
    <w:rsid w:val="00DD2DB3"/>
    <w:rsid w:val="00DD48FA"/>
    <w:rsid w:val="00DD5ED4"/>
    <w:rsid w:val="00DD6196"/>
    <w:rsid w:val="00DD657F"/>
    <w:rsid w:val="00DE0B7D"/>
    <w:rsid w:val="00DE2D5E"/>
    <w:rsid w:val="00DE4C55"/>
    <w:rsid w:val="00DE53EA"/>
    <w:rsid w:val="00DE70F4"/>
    <w:rsid w:val="00DE78E7"/>
    <w:rsid w:val="00DF05DD"/>
    <w:rsid w:val="00DF0E1A"/>
    <w:rsid w:val="00DF0FEA"/>
    <w:rsid w:val="00DF12BC"/>
    <w:rsid w:val="00DF1547"/>
    <w:rsid w:val="00DF175B"/>
    <w:rsid w:val="00DF1FF5"/>
    <w:rsid w:val="00DF23EB"/>
    <w:rsid w:val="00DF261B"/>
    <w:rsid w:val="00DF403E"/>
    <w:rsid w:val="00DF4380"/>
    <w:rsid w:val="00DF4766"/>
    <w:rsid w:val="00DF480E"/>
    <w:rsid w:val="00DF5DCE"/>
    <w:rsid w:val="00E0041A"/>
    <w:rsid w:val="00E00BAF"/>
    <w:rsid w:val="00E00CFE"/>
    <w:rsid w:val="00E00E4F"/>
    <w:rsid w:val="00E0126D"/>
    <w:rsid w:val="00E0197C"/>
    <w:rsid w:val="00E038E8"/>
    <w:rsid w:val="00E058B7"/>
    <w:rsid w:val="00E0600B"/>
    <w:rsid w:val="00E104FE"/>
    <w:rsid w:val="00E126A3"/>
    <w:rsid w:val="00E14680"/>
    <w:rsid w:val="00E1488E"/>
    <w:rsid w:val="00E15A3D"/>
    <w:rsid w:val="00E15F25"/>
    <w:rsid w:val="00E17027"/>
    <w:rsid w:val="00E1721D"/>
    <w:rsid w:val="00E21A14"/>
    <w:rsid w:val="00E2238D"/>
    <w:rsid w:val="00E227C0"/>
    <w:rsid w:val="00E22C7A"/>
    <w:rsid w:val="00E2359A"/>
    <w:rsid w:val="00E23AAF"/>
    <w:rsid w:val="00E23B49"/>
    <w:rsid w:val="00E23DC8"/>
    <w:rsid w:val="00E240DF"/>
    <w:rsid w:val="00E25113"/>
    <w:rsid w:val="00E27653"/>
    <w:rsid w:val="00E2766B"/>
    <w:rsid w:val="00E30DAD"/>
    <w:rsid w:val="00E31D7C"/>
    <w:rsid w:val="00E35E16"/>
    <w:rsid w:val="00E36100"/>
    <w:rsid w:val="00E374E5"/>
    <w:rsid w:val="00E42165"/>
    <w:rsid w:val="00E42DE5"/>
    <w:rsid w:val="00E433A7"/>
    <w:rsid w:val="00E4452F"/>
    <w:rsid w:val="00E4528A"/>
    <w:rsid w:val="00E4697A"/>
    <w:rsid w:val="00E47AAB"/>
    <w:rsid w:val="00E50A71"/>
    <w:rsid w:val="00E5137B"/>
    <w:rsid w:val="00E51D0B"/>
    <w:rsid w:val="00E52E03"/>
    <w:rsid w:val="00E54218"/>
    <w:rsid w:val="00E54956"/>
    <w:rsid w:val="00E54C82"/>
    <w:rsid w:val="00E552C5"/>
    <w:rsid w:val="00E55D40"/>
    <w:rsid w:val="00E55E6E"/>
    <w:rsid w:val="00E56D2D"/>
    <w:rsid w:val="00E57901"/>
    <w:rsid w:val="00E62166"/>
    <w:rsid w:val="00E62B6D"/>
    <w:rsid w:val="00E65383"/>
    <w:rsid w:val="00E66EDA"/>
    <w:rsid w:val="00E67AA8"/>
    <w:rsid w:val="00E67C84"/>
    <w:rsid w:val="00E72670"/>
    <w:rsid w:val="00E727B5"/>
    <w:rsid w:val="00E73156"/>
    <w:rsid w:val="00E73710"/>
    <w:rsid w:val="00E74881"/>
    <w:rsid w:val="00E75031"/>
    <w:rsid w:val="00E8288E"/>
    <w:rsid w:val="00E8493D"/>
    <w:rsid w:val="00E855EE"/>
    <w:rsid w:val="00E85769"/>
    <w:rsid w:val="00E86C6D"/>
    <w:rsid w:val="00E9037E"/>
    <w:rsid w:val="00E91DE1"/>
    <w:rsid w:val="00E91EA9"/>
    <w:rsid w:val="00E91F53"/>
    <w:rsid w:val="00E92D08"/>
    <w:rsid w:val="00E932E3"/>
    <w:rsid w:val="00E93D96"/>
    <w:rsid w:val="00E95357"/>
    <w:rsid w:val="00E97286"/>
    <w:rsid w:val="00EA1844"/>
    <w:rsid w:val="00EA1A72"/>
    <w:rsid w:val="00EA27E9"/>
    <w:rsid w:val="00EA4AF9"/>
    <w:rsid w:val="00EA4D0A"/>
    <w:rsid w:val="00EA4DFC"/>
    <w:rsid w:val="00EA4E62"/>
    <w:rsid w:val="00EA5AE9"/>
    <w:rsid w:val="00EA5BE0"/>
    <w:rsid w:val="00EA663F"/>
    <w:rsid w:val="00EA6B48"/>
    <w:rsid w:val="00EA7589"/>
    <w:rsid w:val="00EA75B0"/>
    <w:rsid w:val="00EA7BE8"/>
    <w:rsid w:val="00EB153C"/>
    <w:rsid w:val="00EB27DA"/>
    <w:rsid w:val="00EB2F33"/>
    <w:rsid w:val="00EB48F0"/>
    <w:rsid w:val="00EB4EF0"/>
    <w:rsid w:val="00EB5852"/>
    <w:rsid w:val="00EB5905"/>
    <w:rsid w:val="00EB5A6F"/>
    <w:rsid w:val="00EB7460"/>
    <w:rsid w:val="00EB7C64"/>
    <w:rsid w:val="00EC24BD"/>
    <w:rsid w:val="00EC25DA"/>
    <w:rsid w:val="00EC430D"/>
    <w:rsid w:val="00EC43AB"/>
    <w:rsid w:val="00EC4F41"/>
    <w:rsid w:val="00EC68AF"/>
    <w:rsid w:val="00EC6FF0"/>
    <w:rsid w:val="00EC78DD"/>
    <w:rsid w:val="00EC7FDC"/>
    <w:rsid w:val="00ED203B"/>
    <w:rsid w:val="00ED22E9"/>
    <w:rsid w:val="00ED34B0"/>
    <w:rsid w:val="00ED4A3B"/>
    <w:rsid w:val="00ED634B"/>
    <w:rsid w:val="00ED6DA6"/>
    <w:rsid w:val="00ED6F46"/>
    <w:rsid w:val="00ED7592"/>
    <w:rsid w:val="00EE255F"/>
    <w:rsid w:val="00EE46D2"/>
    <w:rsid w:val="00EE4D75"/>
    <w:rsid w:val="00EE5C23"/>
    <w:rsid w:val="00EE5FC4"/>
    <w:rsid w:val="00EF0137"/>
    <w:rsid w:val="00EF0959"/>
    <w:rsid w:val="00EF159C"/>
    <w:rsid w:val="00EF326D"/>
    <w:rsid w:val="00EF3547"/>
    <w:rsid w:val="00EF5F8E"/>
    <w:rsid w:val="00EF6DD9"/>
    <w:rsid w:val="00F02235"/>
    <w:rsid w:val="00F05EF4"/>
    <w:rsid w:val="00F06B08"/>
    <w:rsid w:val="00F079B2"/>
    <w:rsid w:val="00F10B77"/>
    <w:rsid w:val="00F11634"/>
    <w:rsid w:val="00F11812"/>
    <w:rsid w:val="00F11D08"/>
    <w:rsid w:val="00F11E1A"/>
    <w:rsid w:val="00F121BD"/>
    <w:rsid w:val="00F123F1"/>
    <w:rsid w:val="00F12C86"/>
    <w:rsid w:val="00F14F3B"/>
    <w:rsid w:val="00F17F70"/>
    <w:rsid w:val="00F201D7"/>
    <w:rsid w:val="00F20731"/>
    <w:rsid w:val="00F210AD"/>
    <w:rsid w:val="00F21431"/>
    <w:rsid w:val="00F21BEA"/>
    <w:rsid w:val="00F21BF2"/>
    <w:rsid w:val="00F22406"/>
    <w:rsid w:val="00F2529B"/>
    <w:rsid w:val="00F25857"/>
    <w:rsid w:val="00F2607D"/>
    <w:rsid w:val="00F260F8"/>
    <w:rsid w:val="00F261C3"/>
    <w:rsid w:val="00F2746D"/>
    <w:rsid w:val="00F32304"/>
    <w:rsid w:val="00F3246F"/>
    <w:rsid w:val="00F32B51"/>
    <w:rsid w:val="00F32D16"/>
    <w:rsid w:val="00F341C6"/>
    <w:rsid w:val="00F342E2"/>
    <w:rsid w:val="00F34771"/>
    <w:rsid w:val="00F34C12"/>
    <w:rsid w:val="00F363D8"/>
    <w:rsid w:val="00F3650E"/>
    <w:rsid w:val="00F37A06"/>
    <w:rsid w:val="00F407A3"/>
    <w:rsid w:val="00F40CE0"/>
    <w:rsid w:val="00F41673"/>
    <w:rsid w:val="00F41DD3"/>
    <w:rsid w:val="00F4223E"/>
    <w:rsid w:val="00F42EC5"/>
    <w:rsid w:val="00F430C7"/>
    <w:rsid w:val="00F4321F"/>
    <w:rsid w:val="00F43A8E"/>
    <w:rsid w:val="00F449BA"/>
    <w:rsid w:val="00F46CF7"/>
    <w:rsid w:val="00F47FA8"/>
    <w:rsid w:val="00F51B23"/>
    <w:rsid w:val="00F5419D"/>
    <w:rsid w:val="00F541C2"/>
    <w:rsid w:val="00F558B2"/>
    <w:rsid w:val="00F55D03"/>
    <w:rsid w:val="00F606DE"/>
    <w:rsid w:val="00F61430"/>
    <w:rsid w:val="00F6206D"/>
    <w:rsid w:val="00F628FC"/>
    <w:rsid w:val="00F62CC8"/>
    <w:rsid w:val="00F63AEC"/>
    <w:rsid w:val="00F641C0"/>
    <w:rsid w:val="00F6426A"/>
    <w:rsid w:val="00F64A02"/>
    <w:rsid w:val="00F66B8E"/>
    <w:rsid w:val="00F70395"/>
    <w:rsid w:val="00F72B72"/>
    <w:rsid w:val="00F740B9"/>
    <w:rsid w:val="00F74F2C"/>
    <w:rsid w:val="00F7529E"/>
    <w:rsid w:val="00F76A93"/>
    <w:rsid w:val="00F76D5F"/>
    <w:rsid w:val="00F77ABD"/>
    <w:rsid w:val="00F77C00"/>
    <w:rsid w:val="00F80401"/>
    <w:rsid w:val="00F80C38"/>
    <w:rsid w:val="00F81E90"/>
    <w:rsid w:val="00F8273E"/>
    <w:rsid w:val="00F82960"/>
    <w:rsid w:val="00F82EA6"/>
    <w:rsid w:val="00F83BF3"/>
    <w:rsid w:val="00F84911"/>
    <w:rsid w:val="00F84980"/>
    <w:rsid w:val="00F9176E"/>
    <w:rsid w:val="00F9187A"/>
    <w:rsid w:val="00F925C3"/>
    <w:rsid w:val="00F93686"/>
    <w:rsid w:val="00F93C54"/>
    <w:rsid w:val="00F96A37"/>
    <w:rsid w:val="00F97794"/>
    <w:rsid w:val="00FA11B8"/>
    <w:rsid w:val="00FA1881"/>
    <w:rsid w:val="00FA2A2A"/>
    <w:rsid w:val="00FA2BB3"/>
    <w:rsid w:val="00FA3531"/>
    <w:rsid w:val="00FA58EF"/>
    <w:rsid w:val="00FA7123"/>
    <w:rsid w:val="00FA7142"/>
    <w:rsid w:val="00FA7350"/>
    <w:rsid w:val="00FA798B"/>
    <w:rsid w:val="00FB09E5"/>
    <w:rsid w:val="00FB644A"/>
    <w:rsid w:val="00FC18A2"/>
    <w:rsid w:val="00FC2EEC"/>
    <w:rsid w:val="00FC6155"/>
    <w:rsid w:val="00FC6946"/>
    <w:rsid w:val="00FC7ADE"/>
    <w:rsid w:val="00FC7B69"/>
    <w:rsid w:val="00FD14C8"/>
    <w:rsid w:val="00FD2931"/>
    <w:rsid w:val="00FD6850"/>
    <w:rsid w:val="00FD68E4"/>
    <w:rsid w:val="00FE09CC"/>
    <w:rsid w:val="00FE0EC0"/>
    <w:rsid w:val="00FE124E"/>
    <w:rsid w:val="00FE15C4"/>
    <w:rsid w:val="00FE2603"/>
    <w:rsid w:val="00FE343A"/>
    <w:rsid w:val="00FE3A0D"/>
    <w:rsid w:val="00FE56D2"/>
    <w:rsid w:val="00FE59D6"/>
    <w:rsid w:val="00FE6917"/>
    <w:rsid w:val="00FE6E01"/>
    <w:rsid w:val="00FF00D0"/>
    <w:rsid w:val="00FF0647"/>
    <w:rsid w:val="00FF120E"/>
    <w:rsid w:val="00FF1985"/>
    <w:rsid w:val="00FF1E3C"/>
    <w:rsid w:val="00FF2C45"/>
    <w:rsid w:val="00FF3560"/>
    <w:rsid w:val="00FF3BD0"/>
    <w:rsid w:val="00FF48AE"/>
    <w:rsid w:val="00FF504A"/>
    <w:rsid w:val="00FF56AE"/>
    <w:rsid w:val="00FF5887"/>
    <w:rsid w:val="00FF6AB3"/>
    <w:rsid w:val="02A93B2F"/>
    <w:rsid w:val="033E4BBF"/>
    <w:rsid w:val="03C2759E"/>
    <w:rsid w:val="05E94240"/>
    <w:rsid w:val="063C1B1A"/>
    <w:rsid w:val="08234384"/>
    <w:rsid w:val="09A6405C"/>
    <w:rsid w:val="09AB2883"/>
    <w:rsid w:val="0B2B4625"/>
    <w:rsid w:val="0B426827"/>
    <w:rsid w:val="0BC2386E"/>
    <w:rsid w:val="0C774C9E"/>
    <w:rsid w:val="0CC76B18"/>
    <w:rsid w:val="0DE92646"/>
    <w:rsid w:val="0F5B21EB"/>
    <w:rsid w:val="0F854B4D"/>
    <w:rsid w:val="107B6716"/>
    <w:rsid w:val="10A5515D"/>
    <w:rsid w:val="11EA1A6B"/>
    <w:rsid w:val="145A737F"/>
    <w:rsid w:val="14932B9F"/>
    <w:rsid w:val="151D7C9E"/>
    <w:rsid w:val="160027CF"/>
    <w:rsid w:val="176C3B22"/>
    <w:rsid w:val="19FA24E6"/>
    <w:rsid w:val="1A330456"/>
    <w:rsid w:val="1B8743E8"/>
    <w:rsid w:val="1B877B80"/>
    <w:rsid w:val="1BE85270"/>
    <w:rsid w:val="1CD34B02"/>
    <w:rsid w:val="1E4B43F9"/>
    <w:rsid w:val="1E7A6B3F"/>
    <w:rsid w:val="1EE67810"/>
    <w:rsid w:val="1F527273"/>
    <w:rsid w:val="20D12777"/>
    <w:rsid w:val="21364B43"/>
    <w:rsid w:val="213A031C"/>
    <w:rsid w:val="22C257E0"/>
    <w:rsid w:val="23005595"/>
    <w:rsid w:val="24E3525A"/>
    <w:rsid w:val="24F15BCE"/>
    <w:rsid w:val="25230953"/>
    <w:rsid w:val="258C4EBE"/>
    <w:rsid w:val="26881B2A"/>
    <w:rsid w:val="27336EA3"/>
    <w:rsid w:val="276010B8"/>
    <w:rsid w:val="28EE4A43"/>
    <w:rsid w:val="2A2C6C70"/>
    <w:rsid w:val="2AF3311B"/>
    <w:rsid w:val="2B2E5E2F"/>
    <w:rsid w:val="2B471579"/>
    <w:rsid w:val="2D9F04D0"/>
    <w:rsid w:val="2EBF4B49"/>
    <w:rsid w:val="32C00185"/>
    <w:rsid w:val="333D462E"/>
    <w:rsid w:val="344D447F"/>
    <w:rsid w:val="34AE437F"/>
    <w:rsid w:val="34BD5492"/>
    <w:rsid w:val="36873BAC"/>
    <w:rsid w:val="368C11C2"/>
    <w:rsid w:val="37180CA8"/>
    <w:rsid w:val="37B944C8"/>
    <w:rsid w:val="37C11451"/>
    <w:rsid w:val="39A364DE"/>
    <w:rsid w:val="3BF35840"/>
    <w:rsid w:val="3D6C4D19"/>
    <w:rsid w:val="3ED437FA"/>
    <w:rsid w:val="3F6A65BA"/>
    <w:rsid w:val="41586BF6"/>
    <w:rsid w:val="42220C2D"/>
    <w:rsid w:val="44E17603"/>
    <w:rsid w:val="461F3BB2"/>
    <w:rsid w:val="464A4ED7"/>
    <w:rsid w:val="467D0C55"/>
    <w:rsid w:val="46DA4DD9"/>
    <w:rsid w:val="46DD5122"/>
    <w:rsid w:val="489D2798"/>
    <w:rsid w:val="49F41101"/>
    <w:rsid w:val="4A4A19B3"/>
    <w:rsid w:val="4A7F6DC7"/>
    <w:rsid w:val="4DD252B5"/>
    <w:rsid w:val="4E216020"/>
    <w:rsid w:val="4F512B51"/>
    <w:rsid w:val="50CA2BBB"/>
    <w:rsid w:val="513444D8"/>
    <w:rsid w:val="51CE2237"/>
    <w:rsid w:val="52F953D7"/>
    <w:rsid w:val="54471DE8"/>
    <w:rsid w:val="54AF3AB7"/>
    <w:rsid w:val="54F82FF4"/>
    <w:rsid w:val="59A41257"/>
    <w:rsid w:val="5AEC60DA"/>
    <w:rsid w:val="5B7006AF"/>
    <w:rsid w:val="5C473312"/>
    <w:rsid w:val="5C605C82"/>
    <w:rsid w:val="5DA00CD0"/>
    <w:rsid w:val="5DE73612"/>
    <w:rsid w:val="5E2558D5"/>
    <w:rsid w:val="5F1F2324"/>
    <w:rsid w:val="61C24E40"/>
    <w:rsid w:val="624119BB"/>
    <w:rsid w:val="65B71508"/>
    <w:rsid w:val="6703252B"/>
    <w:rsid w:val="68C205EB"/>
    <w:rsid w:val="694F10D7"/>
    <w:rsid w:val="6AB378FF"/>
    <w:rsid w:val="6B092642"/>
    <w:rsid w:val="6E097927"/>
    <w:rsid w:val="6E98699D"/>
    <w:rsid w:val="6ED7516C"/>
    <w:rsid w:val="6F395503"/>
    <w:rsid w:val="6F655B31"/>
    <w:rsid w:val="70702E41"/>
    <w:rsid w:val="70AB7EBB"/>
    <w:rsid w:val="70C95159"/>
    <w:rsid w:val="7120362B"/>
    <w:rsid w:val="71AA0173"/>
    <w:rsid w:val="723316CF"/>
    <w:rsid w:val="7285561F"/>
    <w:rsid w:val="744E6674"/>
    <w:rsid w:val="74C06CC5"/>
    <w:rsid w:val="75B73FDD"/>
    <w:rsid w:val="75FC15FF"/>
    <w:rsid w:val="769D788B"/>
    <w:rsid w:val="76E314EB"/>
    <w:rsid w:val="77477A5C"/>
    <w:rsid w:val="77C11C4A"/>
    <w:rsid w:val="78EA7678"/>
    <w:rsid w:val="799E38A7"/>
    <w:rsid w:val="7B136D2E"/>
    <w:rsid w:val="7B2345AB"/>
    <w:rsid w:val="7BAA111C"/>
    <w:rsid w:val="7CEFDACB"/>
    <w:rsid w:val="7DC51E91"/>
    <w:rsid w:val="7E340975"/>
    <w:rsid w:val="7E5D785B"/>
    <w:rsid w:val="7EF16DC7"/>
    <w:rsid w:val="7F4B6E66"/>
    <w:rsid w:val="7F8474BB"/>
    <w:rsid w:val="7F952B2F"/>
    <w:rsid w:val="EBFB781D"/>
    <w:rsid w:val="FFFF68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7"/>
    <w:qFormat/>
    <w:uiPriority w:val="0"/>
    <w:pPr>
      <w:keepNext/>
      <w:keepLines/>
      <w:spacing w:before="260" w:after="260" w:line="415" w:lineRule="auto"/>
      <w:outlineLvl w:val="1"/>
    </w:pPr>
    <w:rPr>
      <w:rFonts w:ascii="Arial" w:hAnsi="Arial" w:eastAsia="黑体"/>
      <w:b/>
      <w:bCs/>
      <w:kern w:val="0"/>
      <w:sz w:val="32"/>
      <w:szCs w:val="32"/>
    </w:rPr>
  </w:style>
  <w:style w:type="paragraph" w:styleId="6">
    <w:name w:val="heading 3"/>
    <w:basedOn w:val="1"/>
    <w:next w:val="1"/>
    <w:link w:val="58"/>
    <w:qFormat/>
    <w:uiPriority w:val="0"/>
    <w:pPr>
      <w:keepNext/>
      <w:keepLines/>
      <w:tabs>
        <w:tab w:val="left" w:pos="1740"/>
      </w:tabs>
      <w:spacing w:before="260" w:line="413" w:lineRule="auto"/>
      <w:ind w:left="1740"/>
      <w:outlineLvl w:val="2"/>
    </w:pPr>
    <w:rPr>
      <w:b/>
      <w:bCs/>
      <w:kern w:val="0"/>
      <w:sz w:val="32"/>
      <w:szCs w:val="32"/>
    </w:rPr>
  </w:style>
  <w:style w:type="paragraph" w:styleId="7">
    <w:name w:val="heading 4"/>
    <w:basedOn w:val="1"/>
    <w:next w:val="1"/>
    <w:link w:val="59"/>
    <w:qFormat/>
    <w:uiPriority w:val="0"/>
    <w:pPr>
      <w:keepNext/>
      <w:keepLines/>
      <w:spacing w:before="280" w:after="290" w:line="376" w:lineRule="auto"/>
      <w:outlineLvl w:val="3"/>
    </w:pPr>
    <w:rPr>
      <w:rFonts w:ascii="Cambria" w:hAnsi="Cambria"/>
      <w:b/>
      <w:bCs/>
      <w:kern w:val="0"/>
      <w:sz w:val="28"/>
      <w:szCs w:val="28"/>
    </w:rPr>
  </w:style>
  <w:style w:type="paragraph" w:styleId="8">
    <w:name w:val="heading 5"/>
    <w:basedOn w:val="1"/>
    <w:next w:val="1"/>
    <w:link w:val="60"/>
    <w:qFormat/>
    <w:uiPriority w:val="0"/>
    <w:pPr>
      <w:keepNext/>
      <w:keepLines/>
      <w:tabs>
        <w:tab w:val="left" w:pos="2580"/>
      </w:tabs>
      <w:spacing w:before="280" w:line="372" w:lineRule="auto"/>
      <w:outlineLvl w:val="4"/>
    </w:pPr>
    <w:rPr>
      <w:b/>
      <w:bCs/>
      <w:kern w:val="0"/>
      <w:sz w:val="28"/>
      <w:szCs w:val="28"/>
    </w:rPr>
  </w:style>
  <w:style w:type="paragraph" w:styleId="9">
    <w:name w:val="heading 6"/>
    <w:basedOn w:val="1"/>
    <w:next w:val="1"/>
    <w:link w:val="61"/>
    <w:qFormat/>
    <w:uiPriority w:val="0"/>
    <w:pPr>
      <w:keepNext/>
      <w:keepLines/>
      <w:tabs>
        <w:tab w:val="left" w:pos="3000"/>
      </w:tabs>
      <w:spacing w:before="240" w:line="317" w:lineRule="auto"/>
      <w:ind w:left="3000" w:hanging="420" w:firstLineChars="200"/>
      <w:outlineLvl w:val="5"/>
    </w:pPr>
    <w:rPr>
      <w:rFonts w:ascii="Arial" w:hAnsi="Arial" w:eastAsia="黑体"/>
      <w:b/>
      <w:bCs/>
      <w:kern w:val="0"/>
      <w:sz w:val="24"/>
    </w:rPr>
  </w:style>
  <w:style w:type="paragraph" w:styleId="10">
    <w:name w:val="heading 7"/>
    <w:basedOn w:val="1"/>
    <w:next w:val="11"/>
    <w:link w:val="62"/>
    <w:qFormat/>
    <w:uiPriority w:val="0"/>
    <w:pPr>
      <w:keepNext/>
      <w:keepLines/>
      <w:tabs>
        <w:tab w:val="left" w:pos="3420"/>
      </w:tabs>
      <w:adjustRightInd w:val="0"/>
      <w:spacing w:before="120" w:line="360" w:lineRule="atLeast"/>
      <w:ind w:left="3420"/>
      <w:textAlignment w:val="baseline"/>
      <w:outlineLvl w:val="6"/>
    </w:pPr>
    <w:rPr>
      <w:b/>
      <w:bCs/>
      <w:kern w:val="0"/>
      <w:sz w:val="24"/>
    </w:rPr>
  </w:style>
  <w:style w:type="paragraph" w:styleId="12">
    <w:name w:val="heading 8"/>
    <w:basedOn w:val="1"/>
    <w:next w:val="1"/>
    <w:link w:val="63"/>
    <w:qFormat/>
    <w:uiPriority w:val="0"/>
    <w:pPr>
      <w:keepNext/>
      <w:keepLines/>
      <w:tabs>
        <w:tab w:val="left" w:pos="3840"/>
      </w:tabs>
      <w:adjustRightInd w:val="0"/>
      <w:spacing w:before="240" w:line="320" w:lineRule="atLeast"/>
      <w:ind w:left="3840"/>
      <w:textAlignment w:val="baseline"/>
      <w:outlineLvl w:val="7"/>
    </w:pPr>
    <w:rPr>
      <w:rFonts w:ascii="Arial" w:hAnsi="Arial" w:eastAsia="黑体"/>
      <w:kern w:val="0"/>
      <w:sz w:val="24"/>
    </w:rPr>
  </w:style>
  <w:style w:type="paragraph" w:styleId="13">
    <w:name w:val="heading 9"/>
    <w:basedOn w:val="1"/>
    <w:next w:val="1"/>
    <w:link w:val="64"/>
    <w:qFormat/>
    <w:uiPriority w:val="0"/>
    <w:pPr>
      <w:keepNext/>
      <w:keepLines/>
      <w:tabs>
        <w:tab w:val="left" w:pos="4260"/>
      </w:tabs>
      <w:spacing w:before="240" w:line="317" w:lineRule="auto"/>
      <w:ind w:left="4260" w:hanging="420" w:firstLineChars="200"/>
      <w:outlineLvl w:val="8"/>
    </w:pPr>
    <w:rPr>
      <w:rFonts w:ascii="Arial" w:hAnsi="Arial" w:eastAsia="黑体"/>
      <w:kern w:val="0"/>
      <w:sz w:val="2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spacing w:beforeLines="25" w:afterLines="25"/>
      <w:jc w:val="left"/>
    </w:pPr>
    <w:rPr>
      <w:spacing w:val="10"/>
      <w:sz w:val="24"/>
    </w:rPr>
  </w:style>
  <w:style w:type="paragraph" w:styleId="3">
    <w:name w:val="Body Text"/>
    <w:basedOn w:val="1"/>
    <w:next w:val="1"/>
    <w:link w:val="94"/>
    <w:qFormat/>
    <w:uiPriority w:val="99"/>
    <w:pPr>
      <w:spacing w:after="120"/>
    </w:pPr>
    <w:rPr>
      <w:rFonts w:ascii="Calibri" w:hAnsi="Calibri"/>
      <w:kern w:val="0"/>
      <w:sz w:val="28"/>
    </w:rPr>
  </w:style>
  <w:style w:type="paragraph" w:customStyle="1" w:styleId="11">
    <w:name w:val="文档正文"/>
    <w:basedOn w:val="1"/>
    <w:qFormat/>
    <w:uiPriority w:val="0"/>
    <w:pPr>
      <w:adjustRightInd w:val="0"/>
      <w:spacing w:before="60" w:line="360" w:lineRule="atLeast"/>
      <w:ind w:firstLine="482"/>
      <w:textAlignment w:val="baseline"/>
    </w:pPr>
    <w:rPr>
      <w:sz w:val="24"/>
    </w:rPr>
  </w:style>
  <w:style w:type="paragraph" w:styleId="14">
    <w:name w:val="List Number"/>
    <w:basedOn w:val="1"/>
    <w:qFormat/>
    <w:uiPriority w:val="0"/>
    <w:pPr>
      <w:widowControl/>
      <w:numPr>
        <w:ilvl w:val="0"/>
        <w:numId w:val="1"/>
      </w:numPr>
      <w:tabs>
        <w:tab w:val="left" w:pos="454"/>
        <w:tab w:val="left" w:pos="720"/>
      </w:tabs>
      <w:spacing w:afterLines="50"/>
      <w:jc w:val="left"/>
    </w:pPr>
    <w:rPr>
      <w:kern w:val="0"/>
      <w:sz w:val="24"/>
      <w:szCs w:val="20"/>
    </w:rPr>
  </w:style>
  <w:style w:type="paragraph" w:styleId="15">
    <w:name w:val="Normal Indent"/>
    <w:basedOn w:val="1"/>
    <w:link w:val="99"/>
    <w:qFormat/>
    <w:uiPriority w:val="0"/>
    <w:pPr>
      <w:ind w:firstLine="420"/>
    </w:pPr>
    <w:rPr>
      <w:rFonts w:ascii="Calibri" w:hAnsi="Calibri"/>
      <w:szCs w:val="22"/>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152"/>
    <w:semiHidden/>
    <w:qFormat/>
    <w:uiPriority w:val="0"/>
    <w:pPr>
      <w:shd w:val="clear" w:color="auto" w:fill="000080"/>
      <w:spacing w:afterLines="100" w:line="360" w:lineRule="auto"/>
      <w:ind w:firstLine="200" w:firstLineChars="200"/>
    </w:pPr>
    <w:rPr>
      <w:rFonts w:ascii="Calibri" w:hAnsi="Calibri"/>
      <w:kern w:val="0"/>
      <w:sz w:val="24"/>
    </w:rPr>
  </w:style>
  <w:style w:type="paragraph" w:styleId="18">
    <w:name w:val="annotation text"/>
    <w:basedOn w:val="1"/>
    <w:link w:val="119"/>
    <w:qFormat/>
    <w:uiPriority w:val="0"/>
    <w:pPr>
      <w:spacing w:afterLines="100" w:line="360" w:lineRule="auto"/>
      <w:ind w:firstLine="200" w:firstLineChars="200"/>
      <w:jc w:val="left"/>
    </w:pPr>
    <w:rPr>
      <w:rFonts w:ascii="Calibri" w:hAnsi="Calibri"/>
      <w:kern w:val="0"/>
      <w:sz w:val="24"/>
    </w:rPr>
  </w:style>
  <w:style w:type="paragraph" w:styleId="19">
    <w:name w:val="Body Text 3"/>
    <w:basedOn w:val="1"/>
    <w:link w:val="149"/>
    <w:qFormat/>
    <w:uiPriority w:val="0"/>
    <w:pPr>
      <w:snapToGrid w:val="0"/>
      <w:spacing w:before="50" w:after="50"/>
    </w:pPr>
    <w:rPr>
      <w:rFonts w:ascii="Calibri" w:hAnsi="宋体" w:eastAsia="仿宋_GB2312"/>
      <w:b/>
      <w:bCs/>
      <w:kern w:val="0"/>
      <w:sz w:val="24"/>
      <w:szCs w:val="20"/>
    </w:rPr>
  </w:style>
  <w:style w:type="paragraph" w:styleId="20">
    <w:name w:val="Body Text Indent"/>
    <w:basedOn w:val="1"/>
    <w:link w:val="70"/>
    <w:unhideWhenUsed/>
    <w:qFormat/>
    <w:uiPriority w:val="0"/>
    <w:pPr>
      <w:spacing w:after="120"/>
      <w:ind w:left="420" w:leftChars="200"/>
    </w:pPr>
    <w:rPr>
      <w:kern w:val="0"/>
      <w:sz w:val="20"/>
    </w:r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ind w:left="100" w:leftChars="200" w:hanging="200" w:hangingChars="200"/>
    </w:pPr>
    <w:rPr>
      <w:sz w:val="28"/>
    </w:rPr>
  </w:style>
  <w:style w:type="paragraph" w:styleId="23">
    <w:name w:val="toc 3"/>
    <w:basedOn w:val="1"/>
    <w:next w:val="1"/>
    <w:qFormat/>
    <w:uiPriority w:val="39"/>
    <w:pPr>
      <w:spacing w:line="360" w:lineRule="auto"/>
      <w:ind w:left="480" w:firstLine="200" w:firstLineChars="200"/>
      <w:jc w:val="left"/>
    </w:pPr>
    <w:rPr>
      <w:i/>
      <w:iCs/>
      <w:sz w:val="20"/>
      <w:szCs w:val="20"/>
    </w:rPr>
  </w:style>
  <w:style w:type="paragraph" w:styleId="24">
    <w:name w:val="Plain Text"/>
    <w:basedOn w:val="1"/>
    <w:link w:val="146"/>
    <w:qFormat/>
    <w:uiPriority w:val="0"/>
    <w:pPr>
      <w:spacing w:beforeLines="50" w:afterLines="50" w:line="400" w:lineRule="exact"/>
    </w:pPr>
    <w:rPr>
      <w:rFonts w:ascii="宋体" w:hAnsi="Courier New"/>
      <w:kern w:val="0"/>
      <w:sz w:val="24"/>
    </w:rPr>
  </w:style>
  <w:style w:type="paragraph" w:styleId="25">
    <w:name w:val="Date"/>
    <w:basedOn w:val="1"/>
    <w:next w:val="1"/>
    <w:link w:val="130"/>
    <w:qFormat/>
    <w:uiPriority w:val="0"/>
    <w:pPr>
      <w:ind w:left="2500" w:leftChars="2500"/>
    </w:pPr>
    <w:rPr>
      <w:rFonts w:ascii="Calibri" w:hAnsi="Calibri" w:eastAsia="楷体_GB2312"/>
      <w:kern w:val="0"/>
      <w:sz w:val="32"/>
      <w:szCs w:val="20"/>
    </w:rPr>
  </w:style>
  <w:style w:type="paragraph" w:styleId="26">
    <w:name w:val="Body Text Indent 2"/>
    <w:basedOn w:val="1"/>
    <w:link w:val="124"/>
    <w:qFormat/>
    <w:uiPriority w:val="0"/>
    <w:pPr>
      <w:snapToGrid w:val="0"/>
      <w:ind w:firstLine="542" w:firstLineChars="225"/>
    </w:pPr>
    <w:rPr>
      <w:rFonts w:ascii="仿宋_GB2312" w:hAnsi="宋体"/>
      <w:b/>
      <w:bCs/>
      <w:color w:val="000000"/>
      <w:kern w:val="0"/>
      <w:sz w:val="24"/>
    </w:rPr>
  </w:style>
  <w:style w:type="paragraph" w:styleId="27">
    <w:name w:val="Balloon Text"/>
    <w:basedOn w:val="1"/>
    <w:link w:val="67"/>
    <w:unhideWhenUsed/>
    <w:qFormat/>
    <w:uiPriority w:val="0"/>
    <w:rPr>
      <w:rFonts w:ascii="Calibri" w:hAnsi="Calibri"/>
      <w:kern w:val="0"/>
      <w:sz w:val="16"/>
      <w:szCs w:val="16"/>
    </w:rPr>
  </w:style>
  <w:style w:type="paragraph" w:styleId="28">
    <w:name w:val="footer"/>
    <w:basedOn w:val="1"/>
    <w:link w:val="55"/>
    <w:unhideWhenUsed/>
    <w:qFormat/>
    <w:uiPriority w:val="99"/>
    <w:pPr>
      <w:tabs>
        <w:tab w:val="center" w:pos="4153"/>
        <w:tab w:val="right" w:pos="8306"/>
      </w:tabs>
      <w:snapToGrid w:val="0"/>
      <w:jc w:val="left"/>
    </w:pPr>
    <w:rPr>
      <w:rFonts w:ascii="Calibri" w:hAnsi="Calibri"/>
      <w:kern w:val="0"/>
      <w:sz w:val="18"/>
      <w:szCs w:val="18"/>
    </w:rPr>
  </w:style>
  <w:style w:type="paragraph" w:styleId="29">
    <w:name w:val="header"/>
    <w:basedOn w:val="1"/>
    <w:link w:val="54"/>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0">
    <w:name w:val="toc 1"/>
    <w:basedOn w:val="1"/>
    <w:next w:val="1"/>
    <w:qFormat/>
    <w:uiPriority w:val="39"/>
  </w:style>
  <w:style w:type="paragraph" w:styleId="31">
    <w:name w:val="Subtitle"/>
    <w:basedOn w:val="1"/>
    <w:next w:val="1"/>
    <w:link w:val="111"/>
    <w:qFormat/>
    <w:uiPriority w:val="11"/>
    <w:pPr>
      <w:spacing w:before="240" w:after="60" w:line="312" w:lineRule="auto"/>
      <w:jc w:val="center"/>
      <w:outlineLvl w:val="1"/>
    </w:pPr>
    <w:rPr>
      <w:rFonts w:ascii="Cambria" w:hAnsi="Cambria"/>
      <w:b/>
      <w:bCs/>
      <w:kern w:val="28"/>
      <w:sz w:val="32"/>
      <w:szCs w:val="32"/>
    </w:rPr>
  </w:style>
  <w:style w:type="paragraph" w:styleId="32">
    <w:name w:val="List"/>
    <w:basedOn w:val="1"/>
    <w:qFormat/>
    <w:uiPriority w:val="0"/>
    <w:pPr>
      <w:ind w:left="200" w:hanging="200" w:hangingChars="200"/>
    </w:pPr>
    <w:rPr>
      <w:sz w:val="28"/>
    </w:rPr>
  </w:style>
  <w:style w:type="paragraph" w:styleId="33">
    <w:name w:val="footnote text"/>
    <w:basedOn w:val="1"/>
    <w:link w:val="77"/>
    <w:semiHidden/>
    <w:qFormat/>
    <w:uiPriority w:val="0"/>
    <w:pPr>
      <w:adjustRightInd w:val="0"/>
      <w:snapToGrid w:val="0"/>
      <w:spacing w:before="60" w:line="360" w:lineRule="atLeast"/>
      <w:ind w:firstLine="482"/>
      <w:jc w:val="left"/>
      <w:textAlignment w:val="baseline"/>
    </w:pPr>
    <w:rPr>
      <w:rFonts w:ascii="Calibri" w:hAnsi="Calibri"/>
      <w:kern w:val="0"/>
      <w:sz w:val="18"/>
    </w:rPr>
  </w:style>
  <w:style w:type="paragraph" w:styleId="34">
    <w:name w:val="Body Text Indent 3"/>
    <w:basedOn w:val="1"/>
    <w:link w:val="121"/>
    <w:qFormat/>
    <w:uiPriority w:val="0"/>
    <w:pPr>
      <w:snapToGrid w:val="0"/>
      <w:ind w:firstLine="480" w:firstLineChars="200"/>
      <w:jc w:val="left"/>
    </w:pPr>
    <w:rPr>
      <w:rFonts w:ascii="仿宋_GB2312" w:hAnsi="宋体" w:eastAsia="仿宋_GB2312"/>
      <w:color w:val="000000"/>
      <w:kern w:val="0"/>
      <w:sz w:val="24"/>
    </w:rPr>
  </w:style>
  <w:style w:type="paragraph" w:styleId="35">
    <w:name w:val="toc 2"/>
    <w:basedOn w:val="1"/>
    <w:next w:val="1"/>
    <w:unhideWhenUsed/>
    <w:qFormat/>
    <w:uiPriority w:val="39"/>
    <w:pPr>
      <w:ind w:left="420" w:leftChars="200"/>
    </w:pPr>
  </w:style>
  <w:style w:type="paragraph" w:styleId="36">
    <w:name w:val="Body Text 2"/>
    <w:basedOn w:val="1"/>
    <w:link w:val="126"/>
    <w:qFormat/>
    <w:uiPriority w:val="0"/>
    <w:pPr>
      <w:widowControl/>
      <w:snapToGrid w:val="0"/>
      <w:spacing w:before="50" w:afterLines="50" w:line="400" w:lineRule="exact"/>
      <w:jc w:val="left"/>
    </w:pPr>
    <w:rPr>
      <w:rFonts w:ascii="宋体" w:hAnsi="宋体"/>
      <w:color w:val="000000"/>
      <w:kern w:val="0"/>
      <w:sz w:val="24"/>
    </w:rPr>
  </w:style>
  <w:style w:type="paragraph" w:styleId="37">
    <w:name w:val="HTML Preformatted"/>
    <w:basedOn w:val="1"/>
    <w:link w:val="134"/>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8">
    <w:name w:val="Normal (Web)"/>
    <w:basedOn w:val="1"/>
    <w:link w:val="162"/>
    <w:qFormat/>
    <w:uiPriority w:val="99"/>
    <w:pPr>
      <w:widowControl/>
      <w:spacing w:before="100" w:beforeAutospacing="1" w:after="100" w:afterAutospacing="1"/>
      <w:jc w:val="left"/>
    </w:pPr>
    <w:rPr>
      <w:rFonts w:ascii="Calibri" w:hAnsi="Calibri"/>
      <w:kern w:val="0"/>
      <w:sz w:val="24"/>
    </w:rPr>
  </w:style>
  <w:style w:type="paragraph" w:styleId="39">
    <w:name w:val="index 1"/>
    <w:basedOn w:val="1"/>
    <w:next w:val="1"/>
    <w:qFormat/>
    <w:uiPriority w:val="0"/>
    <w:pPr>
      <w:jc w:val="center"/>
    </w:pPr>
    <w:rPr>
      <w:rFonts w:ascii="Arial" w:hAnsi="Arial" w:eastAsia="Arial" w:cs="Arial"/>
      <w:b/>
      <w:bCs/>
      <w:sz w:val="28"/>
      <w:szCs w:val="20"/>
    </w:rPr>
  </w:style>
  <w:style w:type="paragraph" w:styleId="40">
    <w:name w:val="Title"/>
    <w:basedOn w:val="1"/>
    <w:link w:val="369"/>
    <w:qFormat/>
    <w:uiPriority w:val="0"/>
    <w:pPr>
      <w:spacing w:before="240" w:after="60"/>
      <w:jc w:val="center"/>
      <w:outlineLvl w:val="0"/>
    </w:pPr>
    <w:rPr>
      <w:rFonts w:ascii="Arial" w:hAnsi="Arial" w:eastAsia="仿宋_GB2312"/>
      <w:b/>
      <w:bCs/>
      <w:kern w:val="0"/>
      <w:sz w:val="36"/>
      <w:szCs w:val="32"/>
    </w:rPr>
  </w:style>
  <w:style w:type="paragraph" w:styleId="41">
    <w:name w:val="annotation subject"/>
    <w:basedOn w:val="18"/>
    <w:next w:val="18"/>
    <w:link w:val="157"/>
    <w:qFormat/>
    <w:uiPriority w:val="0"/>
    <w:rPr>
      <w:b/>
      <w:bCs/>
    </w:rPr>
  </w:style>
  <w:style w:type="paragraph" w:styleId="42">
    <w:name w:val="Body Text First Indent"/>
    <w:basedOn w:val="3"/>
    <w:link w:val="93"/>
    <w:unhideWhenUsed/>
    <w:qFormat/>
    <w:uiPriority w:val="0"/>
    <w:pPr>
      <w:ind w:firstLine="420" w:firstLineChars="100"/>
    </w:pPr>
  </w:style>
  <w:style w:type="paragraph" w:styleId="43">
    <w:name w:val="Body Text First Indent 2"/>
    <w:basedOn w:val="20"/>
    <w:link w:val="69"/>
    <w:semiHidden/>
    <w:qFormat/>
    <w:uiPriority w:val="0"/>
    <w:pPr>
      <w:spacing w:line="360" w:lineRule="auto"/>
      <w:ind w:firstLine="420" w:firstLineChars="200"/>
    </w:pPr>
    <w:rPr>
      <w:rFonts w:ascii="宋体" w:hAnsi="Courier New"/>
      <w:spacing w:val="-4"/>
      <w:sz w:val="24"/>
    </w:rPr>
  </w:style>
  <w:style w:type="table" w:styleId="45">
    <w:name w:val="Table Grid"/>
    <w:basedOn w:val="44"/>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7">
    <w:name w:val="Strong"/>
    <w:qFormat/>
    <w:uiPriority w:val="22"/>
    <w:rPr>
      <w:b/>
      <w:bCs/>
    </w:rPr>
  </w:style>
  <w:style w:type="character" w:styleId="48">
    <w:name w:val="page number"/>
    <w:basedOn w:val="46"/>
    <w:qFormat/>
    <w:uiPriority w:val="0"/>
  </w:style>
  <w:style w:type="character" w:styleId="49">
    <w:name w:val="FollowedHyperlink"/>
    <w:semiHidden/>
    <w:unhideWhenUsed/>
    <w:qFormat/>
    <w:uiPriority w:val="99"/>
    <w:rPr>
      <w:color w:val="800080"/>
      <w:u w:val="single"/>
    </w:rPr>
  </w:style>
  <w:style w:type="character" w:styleId="50">
    <w:name w:val="Emphasis"/>
    <w:qFormat/>
    <w:uiPriority w:val="0"/>
    <w:rPr>
      <w:i/>
    </w:rPr>
  </w:style>
  <w:style w:type="character" w:styleId="51">
    <w:name w:val="Hyperlink"/>
    <w:qFormat/>
    <w:uiPriority w:val="99"/>
    <w:rPr>
      <w:color w:val="0000FF"/>
      <w:u w:val="single"/>
    </w:rPr>
  </w:style>
  <w:style w:type="character" w:styleId="52">
    <w:name w:val="annotation reference"/>
    <w:qFormat/>
    <w:uiPriority w:val="0"/>
    <w:rPr>
      <w:sz w:val="21"/>
      <w:szCs w:val="21"/>
    </w:rPr>
  </w:style>
  <w:style w:type="paragraph" w:customStyle="1" w:styleId="53">
    <w:name w:val="首行缩进"/>
    <w:basedOn w:val="1"/>
    <w:qFormat/>
    <w:uiPriority w:val="0"/>
    <w:pPr>
      <w:spacing w:line="360" w:lineRule="auto"/>
      <w:ind w:firstLine="480" w:firstLineChars="200"/>
    </w:pPr>
    <w:rPr>
      <w:rFonts w:hAnsi="宋体" w:cs="宋体"/>
      <w:sz w:val="24"/>
    </w:rPr>
  </w:style>
  <w:style w:type="character" w:customStyle="1" w:styleId="54">
    <w:name w:val="页眉 字符"/>
    <w:link w:val="29"/>
    <w:qFormat/>
    <w:uiPriority w:val="99"/>
    <w:rPr>
      <w:sz w:val="18"/>
      <w:szCs w:val="18"/>
    </w:rPr>
  </w:style>
  <w:style w:type="character" w:customStyle="1" w:styleId="55">
    <w:name w:val="页脚 字符1"/>
    <w:link w:val="28"/>
    <w:qFormat/>
    <w:uiPriority w:val="99"/>
    <w:rPr>
      <w:sz w:val="18"/>
      <w:szCs w:val="18"/>
    </w:rPr>
  </w:style>
  <w:style w:type="character" w:customStyle="1" w:styleId="56">
    <w:name w:val="标题 1 字符"/>
    <w:link w:val="4"/>
    <w:qFormat/>
    <w:uiPriority w:val="0"/>
    <w:rPr>
      <w:rFonts w:ascii="Times New Roman" w:hAnsi="Times New Roman" w:eastAsia="宋体" w:cs="Times New Roman"/>
      <w:b/>
      <w:bCs/>
      <w:kern w:val="44"/>
      <w:sz w:val="44"/>
      <w:szCs w:val="44"/>
    </w:rPr>
  </w:style>
  <w:style w:type="character" w:customStyle="1" w:styleId="57">
    <w:name w:val="标题 2 字符"/>
    <w:link w:val="5"/>
    <w:qFormat/>
    <w:uiPriority w:val="0"/>
    <w:rPr>
      <w:rFonts w:ascii="Arial" w:hAnsi="Arial" w:eastAsia="黑体" w:cs="Times New Roman"/>
      <w:b/>
      <w:bCs/>
      <w:sz w:val="32"/>
      <w:szCs w:val="32"/>
    </w:rPr>
  </w:style>
  <w:style w:type="character" w:customStyle="1" w:styleId="58">
    <w:name w:val="标题 3 字符"/>
    <w:link w:val="6"/>
    <w:qFormat/>
    <w:uiPriority w:val="0"/>
    <w:rPr>
      <w:rFonts w:ascii="Times New Roman" w:hAnsi="Times New Roman" w:eastAsia="宋体" w:cs="Times New Roman"/>
      <w:b/>
      <w:bCs/>
      <w:sz w:val="32"/>
      <w:szCs w:val="32"/>
    </w:rPr>
  </w:style>
  <w:style w:type="character" w:customStyle="1" w:styleId="59">
    <w:name w:val="标题 4 字符"/>
    <w:link w:val="7"/>
    <w:qFormat/>
    <w:uiPriority w:val="0"/>
    <w:rPr>
      <w:rFonts w:ascii="Cambria" w:hAnsi="Cambria" w:eastAsia="宋体" w:cs="Times New Roman"/>
      <w:b/>
      <w:bCs/>
      <w:sz w:val="28"/>
      <w:szCs w:val="28"/>
    </w:rPr>
  </w:style>
  <w:style w:type="character" w:customStyle="1" w:styleId="60">
    <w:name w:val="标题 5 字符"/>
    <w:link w:val="8"/>
    <w:qFormat/>
    <w:uiPriority w:val="0"/>
    <w:rPr>
      <w:rFonts w:ascii="Times New Roman" w:hAnsi="Times New Roman" w:eastAsia="宋体" w:cs="Times New Roman"/>
      <w:b/>
      <w:bCs/>
      <w:sz w:val="28"/>
      <w:szCs w:val="28"/>
    </w:rPr>
  </w:style>
  <w:style w:type="character" w:customStyle="1" w:styleId="61">
    <w:name w:val="标题 6 字符"/>
    <w:link w:val="9"/>
    <w:qFormat/>
    <w:uiPriority w:val="0"/>
    <w:rPr>
      <w:rFonts w:ascii="Arial" w:hAnsi="Arial" w:eastAsia="黑体" w:cs="Times New Roman"/>
      <w:b/>
      <w:bCs/>
      <w:sz w:val="24"/>
      <w:szCs w:val="24"/>
    </w:rPr>
  </w:style>
  <w:style w:type="character" w:customStyle="1" w:styleId="62">
    <w:name w:val="标题 7 字符"/>
    <w:link w:val="10"/>
    <w:qFormat/>
    <w:uiPriority w:val="0"/>
    <w:rPr>
      <w:rFonts w:ascii="Times New Roman" w:hAnsi="Times New Roman" w:eastAsia="宋体" w:cs="Times New Roman"/>
      <w:b/>
      <w:bCs/>
      <w:sz w:val="24"/>
      <w:szCs w:val="24"/>
    </w:rPr>
  </w:style>
  <w:style w:type="character" w:customStyle="1" w:styleId="63">
    <w:name w:val="标题 8 字符"/>
    <w:link w:val="12"/>
    <w:qFormat/>
    <w:uiPriority w:val="0"/>
    <w:rPr>
      <w:rFonts w:ascii="Arial" w:hAnsi="Arial" w:eastAsia="黑体" w:cs="Times New Roman"/>
      <w:sz w:val="24"/>
      <w:szCs w:val="24"/>
    </w:rPr>
  </w:style>
  <w:style w:type="character" w:customStyle="1" w:styleId="64">
    <w:name w:val="标题 9 字符"/>
    <w:link w:val="13"/>
    <w:qFormat/>
    <w:uiPriority w:val="0"/>
    <w:rPr>
      <w:rFonts w:ascii="Arial" w:hAnsi="Arial" w:eastAsia="黑体" w:cs="Times New Roman"/>
      <w:szCs w:val="21"/>
    </w:rPr>
  </w:style>
  <w:style w:type="paragraph" w:customStyle="1" w:styleId="65">
    <w:name w:val="_Style 29"/>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66">
    <w:name w:val="Char Char4"/>
    <w:qFormat/>
    <w:uiPriority w:val="0"/>
    <w:rPr>
      <w:rFonts w:eastAsia="宋体"/>
      <w:kern w:val="2"/>
      <w:sz w:val="24"/>
      <w:lang w:val="en-US" w:eastAsia="zh-CN" w:bidi="ar-SA"/>
    </w:rPr>
  </w:style>
  <w:style w:type="character" w:customStyle="1" w:styleId="67">
    <w:name w:val="批注框文本 字符"/>
    <w:link w:val="27"/>
    <w:qFormat/>
    <w:uiPriority w:val="0"/>
    <w:rPr>
      <w:sz w:val="16"/>
      <w:szCs w:val="16"/>
    </w:rPr>
  </w:style>
  <w:style w:type="character" w:customStyle="1" w:styleId="68">
    <w:name w:val="批注框文本 Char1"/>
    <w:semiHidden/>
    <w:qFormat/>
    <w:uiPriority w:val="99"/>
    <w:rPr>
      <w:rFonts w:ascii="Times New Roman" w:hAnsi="Times New Roman" w:eastAsia="宋体" w:cs="Times New Roman"/>
      <w:sz w:val="18"/>
      <w:szCs w:val="18"/>
    </w:rPr>
  </w:style>
  <w:style w:type="character" w:customStyle="1" w:styleId="69">
    <w:name w:val="正文文本首行缩进 2 字符"/>
    <w:link w:val="43"/>
    <w:semiHidden/>
    <w:qFormat/>
    <w:uiPriority w:val="0"/>
    <w:rPr>
      <w:rFonts w:ascii="宋体" w:hAnsi="Courier New"/>
      <w:spacing w:val="-4"/>
      <w:sz w:val="24"/>
      <w:szCs w:val="24"/>
    </w:rPr>
  </w:style>
  <w:style w:type="character" w:customStyle="1" w:styleId="70">
    <w:name w:val="正文文本缩进 字符"/>
    <w:link w:val="20"/>
    <w:qFormat/>
    <w:uiPriority w:val="0"/>
    <w:rPr>
      <w:rFonts w:ascii="Times New Roman" w:hAnsi="Times New Roman" w:eastAsia="宋体" w:cs="Times New Roman"/>
      <w:szCs w:val="24"/>
    </w:rPr>
  </w:style>
  <w:style w:type="character" w:customStyle="1" w:styleId="71">
    <w:name w:val="正文首行缩进 2 Char1"/>
    <w:semiHidden/>
    <w:qFormat/>
    <w:uiPriority w:val="99"/>
    <w:rPr>
      <w:rFonts w:ascii="Times New Roman" w:hAnsi="Times New Roman" w:eastAsia="宋体" w:cs="Times New Roman"/>
      <w:szCs w:val="24"/>
    </w:rPr>
  </w:style>
  <w:style w:type="character" w:customStyle="1" w:styleId="72">
    <w:name w:val="投标文件 正文首行缩进 Char"/>
    <w:qFormat/>
    <w:uiPriority w:val="0"/>
    <w:rPr>
      <w:rFonts w:ascii="Arial" w:hAnsi="Arial" w:eastAsia="宋体"/>
      <w:kern w:val="2"/>
      <w:sz w:val="21"/>
      <w:szCs w:val="24"/>
      <w:lang w:val="en-US" w:eastAsia="zh-CN" w:bidi="ar-SA"/>
    </w:rPr>
  </w:style>
  <w:style w:type="character" w:customStyle="1" w:styleId="73">
    <w:name w:val="_正文段落 Char"/>
    <w:qFormat/>
    <w:uiPriority w:val="0"/>
    <w:rPr>
      <w:rFonts w:eastAsia="宋体"/>
      <w:kern w:val="2"/>
      <w:sz w:val="21"/>
      <w:szCs w:val="24"/>
      <w:lang w:val="en-US" w:eastAsia="zh-CN" w:bidi="ar-SA"/>
    </w:rPr>
  </w:style>
  <w:style w:type="character" w:customStyle="1" w:styleId="74">
    <w:name w:val="Char Char17"/>
    <w:qFormat/>
    <w:uiPriority w:val="0"/>
    <w:rPr>
      <w:rFonts w:ascii="Arial" w:hAnsi="Arial" w:eastAsia="黑体"/>
      <w:b/>
      <w:bCs/>
      <w:kern w:val="2"/>
      <w:sz w:val="32"/>
      <w:szCs w:val="32"/>
      <w:lang w:val="en-US" w:eastAsia="zh-CN" w:bidi="ar-SA"/>
    </w:rPr>
  </w:style>
  <w:style w:type="character" w:customStyle="1" w:styleId="75">
    <w:name w:val="Char Char14"/>
    <w:qFormat/>
    <w:uiPriority w:val="0"/>
    <w:rPr>
      <w:rFonts w:eastAsia="宋体"/>
      <w:b/>
      <w:bCs/>
      <w:kern w:val="2"/>
      <w:sz w:val="28"/>
      <w:szCs w:val="28"/>
      <w:lang w:val="en-US" w:eastAsia="zh-CN" w:bidi="ar-SA"/>
    </w:rPr>
  </w:style>
  <w:style w:type="character" w:customStyle="1" w:styleId="76">
    <w:name w:val="ptt1"/>
    <w:qFormat/>
    <w:uiPriority w:val="0"/>
    <w:rPr>
      <w:rFonts w:hint="eastAsia" w:ascii="宋体" w:hAnsi="宋体" w:eastAsia="宋体"/>
      <w:sz w:val="18"/>
      <w:szCs w:val="18"/>
    </w:rPr>
  </w:style>
  <w:style w:type="character" w:customStyle="1" w:styleId="77">
    <w:name w:val="脚注文本 字符"/>
    <w:link w:val="33"/>
    <w:semiHidden/>
    <w:qFormat/>
    <w:uiPriority w:val="0"/>
    <w:rPr>
      <w:sz w:val="18"/>
      <w:szCs w:val="24"/>
    </w:rPr>
  </w:style>
  <w:style w:type="character" w:customStyle="1" w:styleId="78">
    <w:name w:val="脚注文本 Char1"/>
    <w:semiHidden/>
    <w:qFormat/>
    <w:uiPriority w:val="99"/>
    <w:rPr>
      <w:rFonts w:ascii="Times New Roman" w:hAnsi="Times New Roman" w:eastAsia="宋体" w:cs="Times New Roman"/>
      <w:sz w:val="18"/>
      <w:szCs w:val="18"/>
    </w:rPr>
  </w:style>
  <w:style w:type="character" w:customStyle="1" w:styleId="79">
    <w:name w:val="Char Char18"/>
    <w:qFormat/>
    <w:uiPriority w:val="0"/>
    <w:rPr>
      <w:rFonts w:eastAsia="宋体"/>
      <w:b/>
      <w:bCs/>
      <w:kern w:val="44"/>
      <w:sz w:val="44"/>
      <w:szCs w:val="44"/>
      <w:lang w:val="en-US" w:eastAsia="zh-CN" w:bidi="ar-SA"/>
    </w:rPr>
  </w:style>
  <w:style w:type="character" w:customStyle="1" w:styleId="80">
    <w:name w:val="font2"/>
    <w:qFormat/>
    <w:uiPriority w:val="0"/>
  </w:style>
  <w:style w:type="character" w:customStyle="1" w:styleId="81">
    <w:name w:val="缺省文本 Char"/>
    <w:qFormat/>
    <w:uiPriority w:val="0"/>
    <w:rPr>
      <w:rFonts w:eastAsia="宋体"/>
      <w:sz w:val="24"/>
      <w:lang w:val="en-US" w:eastAsia="zh-CN" w:bidi="ar-SA"/>
    </w:rPr>
  </w:style>
  <w:style w:type="character" w:customStyle="1" w:styleId="82">
    <w:name w:val="HTML 预设格式 Char1"/>
    <w:semiHidden/>
    <w:qFormat/>
    <w:uiPriority w:val="99"/>
    <w:rPr>
      <w:rFonts w:ascii="Courier New" w:hAnsi="Courier New"/>
      <w:kern w:val="2"/>
    </w:rPr>
  </w:style>
  <w:style w:type="character" w:customStyle="1" w:styleId="83">
    <w:name w:val="Char Char8"/>
    <w:qFormat/>
    <w:uiPriority w:val="0"/>
    <w:rPr>
      <w:sz w:val="24"/>
    </w:rPr>
  </w:style>
  <w:style w:type="character" w:customStyle="1" w:styleId="84">
    <w:name w:val="Char Char9"/>
    <w:qFormat/>
    <w:uiPriority w:val="0"/>
    <w:rPr>
      <w:rFonts w:ascii="Arial" w:hAnsi="Arial" w:cs="Arial"/>
      <w:vanish/>
      <w:sz w:val="16"/>
      <w:szCs w:val="16"/>
    </w:rPr>
  </w:style>
  <w:style w:type="character" w:customStyle="1" w:styleId="85">
    <w:name w:val="font31"/>
    <w:qFormat/>
    <w:uiPriority w:val="0"/>
    <w:rPr>
      <w:rFonts w:hint="default" w:ascii="Times New Roman" w:hAnsi="Times New Roman" w:cs="Times New Roman"/>
      <w:color w:val="FF0000"/>
      <w:sz w:val="24"/>
      <w:szCs w:val="24"/>
      <w:u w:val="none"/>
    </w:rPr>
  </w:style>
  <w:style w:type="character" w:customStyle="1" w:styleId="86">
    <w:name w:val="列表段落 字符"/>
    <w:link w:val="87"/>
    <w:qFormat/>
    <w:uiPriority w:val="0"/>
    <w:rPr>
      <w:rFonts w:ascii="Calibri" w:hAnsi="Calibri"/>
    </w:rPr>
  </w:style>
  <w:style w:type="paragraph" w:styleId="87">
    <w:name w:val="List Paragraph"/>
    <w:basedOn w:val="1"/>
    <w:link w:val="86"/>
    <w:qFormat/>
    <w:uiPriority w:val="0"/>
    <w:pPr>
      <w:ind w:left="420" w:firstLine="420" w:firstLineChars="200"/>
    </w:pPr>
    <w:rPr>
      <w:rFonts w:ascii="Calibri" w:hAnsi="Calibri"/>
      <w:kern w:val="0"/>
      <w:sz w:val="20"/>
      <w:szCs w:val="20"/>
    </w:rPr>
  </w:style>
  <w:style w:type="character" w:customStyle="1" w:styleId="88">
    <w:name w:val="_标题3 Char"/>
    <w:qFormat/>
    <w:uiPriority w:val="0"/>
    <w:rPr>
      <w:rFonts w:ascii="Arial" w:hAnsi="Arial" w:eastAsia="黑体"/>
      <w:bCs/>
      <w:kern w:val="2"/>
      <w:sz w:val="30"/>
      <w:szCs w:val="32"/>
      <w:lang w:val="en-US" w:eastAsia="zh-CN" w:bidi="ar-SA"/>
    </w:rPr>
  </w:style>
  <w:style w:type="character" w:customStyle="1" w:styleId="89">
    <w:name w:val="_正文段落加粗 Char"/>
    <w:qFormat/>
    <w:uiPriority w:val="0"/>
    <w:rPr>
      <w:rFonts w:eastAsia="宋体"/>
      <w:b/>
      <w:kern w:val="2"/>
      <w:sz w:val="21"/>
      <w:szCs w:val="24"/>
      <w:lang w:val="en-US" w:eastAsia="zh-CN" w:bidi="ar-SA"/>
    </w:rPr>
  </w:style>
  <w:style w:type="character" w:customStyle="1" w:styleId="90">
    <w:name w:val="Char Char"/>
    <w:qFormat/>
    <w:uiPriority w:val="0"/>
    <w:rPr>
      <w:rFonts w:ascii="宋体" w:hAnsi="Courier New"/>
      <w:kern w:val="2"/>
      <w:sz w:val="21"/>
    </w:rPr>
  </w:style>
  <w:style w:type="character" w:customStyle="1" w:styleId="91">
    <w:name w:val="p2"/>
    <w:qFormat/>
    <w:uiPriority w:val="0"/>
  </w:style>
  <w:style w:type="character" w:customStyle="1" w:styleId="92">
    <w:name w:val="_题注 Char"/>
    <w:qFormat/>
    <w:uiPriority w:val="0"/>
    <w:rPr>
      <w:rFonts w:ascii="Arial" w:hAnsi="Arial" w:eastAsia="黑体" w:cs="Arial"/>
      <w:kern w:val="2"/>
      <w:sz w:val="21"/>
      <w:lang w:val="en-US" w:eastAsia="zh-CN" w:bidi="ar-SA"/>
    </w:rPr>
  </w:style>
  <w:style w:type="character" w:customStyle="1" w:styleId="93">
    <w:name w:val="正文文本首行缩进 字符"/>
    <w:link w:val="42"/>
    <w:qFormat/>
    <w:uiPriority w:val="0"/>
    <w:rPr>
      <w:sz w:val="28"/>
      <w:szCs w:val="24"/>
    </w:rPr>
  </w:style>
  <w:style w:type="character" w:customStyle="1" w:styleId="94">
    <w:name w:val="正文文本 字符"/>
    <w:link w:val="3"/>
    <w:qFormat/>
    <w:uiPriority w:val="99"/>
    <w:rPr>
      <w:sz w:val="28"/>
      <w:szCs w:val="24"/>
    </w:rPr>
  </w:style>
  <w:style w:type="character" w:customStyle="1" w:styleId="95">
    <w:name w:val="正文文本 Char1"/>
    <w:semiHidden/>
    <w:qFormat/>
    <w:uiPriority w:val="99"/>
    <w:rPr>
      <w:rFonts w:ascii="Times New Roman" w:hAnsi="Times New Roman" w:eastAsia="宋体" w:cs="Times New Roman"/>
      <w:szCs w:val="24"/>
    </w:rPr>
  </w:style>
  <w:style w:type="character" w:customStyle="1" w:styleId="96">
    <w:name w:val="正文首行缩进 Char1"/>
    <w:semiHidden/>
    <w:qFormat/>
    <w:uiPriority w:val="99"/>
    <w:rPr>
      <w:rFonts w:ascii="Times New Roman" w:hAnsi="Times New Roman" w:eastAsia="宋体" w:cs="Times New Roman"/>
      <w:szCs w:val="24"/>
    </w:rPr>
  </w:style>
  <w:style w:type="character" w:customStyle="1" w:styleId="97">
    <w:name w:val="样式1 Char Char"/>
    <w:link w:val="98"/>
    <w:qFormat/>
    <w:uiPriority w:val="0"/>
    <w:rPr>
      <w:rFonts w:ascii="Arial" w:hAnsi="Arial"/>
      <w:szCs w:val="24"/>
    </w:rPr>
  </w:style>
  <w:style w:type="paragraph" w:customStyle="1" w:styleId="98">
    <w:name w:val="样式1"/>
    <w:basedOn w:val="1"/>
    <w:link w:val="97"/>
    <w:qFormat/>
    <w:uiPriority w:val="0"/>
    <w:pPr>
      <w:spacing w:line="360" w:lineRule="exact"/>
      <w:ind w:firstLine="200" w:firstLineChars="200"/>
    </w:pPr>
    <w:rPr>
      <w:rFonts w:ascii="Arial" w:hAnsi="Arial"/>
      <w:kern w:val="0"/>
      <w:sz w:val="20"/>
    </w:rPr>
  </w:style>
  <w:style w:type="character" w:customStyle="1" w:styleId="99">
    <w:name w:val="正文缩进 字符"/>
    <w:link w:val="15"/>
    <w:qFormat/>
    <w:uiPriority w:val="0"/>
  </w:style>
  <w:style w:type="character" w:customStyle="1" w:styleId="100">
    <w:name w:val="z-窗体顶端 字符"/>
    <w:link w:val="101"/>
    <w:qFormat/>
    <w:uiPriority w:val="0"/>
    <w:rPr>
      <w:rFonts w:ascii="Arial" w:hAnsi="Arial" w:cs="Arial"/>
      <w:vanish/>
      <w:sz w:val="16"/>
      <w:szCs w:val="16"/>
    </w:rPr>
  </w:style>
  <w:style w:type="paragraph" w:customStyle="1" w:styleId="101">
    <w:name w:val="z-窗体顶端1"/>
    <w:basedOn w:val="1"/>
    <w:next w:val="1"/>
    <w:link w:val="100"/>
    <w:qFormat/>
    <w:uiPriority w:val="0"/>
    <w:pPr>
      <w:widowControl/>
      <w:pBdr>
        <w:bottom w:val="single" w:color="auto" w:sz="6" w:space="1"/>
      </w:pBdr>
      <w:jc w:val="center"/>
    </w:pPr>
    <w:rPr>
      <w:rFonts w:ascii="Arial" w:hAnsi="Arial"/>
      <w:vanish/>
      <w:kern w:val="0"/>
      <w:sz w:val="16"/>
      <w:szCs w:val="16"/>
    </w:rPr>
  </w:style>
  <w:style w:type="character" w:customStyle="1" w:styleId="102">
    <w:name w:val="z-窗体顶端 Char1"/>
    <w:semiHidden/>
    <w:qFormat/>
    <w:uiPriority w:val="99"/>
    <w:rPr>
      <w:rFonts w:ascii="Arial" w:hAnsi="Arial" w:eastAsia="宋体" w:cs="Arial"/>
      <w:vanish/>
      <w:sz w:val="16"/>
      <w:szCs w:val="16"/>
    </w:rPr>
  </w:style>
  <w:style w:type="character" w:customStyle="1" w:styleId="103">
    <w:name w:val="z-窗体底端 字符"/>
    <w:link w:val="104"/>
    <w:qFormat/>
    <w:uiPriority w:val="0"/>
    <w:rPr>
      <w:rFonts w:ascii="Arial" w:hAnsi="Arial" w:cs="Arial"/>
      <w:vanish/>
      <w:sz w:val="16"/>
      <w:szCs w:val="16"/>
    </w:rPr>
  </w:style>
  <w:style w:type="paragraph" w:customStyle="1" w:styleId="104">
    <w:name w:val="z-窗体底端1"/>
    <w:basedOn w:val="1"/>
    <w:next w:val="1"/>
    <w:link w:val="103"/>
    <w:qFormat/>
    <w:uiPriority w:val="0"/>
    <w:pPr>
      <w:widowControl/>
      <w:pBdr>
        <w:top w:val="single" w:color="auto" w:sz="6" w:space="1"/>
      </w:pBdr>
      <w:jc w:val="center"/>
    </w:pPr>
    <w:rPr>
      <w:rFonts w:ascii="Arial" w:hAnsi="Arial"/>
      <w:vanish/>
      <w:kern w:val="0"/>
      <w:sz w:val="16"/>
      <w:szCs w:val="16"/>
    </w:rPr>
  </w:style>
  <w:style w:type="character" w:customStyle="1" w:styleId="105">
    <w:name w:val="z-窗体底端 Char1"/>
    <w:semiHidden/>
    <w:qFormat/>
    <w:uiPriority w:val="99"/>
    <w:rPr>
      <w:rFonts w:ascii="Arial" w:hAnsi="Arial" w:eastAsia="宋体" w:cs="Arial"/>
      <w:vanish/>
      <w:sz w:val="16"/>
      <w:szCs w:val="16"/>
    </w:rPr>
  </w:style>
  <w:style w:type="character" w:customStyle="1" w:styleId="106">
    <w:name w:val="正文首行缩进两字符 Char"/>
    <w:qFormat/>
    <w:uiPriority w:val="0"/>
    <w:rPr>
      <w:rFonts w:ascii="Arial" w:hAnsi="Arial"/>
      <w:kern w:val="2"/>
      <w:sz w:val="24"/>
      <w:szCs w:val="24"/>
    </w:rPr>
  </w:style>
  <w:style w:type="character" w:customStyle="1" w:styleId="107">
    <w:name w:val="msonormal"/>
    <w:qFormat/>
    <w:uiPriority w:val="0"/>
  </w:style>
  <w:style w:type="character" w:customStyle="1" w:styleId="108">
    <w:name w:val="Char Char2"/>
    <w:qFormat/>
    <w:uiPriority w:val="0"/>
    <w:rPr>
      <w:sz w:val="24"/>
    </w:rPr>
  </w:style>
  <w:style w:type="character" w:customStyle="1" w:styleId="109">
    <w:name w:val="Char Char3"/>
    <w:qFormat/>
    <w:uiPriority w:val="0"/>
    <w:rPr>
      <w:rFonts w:ascii="宋体" w:hAnsi="宋体" w:cs="宋体"/>
      <w:sz w:val="24"/>
      <w:szCs w:val="24"/>
    </w:rPr>
  </w:style>
  <w:style w:type="character" w:customStyle="1" w:styleId="110">
    <w:name w:val="Char Char5"/>
    <w:qFormat/>
    <w:uiPriority w:val="0"/>
    <w:rPr>
      <w:rFonts w:ascii="Arial" w:hAnsi="Arial" w:eastAsia="黑体" w:cs="Arial"/>
    </w:rPr>
  </w:style>
  <w:style w:type="character" w:customStyle="1" w:styleId="111">
    <w:name w:val="副标题 字符"/>
    <w:link w:val="31"/>
    <w:qFormat/>
    <w:uiPriority w:val="11"/>
    <w:rPr>
      <w:rFonts w:ascii="Cambria" w:hAnsi="Cambria"/>
      <w:b/>
      <w:bCs/>
      <w:kern w:val="28"/>
      <w:sz w:val="32"/>
      <w:szCs w:val="32"/>
    </w:rPr>
  </w:style>
  <w:style w:type="character" w:customStyle="1" w:styleId="112">
    <w:name w:val="副标题 Char1"/>
    <w:qFormat/>
    <w:uiPriority w:val="11"/>
    <w:rPr>
      <w:rFonts w:ascii="Cambria" w:hAnsi="Cambria" w:eastAsia="宋体" w:cs="Times New Roman"/>
      <w:b/>
      <w:bCs/>
      <w:kern w:val="28"/>
      <w:sz w:val="32"/>
      <w:szCs w:val="32"/>
    </w:rPr>
  </w:style>
  <w:style w:type="character" w:customStyle="1" w:styleId="113">
    <w:name w:val="_标题2 Char"/>
    <w:qFormat/>
    <w:uiPriority w:val="0"/>
    <w:rPr>
      <w:rFonts w:ascii="Tahoma" w:hAnsi="Tahoma" w:eastAsia="黑体"/>
      <w:bCs/>
      <w:kern w:val="2"/>
      <w:sz w:val="32"/>
      <w:szCs w:val="32"/>
      <w:lang w:val="en-US" w:eastAsia="zh-CN" w:bidi="ar-SA"/>
    </w:rPr>
  </w:style>
  <w:style w:type="character" w:customStyle="1" w:styleId="114">
    <w:name w:val="f14b1"/>
    <w:qFormat/>
    <w:uiPriority w:val="0"/>
    <w:rPr>
      <w:rFonts w:hint="default" w:ascii="??" w:hAnsi="??"/>
      <w:b/>
      <w:bCs/>
      <w:color w:val="333333"/>
      <w:sz w:val="21"/>
      <w:szCs w:val="21"/>
    </w:rPr>
  </w:style>
  <w:style w:type="character" w:customStyle="1" w:styleId="115">
    <w:name w:val="首行缩进2字符 Char"/>
    <w:qFormat/>
    <w:uiPriority w:val="0"/>
    <w:rPr>
      <w:rFonts w:eastAsia="宋体"/>
      <w:snapToGrid w:val="0"/>
      <w:sz w:val="21"/>
      <w:szCs w:val="21"/>
      <w:lang w:val="en-US" w:eastAsia="zh-CN" w:bidi="ar-SA"/>
    </w:rPr>
  </w:style>
  <w:style w:type="character" w:customStyle="1" w:styleId="116">
    <w:name w:val="Char Char6"/>
    <w:qFormat/>
    <w:uiPriority w:val="0"/>
    <w:rPr>
      <w:rFonts w:ascii="Arial" w:hAnsi="Arial" w:cs="Arial"/>
      <w:vanish/>
      <w:sz w:val="16"/>
      <w:szCs w:val="16"/>
    </w:rPr>
  </w:style>
  <w:style w:type="character" w:customStyle="1" w:styleId="117">
    <w:name w:val="文档正文 Char"/>
    <w:qFormat/>
    <w:uiPriority w:val="0"/>
    <w:rPr>
      <w:rFonts w:eastAsia="宋体"/>
      <w:sz w:val="24"/>
      <w:lang w:val="en-US" w:eastAsia="zh-CN" w:bidi="ar-SA"/>
    </w:rPr>
  </w:style>
  <w:style w:type="character" w:customStyle="1" w:styleId="118">
    <w:name w:val="Char Char11"/>
    <w:qFormat/>
    <w:uiPriority w:val="0"/>
    <w:rPr>
      <w:rFonts w:ascii="Arial" w:hAnsi="Arial" w:eastAsia="黑体"/>
      <w:sz w:val="24"/>
      <w:szCs w:val="24"/>
      <w:lang w:val="en-US" w:eastAsia="zh-CN" w:bidi="ar-SA"/>
    </w:rPr>
  </w:style>
  <w:style w:type="character" w:customStyle="1" w:styleId="119">
    <w:name w:val="批注文字 字符"/>
    <w:link w:val="18"/>
    <w:qFormat/>
    <w:uiPriority w:val="0"/>
    <w:rPr>
      <w:sz w:val="24"/>
      <w:szCs w:val="24"/>
    </w:rPr>
  </w:style>
  <w:style w:type="character" w:customStyle="1" w:styleId="120">
    <w:name w:val="批注文字 Char1"/>
    <w:semiHidden/>
    <w:qFormat/>
    <w:uiPriority w:val="99"/>
    <w:rPr>
      <w:rFonts w:ascii="Times New Roman" w:hAnsi="Times New Roman" w:eastAsia="宋体" w:cs="Times New Roman"/>
      <w:szCs w:val="24"/>
    </w:rPr>
  </w:style>
  <w:style w:type="character" w:customStyle="1" w:styleId="121">
    <w:name w:val="正文文本缩进 3 字符"/>
    <w:link w:val="34"/>
    <w:qFormat/>
    <w:uiPriority w:val="0"/>
    <w:rPr>
      <w:rFonts w:ascii="仿宋_GB2312" w:hAnsi="宋体" w:eastAsia="仿宋_GB2312"/>
      <w:color w:val="000000"/>
      <w:sz w:val="24"/>
      <w:szCs w:val="24"/>
    </w:rPr>
  </w:style>
  <w:style w:type="character" w:customStyle="1" w:styleId="122">
    <w:name w:val="正文文本缩进 3 Char1"/>
    <w:semiHidden/>
    <w:qFormat/>
    <w:uiPriority w:val="99"/>
    <w:rPr>
      <w:rFonts w:ascii="Times New Roman" w:hAnsi="Times New Roman" w:eastAsia="宋体" w:cs="Times New Roman"/>
      <w:sz w:val="16"/>
      <w:szCs w:val="16"/>
    </w:rPr>
  </w:style>
  <w:style w:type="character" w:customStyle="1" w:styleId="123">
    <w:name w:val="_表格文字 Char"/>
    <w:qFormat/>
    <w:uiPriority w:val="0"/>
    <w:rPr>
      <w:rFonts w:eastAsia="宋体"/>
      <w:kern w:val="2"/>
      <w:sz w:val="21"/>
      <w:szCs w:val="24"/>
      <w:lang w:val="en-US" w:eastAsia="zh-CN" w:bidi="ar-SA"/>
    </w:rPr>
  </w:style>
  <w:style w:type="character" w:customStyle="1" w:styleId="124">
    <w:name w:val="正文文本缩进 2 字符"/>
    <w:link w:val="26"/>
    <w:qFormat/>
    <w:uiPriority w:val="0"/>
    <w:rPr>
      <w:rFonts w:ascii="仿宋_GB2312" w:hAnsi="宋体" w:cs="Arial"/>
      <w:b/>
      <w:bCs/>
      <w:color w:val="000000"/>
      <w:sz w:val="24"/>
      <w:szCs w:val="24"/>
    </w:rPr>
  </w:style>
  <w:style w:type="character" w:customStyle="1" w:styleId="125">
    <w:name w:val="正文文本缩进 2 Char1"/>
    <w:semiHidden/>
    <w:qFormat/>
    <w:uiPriority w:val="99"/>
    <w:rPr>
      <w:rFonts w:ascii="Times New Roman" w:hAnsi="Times New Roman" w:eastAsia="宋体" w:cs="Times New Roman"/>
      <w:szCs w:val="24"/>
    </w:rPr>
  </w:style>
  <w:style w:type="character" w:customStyle="1" w:styleId="126">
    <w:name w:val="正文文本 2 字符"/>
    <w:link w:val="36"/>
    <w:qFormat/>
    <w:uiPriority w:val="0"/>
    <w:rPr>
      <w:rFonts w:ascii="宋体" w:hAnsi="宋体"/>
      <w:color w:val="000000"/>
      <w:sz w:val="24"/>
      <w:szCs w:val="24"/>
    </w:rPr>
  </w:style>
  <w:style w:type="character" w:customStyle="1" w:styleId="127">
    <w:name w:val="正文文本 2 Char1"/>
    <w:semiHidden/>
    <w:qFormat/>
    <w:uiPriority w:val="99"/>
    <w:rPr>
      <w:rFonts w:ascii="Times New Roman" w:hAnsi="Times New Roman" w:eastAsia="宋体" w:cs="Times New Roman"/>
      <w:szCs w:val="24"/>
    </w:rPr>
  </w:style>
  <w:style w:type="character" w:customStyle="1" w:styleId="128">
    <w:name w:val="图 Char Char"/>
    <w:qFormat/>
    <w:uiPriority w:val="0"/>
    <w:rPr>
      <w:rFonts w:eastAsia="黑体"/>
      <w:b/>
      <w:sz w:val="24"/>
    </w:rPr>
  </w:style>
  <w:style w:type="character" w:customStyle="1" w:styleId="129">
    <w:name w:val="普通文字1 Char"/>
    <w:qFormat/>
    <w:uiPriority w:val="0"/>
    <w:rPr>
      <w:rFonts w:ascii="宋体" w:hAnsi="Courier New" w:eastAsia="宋体" w:cs="Courier New"/>
      <w:kern w:val="2"/>
      <w:sz w:val="21"/>
      <w:szCs w:val="21"/>
      <w:lang w:val="en-US" w:eastAsia="zh-CN" w:bidi="ar-SA"/>
    </w:rPr>
  </w:style>
  <w:style w:type="character" w:customStyle="1" w:styleId="130">
    <w:name w:val="日期 字符"/>
    <w:link w:val="25"/>
    <w:qFormat/>
    <w:uiPriority w:val="0"/>
    <w:rPr>
      <w:rFonts w:eastAsia="楷体_GB2312"/>
      <w:sz w:val="32"/>
    </w:rPr>
  </w:style>
  <w:style w:type="character" w:customStyle="1" w:styleId="131">
    <w:name w:val="日期 Char1"/>
    <w:semiHidden/>
    <w:qFormat/>
    <w:uiPriority w:val="99"/>
    <w:rPr>
      <w:rFonts w:ascii="Times New Roman" w:hAnsi="Times New Roman" w:eastAsia="宋体" w:cs="Times New Roman"/>
      <w:szCs w:val="24"/>
    </w:rPr>
  </w:style>
  <w:style w:type="character" w:customStyle="1" w:styleId="132">
    <w:name w:val="mark13"/>
    <w:basedOn w:val="46"/>
    <w:qFormat/>
    <w:uiPriority w:val="0"/>
  </w:style>
  <w:style w:type="character" w:customStyle="1" w:styleId="133">
    <w:name w:val="st1"/>
    <w:qFormat/>
    <w:uiPriority w:val="0"/>
    <w:rPr>
      <w:spacing w:val="240"/>
    </w:rPr>
  </w:style>
  <w:style w:type="character" w:customStyle="1" w:styleId="134">
    <w:name w:val="HTML 预设格式 字符"/>
    <w:link w:val="37"/>
    <w:semiHidden/>
    <w:qFormat/>
    <w:uiPriority w:val="0"/>
    <w:rPr>
      <w:rFonts w:ascii="宋体" w:hAnsi="宋体" w:cs="宋体"/>
      <w:sz w:val="24"/>
      <w:szCs w:val="24"/>
    </w:rPr>
  </w:style>
  <w:style w:type="character" w:customStyle="1" w:styleId="135">
    <w:name w:val="HTML 预设格式 Char2"/>
    <w:semiHidden/>
    <w:qFormat/>
    <w:uiPriority w:val="99"/>
    <w:rPr>
      <w:rFonts w:ascii="Courier New" w:hAnsi="Courier New" w:eastAsia="宋体" w:cs="Courier New"/>
      <w:sz w:val="20"/>
      <w:szCs w:val="20"/>
    </w:rPr>
  </w:style>
  <w:style w:type="character" w:customStyle="1" w:styleId="136">
    <w:name w:val="Char Char1"/>
    <w:qFormat/>
    <w:uiPriority w:val="0"/>
    <w:rPr>
      <w:sz w:val="24"/>
    </w:rPr>
  </w:style>
  <w:style w:type="character" w:customStyle="1" w:styleId="137">
    <w:name w:val="图 Char"/>
    <w:qFormat/>
    <w:uiPriority w:val="0"/>
    <w:rPr>
      <w:rFonts w:eastAsia="黑体"/>
      <w:b/>
      <w:sz w:val="24"/>
      <w:lang w:val="en-US" w:eastAsia="zh-CN" w:bidi="ar-SA"/>
    </w:rPr>
  </w:style>
  <w:style w:type="character" w:customStyle="1" w:styleId="138">
    <w:name w:val="font61"/>
    <w:qFormat/>
    <w:uiPriority w:val="0"/>
    <w:rPr>
      <w:rFonts w:hint="eastAsia" w:ascii="宋体" w:hAnsi="宋体" w:eastAsia="宋体" w:cs="宋体"/>
      <w:color w:val="000000"/>
      <w:sz w:val="24"/>
      <w:szCs w:val="24"/>
      <w:u w:val="none"/>
    </w:rPr>
  </w:style>
  <w:style w:type="character" w:customStyle="1" w:styleId="139">
    <w:name w:val="a4red1"/>
    <w:qFormat/>
    <w:uiPriority w:val="0"/>
    <w:rPr>
      <w:rFonts w:hint="default" w:ascii="Tahoma" w:hAnsi="Tahoma" w:cs="Tahoma"/>
      <w:color w:val="FF3300"/>
      <w:sz w:val="18"/>
      <w:szCs w:val="18"/>
      <w:u w:val="single"/>
    </w:rPr>
  </w:style>
  <w:style w:type="character" w:customStyle="1" w:styleId="140">
    <w:name w:val="Char Char12"/>
    <w:qFormat/>
    <w:uiPriority w:val="0"/>
    <w:rPr>
      <w:rFonts w:eastAsia="宋体"/>
      <w:b/>
      <w:bCs/>
      <w:sz w:val="24"/>
      <w:szCs w:val="24"/>
      <w:lang w:val="en-US" w:eastAsia="zh-CN" w:bidi="ar-SA"/>
    </w:rPr>
  </w:style>
  <w:style w:type="character" w:customStyle="1" w:styleId="141">
    <w:name w:val="orange"/>
    <w:basedOn w:val="46"/>
    <w:qFormat/>
    <w:uiPriority w:val="0"/>
  </w:style>
  <w:style w:type="character" w:customStyle="1" w:styleId="142">
    <w:name w:val="font01"/>
    <w:qFormat/>
    <w:uiPriority w:val="0"/>
    <w:rPr>
      <w:rFonts w:hint="eastAsia" w:ascii="宋体" w:hAnsi="宋体" w:eastAsia="宋体" w:cs="宋体"/>
      <w:color w:val="FF0000"/>
      <w:sz w:val="24"/>
      <w:szCs w:val="24"/>
      <w:u w:val="none"/>
    </w:rPr>
  </w:style>
  <w:style w:type="character" w:customStyle="1" w:styleId="143">
    <w:name w:val="jianju1"/>
    <w:qFormat/>
    <w:uiPriority w:val="0"/>
    <w:rPr>
      <w:color w:val="000000"/>
      <w:sz w:val="21"/>
      <w:szCs w:val="21"/>
      <w:u w:val="none"/>
    </w:rPr>
  </w:style>
  <w:style w:type="character" w:customStyle="1" w:styleId="144">
    <w:name w:val="fontb5"/>
    <w:basedOn w:val="46"/>
    <w:qFormat/>
    <w:uiPriority w:val="0"/>
  </w:style>
  <w:style w:type="character" w:customStyle="1" w:styleId="145">
    <w:name w:val="_列表 Char"/>
    <w:qFormat/>
    <w:uiPriority w:val="0"/>
    <w:rPr>
      <w:kern w:val="2"/>
      <w:sz w:val="24"/>
      <w:szCs w:val="24"/>
    </w:rPr>
  </w:style>
  <w:style w:type="character" w:customStyle="1" w:styleId="146">
    <w:name w:val="纯文本 字符"/>
    <w:link w:val="24"/>
    <w:qFormat/>
    <w:uiPriority w:val="0"/>
    <w:rPr>
      <w:rFonts w:ascii="宋体" w:hAnsi="Courier New"/>
      <w:sz w:val="24"/>
      <w:szCs w:val="24"/>
    </w:rPr>
  </w:style>
  <w:style w:type="character" w:customStyle="1" w:styleId="147">
    <w:name w:val="纯文本 Char1"/>
    <w:semiHidden/>
    <w:qFormat/>
    <w:uiPriority w:val="99"/>
    <w:rPr>
      <w:rFonts w:ascii="宋体" w:hAnsi="Courier New" w:eastAsia="宋体" w:cs="Courier New"/>
      <w:szCs w:val="21"/>
    </w:rPr>
  </w:style>
  <w:style w:type="character" w:customStyle="1" w:styleId="148">
    <w:name w:val="Char Char15"/>
    <w:qFormat/>
    <w:uiPriority w:val="0"/>
    <w:rPr>
      <w:rFonts w:ascii="Arial" w:hAnsi="Arial" w:eastAsia="黑体"/>
      <w:b/>
      <w:bCs/>
      <w:kern w:val="2"/>
      <w:sz w:val="28"/>
      <w:szCs w:val="28"/>
      <w:lang w:val="en-US" w:eastAsia="zh-CN" w:bidi="ar-SA"/>
    </w:rPr>
  </w:style>
  <w:style w:type="character" w:customStyle="1" w:styleId="149">
    <w:name w:val="正文文本 3 字符"/>
    <w:link w:val="19"/>
    <w:qFormat/>
    <w:uiPriority w:val="0"/>
    <w:rPr>
      <w:rFonts w:hAnsi="宋体" w:eastAsia="仿宋_GB2312"/>
      <w:b/>
      <w:bCs/>
      <w:sz w:val="24"/>
    </w:rPr>
  </w:style>
  <w:style w:type="character" w:customStyle="1" w:styleId="150">
    <w:name w:val="正文文本 3 Char1"/>
    <w:semiHidden/>
    <w:qFormat/>
    <w:uiPriority w:val="99"/>
    <w:rPr>
      <w:rFonts w:ascii="Times New Roman" w:hAnsi="Times New Roman" w:eastAsia="宋体" w:cs="Times New Roman"/>
      <w:sz w:val="16"/>
      <w:szCs w:val="16"/>
    </w:rPr>
  </w:style>
  <w:style w:type="character" w:customStyle="1" w:styleId="151">
    <w:name w:val="font11"/>
    <w:qFormat/>
    <w:uiPriority w:val="0"/>
    <w:rPr>
      <w:rFonts w:hint="default" w:ascii="Times New Roman" w:hAnsi="Times New Roman" w:cs="Times New Roman"/>
      <w:color w:val="000000"/>
      <w:sz w:val="24"/>
      <w:szCs w:val="24"/>
      <w:u w:val="none"/>
    </w:rPr>
  </w:style>
  <w:style w:type="character" w:customStyle="1" w:styleId="152">
    <w:name w:val="文档结构图 字符"/>
    <w:link w:val="17"/>
    <w:semiHidden/>
    <w:qFormat/>
    <w:uiPriority w:val="0"/>
    <w:rPr>
      <w:sz w:val="24"/>
      <w:szCs w:val="24"/>
      <w:shd w:val="clear" w:color="auto" w:fill="000080"/>
    </w:rPr>
  </w:style>
  <w:style w:type="character" w:customStyle="1" w:styleId="153">
    <w:name w:val="文档结构图 Char1"/>
    <w:semiHidden/>
    <w:qFormat/>
    <w:uiPriority w:val="99"/>
    <w:rPr>
      <w:rFonts w:ascii="宋体" w:hAnsi="Times New Roman" w:eastAsia="宋体" w:cs="Times New Roman"/>
      <w:sz w:val="18"/>
      <w:szCs w:val="18"/>
    </w:rPr>
  </w:style>
  <w:style w:type="character" w:customStyle="1" w:styleId="154">
    <w:name w:val="Char Char13"/>
    <w:qFormat/>
    <w:uiPriority w:val="0"/>
    <w:rPr>
      <w:rFonts w:ascii="Arial" w:hAnsi="Arial" w:eastAsia="黑体"/>
      <w:b/>
      <w:bCs/>
      <w:kern w:val="2"/>
      <w:sz w:val="24"/>
      <w:szCs w:val="24"/>
      <w:lang w:val="en-US" w:eastAsia="zh-CN" w:bidi="ar-SA"/>
    </w:rPr>
  </w:style>
  <w:style w:type="character" w:customStyle="1" w:styleId="155">
    <w:name w:val="_标题4 Char"/>
    <w:qFormat/>
    <w:uiPriority w:val="0"/>
    <w:rPr>
      <w:rFonts w:ascii="Tahoma" w:hAnsi="Tahoma" w:eastAsia="黑体"/>
      <w:bCs/>
      <w:kern w:val="2"/>
      <w:sz w:val="28"/>
      <w:szCs w:val="28"/>
      <w:lang w:val="en-US" w:eastAsia="zh-CN" w:bidi="ar-SA"/>
    </w:rPr>
  </w:style>
  <w:style w:type="character" w:customStyle="1" w:styleId="156">
    <w:name w:val="_表格标题 Char"/>
    <w:qFormat/>
    <w:uiPriority w:val="0"/>
    <w:rPr>
      <w:rFonts w:eastAsia="宋体"/>
      <w:b/>
      <w:kern w:val="2"/>
      <w:sz w:val="24"/>
      <w:szCs w:val="24"/>
      <w:lang w:val="en-US" w:eastAsia="zh-CN" w:bidi="ar-SA"/>
    </w:rPr>
  </w:style>
  <w:style w:type="character" w:customStyle="1" w:styleId="157">
    <w:name w:val="批注主题 字符"/>
    <w:link w:val="41"/>
    <w:qFormat/>
    <w:uiPriority w:val="0"/>
    <w:rPr>
      <w:b/>
      <w:bCs/>
      <w:sz w:val="24"/>
      <w:szCs w:val="24"/>
    </w:rPr>
  </w:style>
  <w:style w:type="character" w:customStyle="1" w:styleId="158">
    <w:name w:val="批注主题 Char1"/>
    <w:semiHidden/>
    <w:qFormat/>
    <w:uiPriority w:val="99"/>
    <w:rPr>
      <w:rFonts w:ascii="Times New Roman" w:hAnsi="Times New Roman" w:eastAsia="宋体" w:cs="Times New Roman"/>
      <w:b/>
      <w:bCs/>
      <w:szCs w:val="24"/>
    </w:rPr>
  </w:style>
  <w:style w:type="character" w:customStyle="1" w:styleId="159">
    <w:name w:val="普通正文 Char"/>
    <w:qFormat/>
    <w:uiPriority w:val="0"/>
    <w:rPr>
      <w:rFonts w:ascii="Arial" w:hAnsi="Arial" w:eastAsia="宋体"/>
      <w:sz w:val="24"/>
      <w:lang w:val="en-US" w:eastAsia="zh-CN" w:bidi="ar-SA"/>
    </w:rPr>
  </w:style>
  <w:style w:type="character" w:customStyle="1" w:styleId="160">
    <w:name w:val="Char Char7"/>
    <w:qFormat/>
    <w:uiPriority w:val="0"/>
    <w:rPr>
      <w:sz w:val="18"/>
    </w:rPr>
  </w:style>
  <w:style w:type="character" w:customStyle="1" w:styleId="161">
    <w:name w:val="tw4winMark"/>
    <w:qFormat/>
    <w:uiPriority w:val="0"/>
    <w:rPr>
      <w:rFonts w:ascii="Courier New" w:hAnsi="Courier New" w:cs="Courier New"/>
      <w:vanish/>
      <w:color w:val="800080"/>
      <w:vertAlign w:val="subscript"/>
    </w:rPr>
  </w:style>
  <w:style w:type="character" w:customStyle="1" w:styleId="162">
    <w:name w:val="普通(网站) 字符"/>
    <w:link w:val="38"/>
    <w:qFormat/>
    <w:locked/>
    <w:uiPriority w:val="99"/>
    <w:rPr>
      <w:sz w:val="24"/>
      <w:szCs w:val="24"/>
    </w:rPr>
  </w:style>
  <w:style w:type="character" w:customStyle="1" w:styleId="163">
    <w:name w:val="Char Char16"/>
    <w:qFormat/>
    <w:uiPriority w:val="0"/>
    <w:rPr>
      <w:rFonts w:eastAsia="宋体"/>
      <w:b/>
      <w:bCs/>
      <w:kern w:val="2"/>
      <w:sz w:val="32"/>
      <w:szCs w:val="32"/>
      <w:lang w:val="en-US" w:eastAsia="zh-CN" w:bidi="ar-SA"/>
    </w:rPr>
  </w:style>
  <w:style w:type="paragraph" w:customStyle="1" w:styleId="164">
    <w:name w:val="font10"/>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165">
    <w:name w:val="缺省文本"/>
    <w:basedOn w:val="1"/>
    <w:qFormat/>
    <w:uiPriority w:val="0"/>
    <w:pPr>
      <w:autoSpaceDE w:val="0"/>
      <w:autoSpaceDN w:val="0"/>
      <w:adjustRightInd w:val="0"/>
      <w:ind w:firstLine="454"/>
    </w:pPr>
    <w:rPr>
      <w:sz w:val="24"/>
    </w:rPr>
  </w:style>
  <w:style w:type="paragraph" w:customStyle="1" w:styleId="166">
    <w:name w:val="默认段落字体 Para Char Char Char Char Char Char Char Char Char1 Char Char Char Char"/>
    <w:basedOn w:val="1"/>
    <w:qFormat/>
    <w:uiPriority w:val="0"/>
    <w:rPr>
      <w:rFonts w:ascii="Tahoma" w:hAnsi="Tahoma"/>
      <w:sz w:val="24"/>
      <w:szCs w:val="20"/>
    </w:rPr>
  </w:style>
  <w:style w:type="paragraph" w:customStyle="1" w:styleId="167">
    <w:name w:val="首行缩进2字符"/>
    <w:basedOn w:val="1"/>
    <w:qFormat/>
    <w:uiPriority w:val="0"/>
    <w:pPr>
      <w:autoSpaceDE w:val="0"/>
      <w:autoSpaceDN w:val="0"/>
      <w:adjustRightInd w:val="0"/>
      <w:spacing w:line="360" w:lineRule="auto"/>
      <w:ind w:firstLine="420" w:firstLineChars="200"/>
      <w:jc w:val="left"/>
    </w:pPr>
    <w:rPr>
      <w:snapToGrid w:val="0"/>
      <w:szCs w:val="21"/>
    </w:rPr>
  </w:style>
  <w:style w:type="paragraph" w:customStyle="1" w:styleId="168">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169">
    <w:name w:val="五级条标题"/>
    <w:basedOn w:val="170"/>
    <w:next w:val="1"/>
    <w:qFormat/>
    <w:uiPriority w:val="0"/>
    <w:pPr>
      <w:tabs>
        <w:tab w:val="left" w:pos="360"/>
      </w:tabs>
      <w:outlineLvl w:val="6"/>
    </w:pPr>
  </w:style>
  <w:style w:type="paragraph" w:customStyle="1" w:styleId="170">
    <w:name w:val="四级条标题"/>
    <w:basedOn w:val="171"/>
    <w:next w:val="1"/>
    <w:qFormat/>
    <w:uiPriority w:val="0"/>
    <w:pPr>
      <w:tabs>
        <w:tab w:val="left" w:pos="360"/>
      </w:tabs>
      <w:outlineLvl w:val="5"/>
    </w:pPr>
  </w:style>
  <w:style w:type="paragraph" w:customStyle="1" w:styleId="171">
    <w:name w:val="三级条标题"/>
    <w:basedOn w:val="172"/>
    <w:next w:val="1"/>
    <w:qFormat/>
    <w:uiPriority w:val="0"/>
    <w:pPr>
      <w:tabs>
        <w:tab w:val="left" w:pos="360"/>
      </w:tabs>
      <w:outlineLvl w:val="4"/>
    </w:pPr>
  </w:style>
  <w:style w:type="paragraph" w:customStyle="1" w:styleId="172">
    <w:name w:val="二级条标题"/>
    <w:basedOn w:val="173"/>
    <w:next w:val="1"/>
    <w:qFormat/>
    <w:uiPriority w:val="0"/>
    <w:pPr>
      <w:tabs>
        <w:tab w:val="left" w:pos="360"/>
      </w:tabs>
      <w:outlineLvl w:val="3"/>
    </w:pPr>
  </w:style>
  <w:style w:type="paragraph" w:customStyle="1" w:styleId="173">
    <w:name w:val="一级条标题"/>
    <w:basedOn w:val="174"/>
    <w:next w:val="1"/>
    <w:qFormat/>
    <w:uiPriority w:val="0"/>
    <w:pPr>
      <w:tabs>
        <w:tab w:val="left" w:pos="360"/>
      </w:tabs>
      <w:spacing w:beforeLines="0" w:afterLines="0"/>
      <w:outlineLvl w:val="2"/>
    </w:pPr>
  </w:style>
  <w:style w:type="paragraph" w:customStyle="1" w:styleId="174">
    <w:name w:val="章标题"/>
    <w:next w:val="1"/>
    <w:qFormat/>
    <w:uiPriority w:val="0"/>
    <w:pPr>
      <w:tabs>
        <w:tab w:val="left" w:pos="360"/>
      </w:tabs>
      <w:spacing w:beforeLines="50" w:afterLines="50" w:line="360" w:lineRule="auto"/>
      <w:jc w:val="both"/>
      <w:outlineLvl w:val="1"/>
    </w:pPr>
    <w:rPr>
      <w:rFonts w:ascii="黑体" w:hAnsi="Times New Roman" w:eastAsia="黑体" w:cs="Times New Roman"/>
      <w:sz w:val="21"/>
      <w:lang w:val="en-US" w:eastAsia="zh-CN" w:bidi="ar-SA"/>
    </w:rPr>
  </w:style>
  <w:style w:type="paragraph" w:customStyle="1" w:styleId="17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76">
    <w:name w:val="Char Char Char"/>
    <w:basedOn w:val="1"/>
    <w:qFormat/>
    <w:uiPriority w:val="0"/>
  </w:style>
  <w:style w:type="paragraph" w:customStyle="1" w:styleId="177">
    <w:name w:val="Char Char Char Char Char Char Char Char Char Char Char Char1 Char"/>
    <w:basedOn w:val="17"/>
    <w:qFormat/>
    <w:uiPriority w:val="0"/>
    <w:pPr>
      <w:spacing w:afterLines="0" w:line="240" w:lineRule="auto"/>
      <w:ind w:firstLine="0" w:firstLineChars="0"/>
    </w:pPr>
    <w:rPr>
      <w:rFonts w:ascii="Tahoma" w:hAnsi="Tahoma"/>
    </w:rPr>
  </w:style>
  <w:style w:type="paragraph" w:customStyle="1" w:styleId="178">
    <w:name w:val="font6"/>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179">
    <w:name w:val="样式2"/>
    <w:basedOn w:val="1"/>
    <w:qFormat/>
    <w:uiPriority w:val="0"/>
    <w:pPr>
      <w:adjustRightInd w:val="0"/>
      <w:spacing w:before="60" w:line="360" w:lineRule="atLeast"/>
      <w:ind w:left="425" w:hanging="425"/>
      <w:textAlignment w:val="baseline"/>
    </w:pPr>
    <w:rPr>
      <w:kern w:val="0"/>
      <w:sz w:val="24"/>
      <w:szCs w:val="20"/>
    </w:rPr>
  </w:style>
  <w:style w:type="paragraph" w:customStyle="1" w:styleId="180">
    <w:name w:val="_标题6"/>
    <w:basedOn w:val="9"/>
    <w:next w:val="181"/>
    <w:qFormat/>
    <w:uiPriority w:val="0"/>
    <w:pPr>
      <w:ind w:left="4820" w:hanging="4820" w:firstLineChars="0"/>
    </w:pPr>
    <w:rPr>
      <w:rFonts w:ascii="Tahoma" w:hAnsi="Tahoma"/>
      <w:b w:val="0"/>
    </w:rPr>
  </w:style>
  <w:style w:type="paragraph" w:customStyle="1" w:styleId="181">
    <w:name w:val="_正文段落"/>
    <w:basedOn w:val="1"/>
    <w:qFormat/>
    <w:uiPriority w:val="0"/>
    <w:pPr>
      <w:spacing w:beforeLines="15" w:afterLines="15" w:line="360" w:lineRule="auto"/>
      <w:ind w:firstLine="200" w:firstLineChars="200"/>
    </w:pPr>
  </w:style>
  <w:style w:type="paragraph" w:customStyle="1" w:styleId="182">
    <w:name w:val="总体设计正文样式"/>
    <w:basedOn w:val="1"/>
    <w:qFormat/>
    <w:uiPriority w:val="0"/>
    <w:pPr>
      <w:spacing w:line="360" w:lineRule="auto"/>
      <w:ind w:firstLine="200" w:firstLineChars="200"/>
    </w:pPr>
    <w:rPr>
      <w:rFonts w:eastAsia="仿宋_GB2312" w:cs="宋体"/>
      <w:sz w:val="24"/>
      <w:szCs w:val="20"/>
    </w:rPr>
  </w:style>
  <w:style w:type="paragraph" w:customStyle="1" w:styleId="18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84">
    <w:name w:val="Char Char1 Char Char Char Char Char Char"/>
    <w:basedOn w:val="1"/>
    <w:qFormat/>
    <w:uiPriority w:val="0"/>
    <w:pPr>
      <w:widowControl/>
      <w:spacing w:line="240" w:lineRule="exact"/>
      <w:jc w:val="left"/>
    </w:pPr>
    <w:rPr>
      <w:rFonts w:ascii="Verdana" w:hAnsi="Verdana" w:eastAsia="仿宋_GB2312"/>
      <w:kern w:val="0"/>
      <w:sz w:val="24"/>
      <w:szCs w:val="20"/>
      <w:lang w:eastAsia="en-US"/>
    </w:rPr>
  </w:style>
  <w:style w:type="paragraph" w:customStyle="1" w:styleId="185">
    <w:name w:val="默认段落字体 Para Char Char Char Char Char Char Char"/>
    <w:basedOn w:val="1"/>
    <w:qFormat/>
    <w:uiPriority w:val="0"/>
    <w:rPr>
      <w:rFonts w:ascii="Verdana" w:hAnsi="Verdana" w:eastAsia="楷体_GB2312"/>
      <w:b/>
      <w:i/>
      <w:iCs/>
      <w:color w:val="000000"/>
      <w:kern w:val="0"/>
      <w:sz w:val="20"/>
      <w:szCs w:val="20"/>
      <w:lang w:eastAsia="en-US"/>
    </w:rPr>
  </w:style>
  <w:style w:type="paragraph" w:customStyle="1" w:styleId="186">
    <w:name w:val="CM37"/>
    <w:basedOn w:val="187"/>
    <w:next w:val="187"/>
    <w:qFormat/>
    <w:uiPriority w:val="0"/>
    <w:pPr>
      <w:spacing w:after="533"/>
    </w:pPr>
    <w:rPr>
      <w:rFonts w:ascii="宋体" w:hAnsi="Times New Roman"/>
      <w:color w:val="auto"/>
    </w:rPr>
  </w:style>
  <w:style w:type="paragraph" w:customStyle="1" w:styleId="187">
    <w:name w:val="Default"/>
    <w:qFormat/>
    <w:uiPriority w:val="0"/>
    <w:pPr>
      <w:widowControl w:val="0"/>
      <w:autoSpaceDE w:val="0"/>
      <w:autoSpaceDN w:val="0"/>
      <w:adjustRightInd w:val="0"/>
      <w:spacing w:line="360" w:lineRule="auto"/>
      <w:ind w:firstLine="578"/>
    </w:pPr>
    <w:rPr>
      <w:rFonts w:ascii="Arial Unicode MS" w:hAnsi="Arial Unicode MS" w:eastAsia="宋体" w:cs="Times New Roman"/>
      <w:color w:val="000000"/>
      <w:sz w:val="24"/>
      <w:szCs w:val="24"/>
      <w:lang w:val="en-US" w:eastAsia="zh-CN" w:bidi="ar-SA"/>
    </w:rPr>
  </w:style>
  <w:style w:type="paragraph" w:customStyle="1" w:styleId="188">
    <w:name w:val="font8"/>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189">
    <w:name w:val="_标题3"/>
    <w:basedOn w:val="6"/>
    <w:next w:val="1"/>
    <w:qFormat/>
    <w:uiPriority w:val="0"/>
    <w:pPr>
      <w:tabs>
        <w:tab w:val="left" w:pos="720"/>
      </w:tabs>
      <w:spacing w:beforeLines="50" w:afterLines="50"/>
      <w:ind w:left="720"/>
    </w:pPr>
    <w:rPr>
      <w:rFonts w:ascii="Arial" w:hAnsi="Arial" w:eastAsia="黑体"/>
      <w:sz w:val="30"/>
    </w:rPr>
  </w:style>
  <w:style w:type="paragraph" w:customStyle="1" w:styleId="190">
    <w:name w:val="正文文本 21"/>
    <w:basedOn w:val="1"/>
    <w:qFormat/>
    <w:uiPriority w:val="0"/>
    <w:pPr>
      <w:adjustRightInd w:val="0"/>
      <w:spacing w:line="540" w:lineRule="exact"/>
      <w:ind w:firstLine="641"/>
      <w:jc w:val="left"/>
      <w:textAlignment w:val="baseline"/>
    </w:pPr>
    <w:rPr>
      <w:rFonts w:ascii="仿宋_GB2312" w:eastAsia="仿宋_GB2312"/>
      <w:kern w:val="0"/>
      <w:sz w:val="32"/>
      <w:szCs w:val="20"/>
    </w:rPr>
  </w:style>
  <w:style w:type="paragraph" w:customStyle="1" w:styleId="191">
    <w:name w:val="Main Title"/>
    <w:basedOn w:val="1"/>
    <w:qFormat/>
    <w:uiPriority w:val="0"/>
    <w:pPr>
      <w:spacing w:before="480" w:afterLines="50"/>
      <w:jc w:val="center"/>
    </w:pPr>
    <w:rPr>
      <w:rFonts w:ascii="Arial" w:hAnsi="Arial"/>
      <w:b/>
      <w:kern w:val="28"/>
      <w:sz w:val="32"/>
      <w:szCs w:val="20"/>
      <w:lang w:eastAsia="en-US"/>
    </w:rPr>
  </w:style>
  <w:style w:type="paragraph" w:customStyle="1" w:styleId="192">
    <w:name w:val="xl57"/>
    <w:basedOn w:val="1"/>
    <w:qFormat/>
    <w:uiPriority w:val="0"/>
    <w:pPr>
      <w:widowControl/>
      <w:pBdr>
        <w:bottom w:val="single" w:color="auto" w:sz="8" w:space="0"/>
      </w:pBdr>
      <w:spacing w:before="100" w:beforeAutospacing="1" w:afterAutospacing="1"/>
      <w:jc w:val="center"/>
    </w:pPr>
    <w:rPr>
      <w:rFonts w:ascii="宋体" w:hAnsi="宋体"/>
      <w:kern w:val="0"/>
      <w:sz w:val="28"/>
      <w:szCs w:val="28"/>
    </w:rPr>
  </w:style>
  <w:style w:type="paragraph" w:customStyle="1" w:styleId="193">
    <w:name w:val="xl55"/>
    <w:basedOn w:val="1"/>
    <w:qFormat/>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194">
    <w:name w:val="Char Char Char Char Char Char"/>
    <w:basedOn w:val="1"/>
    <w:qFormat/>
    <w:uiPriority w:val="0"/>
    <w:rPr>
      <w:rFonts w:ascii="Tahoma" w:hAnsi="Tahoma"/>
      <w:sz w:val="24"/>
      <w:szCs w:val="20"/>
    </w:rPr>
  </w:style>
  <w:style w:type="paragraph" w:customStyle="1" w:styleId="195">
    <w:name w:val="列出段落1"/>
    <w:basedOn w:val="1"/>
    <w:qFormat/>
    <w:uiPriority w:val="0"/>
    <w:pPr>
      <w:ind w:firstLine="420" w:firstLineChars="200"/>
    </w:pPr>
    <w:rPr>
      <w:rFonts w:ascii="Calibri" w:hAnsi="Calibri"/>
      <w:szCs w:val="22"/>
    </w:rPr>
  </w:style>
  <w:style w:type="paragraph" w:customStyle="1" w:styleId="196">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197">
    <w:name w:val="xl50"/>
    <w:basedOn w:val="1"/>
    <w:qFormat/>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198">
    <w:name w:val="xl77"/>
    <w:basedOn w:val="1"/>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99">
    <w:name w:val="图名"/>
    <w:basedOn w:val="1"/>
    <w:qFormat/>
    <w:uiPriority w:val="0"/>
    <w:pPr>
      <w:spacing w:line="360" w:lineRule="auto"/>
      <w:jc w:val="center"/>
    </w:pPr>
    <w:rPr>
      <w:rFonts w:ascii="黑体" w:eastAsia="黑体"/>
      <w:b/>
      <w:sz w:val="32"/>
      <w:szCs w:val="32"/>
    </w:rPr>
  </w:style>
  <w:style w:type="paragraph" w:customStyle="1" w:styleId="200">
    <w:name w:val="_标题5"/>
    <w:basedOn w:val="8"/>
    <w:next w:val="181"/>
    <w:qFormat/>
    <w:uiPriority w:val="0"/>
    <w:pPr>
      <w:ind w:left="4253" w:hanging="4253"/>
    </w:pPr>
    <w:rPr>
      <w:rFonts w:ascii="Arial" w:hAnsi="Arial" w:eastAsia="黑体"/>
      <w:b w:val="0"/>
      <w:sz w:val="24"/>
    </w:rPr>
  </w:style>
  <w:style w:type="paragraph" w:customStyle="1" w:styleId="201">
    <w:name w:val="标题 21"/>
    <w:basedOn w:val="1"/>
    <w:qFormat/>
    <w:uiPriority w:val="0"/>
    <w:pPr>
      <w:spacing w:afterLines="100" w:line="360" w:lineRule="auto"/>
    </w:pPr>
    <w:rPr>
      <w:sz w:val="24"/>
    </w:rPr>
  </w:style>
  <w:style w:type="paragraph" w:customStyle="1" w:styleId="202">
    <w:name w:val="xl45"/>
    <w:basedOn w:val="1"/>
    <w:qFormat/>
    <w:uiPriority w:val="0"/>
    <w:pPr>
      <w:widowControl/>
      <w:pBdr>
        <w:top w:val="single" w:color="auto" w:sz="4" w:space="0"/>
      </w:pBdr>
      <w:spacing w:before="100" w:beforeAutospacing="1" w:afterAutospacing="1"/>
      <w:jc w:val="left"/>
    </w:pPr>
    <w:rPr>
      <w:kern w:val="0"/>
      <w:sz w:val="28"/>
      <w:szCs w:val="28"/>
    </w:rPr>
  </w:style>
  <w:style w:type="paragraph" w:customStyle="1" w:styleId="203">
    <w:name w:val="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20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0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06">
    <w:name w:val="xl38"/>
    <w:basedOn w:val="1"/>
    <w:qFormat/>
    <w:uiPriority w:val="0"/>
    <w:pPr>
      <w:widowControl/>
      <w:spacing w:before="100" w:beforeAutospacing="1" w:afterAutospacing="1"/>
      <w:jc w:val="center"/>
      <w:textAlignment w:val="center"/>
    </w:pPr>
    <w:rPr>
      <w:rFonts w:ascii="宋体" w:hAnsi="宋体"/>
      <w:kern w:val="0"/>
      <w:sz w:val="28"/>
      <w:szCs w:val="28"/>
    </w:rPr>
  </w:style>
  <w:style w:type="paragraph" w:customStyle="1" w:styleId="207">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0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209">
    <w:name w:val="xl4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pPr>
    <w:rPr>
      <w:kern w:val="0"/>
      <w:sz w:val="28"/>
      <w:szCs w:val="28"/>
    </w:rPr>
  </w:style>
  <w:style w:type="paragraph" w:customStyle="1" w:styleId="210">
    <w:name w:val="xl94"/>
    <w:basedOn w:val="1"/>
    <w:qFormat/>
    <w:uiPriority w:val="0"/>
    <w:pPr>
      <w:widowControl/>
      <w:spacing w:before="100" w:beforeAutospacing="1" w:afterAutospacing="1"/>
      <w:jc w:val="center"/>
      <w:textAlignment w:val="center"/>
    </w:pPr>
    <w:rPr>
      <w:rFonts w:ascii="宋体" w:hAnsi="宋体" w:cs="宋体"/>
      <w:b/>
      <w:bCs/>
      <w:kern w:val="0"/>
      <w:sz w:val="20"/>
      <w:szCs w:val="20"/>
    </w:rPr>
  </w:style>
  <w:style w:type="paragraph" w:customStyle="1" w:styleId="211">
    <w:name w:val="xl54"/>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Autospacing="1"/>
      <w:jc w:val="center"/>
    </w:pPr>
    <w:rPr>
      <w:kern w:val="0"/>
      <w:sz w:val="28"/>
      <w:szCs w:val="28"/>
    </w:rPr>
  </w:style>
  <w:style w:type="paragraph" w:customStyle="1" w:styleId="212">
    <w:name w:val="标题 12"/>
    <w:basedOn w:val="1"/>
    <w:qFormat/>
    <w:uiPriority w:val="0"/>
    <w:pPr>
      <w:spacing w:afterLines="100" w:line="360" w:lineRule="auto"/>
    </w:pPr>
    <w:rPr>
      <w:sz w:val="24"/>
    </w:rPr>
  </w:style>
  <w:style w:type="paragraph" w:customStyle="1" w:styleId="213">
    <w:name w:val="font9"/>
    <w:basedOn w:val="1"/>
    <w:qFormat/>
    <w:uiPriority w:val="0"/>
    <w:pPr>
      <w:widowControl/>
      <w:spacing w:before="100" w:beforeAutospacing="1" w:afterAutospacing="1"/>
      <w:jc w:val="left"/>
    </w:pPr>
    <w:rPr>
      <w:kern w:val="0"/>
      <w:sz w:val="20"/>
      <w:szCs w:val="20"/>
    </w:rPr>
  </w:style>
  <w:style w:type="paragraph" w:customStyle="1" w:styleId="21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215">
    <w:name w:val="p15"/>
    <w:basedOn w:val="1"/>
    <w:qFormat/>
    <w:uiPriority w:val="0"/>
    <w:pPr>
      <w:widowControl/>
    </w:pPr>
    <w:rPr>
      <w:kern w:val="0"/>
      <w:sz w:val="24"/>
    </w:rPr>
  </w:style>
  <w:style w:type="paragraph" w:customStyle="1" w:styleId="216">
    <w:name w:val="xl118"/>
    <w:basedOn w:val="1"/>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17">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18">
    <w:name w:val="Char1"/>
    <w:basedOn w:val="1"/>
    <w:qFormat/>
    <w:uiPriority w:val="0"/>
    <w:pPr>
      <w:widowControl/>
      <w:spacing w:line="240" w:lineRule="exact"/>
      <w:jc w:val="left"/>
    </w:pPr>
    <w:rPr>
      <w:rFonts w:ascii="Verdana" w:hAnsi="Verdana"/>
      <w:kern w:val="0"/>
      <w:szCs w:val="20"/>
      <w:lang w:eastAsia="en-US"/>
    </w:rPr>
  </w:style>
  <w:style w:type="paragraph" w:customStyle="1" w:styleId="219">
    <w:name w:val="xl56"/>
    <w:basedOn w:val="1"/>
    <w:qFormat/>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220">
    <w:name w:val="编写建议"/>
    <w:basedOn w:val="1"/>
    <w:qFormat/>
    <w:uiPriority w:val="0"/>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221">
    <w:name w:val="style17"/>
    <w:basedOn w:val="1"/>
    <w:qFormat/>
    <w:uiPriority w:val="0"/>
    <w:pPr>
      <w:widowControl/>
      <w:spacing w:before="100" w:beforeAutospacing="1" w:afterLines="100"/>
      <w:jc w:val="left"/>
    </w:pPr>
    <w:rPr>
      <w:rFonts w:ascii="宋体" w:hAnsi="宋体" w:cs="宋体"/>
      <w:kern w:val="0"/>
      <w:sz w:val="18"/>
      <w:szCs w:val="18"/>
    </w:rPr>
  </w:style>
  <w:style w:type="paragraph" w:customStyle="1" w:styleId="222">
    <w:name w:val="默认段落字体 Para Char"/>
    <w:basedOn w:val="1"/>
    <w:qFormat/>
    <w:uiPriority w:val="0"/>
    <w:rPr>
      <w:rFonts w:ascii="Tahoma" w:hAnsi="Tahoma"/>
      <w:sz w:val="24"/>
      <w:szCs w:val="20"/>
    </w:rPr>
  </w:style>
  <w:style w:type="paragraph" w:customStyle="1" w:styleId="223">
    <w:name w:val="xl59"/>
    <w:basedOn w:val="1"/>
    <w:qFormat/>
    <w:uiPriority w:val="0"/>
    <w:pPr>
      <w:widowControl/>
      <w:spacing w:before="100" w:beforeAutospacing="1" w:afterAutospacing="1"/>
      <w:jc w:val="left"/>
      <w:textAlignment w:val="center"/>
    </w:pPr>
    <w:rPr>
      <w:rFonts w:ascii="宋体" w:hAnsi="宋体"/>
      <w:kern w:val="0"/>
      <w:sz w:val="24"/>
    </w:rPr>
  </w:style>
  <w:style w:type="paragraph" w:customStyle="1" w:styleId="22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25">
    <w:name w:val="样式 标题 5口H5PIM 5h5Level 3 - iheading 51.1.1.1.1标题 5标ghfhg..."/>
    <w:basedOn w:val="8"/>
    <w:qFormat/>
    <w:uiPriority w:val="0"/>
    <w:pPr>
      <w:adjustRightInd w:val="0"/>
      <w:spacing w:line="376" w:lineRule="atLeast"/>
      <w:ind w:left="992" w:hanging="420"/>
      <w:textAlignment w:val="baseline"/>
    </w:pPr>
    <w:rPr>
      <w:color w:val="000000"/>
      <w:sz w:val="24"/>
      <w:szCs w:val="20"/>
    </w:rPr>
  </w:style>
  <w:style w:type="paragraph" w:customStyle="1" w:styleId="226">
    <w:name w:val="列出段落2"/>
    <w:basedOn w:val="1"/>
    <w:qFormat/>
    <w:uiPriority w:val="0"/>
    <w:pPr>
      <w:ind w:firstLine="420" w:firstLineChars="200"/>
    </w:pPr>
    <w:rPr>
      <w:rFonts w:ascii="Calibri" w:hAnsi="Calibri"/>
      <w:szCs w:val="22"/>
    </w:rPr>
  </w:style>
  <w:style w:type="paragraph" w:customStyle="1" w:styleId="227">
    <w:name w:val="xl113"/>
    <w:basedOn w:val="1"/>
    <w:qFormat/>
    <w:uiPriority w:val="0"/>
    <w:pPr>
      <w:widowControl/>
      <w:spacing w:before="100" w:beforeAutospacing="1" w:afterAutospacing="1"/>
      <w:jc w:val="left"/>
      <w:textAlignment w:val="center"/>
    </w:pPr>
    <w:rPr>
      <w:rFonts w:ascii="宋体" w:hAnsi="宋体" w:cs="宋体"/>
      <w:kern w:val="0"/>
      <w:sz w:val="20"/>
      <w:szCs w:val="20"/>
    </w:rPr>
  </w:style>
  <w:style w:type="paragraph" w:customStyle="1" w:styleId="228">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29">
    <w:name w:val="标题 31"/>
    <w:basedOn w:val="1"/>
    <w:qFormat/>
    <w:uiPriority w:val="0"/>
    <w:pPr>
      <w:spacing w:afterLines="100" w:line="360" w:lineRule="auto"/>
    </w:pPr>
    <w:rPr>
      <w:sz w:val="24"/>
    </w:rPr>
  </w:style>
  <w:style w:type="paragraph" w:customStyle="1" w:styleId="230">
    <w:name w:val="font5"/>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231">
    <w:name w:val="正文 + 宋体"/>
    <w:basedOn w:val="1"/>
    <w:qFormat/>
    <w:uiPriority w:val="0"/>
    <w:pPr>
      <w:adjustRightInd w:val="0"/>
      <w:spacing w:line="360" w:lineRule="auto"/>
      <w:ind w:firstLine="200" w:firstLineChars="200"/>
      <w:textAlignment w:val="baseline"/>
    </w:pPr>
    <w:rPr>
      <w:rFonts w:ascii="宋体"/>
      <w:kern w:val="0"/>
      <w:szCs w:val="21"/>
    </w:rPr>
  </w:style>
  <w:style w:type="paragraph" w:customStyle="1" w:styleId="232">
    <w:name w:val="项目"/>
    <w:basedOn w:val="181"/>
    <w:qFormat/>
    <w:uiPriority w:val="0"/>
    <w:pPr>
      <w:spacing w:beforeLines="0" w:afterLines="0"/>
      <w:ind w:firstLine="0" w:firstLineChars="0"/>
    </w:pPr>
    <w:rPr>
      <w:rFonts w:ascii="宋体" w:hAnsi="宋体"/>
      <w:sz w:val="24"/>
    </w:rPr>
  </w:style>
  <w:style w:type="paragraph" w:customStyle="1" w:styleId="233">
    <w:name w:val="_表格文字"/>
    <w:basedOn w:val="1"/>
    <w:qFormat/>
    <w:uiPriority w:val="0"/>
    <w:pPr>
      <w:spacing w:beforeLines="10" w:afterLines="10"/>
    </w:pPr>
  </w:style>
  <w:style w:type="paragraph" w:customStyle="1" w:styleId="234">
    <w:name w:val="xl122"/>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35">
    <w:name w:val="Char"/>
    <w:basedOn w:val="1"/>
    <w:qFormat/>
    <w:uiPriority w:val="0"/>
    <w:rPr>
      <w:sz w:val="24"/>
    </w:rPr>
  </w:style>
  <w:style w:type="paragraph" w:customStyle="1" w:styleId="236">
    <w:name w:val="样式 标题 5 + 右侧:  -0.18 字符"/>
    <w:basedOn w:val="1"/>
    <w:qFormat/>
    <w:uiPriority w:val="0"/>
    <w:pPr>
      <w:tabs>
        <w:tab w:val="left" w:pos="1008"/>
      </w:tabs>
      <w:ind w:left="1008" w:hanging="1008"/>
    </w:pPr>
  </w:style>
  <w:style w:type="paragraph" w:customStyle="1" w:styleId="237">
    <w:name w:val="Char Char1 Char"/>
    <w:basedOn w:val="1"/>
    <w:qFormat/>
    <w:uiPriority w:val="0"/>
    <w:pPr>
      <w:spacing w:line="360" w:lineRule="auto"/>
    </w:pPr>
    <w:rPr>
      <w:rFonts w:ascii="Tahoma" w:hAnsi="Tahoma"/>
      <w:sz w:val="24"/>
      <w:szCs w:val="20"/>
    </w:rPr>
  </w:style>
  <w:style w:type="paragraph" w:customStyle="1" w:styleId="238">
    <w:name w:val="_正文段落加粗"/>
    <w:basedOn w:val="181"/>
    <w:qFormat/>
    <w:uiPriority w:val="0"/>
    <w:pPr>
      <w:spacing w:beforeLines="0" w:afterLines="0"/>
      <w:ind w:firstLine="480"/>
    </w:pPr>
    <w:rPr>
      <w:b/>
    </w:rPr>
  </w:style>
  <w:style w:type="paragraph" w:customStyle="1" w:styleId="239">
    <w:name w:val="xl46"/>
    <w:basedOn w:val="1"/>
    <w:qFormat/>
    <w:uiPriority w:val="0"/>
    <w:pPr>
      <w:widowControl/>
      <w:pBdr>
        <w:top w:val="single" w:color="auto" w:sz="4" w:space="0"/>
      </w:pBdr>
      <w:spacing w:before="100" w:beforeAutospacing="1" w:afterAutospacing="1"/>
      <w:jc w:val="left"/>
    </w:pPr>
    <w:rPr>
      <w:rFonts w:ascii="宋体" w:hAnsi="宋体"/>
      <w:kern w:val="0"/>
      <w:sz w:val="28"/>
      <w:szCs w:val="28"/>
    </w:rPr>
  </w:style>
  <w:style w:type="paragraph" w:customStyle="1" w:styleId="240">
    <w:name w:val="Char2 Char Char Char"/>
    <w:basedOn w:val="1"/>
    <w:qFormat/>
    <w:uiPriority w:val="0"/>
    <w:pPr>
      <w:widowControl/>
      <w:spacing w:beforeLines="100" w:line="240" w:lineRule="exact"/>
      <w:jc w:val="left"/>
    </w:pPr>
    <w:rPr>
      <w:rFonts w:ascii="Verdana" w:hAnsi="Verdana"/>
      <w:kern w:val="0"/>
      <w:sz w:val="20"/>
      <w:szCs w:val="20"/>
      <w:lang w:eastAsia="en-US"/>
    </w:rPr>
  </w:style>
  <w:style w:type="paragraph" w:customStyle="1" w:styleId="241">
    <w:name w:val="xl30"/>
    <w:basedOn w:val="1"/>
    <w:qFormat/>
    <w:uiPriority w:val="0"/>
    <w:pPr>
      <w:widowControl/>
      <w:spacing w:before="100" w:beforeAutospacing="1" w:afterAutospacing="1"/>
      <w:jc w:val="left"/>
    </w:pPr>
    <w:rPr>
      <w:rFonts w:ascii="宋体" w:hAnsi="宋体"/>
      <w:kern w:val="0"/>
      <w:sz w:val="28"/>
      <w:szCs w:val="28"/>
    </w:rPr>
  </w:style>
  <w:style w:type="paragraph" w:customStyle="1" w:styleId="242">
    <w:name w:val="xl75"/>
    <w:basedOn w:val="1"/>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24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44">
    <w:name w:val="postdate"/>
    <w:basedOn w:val="1"/>
    <w:qFormat/>
    <w:uiPriority w:val="0"/>
    <w:pPr>
      <w:widowControl/>
      <w:spacing w:before="100" w:beforeAutospacing="1" w:afterLines="100"/>
      <w:jc w:val="left"/>
    </w:pPr>
    <w:rPr>
      <w:rFonts w:ascii="宋体" w:hAnsi="宋体" w:cs="宋体"/>
      <w:color w:val="777777"/>
      <w:kern w:val="0"/>
      <w:sz w:val="17"/>
      <w:szCs w:val="17"/>
    </w:rPr>
  </w:style>
  <w:style w:type="paragraph" w:customStyle="1" w:styleId="245">
    <w:name w:val="font13"/>
    <w:basedOn w:val="1"/>
    <w:qFormat/>
    <w:uiPriority w:val="0"/>
    <w:pPr>
      <w:widowControl/>
      <w:spacing w:before="100" w:beforeAutospacing="1" w:afterAutospacing="1"/>
      <w:jc w:val="left"/>
    </w:pPr>
    <w:rPr>
      <w:rFonts w:hint="eastAsia" w:ascii="宋体" w:hAnsi="宋体"/>
      <w:color w:val="000000"/>
      <w:kern w:val="0"/>
      <w:sz w:val="28"/>
      <w:szCs w:val="28"/>
    </w:rPr>
  </w:style>
  <w:style w:type="paragraph" w:customStyle="1" w:styleId="24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4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48">
    <w:name w:val="pt105"/>
    <w:basedOn w:val="1"/>
    <w:qFormat/>
    <w:uiPriority w:val="0"/>
    <w:pPr>
      <w:widowControl/>
      <w:spacing w:before="100" w:beforeAutospacing="1" w:afterLines="100"/>
      <w:jc w:val="left"/>
    </w:pPr>
    <w:rPr>
      <w:rFonts w:ascii="宋体" w:hAnsi="宋体" w:cs="宋体"/>
      <w:kern w:val="0"/>
      <w:sz w:val="24"/>
    </w:rPr>
  </w:style>
  <w:style w:type="paragraph" w:customStyle="1" w:styleId="249">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50">
    <w:name w:val="Char2"/>
    <w:basedOn w:val="1"/>
    <w:qFormat/>
    <w:uiPriority w:val="0"/>
    <w:rPr>
      <w:rFonts w:ascii="Tahoma" w:hAnsi="Tahoma"/>
      <w:sz w:val="24"/>
      <w:szCs w:val="20"/>
    </w:rPr>
  </w:style>
  <w:style w:type="paragraph" w:customStyle="1" w:styleId="251">
    <w:name w:val="xl78"/>
    <w:basedOn w:val="1"/>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52">
    <w:name w:val="xl125"/>
    <w:basedOn w:val="1"/>
    <w:qFormat/>
    <w:uiPriority w:val="0"/>
    <w:pPr>
      <w:widowControl/>
      <w:pBdr>
        <w:top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53">
    <w:name w:val="列项·"/>
    <w:qFormat/>
    <w:uiPriority w:val="0"/>
    <w:pPr>
      <w:tabs>
        <w:tab w:val="left" w:pos="360"/>
        <w:tab w:val="left" w:pos="840"/>
      </w:tabs>
      <w:spacing w:line="360" w:lineRule="auto"/>
      <w:ind w:firstLine="578"/>
      <w:jc w:val="both"/>
    </w:pPr>
    <w:rPr>
      <w:rFonts w:ascii="宋体" w:hAnsi="Times New Roman" w:eastAsia="宋体" w:cs="Times New Roman"/>
      <w:sz w:val="21"/>
      <w:lang w:val="en-US" w:eastAsia="zh-CN" w:bidi="ar-SA"/>
    </w:rPr>
  </w:style>
  <w:style w:type="paragraph" w:customStyle="1" w:styleId="254">
    <w:name w:val="FR正文1"/>
    <w:basedOn w:val="1"/>
    <w:qFormat/>
    <w:uiPriority w:val="0"/>
    <w:pPr>
      <w:widowControl/>
      <w:adjustRightInd w:val="0"/>
      <w:snapToGrid w:val="0"/>
      <w:spacing w:line="360" w:lineRule="auto"/>
      <w:ind w:firstLine="425"/>
      <w:jc w:val="left"/>
    </w:pPr>
    <w:rPr>
      <w:rFonts w:eastAsia="仿宋_GB2312"/>
      <w:kern w:val="0"/>
      <w:szCs w:val="20"/>
    </w:rPr>
  </w:style>
  <w:style w:type="paragraph" w:customStyle="1" w:styleId="255">
    <w:name w:val="_标题4"/>
    <w:basedOn w:val="7"/>
    <w:next w:val="1"/>
    <w:qFormat/>
    <w:uiPriority w:val="0"/>
    <w:pPr>
      <w:tabs>
        <w:tab w:val="left" w:pos="2160"/>
      </w:tabs>
      <w:spacing w:after="0" w:line="372" w:lineRule="auto"/>
      <w:ind w:left="3402" w:hanging="3402"/>
    </w:pPr>
    <w:rPr>
      <w:rFonts w:ascii="Tahoma" w:hAnsi="Tahoma" w:eastAsia="黑体"/>
    </w:rPr>
  </w:style>
  <w:style w:type="paragraph" w:customStyle="1" w:styleId="25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257">
    <w:name w:val="表"/>
    <w:basedOn w:val="1"/>
    <w:next w:val="11"/>
    <w:qFormat/>
    <w:uiPriority w:val="0"/>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258">
    <w:name w:val="xl47"/>
    <w:basedOn w:val="1"/>
    <w:qFormat/>
    <w:uiPriority w:val="0"/>
    <w:pPr>
      <w:widowControl/>
      <w:pBdr>
        <w:top w:val="single" w:color="auto" w:sz="4" w:space="0"/>
      </w:pBdr>
      <w:spacing w:before="100" w:beforeAutospacing="1" w:afterAutospacing="1"/>
      <w:jc w:val="center"/>
    </w:pPr>
    <w:rPr>
      <w:rFonts w:ascii="宋体" w:hAnsi="宋体"/>
      <w:kern w:val="0"/>
      <w:sz w:val="28"/>
      <w:szCs w:val="28"/>
    </w:rPr>
  </w:style>
  <w:style w:type="paragraph" w:customStyle="1" w:styleId="259">
    <w:name w:val="xl121"/>
    <w:basedOn w:val="1"/>
    <w:qFormat/>
    <w:uiPriority w:val="0"/>
    <w:pPr>
      <w:widowControl/>
      <w:pBdr>
        <w:top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6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61">
    <w:name w:val="公文行文"/>
    <w:basedOn w:val="1"/>
    <w:qFormat/>
    <w:uiPriority w:val="0"/>
    <w:pPr>
      <w:spacing w:line="360" w:lineRule="auto"/>
      <w:ind w:firstLine="200" w:firstLineChars="200"/>
    </w:pPr>
    <w:rPr>
      <w:rFonts w:eastAsia="仿宋_GB2312"/>
      <w:sz w:val="28"/>
    </w:rPr>
  </w:style>
  <w:style w:type="paragraph" w:customStyle="1" w:styleId="262">
    <w:name w:val="正文首行缩进两字符"/>
    <w:basedOn w:val="1"/>
    <w:qFormat/>
    <w:uiPriority w:val="0"/>
    <w:pPr>
      <w:spacing w:line="300" w:lineRule="auto"/>
      <w:ind w:firstLine="200" w:firstLineChars="200"/>
    </w:pPr>
    <w:rPr>
      <w:rFonts w:ascii="Arial" w:hAnsi="Arial"/>
      <w:sz w:val="24"/>
    </w:rPr>
  </w:style>
  <w:style w:type="paragraph" w:customStyle="1" w:styleId="26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264">
    <w:name w:val="_题注"/>
    <w:basedOn w:val="16"/>
    <w:qFormat/>
    <w:uiPriority w:val="0"/>
    <w:pPr>
      <w:spacing w:before="0" w:afterLines="100"/>
      <w:jc w:val="center"/>
    </w:pPr>
    <w:rPr>
      <w:sz w:val="21"/>
      <w:szCs w:val="24"/>
    </w:rPr>
  </w:style>
  <w:style w:type="paragraph" w:customStyle="1" w:styleId="265">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266">
    <w:name w:val="Char1 Char Char Char Char Char Char Char"/>
    <w:basedOn w:val="1"/>
    <w:qFormat/>
    <w:uiPriority w:val="0"/>
    <w:pPr>
      <w:adjustRightInd w:val="0"/>
      <w:spacing w:before="60" w:line="360" w:lineRule="atLeast"/>
      <w:textAlignment w:val="baseline"/>
    </w:pPr>
    <w:rPr>
      <w:kern w:val="0"/>
      <w:sz w:val="24"/>
      <w:szCs w:val="20"/>
    </w:rPr>
  </w:style>
  <w:style w:type="paragraph" w:customStyle="1" w:styleId="267">
    <w:name w:val="xl53"/>
    <w:basedOn w:val="1"/>
    <w:qFormat/>
    <w:uiPriority w:val="0"/>
    <w:pPr>
      <w:widowControl/>
      <w:pBdr>
        <w:top w:val="single" w:color="auto" w:sz="4" w:space="0"/>
        <w:left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68">
    <w:name w:val="正文(首行缩进)"/>
    <w:basedOn w:val="1"/>
    <w:qFormat/>
    <w:uiPriority w:val="0"/>
    <w:pPr>
      <w:spacing w:line="360" w:lineRule="auto"/>
      <w:ind w:firstLine="200" w:firstLineChars="200"/>
    </w:pPr>
    <w:rPr>
      <w:rFonts w:ascii="Arial Narrow" w:hAnsi="Arial Narrow" w:eastAsia="楷体_GB2312"/>
      <w:sz w:val="24"/>
    </w:rPr>
  </w:style>
  <w:style w:type="paragraph" w:customStyle="1" w:styleId="269">
    <w:name w:val="_列表"/>
    <w:basedOn w:val="181"/>
    <w:qFormat/>
    <w:uiPriority w:val="0"/>
    <w:pPr>
      <w:spacing w:beforeLines="0" w:afterLines="0"/>
    </w:pPr>
    <w:rPr>
      <w:sz w:val="24"/>
    </w:rPr>
  </w:style>
  <w:style w:type="paragraph" w:customStyle="1" w:styleId="270">
    <w:name w:val="xl116"/>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71">
    <w:name w:val="标题 11"/>
    <w:basedOn w:val="1"/>
    <w:qFormat/>
    <w:uiPriority w:val="0"/>
    <w:pPr>
      <w:spacing w:afterLines="100" w:line="360" w:lineRule="auto"/>
    </w:pPr>
    <w:rPr>
      <w:sz w:val="24"/>
    </w:rPr>
  </w:style>
  <w:style w:type="paragraph" w:customStyle="1" w:styleId="272">
    <w:name w:val="新华社正文"/>
    <w:basedOn w:val="1"/>
    <w:qFormat/>
    <w:uiPriority w:val="0"/>
    <w:pPr>
      <w:snapToGrid w:val="0"/>
      <w:spacing w:line="360" w:lineRule="auto"/>
      <w:ind w:right="-36" w:firstLine="360" w:firstLineChars="150"/>
      <w:jc w:val="left"/>
    </w:pPr>
    <w:rPr>
      <w:rFonts w:ascii="Arial" w:hAnsi="Arial"/>
      <w:sz w:val="24"/>
    </w:rPr>
  </w:style>
  <w:style w:type="paragraph" w:customStyle="1" w:styleId="273">
    <w:name w:val="xl123"/>
    <w:basedOn w:val="1"/>
    <w:qFormat/>
    <w:uiPriority w:val="0"/>
    <w:pPr>
      <w:widowControl/>
      <w:pBdr>
        <w:top w:val="single" w:color="auto" w:sz="4" w:space="0"/>
        <w:left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74">
    <w:name w:val="_标题1"/>
    <w:basedOn w:val="4"/>
    <w:next w:val="181"/>
    <w:qFormat/>
    <w:uiPriority w:val="0"/>
    <w:pPr>
      <w:tabs>
        <w:tab w:val="left" w:pos="708"/>
        <w:tab w:val="left" w:pos="900"/>
      </w:tabs>
      <w:spacing w:after="0" w:line="576" w:lineRule="auto"/>
      <w:ind w:left="567" w:hanging="567"/>
      <w:jc w:val="center"/>
    </w:pPr>
    <w:rPr>
      <w:rFonts w:ascii="Arial" w:hAnsi="Arial" w:eastAsia="黑体"/>
      <w:b w:val="0"/>
    </w:rPr>
  </w:style>
  <w:style w:type="paragraph" w:customStyle="1" w:styleId="27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76">
    <w:name w:val="图题"/>
    <w:basedOn w:val="1"/>
    <w:next w:val="1"/>
    <w:qFormat/>
    <w:uiPriority w:val="0"/>
    <w:pPr>
      <w:widowControl/>
      <w:tabs>
        <w:tab w:val="left" w:pos="0"/>
      </w:tabs>
      <w:autoSpaceDN w:val="0"/>
      <w:spacing w:line="300" w:lineRule="auto"/>
      <w:jc w:val="center"/>
    </w:pPr>
    <w:rPr>
      <w:rFonts w:ascii="宋体" w:hAnsi="宋体"/>
      <w:kern w:val="0"/>
      <w:sz w:val="24"/>
    </w:rPr>
  </w:style>
  <w:style w:type="paragraph" w:customStyle="1" w:styleId="277">
    <w:name w:val="TOC 标题1"/>
    <w:basedOn w:val="4"/>
    <w:next w:val="1"/>
    <w:qFormat/>
    <w:uiPriority w:val="39"/>
    <w:pPr>
      <w:outlineLvl w:val="9"/>
    </w:pPr>
  </w:style>
  <w:style w:type="paragraph" w:customStyle="1" w:styleId="278">
    <w:name w:val="feeder"/>
    <w:basedOn w:val="1"/>
    <w:qFormat/>
    <w:uiPriority w:val="0"/>
    <w:pPr>
      <w:widowControl/>
      <w:spacing w:before="100" w:beforeAutospacing="1" w:afterLines="100" w:line="347" w:lineRule="atLeast"/>
      <w:jc w:val="left"/>
      <w:textAlignment w:val="bottom"/>
    </w:pPr>
    <w:rPr>
      <w:rFonts w:ascii="Verdana" w:hAnsi="Verdana" w:eastAsia="Arial Unicode MS" w:cs="Arial Unicode MS"/>
      <w:color w:val="666666"/>
      <w:kern w:val="0"/>
      <w:sz w:val="19"/>
      <w:szCs w:val="19"/>
    </w:rPr>
  </w:style>
  <w:style w:type="paragraph" w:customStyle="1" w:styleId="279">
    <w:name w:val="font7"/>
    <w:basedOn w:val="1"/>
    <w:qFormat/>
    <w:uiPriority w:val="0"/>
    <w:pPr>
      <w:widowControl/>
      <w:spacing w:before="100" w:beforeAutospacing="1" w:afterAutospacing="1"/>
      <w:jc w:val="left"/>
    </w:pPr>
    <w:rPr>
      <w:rFonts w:ascii="宋体" w:hAnsi="宋体" w:cs="宋体"/>
      <w:kern w:val="0"/>
      <w:sz w:val="20"/>
      <w:szCs w:val="20"/>
    </w:rPr>
  </w:style>
  <w:style w:type="paragraph" w:customStyle="1" w:styleId="28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81">
    <w:name w:val="前言、引言标题"/>
    <w:next w:val="1"/>
    <w:qFormat/>
    <w:uiPriority w:val="0"/>
    <w:pPr>
      <w:shd w:val="clear" w:color="FFFFFF" w:fill="FFFFFF"/>
      <w:tabs>
        <w:tab w:val="left" w:pos="360"/>
      </w:tabs>
      <w:spacing w:before="640" w:after="560" w:line="360" w:lineRule="auto"/>
      <w:jc w:val="center"/>
      <w:outlineLvl w:val="0"/>
    </w:pPr>
    <w:rPr>
      <w:rFonts w:ascii="黑体" w:hAnsi="Times New Roman" w:eastAsia="黑体" w:cs="Times New Roman"/>
      <w:sz w:val="32"/>
      <w:lang w:val="en-US" w:eastAsia="zh-CN" w:bidi="ar-SA"/>
    </w:rPr>
  </w:style>
  <w:style w:type="paragraph" w:customStyle="1" w:styleId="282">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center"/>
      <w:textAlignment w:val="center"/>
    </w:pPr>
    <w:rPr>
      <w:rFonts w:ascii="宋体" w:hAnsi="宋体" w:cs="宋体"/>
      <w:b/>
      <w:bCs/>
      <w:kern w:val="0"/>
      <w:sz w:val="20"/>
      <w:szCs w:val="20"/>
    </w:rPr>
  </w:style>
  <w:style w:type="paragraph" w:customStyle="1" w:styleId="283">
    <w:name w:val="_标题2"/>
    <w:basedOn w:val="5"/>
    <w:next w:val="1"/>
    <w:qFormat/>
    <w:uiPriority w:val="0"/>
    <w:pPr>
      <w:tabs>
        <w:tab w:val="left" w:pos="860"/>
      </w:tabs>
      <w:spacing w:beforeLines="50" w:afterLines="50" w:line="413" w:lineRule="auto"/>
      <w:ind w:left="1418" w:hanging="1418"/>
    </w:pPr>
    <w:rPr>
      <w:rFonts w:ascii="Tahoma" w:hAnsi="Tahoma"/>
    </w:rPr>
  </w:style>
  <w:style w:type="paragraph" w:customStyle="1" w:styleId="284">
    <w:name w:val="_Style 1"/>
    <w:basedOn w:val="1"/>
    <w:qFormat/>
    <w:uiPriority w:val="0"/>
    <w:pPr>
      <w:widowControl/>
      <w:spacing w:before="200" w:after="200" w:line="276" w:lineRule="auto"/>
      <w:ind w:firstLine="420" w:firstLineChars="200"/>
      <w:jc w:val="left"/>
    </w:pPr>
    <w:rPr>
      <w:rFonts w:ascii="Calibri" w:hAnsi="Calibri"/>
      <w:kern w:val="0"/>
      <w:sz w:val="20"/>
      <w:szCs w:val="20"/>
      <w:lang w:eastAsia="en-US" w:bidi="en-US"/>
    </w:rPr>
  </w:style>
  <w:style w:type="paragraph" w:customStyle="1" w:styleId="285">
    <w:name w:val="_图片"/>
    <w:basedOn w:val="1"/>
    <w:next w:val="181"/>
    <w:qFormat/>
    <w:uiPriority w:val="0"/>
    <w:pPr>
      <w:spacing w:before="46" w:line="360" w:lineRule="auto"/>
      <w:jc w:val="center"/>
    </w:pPr>
    <w:rPr>
      <w:sz w:val="18"/>
    </w:rPr>
  </w:style>
  <w:style w:type="paragraph" w:customStyle="1" w:styleId="286">
    <w:name w:val="投标文件 正文首行缩进"/>
    <w:basedOn w:val="43"/>
    <w:qFormat/>
    <w:uiPriority w:val="0"/>
    <w:pPr>
      <w:spacing w:after="220"/>
      <w:ind w:left="0" w:leftChars="0" w:firstLine="200"/>
    </w:pPr>
    <w:rPr>
      <w:rFonts w:ascii="Arial" w:hAnsi="Arial"/>
      <w:sz w:val="21"/>
    </w:rPr>
  </w:style>
  <w:style w:type="paragraph" w:customStyle="1" w:styleId="287">
    <w:name w:val="xl49"/>
    <w:basedOn w:val="1"/>
    <w:qFormat/>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88">
    <w:name w:val="图"/>
    <w:basedOn w:val="1"/>
    <w:next w:val="11"/>
    <w:qFormat/>
    <w:uiPriority w:val="0"/>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289">
    <w:name w:val="indent"/>
    <w:basedOn w:val="1"/>
    <w:qFormat/>
    <w:uiPriority w:val="0"/>
    <w:pPr>
      <w:widowControl/>
      <w:spacing w:before="60"/>
      <w:jc w:val="left"/>
    </w:pPr>
    <w:rPr>
      <w:rFonts w:ascii="Verdana" w:hAnsi="Verdana" w:cs="宋体"/>
      <w:color w:val="000000"/>
      <w:kern w:val="0"/>
      <w:sz w:val="18"/>
      <w:szCs w:val="18"/>
    </w:rPr>
  </w:style>
  <w:style w:type="paragraph" w:customStyle="1" w:styleId="290">
    <w:name w:val="正文段"/>
    <w:basedOn w:val="1"/>
    <w:qFormat/>
    <w:uiPriority w:val="0"/>
    <w:pPr>
      <w:widowControl/>
      <w:snapToGrid w:val="0"/>
      <w:spacing w:afterLines="50"/>
      <w:ind w:firstLine="200" w:firstLineChars="200"/>
    </w:pPr>
    <w:rPr>
      <w:kern w:val="0"/>
      <w:sz w:val="24"/>
      <w:szCs w:val="20"/>
    </w:rPr>
  </w:style>
  <w:style w:type="paragraph" w:customStyle="1" w:styleId="291">
    <w:name w:val="普通正文"/>
    <w:basedOn w:val="1"/>
    <w:qFormat/>
    <w:uiPriority w:val="0"/>
    <w:pPr>
      <w:adjustRightInd w:val="0"/>
      <w:spacing w:before="120" w:line="360" w:lineRule="auto"/>
      <w:ind w:firstLine="200" w:firstLineChars="200"/>
      <w:jc w:val="left"/>
      <w:textAlignment w:val="baseline"/>
    </w:pPr>
    <w:rPr>
      <w:rFonts w:ascii="Arial" w:hAnsi="Arial"/>
      <w:sz w:val="24"/>
    </w:rPr>
  </w:style>
  <w:style w:type="paragraph" w:customStyle="1" w:styleId="292">
    <w:name w:val="xl91"/>
    <w:basedOn w:val="1"/>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9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294">
    <w:name w:val="bodytext"/>
    <w:basedOn w:val="1"/>
    <w:qFormat/>
    <w:uiPriority w:val="0"/>
    <w:pPr>
      <w:widowControl/>
      <w:spacing w:before="140" w:line="360" w:lineRule="auto"/>
      <w:ind w:firstLine="420"/>
      <w:jc w:val="left"/>
    </w:pPr>
    <w:rPr>
      <w:rFonts w:ascii="宋体" w:hAnsi="宋体"/>
      <w:kern w:val="0"/>
      <w:szCs w:val="21"/>
    </w:rPr>
  </w:style>
  <w:style w:type="paragraph" w:customStyle="1" w:styleId="295">
    <w:name w:val="标题 22"/>
    <w:basedOn w:val="1"/>
    <w:qFormat/>
    <w:uiPriority w:val="0"/>
    <w:pPr>
      <w:spacing w:afterLines="100" w:line="360" w:lineRule="auto"/>
    </w:pPr>
    <w:rPr>
      <w:sz w:val="24"/>
    </w:rPr>
  </w:style>
  <w:style w:type="paragraph" w:customStyle="1" w:styleId="296">
    <w:name w:val="xl102"/>
    <w:basedOn w:val="1"/>
    <w:qFormat/>
    <w:uiPriority w:val="0"/>
    <w:pPr>
      <w:widowControl/>
      <w:pBdr>
        <w:top w:val="single" w:color="auto" w:sz="4" w:space="0"/>
        <w:left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97">
    <w:name w:val="_表格标题"/>
    <w:basedOn w:val="233"/>
    <w:qFormat/>
    <w:uiPriority w:val="0"/>
    <w:pPr>
      <w:spacing w:beforeLines="30" w:afterLines="30"/>
      <w:jc w:val="center"/>
    </w:pPr>
    <w:rPr>
      <w:b/>
      <w:sz w:val="24"/>
    </w:rPr>
  </w:style>
  <w:style w:type="paragraph" w:customStyle="1" w:styleId="298">
    <w:name w:val="Char Char Char Char Char Char Char Char Char Char Char Char Char Char Char Char"/>
    <w:basedOn w:val="1"/>
    <w:qFormat/>
    <w:uiPriority w:val="0"/>
    <w:rPr>
      <w:sz w:val="24"/>
    </w:rPr>
  </w:style>
  <w:style w:type="paragraph" w:customStyle="1" w:styleId="299">
    <w:name w:val="xl26"/>
    <w:basedOn w:val="1"/>
    <w:qFormat/>
    <w:uiPriority w:val="0"/>
    <w:pPr>
      <w:widowControl/>
      <w:spacing w:before="100" w:beforeAutospacing="1" w:afterAutospacing="1"/>
      <w:jc w:val="center"/>
    </w:pPr>
    <w:rPr>
      <w:rFonts w:ascii="宋体" w:hAnsi="宋体"/>
      <w:kern w:val="0"/>
      <w:sz w:val="24"/>
    </w:rPr>
  </w:style>
  <w:style w:type="paragraph" w:customStyle="1" w:styleId="300">
    <w:name w:val="CM13"/>
    <w:basedOn w:val="187"/>
    <w:next w:val="187"/>
    <w:qFormat/>
    <w:uiPriority w:val="0"/>
    <w:pPr>
      <w:spacing w:line="468" w:lineRule="atLeast"/>
    </w:pPr>
    <w:rPr>
      <w:rFonts w:ascii="宋体" w:hAnsi="Times New Roman"/>
      <w:color w:val="auto"/>
    </w:rPr>
  </w:style>
  <w:style w:type="paragraph" w:customStyle="1" w:styleId="301">
    <w:name w:val="xl32"/>
    <w:basedOn w:val="1"/>
    <w:qFormat/>
    <w:uiPriority w:val="0"/>
    <w:pPr>
      <w:widowControl/>
      <w:spacing w:before="100" w:beforeAutospacing="1" w:afterAutospacing="1"/>
      <w:jc w:val="left"/>
      <w:textAlignment w:val="center"/>
    </w:pPr>
    <w:rPr>
      <w:rFonts w:ascii="宋体" w:hAnsi="宋体"/>
      <w:kern w:val="0"/>
      <w:sz w:val="28"/>
      <w:szCs w:val="28"/>
    </w:rPr>
  </w:style>
  <w:style w:type="paragraph" w:customStyle="1" w:styleId="302">
    <w:name w:val="content"/>
    <w:basedOn w:val="1"/>
    <w:qFormat/>
    <w:uiPriority w:val="0"/>
    <w:pPr>
      <w:widowControl/>
      <w:spacing w:before="100" w:beforeAutospacing="1" w:afterLines="100" w:line="300" w:lineRule="atLeast"/>
      <w:jc w:val="left"/>
    </w:pPr>
    <w:rPr>
      <w:rFonts w:ascii="宋体" w:hAnsi="宋体" w:cs="宋体"/>
      <w:color w:val="666666"/>
      <w:kern w:val="0"/>
      <w:sz w:val="24"/>
    </w:rPr>
  </w:style>
  <w:style w:type="paragraph" w:customStyle="1" w:styleId="303">
    <w:name w:val="标题 32"/>
    <w:basedOn w:val="1"/>
    <w:qFormat/>
    <w:uiPriority w:val="0"/>
    <w:pPr>
      <w:spacing w:afterLines="100" w:line="360" w:lineRule="auto"/>
    </w:pPr>
    <w:rPr>
      <w:sz w:val="24"/>
    </w:rPr>
  </w:style>
  <w:style w:type="paragraph" w:customStyle="1" w:styleId="304">
    <w:name w:val="Char Char1 Char Char Char Char Char Char Char Char"/>
    <w:basedOn w:val="1"/>
    <w:qFormat/>
    <w:uiPriority w:val="0"/>
    <w:pPr>
      <w:widowControl/>
      <w:spacing w:line="240" w:lineRule="exact"/>
      <w:jc w:val="left"/>
    </w:pPr>
    <w:rPr>
      <w:rFonts w:ascii="Verdana" w:hAnsi="Verdana"/>
      <w:kern w:val="0"/>
      <w:sz w:val="18"/>
      <w:szCs w:val="20"/>
      <w:lang w:eastAsia="en-US"/>
    </w:rPr>
  </w:style>
  <w:style w:type="paragraph" w:customStyle="1" w:styleId="305">
    <w:name w:val="ÕýÎÄÊ×ÐÐËõ½ø"/>
    <w:basedOn w:val="1"/>
    <w:qFormat/>
    <w:uiPriority w:val="0"/>
    <w:pPr>
      <w:widowControl/>
      <w:overflowPunct w:val="0"/>
      <w:autoSpaceDE w:val="0"/>
      <w:autoSpaceDN w:val="0"/>
      <w:adjustRightInd w:val="0"/>
      <w:spacing w:line="360" w:lineRule="auto"/>
      <w:ind w:firstLine="425"/>
      <w:textAlignment w:val="baseline"/>
    </w:pPr>
    <w:rPr>
      <w:kern w:val="0"/>
      <w:szCs w:val="20"/>
    </w:rPr>
  </w:style>
  <w:style w:type="paragraph" w:customStyle="1" w:styleId="306">
    <w:name w:val="xl51"/>
    <w:basedOn w:val="1"/>
    <w:qFormat/>
    <w:uiPriority w:val="0"/>
    <w:pPr>
      <w:widowControl/>
      <w:pBdr>
        <w:top w:val="single" w:color="auto" w:sz="4" w:space="0"/>
        <w:bottom w:val="single" w:color="auto" w:sz="4" w:space="0"/>
      </w:pBdr>
      <w:spacing w:before="100" w:beforeAutospacing="1" w:afterAutospacing="1"/>
      <w:jc w:val="center"/>
    </w:pPr>
    <w:rPr>
      <w:rFonts w:ascii="宋体" w:hAnsi="宋体"/>
      <w:kern w:val="0"/>
      <w:sz w:val="28"/>
      <w:szCs w:val="28"/>
    </w:rPr>
  </w:style>
  <w:style w:type="paragraph" w:customStyle="1" w:styleId="307">
    <w:name w:val="postmetadata"/>
    <w:basedOn w:val="1"/>
    <w:qFormat/>
    <w:uiPriority w:val="0"/>
    <w:pPr>
      <w:widowControl/>
      <w:pBdr>
        <w:bottom w:val="single" w:color="DDDDDD" w:sz="6" w:space="12"/>
      </w:pBdr>
      <w:spacing w:before="153"/>
      <w:jc w:val="right"/>
    </w:pPr>
    <w:rPr>
      <w:rFonts w:ascii="宋体" w:hAnsi="宋体" w:cs="宋体"/>
      <w:kern w:val="0"/>
      <w:sz w:val="24"/>
    </w:rPr>
  </w:style>
  <w:style w:type="paragraph" w:customStyle="1" w:styleId="308">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09">
    <w:name w:val="Default Paragraph Font Para Char"/>
    <w:basedOn w:val="1"/>
    <w:qFormat/>
    <w:uiPriority w:val="0"/>
    <w:pPr>
      <w:widowControl/>
      <w:spacing w:line="240" w:lineRule="exact"/>
      <w:jc w:val="left"/>
    </w:pPr>
    <w:rPr>
      <w:rFonts w:ascii="Verdana" w:hAnsi="Verdana"/>
      <w:kern w:val="0"/>
      <w:sz w:val="20"/>
      <w:szCs w:val="20"/>
      <w:lang w:eastAsia="en-US"/>
    </w:rPr>
  </w:style>
  <w:style w:type="paragraph" w:customStyle="1" w:styleId="310">
    <w:name w:val="文档标题"/>
    <w:next w:val="1"/>
    <w:qFormat/>
    <w:uiPriority w:val="0"/>
    <w:pPr>
      <w:spacing w:beforeLines="50" w:afterLines="100" w:line="360" w:lineRule="auto"/>
      <w:ind w:firstLine="578"/>
      <w:jc w:val="center"/>
      <w:outlineLvl w:val="0"/>
    </w:pPr>
    <w:rPr>
      <w:rFonts w:ascii="Times New Roman" w:hAnsi="Times New Roman" w:eastAsia="黑体" w:cs="Times New Roman"/>
      <w:b/>
      <w:spacing w:val="10"/>
      <w:sz w:val="44"/>
      <w:lang w:val="en-US" w:eastAsia="zh-CN" w:bidi="ar-SA"/>
    </w:rPr>
  </w:style>
  <w:style w:type="paragraph" w:customStyle="1" w:styleId="311">
    <w:name w:val="代码表标题"/>
    <w:qFormat/>
    <w:uiPriority w:val="0"/>
    <w:pPr>
      <w:spacing w:line="360" w:lineRule="auto"/>
      <w:ind w:left="1800" w:firstLine="578"/>
      <w:jc w:val="center"/>
    </w:pPr>
    <w:rPr>
      <w:rFonts w:ascii="Times New Roman" w:hAnsi="Times New Roman" w:eastAsia="黑体" w:cs="Times New Roman"/>
      <w:kern w:val="2"/>
      <w:sz w:val="21"/>
      <w:szCs w:val="24"/>
      <w:lang w:val="en-US" w:eastAsia="zh-CN" w:bidi="ar-SA"/>
    </w:rPr>
  </w:style>
  <w:style w:type="paragraph" w:customStyle="1" w:styleId="312">
    <w:name w:val="插图"/>
    <w:basedOn w:val="24"/>
    <w:qFormat/>
    <w:uiPriority w:val="0"/>
    <w:pPr>
      <w:tabs>
        <w:tab w:val="left" w:pos="425"/>
      </w:tabs>
      <w:spacing w:beforeLines="0" w:afterLines="0" w:line="240" w:lineRule="auto"/>
      <w:jc w:val="center"/>
    </w:pPr>
    <w:rPr>
      <w:sz w:val="21"/>
      <w:szCs w:val="21"/>
    </w:rPr>
  </w:style>
  <w:style w:type="paragraph" w:customStyle="1" w:styleId="313">
    <w:name w:val="模板普通正文"/>
    <w:basedOn w:val="20"/>
    <w:qFormat/>
    <w:uiPriority w:val="0"/>
    <w:pPr>
      <w:spacing w:beforeLines="50" w:line="360" w:lineRule="auto"/>
      <w:ind w:left="0" w:leftChars="0" w:firstLine="490" w:firstLineChars="175"/>
      <w:jc w:val="left"/>
    </w:pPr>
    <w:rPr>
      <w:sz w:val="24"/>
    </w:rPr>
  </w:style>
  <w:style w:type="paragraph" w:customStyle="1" w:styleId="314">
    <w:name w:val="p0"/>
    <w:basedOn w:val="1"/>
    <w:qFormat/>
    <w:uiPriority w:val="0"/>
    <w:pPr>
      <w:widowControl/>
    </w:pPr>
    <w:rPr>
      <w:rFonts w:ascii="華康辦公用具篇" w:hAnsi="華康辦公用具篇" w:cs="宋体"/>
      <w:kern w:val="0"/>
      <w:szCs w:val="21"/>
    </w:rPr>
  </w:style>
  <w:style w:type="paragraph" w:customStyle="1" w:styleId="31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olor w:val="000000"/>
      <w:kern w:val="0"/>
      <w:sz w:val="28"/>
      <w:szCs w:val="28"/>
    </w:rPr>
  </w:style>
  <w:style w:type="paragraph" w:customStyle="1" w:styleId="316">
    <w:name w:val="xl29"/>
    <w:basedOn w:val="1"/>
    <w:qFormat/>
    <w:uiPriority w:val="0"/>
    <w:pPr>
      <w:widowControl/>
      <w:spacing w:before="100" w:beforeAutospacing="1" w:afterAutospacing="1"/>
      <w:jc w:val="left"/>
    </w:pPr>
    <w:rPr>
      <w:rFonts w:ascii="宋体" w:hAnsi="宋体"/>
      <w:kern w:val="0"/>
      <w:sz w:val="28"/>
      <w:szCs w:val="28"/>
    </w:rPr>
  </w:style>
  <w:style w:type="paragraph" w:customStyle="1" w:styleId="317">
    <w:name w:val="Char Char1 Char Char Char Char"/>
    <w:basedOn w:val="17"/>
    <w:qFormat/>
    <w:uiPriority w:val="0"/>
    <w:pPr>
      <w:spacing w:afterLines="0"/>
      <w:ind w:firstLine="540" w:firstLineChars="0"/>
    </w:pPr>
    <w:rPr>
      <w:rFonts w:eastAsia="仿宋_GB2312"/>
      <w:b/>
      <w:sz w:val="36"/>
      <w:szCs w:val="36"/>
    </w:rPr>
  </w:style>
  <w:style w:type="paragraph" w:customStyle="1" w:styleId="318">
    <w:name w:val="xl4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kern w:val="0"/>
      <w:sz w:val="28"/>
      <w:szCs w:val="28"/>
    </w:rPr>
  </w:style>
  <w:style w:type="paragraph" w:customStyle="1" w:styleId="319">
    <w:name w:val="程序段"/>
    <w:basedOn w:val="1"/>
    <w:qFormat/>
    <w:uiPriority w:val="0"/>
    <w:pPr>
      <w:ind w:firstLine="420" w:firstLineChars="200"/>
    </w:pPr>
    <w:rPr>
      <w:rFonts w:ascii="Courier" w:hAnsi="Courier"/>
    </w:rPr>
  </w:style>
  <w:style w:type="paragraph" w:customStyle="1" w:styleId="320">
    <w:name w:val="xl52"/>
    <w:basedOn w:val="1"/>
    <w:qFormat/>
    <w:uiPriority w:val="0"/>
    <w:pPr>
      <w:widowControl/>
      <w:pBdr>
        <w:left w:val="single" w:color="auto" w:sz="8" w:space="0"/>
        <w:right w:val="single" w:color="auto" w:sz="4" w:space="0"/>
      </w:pBdr>
      <w:spacing w:before="100" w:beforeAutospacing="1" w:afterAutospacing="1"/>
      <w:jc w:val="center"/>
    </w:pPr>
    <w:rPr>
      <w:kern w:val="0"/>
      <w:sz w:val="28"/>
      <w:szCs w:val="28"/>
    </w:rPr>
  </w:style>
  <w:style w:type="paragraph" w:customStyle="1" w:styleId="321">
    <w:name w:val="Char Char Char Char Char Char Char Char Char 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322">
    <w:name w:val="xl124"/>
    <w:basedOn w:val="1"/>
    <w:qFormat/>
    <w:uiPriority w:val="0"/>
    <w:pPr>
      <w:widowControl/>
      <w:pBdr>
        <w:top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23">
    <w:name w:val="xl31"/>
    <w:basedOn w:val="1"/>
    <w:qFormat/>
    <w:uiPriority w:val="0"/>
    <w:pPr>
      <w:widowControl/>
      <w:spacing w:before="100" w:beforeAutospacing="1" w:afterAutospacing="1"/>
      <w:jc w:val="center"/>
    </w:pPr>
    <w:rPr>
      <w:rFonts w:ascii="宋体" w:hAnsi="宋体"/>
      <w:kern w:val="0"/>
      <w:sz w:val="28"/>
      <w:szCs w:val="28"/>
    </w:rPr>
  </w:style>
  <w:style w:type="paragraph" w:customStyle="1" w:styleId="32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25">
    <w:name w:val="font12"/>
    <w:basedOn w:val="1"/>
    <w:qFormat/>
    <w:uiPriority w:val="0"/>
    <w:pPr>
      <w:widowControl/>
      <w:spacing w:before="100" w:beforeAutospacing="1" w:afterAutospacing="1"/>
      <w:jc w:val="left"/>
    </w:pPr>
    <w:rPr>
      <w:color w:val="000000"/>
      <w:kern w:val="0"/>
      <w:sz w:val="28"/>
      <w:szCs w:val="28"/>
    </w:rPr>
  </w:style>
  <w:style w:type="paragraph" w:customStyle="1" w:styleId="326">
    <w:name w:val="列出段落3"/>
    <w:basedOn w:val="1"/>
    <w:qFormat/>
    <w:uiPriority w:val="0"/>
    <w:pPr>
      <w:ind w:firstLine="420" w:firstLineChars="200"/>
    </w:pPr>
    <w:rPr>
      <w:rFonts w:ascii="Calibri" w:hAnsi="Calibri"/>
      <w:szCs w:val="22"/>
    </w:rPr>
  </w:style>
  <w:style w:type="paragraph" w:customStyle="1" w:styleId="3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textAlignment w:val="center"/>
    </w:pPr>
    <w:rPr>
      <w:rFonts w:ascii="宋体" w:hAnsi="宋体" w:cs="宋体"/>
      <w:b/>
      <w:bCs/>
      <w:kern w:val="0"/>
      <w:sz w:val="20"/>
      <w:szCs w:val="20"/>
    </w:rPr>
  </w:style>
  <w:style w:type="paragraph" w:customStyle="1" w:styleId="3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29">
    <w:name w:val="xl63"/>
    <w:basedOn w:val="1"/>
    <w:qFormat/>
    <w:uiPriority w:val="0"/>
    <w:pPr>
      <w:widowControl/>
      <w:pBdr>
        <w:top w:val="single" w:color="auto" w:sz="4" w:space="0"/>
        <w:left w:val="single" w:color="auto" w:sz="4" w:space="0"/>
        <w:bottom w:val="single" w:color="auto" w:sz="4" w:space="0"/>
      </w:pBdr>
      <w:spacing w:before="100" w:beforeAutospacing="1" w:afterAutospacing="1"/>
      <w:jc w:val="right"/>
      <w:textAlignment w:val="center"/>
    </w:pPr>
    <w:rPr>
      <w:rFonts w:ascii="宋体" w:hAnsi="宋体"/>
      <w:kern w:val="0"/>
      <w:sz w:val="28"/>
      <w:szCs w:val="28"/>
    </w:rPr>
  </w:style>
  <w:style w:type="paragraph" w:customStyle="1" w:styleId="330">
    <w:name w:val="xl58"/>
    <w:basedOn w:val="1"/>
    <w:qFormat/>
    <w:uiPriority w:val="0"/>
    <w:pPr>
      <w:widowControl/>
      <w:spacing w:before="100" w:beforeAutospacing="1" w:afterAutospacing="1"/>
      <w:jc w:val="left"/>
      <w:textAlignment w:val="center"/>
    </w:pPr>
    <w:rPr>
      <w:rFonts w:ascii="宋体" w:hAnsi="宋体"/>
      <w:b/>
      <w:bCs/>
      <w:kern w:val="0"/>
      <w:sz w:val="24"/>
    </w:rPr>
  </w:style>
  <w:style w:type="paragraph" w:customStyle="1" w:styleId="33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332">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33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34">
    <w:name w:val="xl24"/>
    <w:basedOn w:val="1"/>
    <w:qFormat/>
    <w:uiPriority w:val="0"/>
    <w:pPr>
      <w:widowControl/>
      <w:spacing w:before="100" w:beforeAutospacing="1" w:afterAutospacing="1"/>
      <w:jc w:val="center"/>
    </w:pPr>
    <w:rPr>
      <w:rFonts w:ascii="宋体" w:hAnsi="宋体"/>
      <w:kern w:val="0"/>
      <w:sz w:val="24"/>
    </w:rPr>
  </w:style>
  <w:style w:type="paragraph" w:customStyle="1" w:styleId="33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338">
    <w:name w:val="xl92"/>
    <w:basedOn w:val="1"/>
    <w:qFormat/>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39">
    <w:name w:val="xl27"/>
    <w:basedOn w:val="1"/>
    <w:qFormat/>
    <w:uiPriority w:val="0"/>
    <w:pPr>
      <w:widowControl/>
      <w:spacing w:before="100" w:beforeAutospacing="1" w:afterAutospacing="1"/>
      <w:jc w:val="center"/>
    </w:pPr>
    <w:rPr>
      <w:rFonts w:ascii="宋体" w:hAnsi="宋体"/>
      <w:kern w:val="0"/>
      <w:sz w:val="24"/>
    </w:rPr>
  </w:style>
  <w:style w:type="paragraph" w:customStyle="1" w:styleId="340">
    <w:name w:val="xl101"/>
    <w:basedOn w:val="1"/>
    <w:qFormat/>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41">
    <w:name w:val="xl120"/>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342">
    <w:name w:val="xl6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343">
    <w:name w:val="xl99"/>
    <w:basedOn w:val="1"/>
    <w:qFormat/>
    <w:uiPriority w:val="0"/>
    <w:pPr>
      <w:widowControl/>
      <w:pBdr>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b/>
      <w:bCs/>
      <w:kern w:val="0"/>
      <w:sz w:val="20"/>
      <w:szCs w:val="20"/>
    </w:rPr>
  </w:style>
  <w:style w:type="paragraph" w:customStyle="1" w:styleId="34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349">
    <w:name w:val="xl28"/>
    <w:basedOn w:val="1"/>
    <w:qFormat/>
    <w:uiPriority w:val="0"/>
    <w:pPr>
      <w:widowControl/>
      <w:spacing w:before="100" w:beforeAutospacing="1" w:afterAutospacing="1"/>
      <w:jc w:val="center"/>
    </w:pPr>
    <w:rPr>
      <w:kern w:val="0"/>
      <w:sz w:val="28"/>
      <w:szCs w:val="28"/>
    </w:rPr>
  </w:style>
  <w:style w:type="paragraph" w:customStyle="1" w:styleId="35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5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3">
    <w:name w:val="xl87"/>
    <w:basedOn w:val="1"/>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5">
    <w:name w:val="xl115"/>
    <w:basedOn w:val="1"/>
    <w:qFormat/>
    <w:uiPriority w:val="0"/>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35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58">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59">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6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right"/>
      <w:textAlignment w:val="center"/>
    </w:pPr>
    <w:rPr>
      <w:rFonts w:ascii="宋体" w:hAnsi="宋体"/>
      <w:kern w:val="0"/>
      <w:sz w:val="28"/>
      <w:szCs w:val="28"/>
    </w:rPr>
  </w:style>
  <w:style w:type="paragraph" w:customStyle="1" w:styleId="36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362">
    <w:name w:val="xl60"/>
    <w:basedOn w:val="1"/>
    <w:qFormat/>
    <w:uiPriority w:val="0"/>
    <w:pPr>
      <w:widowControl/>
      <w:spacing w:before="100" w:beforeAutospacing="1" w:afterAutospacing="1"/>
      <w:jc w:val="center"/>
      <w:textAlignment w:val="center"/>
    </w:pPr>
    <w:rPr>
      <w:rFonts w:ascii="宋体" w:hAnsi="宋体"/>
      <w:kern w:val="0"/>
      <w:sz w:val="24"/>
    </w:rPr>
  </w:style>
  <w:style w:type="paragraph" w:customStyle="1" w:styleId="363">
    <w:name w:val="xl62"/>
    <w:basedOn w:val="1"/>
    <w:qFormat/>
    <w:uiPriority w:val="0"/>
    <w:pPr>
      <w:widowControl/>
      <w:spacing w:before="100" w:beforeAutospacing="1" w:afterAutospacing="1"/>
      <w:jc w:val="left"/>
      <w:textAlignment w:val="center"/>
    </w:pPr>
    <w:rPr>
      <w:rFonts w:ascii="宋体" w:hAnsi="宋体"/>
      <w:kern w:val="0"/>
      <w:sz w:val="24"/>
    </w:rPr>
  </w:style>
  <w:style w:type="paragraph" w:customStyle="1" w:styleId="364">
    <w:name w:val="table_1stline"/>
    <w:basedOn w:val="1"/>
    <w:qFormat/>
    <w:uiPriority w:val="0"/>
    <w:pPr>
      <w:widowControl/>
      <w:spacing w:before="120"/>
      <w:jc w:val="left"/>
    </w:pPr>
    <w:rPr>
      <w:rFonts w:eastAsia="MS Mincho"/>
      <w:bCs/>
      <w:kern w:val="0"/>
      <w:sz w:val="20"/>
      <w:szCs w:val="20"/>
      <w:lang w:val="de-DE" w:eastAsia="de-DE"/>
    </w:rPr>
  </w:style>
  <w:style w:type="paragraph" w:customStyle="1" w:styleId="365">
    <w:name w:val="table_lines"/>
    <w:basedOn w:val="1"/>
    <w:qFormat/>
    <w:uiPriority w:val="0"/>
    <w:pPr>
      <w:widowControl/>
      <w:jc w:val="left"/>
    </w:pPr>
    <w:rPr>
      <w:rFonts w:eastAsia="MS Mincho"/>
      <w:kern w:val="0"/>
      <w:sz w:val="20"/>
      <w:szCs w:val="20"/>
      <w:lang w:val="de-DE" w:eastAsia="de-DE"/>
    </w:rPr>
  </w:style>
  <w:style w:type="character" w:customStyle="1" w:styleId="366">
    <w:name w:val="3zw1"/>
    <w:qFormat/>
    <w:uiPriority w:val="0"/>
    <w:rPr>
      <w:color w:val="000000"/>
      <w:sz w:val="21"/>
      <w:szCs w:val="21"/>
    </w:rPr>
  </w:style>
  <w:style w:type="character" w:customStyle="1" w:styleId="367">
    <w:name w:val="正文2 Char Char"/>
    <w:link w:val="368"/>
    <w:qFormat/>
    <w:uiPriority w:val="0"/>
    <w:rPr>
      <w:sz w:val="24"/>
    </w:rPr>
  </w:style>
  <w:style w:type="paragraph" w:customStyle="1" w:styleId="368">
    <w:name w:val="正文2"/>
    <w:basedOn w:val="1"/>
    <w:link w:val="367"/>
    <w:qFormat/>
    <w:uiPriority w:val="0"/>
    <w:pPr>
      <w:spacing w:before="156" w:line="360" w:lineRule="auto"/>
      <w:ind w:firstLine="510" w:firstLineChars="200"/>
    </w:pPr>
    <w:rPr>
      <w:rFonts w:ascii="Calibri" w:hAnsi="Calibri"/>
      <w:kern w:val="0"/>
      <w:sz w:val="24"/>
      <w:szCs w:val="20"/>
    </w:rPr>
  </w:style>
  <w:style w:type="character" w:customStyle="1" w:styleId="369">
    <w:name w:val="标题 字符"/>
    <w:link w:val="40"/>
    <w:qFormat/>
    <w:uiPriority w:val="0"/>
    <w:rPr>
      <w:rFonts w:ascii="Arial" w:hAnsi="Arial" w:eastAsia="仿宋_GB2312"/>
      <w:b/>
      <w:bCs/>
      <w:sz w:val="36"/>
      <w:szCs w:val="32"/>
    </w:rPr>
  </w:style>
  <w:style w:type="character" w:customStyle="1" w:styleId="370">
    <w:name w:val="标题 Char1"/>
    <w:qFormat/>
    <w:uiPriority w:val="10"/>
    <w:rPr>
      <w:rFonts w:ascii="Cambria" w:hAnsi="Cambria" w:eastAsia="宋体" w:cs="Times New Roman"/>
      <w:b/>
      <w:bCs/>
      <w:sz w:val="32"/>
      <w:szCs w:val="32"/>
    </w:rPr>
  </w:style>
  <w:style w:type="character" w:customStyle="1" w:styleId="371">
    <w:name w:val="font101"/>
    <w:qFormat/>
    <w:uiPriority w:val="0"/>
    <w:rPr>
      <w:rFonts w:hint="default" w:ascii="Times New Roman" w:hAnsi="Times New Roman" w:cs="Times New Roman"/>
      <w:color w:val="000000"/>
      <w:sz w:val="21"/>
      <w:szCs w:val="21"/>
      <w:u w:val="none"/>
    </w:rPr>
  </w:style>
  <w:style w:type="character" w:customStyle="1" w:styleId="372">
    <w:name w:val="页脚 字符"/>
    <w:qFormat/>
    <w:uiPriority w:val="99"/>
  </w:style>
  <w:style w:type="character" w:customStyle="1" w:styleId="373">
    <w:name w:val="param-name1"/>
    <w:qFormat/>
    <w:uiPriority w:val="0"/>
    <w:rPr>
      <w:rFonts w:cs="Times New Roman"/>
      <w:b/>
    </w:rPr>
  </w:style>
  <w:style w:type="character" w:customStyle="1" w:styleId="374">
    <w:name w:val="font91"/>
    <w:qFormat/>
    <w:uiPriority w:val="0"/>
    <w:rPr>
      <w:rFonts w:hint="eastAsia" w:ascii="宋体" w:hAnsi="宋体" w:eastAsia="宋体" w:cs="宋体"/>
      <w:color w:val="000000"/>
      <w:sz w:val="21"/>
      <w:szCs w:val="21"/>
      <w:u w:val="none"/>
    </w:rPr>
  </w:style>
  <w:style w:type="character" w:customStyle="1" w:styleId="375">
    <w:name w:val="font71"/>
    <w:qFormat/>
    <w:uiPriority w:val="0"/>
    <w:rPr>
      <w:rFonts w:hint="eastAsia" w:ascii="宋体" w:hAnsi="宋体" w:eastAsia="宋体" w:cs="宋体"/>
      <w:color w:val="000000"/>
      <w:sz w:val="21"/>
      <w:szCs w:val="21"/>
      <w:u w:val="none"/>
    </w:rPr>
  </w:style>
  <w:style w:type="character" w:customStyle="1" w:styleId="376">
    <w:name w:val="15"/>
    <w:qFormat/>
    <w:uiPriority w:val="0"/>
    <w:rPr>
      <w:rFonts w:hint="eastAsia" w:ascii="宋体" w:hAnsi="宋体" w:eastAsia="宋体" w:cs="宋体"/>
      <w:color w:val="000000"/>
      <w:sz w:val="22"/>
      <w:szCs w:val="22"/>
    </w:rPr>
  </w:style>
  <w:style w:type="character" w:customStyle="1" w:styleId="377">
    <w:name w:val="font21"/>
    <w:qFormat/>
    <w:uiPriority w:val="0"/>
    <w:rPr>
      <w:rFonts w:ascii="Arial" w:hAnsi="Arial" w:cs="Arial"/>
      <w:color w:val="000000"/>
      <w:sz w:val="21"/>
      <w:szCs w:val="21"/>
      <w:u w:val="none"/>
    </w:rPr>
  </w:style>
  <w:style w:type="character" w:customStyle="1" w:styleId="378">
    <w:name w:val="font161"/>
    <w:qFormat/>
    <w:uiPriority w:val="0"/>
    <w:rPr>
      <w:rFonts w:hint="default" w:ascii="Times New Roman" w:hAnsi="Times New Roman" w:cs="Times New Roman"/>
      <w:color w:val="000000"/>
      <w:sz w:val="18"/>
      <w:szCs w:val="18"/>
      <w:u w:val="none"/>
    </w:rPr>
  </w:style>
  <w:style w:type="character" w:customStyle="1" w:styleId="379">
    <w:name w:val="font41"/>
    <w:qFormat/>
    <w:uiPriority w:val="0"/>
    <w:rPr>
      <w:rFonts w:hint="eastAsia" w:ascii="宋体" w:hAnsi="宋体" w:eastAsia="宋体" w:cs="宋体"/>
      <w:color w:val="FF0000"/>
      <w:sz w:val="28"/>
      <w:szCs w:val="28"/>
      <w:u w:val="none"/>
    </w:rPr>
  </w:style>
  <w:style w:type="character" w:customStyle="1" w:styleId="380">
    <w:name w:val="apple-converted-space"/>
    <w:basedOn w:val="46"/>
    <w:qFormat/>
    <w:uiPriority w:val="0"/>
  </w:style>
  <w:style w:type="character" w:customStyle="1" w:styleId="381">
    <w:name w:val="font151"/>
    <w:qFormat/>
    <w:uiPriority w:val="0"/>
    <w:rPr>
      <w:rFonts w:hint="default" w:ascii="Times New Roman" w:hAnsi="Times New Roman" w:cs="Times New Roman"/>
      <w:color w:val="000000"/>
      <w:sz w:val="21"/>
      <w:szCs w:val="21"/>
      <w:u w:val="none"/>
    </w:rPr>
  </w:style>
  <w:style w:type="paragraph" w:customStyle="1" w:styleId="38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
    <w:name w:val="Fließtext"/>
    <w:basedOn w:val="1"/>
    <w:qFormat/>
    <w:uiPriority w:val="0"/>
    <w:pPr>
      <w:overflowPunct w:val="0"/>
      <w:autoSpaceDE w:val="0"/>
      <w:autoSpaceDN w:val="0"/>
      <w:adjustRightInd w:val="0"/>
      <w:textAlignment w:val="baseline"/>
    </w:pPr>
    <w:rPr>
      <w:kern w:val="28"/>
      <w:szCs w:val="20"/>
    </w:rPr>
  </w:style>
  <w:style w:type="paragraph" w:customStyle="1" w:styleId="384">
    <w:name w:val="Body Text First Indent 21"/>
    <w:basedOn w:val="1"/>
    <w:qFormat/>
    <w:uiPriority w:val="0"/>
    <w:pPr>
      <w:ind w:left="420" w:leftChars="200" w:firstLine="420"/>
    </w:pPr>
    <w:rPr>
      <w:szCs w:val="21"/>
    </w:rPr>
  </w:style>
  <w:style w:type="paragraph" w:customStyle="1" w:styleId="385">
    <w:name w:val="项目编号"/>
    <w:basedOn w:val="1"/>
    <w:qFormat/>
    <w:uiPriority w:val="0"/>
    <w:pPr>
      <w:tabs>
        <w:tab w:val="left" w:pos="1440"/>
      </w:tabs>
      <w:spacing w:line="360" w:lineRule="auto"/>
      <w:ind w:left="735" w:firstLine="200" w:firstLineChars="200"/>
    </w:pPr>
    <w:rPr>
      <w:rFonts w:ascii="仿宋_GB2312" w:eastAsia="仿宋_GB2312"/>
      <w:sz w:val="24"/>
    </w:rPr>
  </w:style>
  <w:style w:type="character" w:customStyle="1" w:styleId="386">
    <w:name w:val="fontstyle01"/>
    <w:qFormat/>
    <w:uiPriority w:val="0"/>
    <w:rPr>
      <w:rFonts w:hint="eastAsia" w:ascii="宋体" w:hAnsi="宋体" w:eastAsia="宋体"/>
      <w:color w:val="000000"/>
      <w:sz w:val="22"/>
      <w:szCs w:val="22"/>
    </w:rPr>
  </w:style>
  <w:style w:type="paragraph" w:customStyle="1" w:styleId="38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88">
    <w:name w:val="p17"/>
    <w:basedOn w:val="1"/>
    <w:unhideWhenUsed/>
    <w:qFormat/>
    <w:uiPriority w:val="0"/>
    <w:pPr>
      <w:widowControl/>
      <w:snapToGrid w:val="0"/>
      <w:spacing w:line="315" w:lineRule="atLeast"/>
      <w:ind w:firstLine="420"/>
      <w:jc w:val="left"/>
    </w:pPr>
    <w:rPr>
      <w:rFonts w:ascii="宋体" w:hAnsi="宋体"/>
      <w:kern w:val="0"/>
      <w:szCs w:val="21"/>
    </w:rPr>
  </w:style>
  <w:style w:type="character" w:customStyle="1" w:styleId="389">
    <w:name w:val="未处理的提及1"/>
    <w:basedOn w:val="46"/>
    <w:semiHidden/>
    <w:unhideWhenUsed/>
    <w:qFormat/>
    <w:uiPriority w:val="99"/>
    <w:rPr>
      <w:color w:val="605E5C"/>
      <w:shd w:val="clear" w:color="auto" w:fill="E1DFDD"/>
    </w:rPr>
  </w:style>
  <w:style w:type="paragraph" w:customStyle="1" w:styleId="390">
    <w:name w:val="D&amp;L"/>
    <w:basedOn w:val="29"/>
    <w:qFormat/>
    <w:uiPriority w:val="0"/>
    <w:pPr>
      <w:pBdr>
        <w:bottom w:val="thinThickSmallGap" w:color="auto" w:sz="18" w:space="1"/>
      </w:pBdr>
      <w:adjustRightInd w:val="0"/>
      <w:snapToGrid/>
      <w:spacing w:line="240" w:lineRule="atLeast"/>
      <w:textAlignment w:val="baseline"/>
    </w:pPr>
    <w:rPr>
      <w:rFonts w:ascii="@仿宋_GB2312" w:hAnsi="@仿宋_GB2312" w:eastAsia="@仿宋_GB2312" w:cs="@仿宋_GB2312"/>
      <w:sz w:val="24"/>
      <w:szCs w:val="20"/>
    </w:rPr>
  </w:style>
  <w:style w:type="paragraph" w:customStyle="1" w:styleId="391">
    <w:name w:val="**正文"/>
    <w:basedOn w:val="1"/>
    <w:qFormat/>
    <w:uiPriority w:val="0"/>
    <w:pPr>
      <w:autoSpaceDE w:val="0"/>
      <w:autoSpaceDN w:val="0"/>
      <w:adjustRightInd w:val="0"/>
      <w:spacing w:before="163" w:beforeLines="50" w:line="360" w:lineRule="auto"/>
      <w:ind w:firstLine="480" w:firstLineChars="200"/>
      <w:jc w:val="left"/>
    </w:pPr>
    <w:rPr>
      <w:rFonts w:ascii="宋体" w:hAnsi="宋体"/>
      <w:color w:val="000000"/>
      <w:sz w:val="24"/>
      <w:lang w:val="zh-CN"/>
    </w:rPr>
  </w:style>
  <w:style w:type="paragraph" w:customStyle="1" w:styleId="392">
    <w:name w:val="6报告表格文字（大表新）"/>
    <w:basedOn w:val="1"/>
    <w:qFormat/>
    <w:uiPriority w:val="0"/>
    <w:pPr>
      <w:spacing w:before="100" w:beforeAutospacing="1" w:after="100" w:afterAutospacing="1"/>
      <w:jc w:val="center"/>
    </w:pPr>
    <w:rPr>
      <w:kern w:val="0"/>
      <w:sz w:val="18"/>
    </w:rPr>
  </w:style>
  <w:style w:type="paragraph" w:customStyle="1" w:styleId="393">
    <w:name w:val="投标正文"/>
    <w:basedOn w:val="1"/>
    <w:qFormat/>
    <w:uiPriority w:val="0"/>
    <w:pPr>
      <w:spacing w:line="360" w:lineRule="auto"/>
      <w:ind w:left="102" w:firstLine="200" w:firstLineChars="200"/>
    </w:pPr>
    <w:rPr>
      <w:rFonts w:ascii="Calibri" w:hAnsi="Calibri" w:eastAsia="仿宋"/>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56</Pages>
  <Words>37549</Words>
  <Characters>40495</Characters>
  <Lines>315</Lines>
  <Paragraphs>88</Paragraphs>
  <TotalTime>3</TotalTime>
  <ScaleCrop>false</ScaleCrop>
  <LinksUpToDate>false</LinksUpToDate>
  <CharactersWithSpaces>41499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2021-03-30T09:58:00Z</dcterms:created>
  <dc:creator>Administrator</dc:creator>
  <cp:lastModifiedBy>a</cp:lastModifiedBy>
  <cp:lastPrinted>2022-09-09T10:44:00Z</cp:lastPrinted>
  <dcterms:modified xsi:type="dcterms:W3CDTF">2022-09-23T08:07:34Z</dcterms:modified>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7FC3CED3949C446CADAF25CE86E19357</vt:lpwstr>
  </property>
</Properties>
</file>