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tabs>
          <w:tab w:val="left" w:pos="426"/>
        </w:tabs>
        <w:spacing w:line="360" w:lineRule="auto"/>
        <w:jc w:val="center"/>
        <w:rPr>
          <w:rFonts w:hint="eastAsia" w:ascii="宋体" w:hAnsi="宋体" w:eastAsia="宋体"/>
          <w:sz w:val="36"/>
          <w:szCs w:val="36"/>
          <w:lang w:eastAsia="zh-CN"/>
        </w:rPr>
      </w:pPr>
      <w:r>
        <w:rPr>
          <w:rFonts w:hint="eastAsia" w:ascii="宋体" w:hAnsi="宋体"/>
          <w:sz w:val="36"/>
          <w:szCs w:val="36"/>
          <w:lang w:eastAsia="zh-CN"/>
        </w:rPr>
        <w:t>饮用水水源地电子围栏数据采购项目（服务采购部分）</w:t>
      </w:r>
    </w:p>
    <w:p>
      <w:pPr>
        <w:spacing w:after="120"/>
        <w:jc w:val="center"/>
        <w:rPr>
          <w:rFonts w:ascii="宋体" w:hAnsi="宋体" w:cs="宋体"/>
          <w:sz w:val="32"/>
          <w:szCs w:val="32"/>
        </w:rPr>
      </w:pPr>
      <w:r>
        <w:rPr>
          <w:rFonts w:hint="eastAsia" w:ascii="宋体" w:hAnsi="宋体" w:cs="宋体"/>
          <w:sz w:val="32"/>
          <w:szCs w:val="32"/>
        </w:rPr>
        <w:t>项目编号：</w:t>
      </w:r>
      <w:r>
        <w:rPr>
          <w:rFonts w:ascii="宋体" w:hAnsi="宋体" w:cs="宋体"/>
          <w:sz w:val="32"/>
          <w:szCs w:val="32"/>
        </w:rPr>
        <w:t>NBMC-</w:t>
      </w:r>
      <w:r>
        <w:rPr>
          <w:rFonts w:hint="eastAsia" w:ascii="宋体" w:hAnsi="宋体" w:cs="宋体"/>
          <w:sz w:val="32"/>
          <w:szCs w:val="32"/>
        </w:rPr>
        <w:t>20229022</w:t>
      </w:r>
      <w:r>
        <w:rPr>
          <w:rFonts w:ascii="宋体" w:hAnsi="宋体" w:cs="宋体"/>
          <w:sz w:val="32"/>
          <w:szCs w:val="32"/>
        </w:rPr>
        <w:t>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r>
        <w:rPr>
          <w:rFonts w:hint="eastAsia" w:asciiTheme="minorEastAsia" w:hAnsiTheme="minorEastAsia" w:eastAsiaTheme="minorEastAsia"/>
          <w:sz w:val="32"/>
          <w:szCs w:val="32"/>
        </w:rPr>
        <w:t>·服务类</w:t>
      </w:r>
      <w:r>
        <w:rPr>
          <w:rFonts w:hint="eastAsia" w:ascii="宋体" w:hAnsi="宋体"/>
          <w:sz w:val="32"/>
          <w:szCs w:val="32"/>
        </w:rPr>
        <w:t>）</w:t>
      </w: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jc w:val="center"/>
        <w:rPr>
          <w:rFonts w:ascii="宋体" w:hAnsi="宋体"/>
          <w:sz w:val="32"/>
          <w:szCs w:val="32"/>
        </w:rPr>
      </w:pPr>
      <w:r>
        <w:rPr>
          <w:rFonts w:hint="eastAsia" w:ascii="宋体" w:hAnsi="宋体"/>
          <w:sz w:val="32"/>
          <w:szCs w:val="32"/>
        </w:rPr>
        <w:t>采购人：宁波市生态环境局</w:t>
      </w:r>
    </w:p>
    <w:p>
      <w:pPr>
        <w:jc w:val="center"/>
        <w:rPr>
          <w:rFonts w:ascii="宋体" w:hAnsi="宋体"/>
          <w:sz w:val="32"/>
          <w:szCs w:val="32"/>
        </w:rPr>
      </w:pPr>
      <w:r>
        <w:rPr>
          <w:rFonts w:hint="eastAsia" w:ascii="宋体" w:hAnsi="宋体"/>
          <w:sz w:val="32"/>
          <w:szCs w:val="32"/>
        </w:rPr>
        <w:t>代理机构：宁波名诚招标代理有限公司</w:t>
      </w:r>
    </w:p>
    <w:p>
      <w:pPr>
        <w:jc w:val="center"/>
        <w:rPr>
          <w:rFonts w:ascii="宋体" w:hAnsi="宋体"/>
          <w:sz w:val="32"/>
          <w:szCs w:val="32"/>
        </w:rPr>
      </w:pPr>
      <w:r>
        <w:rPr>
          <w:rFonts w:hint="eastAsia" w:ascii="宋体" w:hAnsi="宋体"/>
          <w:sz w:val="32"/>
          <w:szCs w:val="32"/>
        </w:rPr>
        <w:t>编制日期：</w:t>
      </w:r>
      <w:r>
        <w:rPr>
          <w:rFonts w:ascii="宋体" w:hAnsi="宋体"/>
          <w:sz w:val="32"/>
          <w:szCs w:val="32"/>
        </w:rPr>
        <w:t>2022年</w:t>
      </w:r>
      <w:r>
        <w:rPr>
          <w:rFonts w:hint="eastAsia" w:ascii="宋体" w:hAnsi="宋体"/>
          <w:sz w:val="32"/>
          <w:szCs w:val="32"/>
        </w:rPr>
        <w:t>9</w:t>
      </w:r>
      <w:r>
        <w:rPr>
          <w:rFonts w:ascii="宋体" w:hAnsi="宋体"/>
          <w:sz w:val="32"/>
          <w:szCs w:val="32"/>
        </w:rPr>
        <w:t>月</w:t>
      </w:r>
    </w:p>
    <w:p>
      <w:pPr>
        <w:jc w:val="center"/>
        <w:rPr>
          <w:rFonts w:ascii="宋体" w:hAnsi="宋体"/>
          <w:sz w:val="32"/>
          <w:szCs w:val="32"/>
        </w:rPr>
      </w:pPr>
    </w:p>
    <w:p>
      <w:pPr>
        <w:spacing w:line="360" w:lineRule="auto"/>
        <w:rPr>
          <w:rFonts w:hAnsi="宋体"/>
        </w:rPr>
      </w:pPr>
    </w:p>
    <w:p>
      <w:pPr>
        <w:pStyle w:val="24"/>
        <w:spacing w:beforeLines="0" w:afterLines="0" w:line="360" w:lineRule="auto"/>
        <w:jc w:val="center"/>
        <w:rPr>
          <w:rFonts w:hAnsi="宋体"/>
          <w:sz w:val="28"/>
          <w:szCs w:val="28"/>
        </w:rPr>
        <w:sectPr>
          <w:headerReference r:id="rId3" w:type="default"/>
          <w:headerReference r:id="rId4" w:type="even"/>
          <w:footerReference r:id="rId5" w:type="even"/>
          <w:pgSz w:w="11906" w:h="16838"/>
          <w:pgMar w:top="1440" w:right="1440" w:bottom="1440" w:left="1610" w:header="851" w:footer="851" w:gutter="0"/>
          <w:cols w:space="720" w:num="1"/>
          <w:titlePg/>
          <w:docGrid w:linePitch="312" w:charSpace="0"/>
        </w:sectPr>
      </w:pPr>
    </w:p>
    <w:p>
      <w:pPr>
        <w:pStyle w:val="277"/>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0"/>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51"/>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51"/>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51"/>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51"/>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51"/>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40</w:t>
      </w:r>
      <w:r>
        <w:rPr>
          <w:rFonts w:ascii="宋体" w:hAnsi="宋体"/>
          <w:sz w:val="24"/>
        </w:rPr>
        <w:fldChar w:fldCharType="end"/>
      </w:r>
      <w:r>
        <w:rPr>
          <w:rFonts w:ascii="宋体" w:hAnsi="宋体"/>
          <w:sz w:val="24"/>
        </w:rPr>
        <w:fldChar w:fldCharType="end"/>
      </w:r>
    </w:p>
    <w:p>
      <w:pPr>
        <w:pStyle w:val="30"/>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51"/>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pPr>
    </w:p>
    <w:p>
      <w:pPr>
        <w:pStyle w:val="24"/>
        <w:snapToGrid w:val="0"/>
        <w:spacing w:beforeLines="0" w:afterLines="0" w:line="360" w:lineRule="auto"/>
        <w:jc w:val="center"/>
        <w:outlineLvl w:val="0"/>
        <w:rPr>
          <w:rFonts w:hAnsi="宋体"/>
          <w:sz w:val="28"/>
          <w:szCs w:val="28"/>
        </w:rPr>
        <w:sectPr>
          <w:footerReference r:id="rId7" w:type="first"/>
          <w:footerReference r:id="rId6" w:type="default"/>
          <w:pgSz w:w="11906" w:h="16838"/>
          <w:pgMar w:top="1440" w:right="1440" w:bottom="1440" w:left="1610" w:header="851" w:footer="851" w:gutter="0"/>
          <w:pgNumType w:start="1"/>
          <w:cols w:space="720" w:num="1"/>
          <w:docGrid w:linePitch="312" w:charSpace="0"/>
        </w:sectPr>
      </w:pPr>
    </w:p>
    <w:p>
      <w:pPr>
        <w:pStyle w:val="40"/>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rPr>
      </w:pPr>
      <w:r>
        <w:rPr>
          <w:rFonts w:hint="eastAsia" w:ascii="宋体" w:hAnsi="宋体"/>
          <w:szCs w:val="28"/>
          <w:u w:val="single"/>
          <w:lang w:eastAsia="zh-CN"/>
        </w:rPr>
        <w:t>饮用水水源地电子围栏数据采购项目</w:t>
      </w:r>
      <w:r>
        <w:rPr>
          <w:rFonts w:hint="eastAsia" w:ascii="宋体" w:hAnsi="宋体"/>
          <w:color w:val="auto"/>
          <w:szCs w:val="28"/>
          <w:u w:val="single"/>
          <w:lang w:eastAsia="zh-CN"/>
        </w:rPr>
        <w:t>（服务采购部分）</w:t>
      </w:r>
      <w:r>
        <w:rPr>
          <w:rFonts w:hint="eastAsia" w:ascii="宋体" w:hAnsi="宋体"/>
          <w:color w:val="auto"/>
          <w:szCs w:val="28"/>
        </w:rPr>
        <w:t>招标项目的潜在投标人应在</w:t>
      </w:r>
      <w:r>
        <w:rPr>
          <w:rFonts w:hint="eastAsia" w:ascii="宋体" w:hAnsi="宋体"/>
          <w:color w:val="auto"/>
          <w:u w:val="single"/>
        </w:rPr>
        <w:t>政采云平台（https://www.zcygov.cn）</w:t>
      </w:r>
      <w:r>
        <w:rPr>
          <w:rFonts w:hint="eastAsia" w:ascii="宋体" w:hAnsi="宋体"/>
          <w:color w:val="auto"/>
          <w:szCs w:val="28"/>
        </w:rPr>
        <w:t>获取招标文件，并于202</w:t>
      </w:r>
      <w:r>
        <w:rPr>
          <w:rFonts w:ascii="宋体" w:hAnsi="宋体"/>
          <w:color w:val="auto"/>
          <w:szCs w:val="28"/>
        </w:rPr>
        <w:t>2</w:t>
      </w:r>
      <w:r>
        <w:rPr>
          <w:rFonts w:hint="eastAsia" w:ascii="宋体" w:hAnsi="宋体"/>
          <w:bCs/>
          <w:color w:val="auto"/>
          <w:szCs w:val="28"/>
          <w:u w:val="single"/>
        </w:rPr>
        <w:t>年9月</w:t>
      </w:r>
      <w:r>
        <w:rPr>
          <w:rFonts w:hint="eastAsia" w:ascii="宋体" w:hAnsi="宋体"/>
          <w:bCs/>
          <w:color w:val="auto"/>
          <w:szCs w:val="28"/>
          <w:u w:val="single"/>
          <w:lang w:val="en-US" w:eastAsia="zh-CN"/>
        </w:rPr>
        <w:t>30</w:t>
      </w:r>
      <w:r>
        <w:rPr>
          <w:rFonts w:hint="eastAsia" w:ascii="宋体" w:hAnsi="宋体"/>
          <w:bCs/>
          <w:color w:val="auto"/>
          <w:szCs w:val="28"/>
          <w:u w:val="single"/>
        </w:rPr>
        <w:t>日</w:t>
      </w:r>
      <w:r>
        <w:rPr>
          <w:rFonts w:hint="eastAsia" w:ascii="宋体" w:hAnsi="宋体"/>
          <w:bCs/>
          <w:color w:val="auto"/>
          <w:szCs w:val="28"/>
          <w:u w:val="single"/>
          <w:lang w:val="en-US" w:eastAsia="zh-CN"/>
        </w:rPr>
        <w:t>09</w:t>
      </w:r>
      <w:r>
        <w:rPr>
          <w:rFonts w:hint="eastAsia" w:ascii="宋体" w:hAnsi="宋体"/>
          <w:bCs/>
          <w:color w:val="auto"/>
          <w:szCs w:val="28"/>
          <w:u w:val="single"/>
        </w:rPr>
        <w:t>点</w:t>
      </w:r>
      <w:r>
        <w:rPr>
          <w:rFonts w:hint="eastAsia" w:ascii="宋体" w:hAnsi="宋体"/>
          <w:bCs/>
          <w:color w:val="auto"/>
          <w:szCs w:val="28"/>
          <w:u w:val="single"/>
          <w:lang w:val="en-US" w:eastAsia="zh-CN"/>
        </w:rPr>
        <w:t>30</w:t>
      </w:r>
      <w:r>
        <w:rPr>
          <w:rFonts w:hint="eastAsia" w:ascii="宋体" w:hAnsi="宋体"/>
          <w:bCs/>
          <w:color w:val="auto"/>
          <w:szCs w:val="28"/>
          <w:u w:val="single"/>
        </w:rPr>
        <w:t>分</w:t>
      </w:r>
      <w:r>
        <w:rPr>
          <w:rFonts w:hint="eastAsia" w:ascii="宋体" w:hAnsi="宋体"/>
          <w:bCs/>
          <w:color w:val="auto"/>
          <w:szCs w:val="28"/>
        </w:rPr>
        <w:t>（北京时间）前递交投标</w:t>
      </w:r>
      <w:r>
        <w:rPr>
          <w:rFonts w:ascii="宋体" w:hAnsi="宋体"/>
          <w:bCs/>
          <w:color w:val="auto"/>
          <w:szCs w:val="28"/>
        </w:rPr>
        <w:t>文件</w:t>
      </w:r>
      <w:r>
        <w:rPr>
          <w:rFonts w:hint="eastAsia" w:ascii="宋体" w:hAnsi="宋体"/>
          <w:color w:val="auto"/>
          <w:szCs w:val="28"/>
        </w:rPr>
        <w:t>。</w:t>
      </w:r>
    </w:p>
    <w:p>
      <w:pPr>
        <w:snapToGrid w:val="0"/>
        <w:spacing w:line="400" w:lineRule="exact"/>
        <w:rPr>
          <w:rFonts w:ascii="宋体" w:hAnsi="宋体" w:cs="Arial"/>
          <w:szCs w:val="21"/>
        </w:rPr>
      </w:pPr>
      <w:bookmarkStart w:id="1" w:name="_Toc28359079"/>
      <w:bookmarkStart w:id="2" w:name="_Toc28359002"/>
      <w:bookmarkStart w:id="3" w:name="_Toc35393621"/>
      <w:bookmarkStart w:id="4" w:name="_Toc35393790"/>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ascii="宋体" w:hAnsi="宋体"/>
          <w:szCs w:val="21"/>
        </w:rPr>
      </w:pPr>
      <w:r>
        <w:rPr>
          <w:rFonts w:hint="eastAsia" w:ascii="宋体" w:hAnsi="宋体"/>
          <w:szCs w:val="21"/>
        </w:rPr>
        <w:t>项目编号：NBMC-20229022G</w:t>
      </w:r>
    </w:p>
    <w:p>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饮用水水源地电子围栏数据采购项目（服务采购部分）</w:t>
      </w:r>
    </w:p>
    <w:bookmarkEnd w:id="5"/>
    <w:p>
      <w:pPr>
        <w:spacing w:line="400" w:lineRule="exact"/>
        <w:ind w:firstLine="420" w:firstLineChars="200"/>
        <w:rPr>
          <w:rFonts w:ascii="宋体" w:hAnsi="宋体"/>
          <w:szCs w:val="21"/>
        </w:rPr>
      </w:pPr>
      <w:r>
        <w:rPr>
          <w:rFonts w:hint="eastAsia" w:ascii="宋体" w:hAnsi="宋体"/>
          <w:szCs w:val="21"/>
        </w:rPr>
        <w:t>预算金额（元）：891</w:t>
      </w:r>
      <w:r>
        <w:rPr>
          <w:rFonts w:ascii="宋体" w:hAnsi="宋体"/>
          <w:szCs w:val="21"/>
        </w:rPr>
        <w:t>0000</w:t>
      </w:r>
      <w:r>
        <w:rPr>
          <w:rFonts w:hint="eastAsia" w:ascii="宋体" w:hAnsi="宋体"/>
          <w:szCs w:val="21"/>
        </w:rPr>
        <w:t>.00</w:t>
      </w:r>
    </w:p>
    <w:p>
      <w:pPr>
        <w:spacing w:line="400" w:lineRule="exact"/>
        <w:ind w:firstLine="420" w:firstLineChars="200"/>
        <w:rPr>
          <w:rFonts w:ascii="宋体" w:hAnsi="宋体"/>
          <w:szCs w:val="21"/>
        </w:rPr>
      </w:pPr>
      <w:r>
        <w:rPr>
          <w:rFonts w:hint="eastAsia" w:ascii="宋体" w:hAnsi="宋体"/>
          <w:szCs w:val="21"/>
        </w:rPr>
        <w:t>最高限价（元）：891</w:t>
      </w:r>
      <w:r>
        <w:rPr>
          <w:rFonts w:ascii="宋体" w:hAnsi="宋体"/>
          <w:szCs w:val="21"/>
        </w:rPr>
        <w:t>0000</w:t>
      </w:r>
      <w:r>
        <w:rPr>
          <w:rFonts w:hint="eastAsia" w:ascii="宋体" w:hAnsi="宋体"/>
          <w:szCs w:val="21"/>
        </w:rPr>
        <w:t>.00</w:t>
      </w:r>
    </w:p>
    <w:p>
      <w:pPr>
        <w:spacing w:line="400" w:lineRule="exact"/>
        <w:ind w:firstLine="420" w:firstLineChars="200"/>
        <w:rPr>
          <w:rFonts w:hint="eastAsia" w:ascii="宋体" w:hAnsi="宋体" w:eastAsia="宋体"/>
          <w:szCs w:val="21"/>
          <w:lang w:eastAsia="zh-CN"/>
        </w:rPr>
      </w:pPr>
      <w:r>
        <w:rPr>
          <w:rFonts w:hint="eastAsia" w:ascii="宋体" w:hAnsi="宋体"/>
          <w:szCs w:val="21"/>
        </w:rPr>
        <w:t>标的名称：</w:t>
      </w:r>
      <w:r>
        <w:rPr>
          <w:rFonts w:hint="eastAsia" w:ascii="宋体" w:hAnsi="宋体"/>
          <w:szCs w:val="21"/>
          <w:lang w:eastAsia="zh-CN"/>
        </w:rPr>
        <w:t>饮用水水源地电子围栏数据采购项目（服务采购部分）</w:t>
      </w:r>
    </w:p>
    <w:p>
      <w:pPr>
        <w:spacing w:line="400" w:lineRule="exact"/>
        <w:ind w:firstLine="420" w:firstLineChars="200"/>
        <w:rPr>
          <w:rFonts w:ascii="宋体" w:hAnsi="宋体"/>
          <w:szCs w:val="21"/>
        </w:rPr>
      </w:pPr>
      <w:r>
        <w:rPr>
          <w:rFonts w:hint="eastAsia" w:ascii="宋体" w:hAnsi="宋体"/>
          <w:szCs w:val="21"/>
        </w:rPr>
        <w:t>数量：1项</w:t>
      </w:r>
    </w:p>
    <w:p>
      <w:pPr>
        <w:spacing w:line="400" w:lineRule="exact"/>
        <w:ind w:firstLine="420" w:firstLineChars="200"/>
        <w:rPr>
          <w:rFonts w:ascii="宋体" w:hAnsi="宋体"/>
          <w:szCs w:val="21"/>
        </w:rPr>
      </w:pPr>
      <w:r>
        <w:rPr>
          <w:rFonts w:hint="eastAsia" w:ascii="宋体" w:hAnsi="宋体"/>
          <w:szCs w:val="21"/>
        </w:rPr>
        <w:t>预算金额（元）：891</w:t>
      </w:r>
      <w:r>
        <w:rPr>
          <w:rFonts w:ascii="宋体" w:hAnsi="宋体"/>
          <w:szCs w:val="21"/>
        </w:rPr>
        <w:t>0000</w:t>
      </w:r>
      <w:r>
        <w:rPr>
          <w:rFonts w:hint="eastAsia" w:ascii="宋体" w:hAnsi="宋体"/>
          <w:szCs w:val="21"/>
        </w:rPr>
        <w:t>.00</w:t>
      </w:r>
    </w:p>
    <w:p>
      <w:pPr>
        <w:spacing w:line="400" w:lineRule="exact"/>
        <w:ind w:firstLine="420" w:firstLineChars="200"/>
        <w:rPr>
          <w:rFonts w:ascii="宋体" w:hAnsi="宋体"/>
          <w:color w:val="auto"/>
          <w:szCs w:val="21"/>
          <w:highlight w:val="none"/>
        </w:rPr>
      </w:pPr>
      <w:r>
        <w:rPr>
          <w:rFonts w:hint="eastAsia" w:ascii="宋体" w:hAnsi="宋体"/>
          <w:szCs w:val="21"/>
        </w:rPr>
        <w:t>简</w:t>
      </w:r>
      <w:r>
        <w:rPr>
          <w:rFonts w:hint="eastAsia" w:ascii="宋体" w:hAnsi="宋体"/>
          <w:color w:val="auto"/>
          <w:szCs w:val="21"/>
        </w:rPr>
        <w:t>要技术需求或服务要求：通过开展宁波市辖区内13个</w:t>
      </w:r>
      <w:r>
        <w:rPr>
          <w:rFonts w:hint="eastAsia" w:ascii="宋体" w:hAnsi="宋体"/>
          <w:color w:val="auto"/>
          <w:szCs w:val="21"/>
          <w:lang w:eastAsia="zh-CN"/>
        </w:rPr>
        <w:t>县级以上</w:t>
      </w:r>
      <w:r>
        <w:rPr>
          <w:rFonts w:hint="eastAsia" w:ascii="宋体" w:hAnsi="宋体"/>
          <w:color w:val="auto"/>
          <w:szCs w:val="21"/>
        </w:rPr>
        <w:t>饮用水水源地电子围栏数据采购，建立健全防范人为干扰监控、预警、核查等闭环管理工作机制，实现全天候实时防范站点周围人为非法闯禁行为，以智慧技防手段有效补充监管盲区，全面提升防范人为干扰破坏自动监测站的能力，全面维护生态</w:t>
      </w:r>
      <w:r>
        <w:rPr>
          <w:rFonts w:hint="eastAsia" w:ascii="宋体" w:hAnsi="宋体"/>
          <w:color w:val="auto"/>
          <w:szCs w:val="21"/>
          <w:highlight w:val="none"/>
        </w:rPr>
        <w:t>环境监测数据“真、准、全”。本次项目采购整体服务，包含后期运营、维护的一站式服务，服务年限为3年。详细内容要求详见招标文件“第二章</w:t>
      </w:r>
      <w:r>
        <w:rPr>
          <w:rFonts w:ascii="宋体" w:hAnsi="宋体"/>
          <w:color w:val="auto"/>
          <w:szCs w:val="21"/>
          <w:highlight w:val="none"/>
        </w:rPr>
        <w:t xml:space="preserve"> </w:t>
      </w:r>
      <w:r>
        <w:rPr>
          <w:rFonts w:hint="eastAsia" w:ascii="宋体" w:hAnsi="宋体"/>
          <w:color w:val="auto"/>
          <w:szCs w:val="21"/>
          <w:highlight w:val="none"/>
        </w:rPr>
        <w:t>采购需求”。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合同履行期限：自合同签订之日起至2022年12月底前完成前端设备建设。服务平台搭建完成，具备运行条件后，进入服务期，提供各类数据服务，服务期为3年。</w:t>
      </w:r>
      <w:r>
        <w:rPr>
          <w:rFonts w:hint="eastAsia" w:ascii="宋体" w:hAnsi="宋体" w:cs="宋体"/>
          <w:color w:val="auto"/>
          <w:szCs w:val="21"/>
          <w:highlight w:val="none"/>
          <w:lang w:eastAsia="zh-CN"/>
        </w:rPr>
        <w:t>服务期内提供各类数据服务，各阶段服务进度按采购人要求调整。</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本项目（是）接受联合体投标。</w:t>
      </w:r>
    </w:p>
    <w:p>
      <w:pPr>
        <w:snapToGrid w:val="0"/>
        <w:spacing w:line="400" w:lineRule="exact"/>
        <w:rPr>
          <w:rFonts w:ascii="宋体" w:hAnsi="宋体" w:cs="Arial"/>
          <w:color w:val="auto"/>
          <w:szCs w:val="21"/>
        </w:rPr>
      </w:pPr>
      <w:bookmarkStart w:id="6" w:name="_Toc28359003"/>
      <w:bookmarkStart w:id="7" w:name="_Toc35393622"/>
      <w:bookmarkStart w:id="8" w:name="_Toc28359080"/>
      <w:bookmarkStart w:id="9" w:name="_Toc35393791"/>
      <w:r>
        <w:rPr>
          <w:rFonts w:hint="eastAsia" w:ascii="宋体" w:hAnsi="宋体" w:cs="Arial"/>
          <w:color w:val="auto"/>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color w:val="auto"/>
        </w:rPr>
      </w:pPr>
      <w:r>
        <w:rPr>
          <w:rFonts w:hint="eastAsia" w:ascii="宋体" w:hAnsi="宋体"/>
          <w:szCs w:val="21"/>
        </w:rPr>
        <w:t>2.</w:t>
      </w:r>
      <w:r>
        <w:rPr>
          <w:rFonts w:hint="eastAsia" w:ascii="宋体" w:hAnsi="宋体"/>
        </w:rPr>
        <w:t>未被“信用中国”网站</w:t>
      </w:r>
      <w:r>
        <w:rPr>
          <w:rFonts w:ascii="宋体" w:hAnsi="宋体"/>
        </w:rPr>
        <w:t>(www.c</w:t>
      </w:r>
      <w:r>
        <w:rPr>
          <w:rFonts w:ascii="宋体" w:hAnsi="宋体"/>
          <w:color w:val="auto"/>
        </w:rPr>
        <w:t xml:space="preserve">reditchina.gov.cn) </w:t>
      </w:r>
      <w:r>
        <w:rPr>
          <w:rFonts w:hint="eastAsia" w:ascii="宋体" w:hAnsi="宋体"/>
          <w:color w:val="auto"/>
        </w:rPr>
        <w:t>列入“失信被执行人或重大税收违法案件当事人名单或政府采购严重违法失信行为记录名单”；未被中国政府采购网</w:t>
      </w:r>
      <w:r>
        <w:rPr>
          <w:rFonts w:ascii="宋体" w:hAnsi="宋体"/>
          <w:color w:val="auto"/>
        </w:rPr>
        <w:t>(www.ccgp.gov.cn)“政府采购严重违法失信行为信息记录”中列入禁止参加政府采购活动期间。</w:t>
      </w:r>
    </w:p>
    <w:p>
      <w:pPr>
        <w:spacing w:line="400" w:lineRule="exact"/>
        <w:ind w:firstLine="420" w:firstLineChars="200"/>
        <w:rPr>
          <w:rFonts w:ascii="宋体" w:hAnsi="宋体"/>
          <w:iCs/>
          <w:color w:val="auto"/>
          <w:szCs w:val="21"/>
          <w:u w:val="single"/>
        </w:rPr>
      </w:pPr>
      <w:bookmarkStart w:id="10" w:name="_Toc28359004"/>
      <w:bookmarkStart w:id="11" w:name="_Toc28359081"/>
      <w:r>
        <w:rPr>
          <w:rFonts w:ascii="宋体" w:hAnsi="宋体"/>
          <w:color w:val="auto"/>
          <w:szCs w:val="21"/>
        </w:rPr>
        <w:t>3</w:t>
      </w:r>
      <w:r>
        <w:rPr>
          <w:rFonts w:hint="eastAsia" w:ascii="宋体" w:hAnsi="宋体"/>
          <w:color w:val="auto"/>
          <w:szCs w:val="21"/>
        </w:rPr>
        <w:t>.落实政府采购政策需满足的资格要求：无。</w:t>
      </w:r>
    </w:p>
    <w:p>
      <w:pPr>
        <w:spacing w:line="400" w:lineRule="exact"/>
        <w:ind w:firstLine="420" w:firstLineChars="200"/>
        <w:rPr>
          <w:rFonts w:ascii="宋体" w:hAnsi="宋体"/>
          <w:iCs/>
          <w:color w:val="auto"/>
          <w:szCs w:val="21"/>
          <w:u w:val="single"/>
        </w:rPr>
      </w:pPr>
      <w:r>
        <w:rPr>
          <w:rFonts w:ascii="宋体" w:hAnsi="宋体"/>
          <w:color w:val="auto"/>
          <w:szCs w:val="21"/>
        </w:rPr>
        <w:t>4</w:t>
      </w:r>
      <w:r>
        <w:rPr>
          <w:rFonts w:hint="eastAsia" w:ascii="宋体" w:hAnsi="宋体"/>
          <w:color w:val="auto"/>
          <w:szCs w:val="21"/>
        </w:rPr>
        <w:t>.本项目的特定资格要求：若为联合体投标的，组成联合体的成员数量不得超过2家</w:t>
      </w:r>
      <w:r>
        <w:rPr>
          <w:rFonts w:hint="eastAsia" w:ascii="宋体" w:hAnsi="宋体"/>
          <w:iCs/>
          <w:color w:val="auto"/>
          <w:szCs w:val="21"/>
        </w:rPr>
        <w:t>。</w:t>
      </w:r>
    </w:p>
    <w:p>
      <w:pPr>
        <w:snapToGrid w:val="0"/>
        <w:spacing w:line="400" w:lineRule="exact"/>
        <w:rPr>
          <w:rFonts w:ascii="宋体" w:hAnsi="宋体" w:cs="Arial"/>
          <w:color w:val="auto"/>
          <w:szCs w:val="21"/>
        </w:rPr>
      </w:pPr>
      <w:bookmarkStart w:id="12" w:name="_Toc35393792"/>
      <w:bookmarkStart w:id="13" w:name="_Toc35393623"/>
      <w:r>
        <w:rPr>
          <w:rFonts w:hint="eastAsia" w:ascii="宋体" w:hAnsi="宋体" w:cs="Arial"/>
          <w:color w:val="auto"/>
          <w:szCs w:val="21"/>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hint="eastAsia" w:ascii="宋体" w:hAnsi="宋体" w:cs="宋体"/>
          <w:color w:val="auto"/>
          <w:szCs w:val="21"/>
        </w:rPr>
        <w:t>时间：2022年9月</w:t>
      </w:r>
      <w:r>
        <w:rPr>
          <w:rFonts w:hint="eastAsia" w:ascii="宋体" w:hAnsi="宋体" w:cs="宋体"/>
          <w:color w:val="auto"/>
          <w:szCs w:val="21"/>
          <w:lang w:val="en-US" w:eastAsia="zh-CN"/>
        </w:rPr>
        <w:t>9</w:t>
      </w:r>
      <w:r>
        <w:rPr>
          <w:rFonts w:hint="eastAsia" w:ascii="宋体" w:hAnsi="宋体" w:cs="宋体"/>
          <w:color w:val="auto"/>
          <w:szCs w:val="21"/>
        </w:rPr>
        <w:t>日至2022年9月</w:t>
      </w:r>
      <w:r>
        <w:rPr>
          <w:rFonts w:hint="eastAsia" w:ascii="宋体" w:hAnsi="宋体" w:cs="宋体"/>
          <w:color w:val="auto"/>
          <w:szCs w:val="21"/>
          <w:lang w:val="en-US" w:eastAsia="zh-CN"/>
        </w:rPr>
        <w:t>19</w:t>
      </w:r>
      <w:r>
        <w:rPr>
          <w:rFonts w:hint="eastAsia" w:ascii="宋体" w:hAnsi="宋体" w:cs="宋体"/>
          <w:color w:val="auto"/>
          <w:szCs w:val="21"/>
        </w:rPr>
        <w:t>日，每天上午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napToGrid w:val="0"/>
        <w:spacing w:line="400" w:lineRule="exact"/>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color w:val="auto"/>
          <w:szCs w:val="21"/>
        </w:rPr>
      </w:pPr>
      <w:r>
        <w:rPr>
          <w:rFonts w:hint="eastAsia" w:ascii="宋体" w:hAnsi="宋体" w:cs="宋体"/>
          <w:szCs w:val="21"/>
        </w:rPr>
        <w:t>售价：0元</w:t>
      </w:r>
    </w:p>
    <w:p>
      <w:pPr>
        <w:snapToGrid w:val="0"/>
        <w:spacing w:line="400" w:lineRule="exact"/>
        <w:rPr>
          <w:rFonts w:ascii="宋体" w:hAnsi="宋体" w:cs="Arial"/>
          <w:color w:val="auto"/>
          <w:szCs w:val="21"/>
        </w:rPr>
      </w:pPr>
      <w:bookmarkStart w:id="14" w:name="_Toc28359005"/>
      <w:bookmarkStart w:id="15" w:name="_Toc28359082"/>
      <w:bookmarkStart w:id="16" w:name="_Toc35393624"/>
      <w:bookmarkStart w:id="17" w:name="_Toc35393793"/>
      <w:r>
        <w:rPr>
          <w:rFonts w:hint="eastAsia" w:ascii="宋体" w:hAnsi="宋体" w:cs="Arial"/>
          <w:color w:val="auto"/>
          <w:szCs w:val="21"/>
        </w:rPr>
        <w:t>四、提交投标文件</w:t>
      </w:r>
      <w:bookmarkEnd w:id="14"/>
      <w:bookmarkEnd w:id="15"/>
      <w:r>
        <w:rPr>
          <w:rFonts w:hint="eastAsia" w:ascii="宋体" w:hAnsi="宋体" w:cs="Arial"/>
          <w:color w:val="auto"/>
          <w:szCs w:val="21"/>
        </w:rPr>
        <w:t>截止时间、开标时间和地点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cs="宋体"/>
          <w:color w:val="auto"/>
          <w:szCs w:val="21"/>
        </w:rPr>
        <w:t>2022年9月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bCs/>
          <w:color w:val="auto"/>
          <w:szCs w:val="21"/>
          <w:u w:val="single"/>
          <w:lang w:val="en-US" w:eastAsia="zh-CN"/>
        </w:rPr>
        <w:t>09</w:t>
      </w:r>
      <w:r>
        <w:rPr>
          <w:rFonts w:hint="eastAsia" w:ascii="宋体" w:hAnsi="宋体"/>
          <w:bCs/>
          <w:color w:val="auto"/>
          <w:szCs w:val="21"/>
          <w:u w:val="single"/>
        </w:rPr>
        <w:t>点</w:t>
      </w:r>
      <w:r>
        <w:rPr>
          <w:rFonts w:hint="eastAsia" w:ascii="宋体" w:hAnsi="宋体"/>
          <w:bCs/>
          <w:color w:val="auto"/>
          <w:szCs w:val="21"/>
          <w:u w:val="single"/>
          <w:lang w:val="en-US" w:eastAsia="zh-CN"/>
        </w:rPr>
        <w:t>30</w:t>
      </w:r>
      <w:r>
        <w:rPr>
          <w:rFonts w:hint="eastAsia" w:ascii="宋体" w:hAnsi="宋体"/>
          <w:bCs/>
          <w:color w:val="auto"/>
          <w:szCs w:val="21"/>
          <w:u w:val="single"/>
        </w:rPr>
        <w:t>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w:t>
      </w:r>
      <w:r>
        <w:rPr>
          <w:rFonts w:hint="eastAsia" w:ascii="宋体" w:hAnsi="宋体"/>
          <w:bCs/>
          <w:color w:val="auto"/>
          <w:szCs w:val="21"/>
        </w:rPr>
        <w:t>地点（网址）：</w:t>
      </w:r>
      <w:r>
        <w:rPr>
          <w:rFonts w:cs="Arial" w:asciiTheme="minorEastAsia" w:hAnsiTheme="minorEastAsia" w:eastAsiaTheme="minorEastAsia"/>
          <w:color w:val="auto"/>
          <w:szCs w:val="21"/>
        </w:rPr>
        <w:t>本项目通过“政府采购云平台（www.zcygov.cn）”实行在线提交投标文件（电子投标）</w:t>
      </w:r>
      <w:r>
        <w:rPr>
          <w:rFonts w:hint="eastAsia" w:cs="Arial" w:asciiTheme="minorEastAsia" w:hAnsiTheme="minorEastAsia" w:eastAsiaTheme="minorEastAsia"/>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cs="宋体"/>
          <w:color w:val="auto"/>
          <w:szCs w:val="21"/>
        </w:rPr>
        <w:t>2022年9月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bCs/>
          <w:color w:val="auto"/>
          <w:szCs w:val="21"/>
          <w:u w:val="single"/>
          <w:lang w:val="en-US" w:eastAsia="zh-CN"/>
        </w:rPr>
        <w:t>09</w:t>
      </w:r>
      <w:r>
        <w:rPr>
          <w:rFonts w:hint="eastAsia" w:ascii="宋体" w:hAnsi="宋体"/>
          <w:bCs/>
          <w:color w:val="auto"/>
          <w:szCs w:val="21"/>
          <w:u w:val="single"/>
        </w:rPr>
        <w:t>点</w:t>
      </w:r>
      <w:r>
        <w:rPr>
          <w:rFonts w:hint="eastAsia" w:ascii="宋体" w:hAnsi="宋体"/>
          <w:bCs/>
          <w:color w:val="auto"/>
          <w:szCs w:val="21"/>
          <w:u w:val="single"/>
          <w:lang w:val="en-US" w:eastAsia="zh-CN"/>
        </w:rPr>
        <w:t>30</w:t>
      </w:r>
      <w:r>
        <w:rPr>
          <w:rFonts w:hint="eastAsia" w:ascii="宋体" w:hAnsi="宋体"/>
          <w:bCs/>
          <w:color w:val="auto"/>
          <w:szCs w:val="21"/>
          <w:u w:val="single"/>
        </w:rPr>
        <w:t>分（北京时间）</w:t>
      </w:r>
    </w:p>
    <w:p>
      <w:pPr>
        <w:spacing w:line="400" w:lineRule="exact"/>
        <w:ind w:firstLine="420" w:firstLineChars="200"/>
        <w:rPr>
          <w:rFonts w:ascii="宋体" w:hAnsi="宋体"/>
          <w:bCs/>
          <w:color w:val="000000"/>
          <w:szCs w:val="21"/>
        </w:rPr>
      </w:pPr>
      <w:r>
        <w:rPr>
          <w:rFonts w:hint="eastAsia" w:ascii="宋体" w:hAnsi="宋体"/>
          <w:bCs/>
          <w:color w:val="auto"/>
          <w:szCs w:val="21"/>
        </w:rPr>
        <w:t>开标地点（网址）：</w:t>
      </w:r>
      <w:bookmarkStart w:id="18" w:name="_Toc35393625"/>
      <w:bookmarkStart w:id="19" w:name="_Toc28359007"/>
      <w:bookmarkStart w:id="20" w:name="_Toc28359084"/>
      <w:bookmarkStart w:id="21" w:name="_Toc35393794"/>
      <w:r>
        <w:rPr>
          <w:rFonts w:hint="eastAsia" w:cs="Arial" w:asciiTheme="minorEastAsia" w:hAnsiTheme="minorEastAsia" w:eastAsiaTheme="minorEastAsia"/>
          <w:color w:val="auto"/>
          <w:szCs w:val="21"/>
        </w:rPr>
        <w:t>本项目通过</w:t>
      </w:r>
      <w:r>
        <w:rPr>
          <w:rFonts w:hint="eastAsia" w:asciiTheme="minorEastAsia" w:hAnsiTheme="minorEastAsia" w:eastAsiaTheme="minorEastAsia"/>
          <w:color w:val="auto"/>
          <w:u w:val="single"/>
        </w:rPr>
        <w:t>政采云平台（ht</w:t>
      </w:r>
      <w:r>
        <w:rPr>
          <w:rFonts w:hint="eastAsia" w:asciiTheme="minorEastAsia" w:hAnsiTheme="minorEastAsia" w:eastAsiaTheme="minorEastAsia"/>
          <w:u w:val="single"/>
        </w:rPr>
        <w:t>tps://www.zcygov.cn）</w:t>
      </w:r>
      <w:r>
        <w:rPr>
          <w:rFonts w:hint="eastAsia" w:asciiTheme="minorEastAsia" w:hAnsiTheme="minorEastAsia" w:eastAsiaTheme="minorEastAsia"/>
        </w:rPr>
        <w:t>实行线上开标。</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626"/>
      <w:bookmarkStart w:id="23" w:name="_Toc35393795"/>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3"/>
        <w:rPr>
          <w:rFonts w:ascii="宋体" w:hAnsi="宋体" w:cs="Arial"/>
          <w:color w:val="FF0000"/>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ind w:firstLine="420"/>
        <w:rPr>
          <w:rFonts w:ascii="宋体" w:hAnsi="宋体" w:cs="Arial"/>
          <w:color w:val="FF0000"/>
          <w:szCs w:val="21"/>
        </w:rPr>
      </w:pPr>
    </w:p>
    <w:p>
      <w:pPr>
        <w:snapToGrid w:val="0"/>
        <w:spacing w:line="400" w:lineRule="exact"/>
        <w:rPr>
          <w:rFonts w:ascii="宋体" w:hAnsi="宋体" w:cs="Arial"/>
          <w:szCs w:val="21"/>
        </w:rPr>
      </w:pPr>
      <w:bookmarkStart w:id="24" w:name="_Toc35393627"/>
      <w:bookmarkStart w:id="25" w:name="_Toc28359008"/>
      <w:bookmarkStart w:id="26" w:name="_Toc35393796"/>
      <w:bookmarkStart w:id="27" w:name="_Toc28359085"/>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名称：宁波市生态环境局</w:t>
      </w:r>
    </w:p>
    <w:p>
      <w:pPr>
        <w:snapToGrid w:val="0"/>
        <w:spacing w:line="400" w:lineRule="exact"/>
        <w:ind w:firstLine="411" w:firstLineChars="196"/>
        <w:rPr>
          <w:rFonts w:ascii="宋体" w:hAnsi="宋体"/>
          <w:szCs w:val="21"/>
        </w:rPr>
      </w:pPr>
      <w:r>
        <w:rPr>
          <w:rFonts w:hint="eastAsia" w:ascii="宋体" w:hAnsi="宋体"/>
          <w:szCs w:val="21"/>
        </w:rPr>
        <w:t>地址：宁波市海曙区柳汀街545号</w:t>
      </w:r>
    </w:p>
    <w:p>
      <w:pPr>
        <w:snapToGrid w:val="0"/>
        <w:spacing w:line="400" w:lineRule="exact"/>
        <w:ind w:firstLine="411" w:firstLineChars="196"/>
        <w:rPr>
          <w:rFonts w:ascii="宋体" w:hAnsi="宋体"/>
          <w:szCs w:val="21"/>
        </w:rPr>
      </w:pPr>
      <w:r>
        <w:rPr>
          <w:rFonts w:hint="eastAsia" w:ascii="宋体" w:hAnsi="宋体"/>
          <w:szCs w:val="21"/>
        </w:rPr>
        <w:t>联系人：</w:t>
      </w:r>
      <w:r>
        <w:rPr>
          <w:rFonts w:hint="eastAsia" w:ascii="宋体" w:hAnsi="宋体"/>
          <w:szCs w:val="21"/>
          <w:lang w:eastAsia="zh-CN"/>
        </w:rPr>
        <w:t>章</w:t>
      </w:r>
      <w:r>
        <w:rPr>
          <w:rFonts w:hint="eastAsia" w:ascii="宋体" w:hAnsi="宋体"/>
          <w:szCs w:val="21"/>
        </w:rPr>
        <w:t>老师</w:t>
      </w:r>
    </w:p>
    <w:p>
      <w:pPr>
        <w:snapToGrid w:val="0"/>
        <w:spacing w:line="400" w:lineRule="exact"/>
        <w:ind w:firstLine="411" w:firstLineChars="196"/>
        <w:rPr>
          <w:rFonts w:hint="default" w:ascii="宋体" w:hAnsi="宋体" w:eastAsia="宋体"/>
          <w:szCs w:val="21"/>
          <w:lang w:val="en-US" w:eastAsia="zh-CN"/>
        </w:rPr>
      </w:pPr>
      <w:r>
        <w:rPr>
          <w:rFonts w:hint="eastAsia" w:ascii="宋体" w:hAnsi="宋体"/>
          <w:szCs w:val="21"/>
        </w:rPr>
        <w:t>联系方式：</w:t>
      </w:r>
      <w:bookmarkStart w:id="28" w:name="_Toc28359086"/>
      <w:bookmarkStart w:id="29" w:name="_Toc28359009"/>
      <w:r>
        <w:rPr>
          <w:rFonts w:hint="eastAsia" w:ascii="宋体" w:hAnsi="宋体"/>
          <w:szCs w:val="21"/>
        </w:rPr>
        <w:t>0574-8918</w:t>
      </w:r>
      <w:r>
        <w:rPr>
          <w:rFonts w:hint="eastAsia" w:ascii="宋体" w:hAnsi="宋体"/>
          <w:szCs w:val="21"/>
          <w:lang w:val="en-US" w:eastAsia="zh-CN"/>
        </w:rPr>
        <w:t>3483</w:t>
      </w:r>
    </w:p>
    <w:p>
      <w:pPr>
        <w:snapToGrid w:val="0"/>
        <w:spacing w:line="400" w:lineRule="exact"/>
        <w:ind w:firstLine="411" w:firstLineChars="196"/>
        <w:rPr>
          <w:rFonts w:ascii="宋体" w:hAnsi="宋体"/>
          <w:szCs w:val="21"/>
        </w:rPr>
      </w:pPr>
      <w:r>
        <w:rPr>
          <w:rFonts w:hint="eastAsia" w:ascii="宋体" w:hAnsi="宋体"/>
          <w:szCs w:val="21"/>
        </w:rPr>
        <w:t>质疑联系人：</w:t>
      </w:r>
      <w:r>
        <w:rPr>
          <w:rFonts w:hint="eastAsia" w:ascii="宋体" w:hAnsi="宋体"/>
          <w:szCs w:val="21"/>
          <w:lang w:val="en-US" w:eastAsia="zh-CN"/>
        </w:rPr>
        <w:t>王</w:t>
      </w:r>
      <w:r>
        <w:rPr>
          <w:rFonts w:hint="eastAsia" w:ascii="宋体" w:hAnsi="宋体"/>
          <w:szCs w:val="21"/>
        </w:rPr>
        <w:t>老师</w:t>
      </w:r>
    </w:p>
    <w:p>
      <w:pPr>
        <w:snapToGrid w:val="0"/>
        <w:spacing w:line="400" w:lineRule="exact"/>
        <w:ind w:firstLine="411" w:firstLineChars="196"/>
        <w:rPr>
          <w:rFonts w:ascii="宋体" w:hAnsi="宋体"/>
          <w:szCs w:val="21"/>
        </w:rPr>
      </w:pPr>
      <w:r>
        <w:rPr>
          <w:rFonts w:hint="eastAsia" w:ascii="宋体" w:hAnsi="宋体"/>
          <w:szCs w:val="21"/>
        </w:rPr>
        <w:t>质疑联系人电话：0574-</w:t>
      </w:r>
      <w:r>
        <w:rPr>
          <w:rFonts w:hint="eastAsia" w:cs="宋体" w:asciiTheme="minorEastAsia" w:hAnsiTheme="minorEastAsia" w:eastAsiaTheme="minorEastAsia"/>
          <w:color w:val="auto"/>
          <w:szCs w:val="21"/>
        </w:rPr>
        <w:t>87259944</w:t>
      </w:r>
    </w:p>
    <w:p>
      <w:pPr>
        <w:snapToGrid w:val="0"/>
        <w:spacing w:line="400" w:lineRule="exact"/>
        <w:ind w:firstLine="411" w:firstLineChars="196"/>
        <w:rPr>
          <w:rFonts w:ascii="宋体" w:hAnsi="宋体"/>
          <w:szCs w:val="21"/>
        </w:rPr>
      </w:pPr>
      <w:r>
        <w:rPr>
          <w:rFonts w:hint="eastAsia" w:ascii="宋体" w:hAnsi="宋体" w:cs="宋体"/>
          <w:szCs w:val="21"/>
        </w:rPr>
        <w:t>2.采购代理机构信息</w:t>
      </w:r>
      <w:bookmarkEnd w:id="28"/>
      <w:bookmarkEnd w:id="29"/>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bookmarkStart w:id="30" w:name="_Toc28359010"/>
      <w:bookmarkStart w:id="31" w:name="_Toc28359087"/>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rPr>
        <w:t>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w:t>
      </w:r>
      <w:r>
        <w:rPr>
          <w:rFonts w:hint="eastAsia" w:ascii="宋体" w:hAnsi="宋体" w:cs="Arial"/>
          <w:szCs w:val="21"/>
        </w:rPr>
        <w:t>83860503</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p>
      <w:pPr>
        <w:snapToGrid w:val="0"/>
        <w:spacing w:line="400" w:lineRule="exact"/>
        <w:ind w:firstLine="411" w:firstLineChars="196"/>
        <w:rPr>
          <w:rFonts w:ascii="宋体" w:hAnsi="宋体" w:cs="宋体"/>
          <w:szCs w:val="21"/>
        </w:rPr>
      </w:pPr>
      <w:r>
        <w:rPr>
          <w:rFonts w:hint="eastAsia" w:ascii="宋体" w:hAnsi="宋体" w:cs="宋体"/>
          <w:szCs w:val="21"/>
        </w:rPr>
        <w:t>3.</w:t>
      </w:r>
      <w:bookmarkEnd w:id="0"/>
      <w:bookmarkEnd w:id="30"/>
      <w:bookmarkEnd w:id="31"/>
      <w:r>
        <w:rPr>
          <w:rFonts w:hint="eastAsia" w:ascii="宋体" w:hAnsi="宋体" w:cs="宋体"/>
          <w:szCs w:val="21"/>
        </w:rPr>
        <w:t xml:space="preserve"> 同级政府采购监督管理部门</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 xml:space="preserve">名称：宁波市财政局政府采购办公室 </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地址：宁波市海曙区中山西路19号</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传真：/</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联系人：徐老师</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监督投诉电话：0574-89388441</w:t>
      </w:r>
    </w:p>
    <w:p>
      <w:pPr>
        <w:spacing w:line="400" w:lineRule="exact"/>
        <w:ind w:firstLine="315" w:firstLineChars="150"/>
        <w:rPr>
          <w:szCs w:val="21"/>
          <w:shd w:val="clear" w:color="auto" w:fill="FFFFFF"/>
        </w:rPr>
      </w:pPr>
      <w:r>
        <w:rPr>
          <w:szCs w:val="21"/>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line="400" w:lineRule="exact"/>
        <w:ind w:firstLine="411" w:firstLineChars="196"/>
        <w:rPr>
          <w:rFonts w:ascii="宋体" w:hAnsi="宋体"/>
          <w:color w:val="FF0000"/>
          <w:szCs w:val="21"/>
          <w:u w:val="single"/>
        </w:rPr>
      </w:pPr>
      <w:r>
        <w:rPr>
          <w:szCs w:val="21"/>
          <w:shd w:val="clear" w:color="auto" w:fill="FFFFFF"/>
        </w:rPr>
        <w:t>CA问题联系电话（人工）：汇信CA 400-888-4636；天谷CA 400-087-8198。</w:t>
      </w:r>
    </w:p>
    <w:p>
      <w:pPr>
        <w:snapToGrid w:val="0"/>
        <w:spacing w:line="400" w:lineRule="exact"/>
        <w:ind w:firstLine="411" w:firstLineChars="196"/>
        <w:rPr>
          <w:rFonts w:ascii="宋体" w:hAnsi="宋体"/>
          <w:color w:val="FF0000"/>
          <w:szCs w:val="21"/>
          <w:u w:val="single"/>
        </w:rPr>
      </w:pPr>
    </w:p>
    <w:p>
      <w:pPr>
        <w:pStyle w:val="40"/>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360" w:lineRule="auto"/>
        <w:ind w:firstLine="422" w:firstLineChars="200"/>
        <w:rPr>
          <w:rFonts w:ascii="宋体" w:hAnsi="宋体"/>
          <w:b/>
          <w:kern w:val="1"/>
          <w:szCs w:val="21"/>
        </w:rPr>
      </w:pPr>
      <w:r>
        <w:rPr>
          <w:rFonts w:hint="eastAsia" w:ascii="宋体" w:hAnsi="宋体"/>
          <w:b/>
          <w:kern w:val="1"/>
          <w:szCs w:val="21"/>
        </w:rPr>
        <w:t>一、技术需求</w:t>
      </w:r>
    </w:p>
    <w:p>
      <w:pPr>
        <w:pStyle w:val="283"/>
        <w:tabs>
          <w:tab w:val="left" w:pos="0"/>
          <w:tab w:val="left" w:pos="360"/>
          <w:tab w:val="clear" w:pos="860"/>
        </w:tabs>
        <w:spacing w:before="120" w:after="120"/>
        <w:rPr>
          <w:rFonts w:ascii="宋体" w:hAnsi="宋体" w:eastAsia="宋体" w:cs="宋体"/>
          <w:sz w:val="21"/>
          <w:szCs w:val="21"/>
        </w:rPr>
      </w:pPr>
      <w:r>
        <w:rPr>
          <w:rFonts w:hint="eastAsia" w:ascii="宋体" w:hAnsi="宋体" w:eastAsia="宋体" w:cs="宋体"/>
          <w:sz w:val="21"/>
          <w:szCs w:val="21"/>
        </w:rPr>
        <w:t>(一)建设背景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2022年3月，省生态环境厅、省治水办联合印发了《浙江省水生态环境保护暨八大水系和近岸海域生态修复与生物多样性保护2022年实施方案》（浙环函〔2022〕65号），要求“推进电子围栏建设，提升保护区规范</w:t>
      </w:r>
      <w:r>
        <w:rPr>
          <w:rFonts w:hint="eastAsia" w:ascii="宋体" w:hAnsi="宋体" w:cs="宋体"/>
          <w:color w:val="auto"/>
          <w:szCs w:val="21"/>
          <w:highlight w:val="none"/>
        </w:rPr>
        <w:t>化建设、智慧化感知水平”。根据2022年5月省治水办印发的《关于印发&lt;2022年度“五水共治”“河湖长制”工作各市责任书&gt;的通知》（浙治水办发〔2022〕13号），要求我市2022年度“完成</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个县级以上饮用水水源保护区电子围栏建设”。因此我市计划对13个县级以上饮用水水源地开展电子围栏建设，依法依规推进保护区规范化和智能化管控，进一步保障人民群众饮水安全。</w:t>
      </w:r>
    </w:p>
    <w:p>
      <w:pPr>
        <w:pStyle w:val="283"/>
        <w:tabs>
          <w:tab w:val="left" w:pos="0"/>
          <w:tab w:val="left" w:pos="360"/>
          <w:tab w:val="clear" w:pos="860"/>
        </w:tabs>
        <w:spacing w:before="120" w:after="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（二）服务原则</w:t>
      </w:r>
    </w:p>
    <w:p>
      <w:pPr>
        <w:spacing w:line="360" w:lineRule="auto"/>
        <w:ind w:firstLine="420" w:firstLineChars="200"/>
        <w:rPr>
          <w:rFonts w:ascii="宋体" w:hAnsi="宋体" w:cs="宋体"/>
          <w:szCs w:val="21"/>
        </w:rPr>
      </w:pPr>
      <w:r>
        <w:rPr>
          <w:rFonts w:hint="eastAsia" w:ascii="宋体" w:hAnsi="宋体" w:cs="宋体"/>
          <w:color w:val="auto"/>
          <w:szCs w:val="21"/>
          <w:highlight w:val="none"/>
        </w:rPr>
        <w:t>目标导向。以全面防范人为干扰监测数据为目标，积极依托数字赋能，推进饮用水水源地电子围栏数据采购工作，通过安装高清视频监控和设置智能报警系</w:t>
      </w:r>
      <w:r>
        <w:rPr>
          <w:rFonts w:hint="eastAsia" w:ascii="宋体" w:hAnsi="宋体" w:cs="宋体"/>
          <w:szCs w:val="21"/>
        </w:rPr>
        <w:t>统，对人员闯禁、违规行为、物体和风险隐患等实现精准捕捉和智能识别，有效解决人工巡查的管控盲区问题，全面提升智能化防范干扰能力。</w:t>
      </w:r>
    </w:p>
    <w:p>
      <w:pPr>
        <w:spacing w:line="360" w:lineRule="auto"/>
        <w:ind w:firstLine="420" w:firstLineChars="200"/>
        <w:rPr>
          <w:rFonts w:hint="eastAsia" w:ascii="宋体" w:hAnsi="宋体" w:cs="宋体"/>
          <w:szCs w:val="21"/>
        </w:rPr>
      </w:pPr>
      <w:r>
        <w:rPr>
          <w:rFonts w:hint="eastAsia" w:ascii="宋体" w:hAnsi="宋体" w:cs="宋体"/>
          <w:szCs w:val="21"/>
        </w:rPr>
        <w:t>顶层设计。明确功能定位，遵循省级试点工作统筹，符合省市县各层级业务需求，结合环境问题发现机制和视频技术监管手段综合应用，满足省统一的各项要求，在全省一盘棋工作格局下进行建设。</w:t>
      </w:r>
    </w:p>
    <w:p>
      <w:pPr>
        <w:spacing w:line="360" w:lineRule="auto"/>
        <w:ind w:firstLine="420" w:firstLineChars="200"/>
        <w:rPr>
          <w:rFonts w:ascii="宋体" w:hAnsi="宋体" w:cs="宋体"/>
          <w:szCs w:val="21"/>
        </w:rPr>
      </w:pPr>
      <w:r>
        <w:rPr>
          <w:rFonts w:hint="eastAsia" w:ascii="宋体" w:hAnsi="宋体" w:cs="宋体"/>
          <w:szCs w:val="21"/>
        </w:rPr>
        <w:t>强化创新。深入贯彻《生态环境监测规划纲要（2020-2035）》和《生态环境部办公厅关于推进生态环境监测体系与监测能力现代化的若干意见》（环办监测〔2020〕9号），全面借助全省生态环境数字化改革，树立智治理念，依靠数字赋能，加强物联网、大数据、人脸识别、人工智能等前沿技术的创新应用，着力提升现代化的监管能力。</w:t>
      </w:r>
    </w:p>
    <w:p>
      <w:pPr>
        <w:spacing w:line="360" w:lineRule="auto"/>
        <w:ind w:firstLine="420" w:firstLineChars="200"/>
        <w:rPr>
          <w:rFonts w:ascii="宋体" w:hAnsi="宋体" w:cs="宋体"/>
          <w:szCs w:val="21"/>
        </w:rPr>
      </w:pPr>
      <w:r>
        <w:rPr>
          <w:rFonts w:hint="eastAsia" w:ascii="宋体" w:hAnsi="宋体" w:cs="宋体"/>
          <w:szCs w:val="21"/>
        </w:rPr>
        <w:t>注重实效。结合本地实际工作经验，借助较为成熟的计算系统，并坚持在建设过程中不断总结和分析问题，及时总结，形成可推广、可复制的应用成果，为提升安全保障能力提供解决路径。</w:t>
      </w:r>
    </w:p>
    <w:p>
      <w:pPr>
        <w:pStyle w:val="283"/>
        <w:tabs>
          <w:tab w:val="left" w:pos="0"/>
          <w:tab w:val="left" w:pos="360"/>
          <w:tab w:val="clear" w:pos="860"/>
        </w:tabs>
        <w:spacing w:before="120" w:after="120"/>
        <w:rPr>
          <w:rFonts w:ascii="宋体" w:hAnsi="宋体" w:eastAsia="宋体" w:cs="宋体"/>
          <w:sz w:val="21"/>
          <w:szCs w:val="21"/>
        </w:rPr>
      </w:pPr>
      <w:r>
        <w:rPr>
          <w:rFonts w:hint="eastAsia" w:ascii="宋体" w:hAnsi="宋体" w:eastAsia="宋体" w:cs="宋体"/>
          <w:sz w:val="21"/>
          <w:szCs w:val="21"/>
        </w:rPr>
        <w:t>（三）服务内容及基本需求</w:t>
      </w:r>
    </w:p>
    <w:p>
      <w:pPr>
        <w:pStyle w:val="391"/>
        <w:spacing w:before="120"/>
        <w:ind w:firstLine="417" w:firstLineChars="199"/>
        <w:rPr>
          <w:rFonts w:cs="宋体"/>
          <w:b/>
          <w:bCs/>
          <w:sz w:val="21"/>
          <w:szCs w:val="21"/>
          <w:lang w:val="en-US"/>
        </w:rPr>
      </w:pPr>
      <w:r>
        <w:rPr>
          <w:rFonts w:hint="eastAsia" w:cs="宋体"/>
          <w:color w:val="auto"/>
          <w:sz w:val="21"/>
          <w:szCs w:val="21"/>
          <w:lang w:val="en-US"/>
        </w:rPr>
        <w:t>本次招标为三年期的饮用水水源地电子围栏数据服务采购。具体服务内容如下：</w:t>
      </w:r>
    </w:p>
    <w:p>
      <w:pPr>
        <w:pStyle w:val="391"/>
        <w:spacing w:before="120"/>
        <w:ind w:firstLine="420" w:firstLineChars="199"/>
        <w:rPr>
          <w:rFonts w:cs="宋体"/>
          <w:b/>
          <w:bCs/>
          <w:sz w:val="21"/>
          <w:szCs w:val="21"/>
          <w:lang w:val="en-US"/>
        </w:rPr>
      </w:pPr>
      <w:r>
        <w:rPr>
          <w:rFonts w:hint="eastAsia" w:cs="宋体"/>
          <w:b/>
          <w:bCs/>
          <w:sz w:val="21"/>
          <w:szCs w:val="21"/>
        </w:rPr>
        <w:t>电子围栏数据采购服务采购内容</w:t>
      </w:r>
      <w:r>
        <w:rPr>
          <w:rFonts w:hint="eastAsia" w:cs="宋体"/>
          <w:b/>
          <w:bCs/>
          <w:sz w:val="21"/>
          <w:szCs w:val="21"/>
          <w:lang w:val="en-US"/>
        </w:rPr>
        <w:t>如下：</w:t>
      </w:r>
    </w:p>
    <w:tbl>
      <w:tblPr>
        <w:tblStyle w:val="44"/>
        <w:tblW w:w="8212" w:type="dxa"/>
        <w:tblInd w:w="0" w:type="dxa"/>
        <w:tblLayout w:type="autofit"/>
        <w:tblCellMar>
          <w:top w:w="0" w:type="dxa"/>
          <w:left w:w="108" w:type="dxa"/>
          <w:bottom w:w="0" w:type="dxa"/>
          <w:right w:w="108" w:type="dxa"/>
        </w:tblCellMar>
      </w:tblPr>
      <w:tblGrid>
        <w:gridCol w:w="699"/>
        <w:gridCol w:w="1134"/>
        <w:gridCol w:w="1559"/>
        <w:gridCol w:w="709"/>
        <w:gridCol w:w="709"/>
        <w:gridCol w:w="3402"/>
      </w:tblGrid>
      <w:tr>
        <w:trPr>
          <w:trHeight w:val="285" w:hRule="atLeast"/>
        </w:trPr>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Cs w:val="21"/>
              </w:rPr>
            </w:pPr>
            <w:bookmarkStart w:id="33" w:name="_Hlk113361807"/>
            <w:r>
              <w:rPr>
                <w:rFonts w:hint="eastAsia" w:ascii="宋体" w:hAnsi="宋体" w:cs="宋体"/>
                <w:b/>
                <w:bCs/>
                <w:color w:val="000000"/>
                <w:kern w:val="0"/>
                <w:szCs w:val="21"/>
              </w:rPr>
              <w:t>序号</w:t>
            </w:r>
          </w:p>
        </w:tc>
        <w:tc>
          <w:tcPr>
            <w:tcW w:w="2693" w:type="dxa"/>
            <w:gridSpan w:val="2"/>
            <w:tcBorders>
              <w:top w:val="single" w:color="000000" w:sz="8" w:space="0"/>
              <w:left w:val="nil"/>
              <w:bottom w:val="nil"/>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采购服务内容</w:t>
            </w:r>
          </w:p>
        </w:tc>
        <w:tc>
          <w:tcPr>
            <w:tcW w:w="709" w:type="dxa"/>
            <w:tcBorders>
              <w:top w:val="single" w:color="000000" w:sz="8"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09" w:type="dxa"/>
            <w:tcBorders>
              <w:top w:val="single" w:color="000000" w:sz="8" w:space="0"/>
              <w:left w:val="single" w:color="auto" w:sz="4" w:space="0"/>
              <w:bottom w:val="nil"/>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340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服务内容概述</w:t>
            </w:r>
          </w:p>
        </w:tc>
      </w:tr>
      <w:tr>
        <w:tblPrEx>
          <w:tblCellMar>
            <w:top w:w="0" w:type="dxa"/>
            <w:left w:w="108" w:type="dxa"/>
            <w:bottom w:w="0" w:type="dxa"/>
            <w:right w:w="108" w:type="dxa"/>
          </w:tblCellMar>
        </w:tblPrEx>
        <w:trPr>
          <w:trHeight w:val="488" w:hRule="atLeast"/>
        </w:trPr>
        <w:tc>
          <w:tcPr>
            <w:tcW w:w="699" w:type="dxa"/>
            <w:tcBorders>
              <w:top w:val="nil"/>
              <w:left w:val="single" w:color="000000" w:sz="8" w:space="0"/>
              <w:bottom w:val="single" w:color="auto" w:sz="4" w:space="0"/>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1134" w:type="dxa"/>
            <w:vMerge w:val="restart"/>
            <w:tcBorders>
              <w:top w:val="single" w:color="auto" w:sz="8" w:space="0"/>
              <w:left w:val="single" w:color="auto" w:sz="8"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普通枪机摄像头数据服务</w:t>
            </w:r>
          </w:p>
        </w:tc>
        <w:tc>
          <w:tcPr>
            <w:tcW w:w="155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普通视频监控数据服务</w:t>
            </w: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709" w:type="dxa"/>
            <w:vMerge w:val="restart"/>
            <w:tcBorders>
              <w:top w:val="single" w:color="auto" w:sz="8" w:space="0"/>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w:t>
            </w:r>
          </w:p>
        </w:tc>
        <w:tc>
          <w:tcPr>
            <w:tcW w:w="3402" w:type="dxa"/>
            <w:vMerge w:val="restart"/>
            <w:tcBorders>
              <w:top w:val="nil"/>
              <w:left w:val="single" w:color="auto" w:sz="4" w:space="0"/>
              <w:right w:val="single" w:color="000000"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应用于电子围栏数据采购服务的相关视频监控设施设备建设，供应商在投标响应文件中必须明确每类服务的数量和点位，并制定合理的实施方案。（以上设备均需使用且在适当场景选择使用。）</w:t>
            </w:r>
          </w:p>
        </w:tc>
      </w:tr>
      <w:tr>
        <w:trPr>
          <w:trHeight w:val="480"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2</w:t>
            </w:r>
          </w:p>
        </w:tc>
        <w:tc>
          <w:tcPr>
            <w:tcW w:w="1134" w:type="dxa"/>
            <w:vMerge w:val="continue"/>
            <w:tcBorders>
              <w:left w:val="single" w:color="auto" w:sz="8" w:space="0"/>
              <w:right w:val="single" w:color="auto" w:sz="4" w:space="0"/>
            </w:tcBorders>
            <w:shd w:val="clear" w:color="auto" w:fill="auto"/>
            <w:vAlign w:val="center"/>
          </w:tcPr>
          <w:p>
            <w:pPr>
              <w:jc w:val="left"/>
              <w:rPr>
                <w:rFonts w:ascii="宋体" w:hAnsi="宋体" w:cs="宋体"/>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高清周界监控数据服务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项</w:t>
            </w:r>
          </w:p>
        </w:tc>
        <w:tc>
          <w:tcPr>
            <w:tcW w:w="709"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Cs w:val="21"/>
              </w:rPr>
            </w:pPr>
          </w:p>
        </w:tc>
        <w:tc>
          <w:tcPr>
            <w:tcW w:w="3402" w:type="dxa"/>
            <w:vMerge w:val="continue"/>
            <w:tcBorders>
              <w:left w:val="single" w:color="auto" w:sz="4" w:space="0"/>
              <w:right w:val="single" w:color="000000" w:sz="8" w:space="0"/>
            </w:tcBorders>
            <w:shd w:val="clear" w:color="auto" w:fill="auto"/>
            <w:vAlign w:val="center"/>
          </w:tcPr>
          <w:p>
            <w:pPr>
              <w:jc w:val="left"/>
              <w:rPr>
                <w:rFonts w:ascii="宋体" w:hAnsi="宋体" w:cs="宋体"/>
                <w:kern w:val="0"/>
                <w:szCs w:val="21"/>
              </w:rPr>
            </w:pPr>
          </w:p>
        </w:tc>
      </w:tr>
      <w:tr>
        <w:trPr>
          <w:trHeight w:val="134"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3</w:t>
            </w:r>
          </w:p>
        </w:tc>
        <w:tc>
          <w:tcPr>
            <w:tcW w:w="1134" w:type="dxa"/>
            <w:vMerge w:val="continue"/>
            <w:tcBorders>
              <w:left w:val="single" w:color="auto" w:sz="8" w:space="0"/>
              <w:right w:val="single" w:color="auto" w:sz="4" w:space="0"/>
            </w:tcBorders>
            <w:shd w:val="clear" w:color="auto" w:fill="auto"/>
            <w:vAlign w:val="center"/>
          </w:tcPr>
          <w:p>
            <w:pPr>
              <w:jc w:val="left"/>
              <w:rPr>
                <w:rFonts w:ascii="宋体" w:hAnsi="宋体" w:cs="宋体"/>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常规监控数据服务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项</w:t>
            </w:r>
          </w:p>
        </w:tc>
        <w:tc>
          <w:tcPr>
            <w:tcW w:w="709"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Cs w:val="21"/>
              </w:rPr>
            </w:pPr>
          </w:p>
        </w:tc>
        <w:tc>
          <w:tcPr>
            <w:tcW w:w="3402" w:type="dxa"/>
            <w:vMerge w:val="continue"/>
            <w:tcBorders>
              <w:left w:val="single" w:color="auto" w:sz="4" w:space="0"/>
              <w:right w:val="single" w:color="000000" w:sz="8" w:space="0"/>
            </w:tcBorders>
            <w:shd w:val="clear" w:color="auto" w:fill="auto"/>
            <w:vAlign w:val="center"/>
          </w:tcPr>
          <w:p>
            <w:pPr>
              <w:jc w:val="left"/>
              <w:rPr>
                <w:rFonts w:ascii="宋体" w:hAnsi="宋体" w:cs="宋体"/>
                <w:kern w:val="0"/>
                <w:szCs w:val="21"/>
              </w:rPr>
            </w:pPr>
          </w:p>
        </w:tc>
      </w:tr>
      <w:tr>
        <w:tblPrEx>
          <w:tblCellMar>
            <w:top w:w="0" w:type="dxa"/>
            <w:left w:w="108" w:type="dxa"/>
            <w:bottom w:w="0" w:type="dxa"/>
            <w:right w:w="108" w:type="dxa"/>
          </w:tblCellMar>
        </w:tblPrEx>
        <w:trPr>
          <w:trHeight w:val="274" w:hRule="atLeast"/>
        </w:trPr>
        <w:tc>
          <w:tcPr>
            <w:tcW w:w="699" w:type="dxa"/>
            <w:vMerge w:val="restart"/>
            <w:tcBorders>
              <w:top w:val="single" w:color="auto" w:sz="4" w:space="0"/>
              <w:left w:val="single" w:color="000000" w:sz="8" w:space="0"/>
              <w:right w:val="nil"/>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4</w:t>
            </w:r>
          </w:p>
        </w:tc>
        <w:tc>
          <w:tcPr>
            <w:tcW w:w="1134" w:type="dxa"/>
            <w:vMerge w:val="continue"/>
            <w:tcBorders>
              <w:left w:val="single" w:color="auto" w:sz="8" w:space="0"/>
              <w:right w:val="single" w:color="auto" w:sz="4" w:space="0"/>
            </w:tcBorders>
            <w:shd w:val="clear" w:color="auto" w:fill="auto"/>
            <w:vAlign w:val="center"/>
          </w:tcPr>
          <w:p>
            <w:pPr>
              <w:jc w:val="left"/>
              <w:rPr>
                <w:rFonts w:ascii="宋体" w:hAnsi="宋体" w:cs="宋体"/>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高位全景AI监控数据服务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70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02" w:type="dxa"/>
            <w:vMerge w:val="continue"/>
            <w:tcBorders>
              <w:left w:val="single" w:color="auto" w:sz="4" w:space="0"/>
              <w:right w:val="single" w:color="000000" w:sz="8" w:space="0"/>
            </w:tcBorders>
            <w:shd w:val="clear" w:color="auto" w:fill="auto"/>
            <w:vAlign w:val="center"/>
          </w:tcPr>
          <w:p>
            <w:pPr>
              <w:jc w:val="left"/>
              <w:rPr>
                <w:rFonts w:ascii="宋体" w:hAnsi="宋体" w:cs="宋体"/>
                <w:kern w:val="0"/>
                <w:szCs w:val="21"/>
              </w:rPr>
            </w:pPr>
          </w:p>
        </w:tc>
      </w:tr>
      <w:tr>
        <w:tblPrEx>
          <w:tblCellMar>
            <w:top w:w="0" w:type="dxa"/>
            <w:left w:w="108" w:type="dxa"/>
            <w:bottom w:w="0" w:type="dxa"/>
            <w:right w:w="108" w:type="dxa"/>
          </w:tblCellMar>
        </w:tblPrEx>
        <w:trPr>
          <w:trHeight w:val="266" w:hRule="atLeast"/>
        </w:trPr>
        <w:tc>
          <w:tcPr>
            <w:tcW w:w="699" w:type="dxa"/>
            <w:vMerge w:val="continue"/>
            <w:tcBorders>
              <w:left w:val="single" w:color="000000" w:sz="8" w:space="0"/>
              <w:bottom w:val="single" w:color="auto" w:sz="4" w:space="0"/>
              <w:right w:val="nil"/>
            </w:tcBorders>
            <w:shd w:val="clear" w:color="auto" w:fill="auto"/>
            <w:vAlign w:val="center"/>
          </w:tcPr>
          <w:p>
            <w:pPr>
              <w:widowControl/>
              <w:jc w:val="center"/>
              <w:rPr>
                <w:rFonts w:ascii="宋体" w:hAnsi="宋体" w:cs="宋体"/>
                <w:b/>
                <w:bCs/>
                <w:kern w:val="0"/>
                <w:szCs w:val="21"/>
              </w:rPr>
            </w:pPr>
          </w:p>
        </w:tc>
        <w:tc>
          <w:tcPr>
            <w:tcW w:w="1134" w:type="dxa"/>
            <w:vMerge w:val="continue"/>
            <w:tcBorders>
              <w:left w:val="single" w:color="auto" w:sz="8" w:space="0"/>
              <w:bottom w:val="single" w:color="auto" w:sz="4" w:space="0"/>
              <w:right w:val="single" w:color="auto" w:sz="4" w:space="0"/>
            </w:tcBorders>
            <w:shd w:val="clear" w:color="auto" w:fill="auto"/>
            <w:vAlign w:val="center"/>
          </w:tcPr>
          <w:p>
            <w:pPr>
              <w:jc w:val="left"/>
              <w:rPr>
                <w:rFonts w:ascii="宋体" w:hAnsi="宋体" w:cs="宋体"/>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双光人脸警戒变焦监控数据服务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项</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02" w:type="dxa"/>
            <w:vMerge w:val="continue"/>
            <w:tcBorders>
              <w:left w:val="single" w:color="auto" w:sz="4" w:space="0"/>
              <w:bottom w:val="single" w:color="auto" w:sz="4" w:space="0"/>
              <w:right w:val="single" w:color="000000" w:sz="8" w:space="0"/>
            </w:tcBorders>
            <w:shd w:val="clear" w:color="auto" w:fill="auto"/>
            <w:vAlign w:val="center"/>
          </w:tcPr>
          <w:p>
            <w:pPr>
              <w:jc w:val="left"/>
              <w:rPr>
                <w:rFonts w:ascii="宋体" w:hAnsi="宋体" w:cs="宋体"/>
                <w:kern w:val="0"/>
                <w:szCs w:val="21"/>
              </w:rPr>
            </w:pPr>
          </w:p>
        </w:tc>
      </w:tr>
      <w:tr>
        <w:trPr>
          <w:trHeight w:val="480"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5</w:t>
            </w:r>
          </w:p>
        </w:tc>
        <w:tc>
          <w:tcPr>
            <w:tcW w:w="26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热成像周界防范技术数据服务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8</w:t>
            </w:r>
          </w:p>
        </w:tc>
        <w:tc>
          <w:tcPr>
            <w:tcW w:w="3402" w:type="dxa"/>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应用于电子围栏数据采购服务的相关视频监控设施设备建设。</w:t>
            </w:r>
          </w:p>
        </w:tc>
      </w:tr>
      <w:tr>
        <w:tblPrEx>
          <w:tblCellMar>
            <w:top w:w="0" w:type="dxa"/>
            <w:left w:w="108" w:type="dxa"/>
            <w:bottom w:w="0" w:type="dxa"/>
            <w:right w:w="108" w:type="dxa"/>
          </w:tblCellMar>
        </w:tblPrEx>
        <w:trPr>
          <w:trHeight w:val="180"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jc w:val="center"/>
              <w:rPr>
                <w:rFonts w:ascii="宋体" w:hAnsi="宋体" w:cs="宋体"/>
                <w:b/>
                <w:bCs/>
                <w:kern w:val="0"/>
                <w:szCs w:val="21"/>
              </w:rPr>
            </w:pPr>
            <w:r>
              <w:rPr>
                <w:rFonts w:hint="eastAsia" w:ascii="宋体" w:hAnsi="宋体" w:cs="宋体"/>
                <w:b/>
                <w:bCs/>
                <w:kern w:val="0"/>
                <w:szCs w:val="21"/>
              </w:rPr>
              <w:t>6</w:t>
            </w:r>
          </w:p>
        </w:tc>
        <w:tc>
          <w:tcPr>
            <w:tcW w:w="26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雷球防范技术数据服务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6</w:t>
            </w:r>
          </w:p>
        </w:tc>
        <w:tc>
          <w:tcPr>
            <w:tcW w:w="3402" w:type="dxa"/>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ascii="宋体" w:hAnsi="宋体" w:cs="宋体"/>
                <w:kern w:val="0"/>
                <w:szCs w:val="21"/>
              </w:rPr>
            </w:pPr>
            <w:r>
              <w:rPr>
                <w:rFonts w:hint="eastAsia" w:ascii="宋体" w:hAnsi="宋体" w:cs="宋体"/>
                <w:kern w:val="0"/>
                <w:szCs w:val="21"/>
              </w:rPr>
              <w:t>应用于电子围栏数据采购服务的相关视频监控设施设备建设。</w:t>
            </w:r>
          </w:p>
        </w:tc>
      </w:tr>
      <w:tr>
        <w:tblPrEx>
          <w:tblCellMar>
            <w:top w:w="0" w:type="dxa"/>
            <w:left w:w="108" w:type="dxa"/>
            <w:bottom w:w="0" w:type="dxa"/>
            <w:right w:w="108" w:type="dxa"/>
          </w:tblCellMar>
        </w:tblPrEx>
        <w:trPr>
          <w:trHeight w:val="617"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jc w:val="center"/>
              <w:rPr>
                <w:rFonts w:ascii="宋体" w:hAnsi="宋体" w:cs="宋体"/>
                <w:b/>
                <w:bCs/>
                <w:color w:val="auto"/>
                <w:kern w:val="0"/>
                <w:szCs w:val="21"/>
              </w:rPr>
            </w:pPr>
            <w:r>
              <w:rPr>
                <w:rFonts w:hint="eastAsia" w:ascii="宋体" w:hAnsi="宋体" w:cs="宋体"/>
                <w:b/>
                <w:bCs/>
                <w:color w:val="auto"/>
                <w:kern w:val="0"/>
                <w:szCs w:val="21"/>
              </w:rPr>
              <w:t>7</w:t>
            </w:r>
          </w:p>
        </w:tc>
        <w:tc>
          <w:tcPr>
            <w:tcW w:w="26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cs="宋体"/>
                <w:color w:val="auto"/>
                <w:kern w:val="0"/>
                <w:szCs w:val="21"/>
              </w:rPr>
            </w:pPr>
            <w:r>
              <w:rPr>
                <w:rFonts w:hint="eastAsia" w:ascii="宋体" w:hAnsi="宋体" w:cs="宋体"/>
                <w:color w:val="auto"/>
                <w:kern w:val="0"/>
                <w:szCs w:val="21"/>
              </w:rPr>
              <w:t>警报处理及对接服务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Cs w:val="21"/>
              </w:rPr>
            </w:pPr>
            <w:r>
              <w:rPr>
                <w:rFonts w:hint="eastAsia" w:ascii="宋体" w:hAnsi="宋体" w:cs="宋体"/>
                <w:color w:val="auto"/>
                <w:kern w:val="0"/>
                <w:szCs w:val="21"/>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Cs w:val="21"/>
              </w:rPr>
            </w:pPr>
            <w:r>
              <w:rPr>
                <w:rFonts w:hint="eastAsia" w:ascii="宋体" w:hAnsi="宋体" w:cs="宋体"/>
                <w:color w:val="auto"/>
                <w:kern w:val="0"/>
                <w:szCs w:val="21"/>
              </w:rPr>
              <w:t>1</w:t>
            </w:r>
          </w:p>
        </w:tc>
        <w:tc>
          <w:tcPr>
            <w:tcW w:w="3402" w:type="dxa"/>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ascii="宋体" w:hAnsi="宋体" w:cs="宋体"/>
                <w:color w:val="auto"/>
                <w:kern w:val="0"/>
                <w:szCs w:val="21"/>
              </w:rPr>
            </w:pPr>
            <w:r>
              <w:rPr>
                <w:rFonts w:hint="eastAsia" w:ascii="宋体" w:hAnsi="宋体" w:cs="宋体"/>
                <w:color w:val="auto"/>
                <w:kern w:val="0"/>
                <w:szCs w:val="21"/>
              </w:rPr>
              <w:t>平台软件功能描述详见软件平台定制化开发功能需求。含平台的对接展示费用。</w:t>
            </w:r>
          </w:p>
        </w:tc>
      </w:tr>
      <w:tr>
        <w:tblPrEx>
          <w:tblCellMar>
            <w:top w:w="0" w:type="dxa"/>
            <w:left w:w="108" w:type="dxa"/>
            <w:bottom w:w="0" w:type="dxa"/>
            <w:right w:w="108" w:type="dxa"/>
          </w:tblCellMar>
        </w:tblPrEx>
        <w:trPr>
          <w:trHeight w:val="285"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8</w:t>
            </w:r>
          </w:p>
        </w:tc>
        <w:tc>
          <w:tcPr>
            <w:tcW w:w="26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环境核查服务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40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通过无人机、遥感、人工外业核查技术手段进行水源地环境核查。</w:t>
            </w:r>
          </w:p>
        </w:tc>
      </w:tr>
      <w:tr>
        <w:tblPrEx>
          <w:tblCellMar>
            <w:top w:w="0" w:type="dxa"/>
            <w:left w:w="108" w:type="dxa"/>
            <w:bottom w:w="0" w:type="dxa"/>
            <w:right w:w="108" w:type="dxa"/>
          </w:tblCellMar>
        </w:tblPrEx>
        <w:trPr>
          <w:trHeight w:val="567" w:hRule="atLeast"/>
        </w:trPr>
        <w:tc>
          <w:tcPr>
            <w:tcW w:w="699" w:type="dxa"/>
            <w:tcBorders>
              <w:top w:val="single" w:color="auto" w:sz="4" w:space="0"/>
              <w:left w:val="single" w:color="000000" w:sz="8" w:space="0"/>
              <w:bottom w:val="single" w:color="auto" w:sz="4"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9</w:t>
            </w:r>
          </w:p>
        </w:tc>
        <w:tc>
          <w:tcPr>
            <w:tcW w:w="269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数据运维服务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40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提供2名运维人员完成系统运行情况监控和数据问题发现处置服务</w:t>
            </w:r>
          </w:p>
        </w:tc>
      </w:tr>
      <w:tr>
        <w:trPr>
          <w:trHeight w:val="95" w:hRule="atLeast"/>
        </w:trPr>
        <w:tc>
          <w:tcPr>
            <w:tcW w:w="699" w:type="dxa"/>
            <w:tcBorders>
              <w:top w:val="single" w:color="auto" w:sz="4" w:space="0"/>
              <w:left w:val="single" w:color="000000" w:sz="8" w:space="0"/>
              <w:bottom w:val="single" w:color="000000" w:sz="8"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10</w:t>
            </w:r>
          </w:p>
        </w:tc>
        <w:tc>
          <w:tcPr>
            <w:tcW w:w="2693" w:type="dxa"/>
            <w:gridSpan w:val="2"/>
            <w:tcBorders>
              <w:top w:val="single" w:color="auto" w:sz="4" w:space="0"/>
              <w:left w:val="single" w:color="auto" w:sz="8" w:space="0"/>
              <w:bottom w:val="single" w:color="000000" w:sz="8"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数据传输服务</w:t>
            </w:r>
          </w:p>
        </w:tc>
        <w:tc>
          <w:tcPr>
            <w:tcW w:w="709"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批</w:t>
            </w:r>
          </w:p>
        </w:tc>
        <w:tc>
          <w:tcPr>
            <w:tcW w:w="709"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402"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将所有水库各类监测数据通过VPN专线或4G无线方式接入总点。</w:t>
            </w:r>
          </w:p>
        </w:tc>
      </w:tr>
      <w:bookmarkEnd w:id="33"/>
    </w:tbl>
    <w:p>
      <w:pPr>
        <w:pStyle w:val="391"/>
        <w:spacing w:before="120"/>
        <w:ind w:firstLine="420"/>
        <w:rPr>
          <w:rFonts w:cs="宋体"/>
          <w:color w:val="auto"/>
          <w:sz w:val="21"/>
          <w:szCs w:val="21"/>
          <w:lang w:val="en-US"/>
        </w:rPr>
      </w:pPr>
      <w:r>
        <w:rPr>
          <w:rFonts w:hint="eastAsia" w:cs="宋体"/>
          <w:color w:val="auto"/>
          <w:sz w:val="21"/>
          <w:szCs w:val="21"/>
        </w:rPr>
        <w:t>注：供应商在投标响应文件中必须明确每类监控服务的数量和点位，制定施工方案。自合同签订之日起至2022年12月底前完成前端设备建设。服务平台搭建完成，具备运行条件后，进入服务期，提供各类数据服务，服务期为3年。服务期间应保障数据服务正常，并满足业务管理要求。</w:t>
      </w:r>
    </w:p>
    <w:p>
      <w:pPr>
        <w:numPr>
          <w:ilvl w:val="0"/>
          <w:numId w:val="2"/>
        </w:numPr>
        <w:adjustRightInd w:val="0"/>
        <w:snapToGrid w:val="0"/>
        <w:spacing w:line="560" w:lineRule="exact"/>
        <w:ind w:left="1055"/>
        <w:rPr>
          <w:rFonts w:ascii="宋体" w:hAnsi="宋体" w:cs="宋体"/>
          <w:b/>
          <w:bCs/>
          <w:color w:val="auto"/>
          <w:szCs w:val="21"/>
          <w:highlight w:val="none"/>
        </w:rPr>
      </w:pPr>
      <w:r>
        <w:rPr>
          <w:rFonts w:hint="eastAsia" w:ascii="宋体" w:hAnsi="宋体" w:cs="宋体"/>
          <w:b/>
          <w:bCs/>
          <w:color w:val="auto"/>
          <w:kern w:val="0"/>
          <w:szCs w:val="21"/>
        </w:rPr>
        <w:t>视频监控服务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饮用水水源保护区范围内安装视频监控系统，可远程监视饮用水水源保护区周围</w:t>
      </w:r>
      <w:r>
        <w:rPr>
          <w:rFonts w:hint="eastAsia" w:ascii="宋体" w:hAnsi="宋体" w:cs="宋体"/>
          <w:color w:val="auto"/>
          <w:szCs w:val="21"/>
          <w:highlight w:val="none"/>
          <w:lang w:eastAsia="zh-CN"/>
        </w:rPr>
        <w:t>与保护水源无关的人类活动</w:t>
      </w:r>
      <w:r>
        <w:rPr>
          <w:rFonts w:hint="eastAsia" w:ascii="宋体" w:hAnsi="宋体" w:cs="宋体"/>
          <w:color w:val="auto"/>
          <w:szCs w:val="21"/>
          <w:highlight w:val="none"/>
        </w:rPr>
        <w:t>，观察瞭望饮用水水源水面概况、区域环境等。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本项视频监控服务含</w:t>
      </w:r>
      <w:r>
        <w:rPr>
          <w:rFonts w:hint="eastAsia" w:ascii="宋体" w:hAnsi="宋体" w:cs="宋体"/>
          <w:color w:val="auto"/>
          <w:kern w:val="0"/>
          <w:szCs w:val="21"/>
          <w:highlight w:val="none"/>
        </w:rPr>
        <w:t>电子围栏普通视频、高清周界、常规监控、双光人脸警戒、热成像、高位全景、雷球监控数据服务等种类。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利用视频监控设备、云计算、大数据和人工智能等新技术，建设饮用水水源保护区电子围栏，实现“智能发现－智能预警－实时监控－抓拍取证”闭环管理，提升智能监管能力。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①服务所需设备组成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电子围栏由普通高清监控摄像机、热成像摄像机、雷球型摄像机、高位全景AI摄像机、常规监控摄像机、双光人脸警戒变焦摄像机管理平台系统等组成。数量根据保护区实际情况确定。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其中高空全景AI监控设备：安装在视野开阔处，已取水口周围为主，用于监控保护区水面环境及整体概况为主。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其他监控设备：安装在取水口周围、水库大坝、出入保护区道路两侧、跨水域桥梁等区域，主要用于监控保护区内人员、车辆活动。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②监控范围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电子围栏监控范围主要为饮用水水源保护区内可能涉及</w:t>
      </w:r>
      <w:r>
        <w:rPr>
          <w:rFonts w:hint="eastAsia" w:ascii="宋体" w:hAnsi="宋体" w:cs="宋体"/>
          <w:color w:val="auto"/>
          <w:szCs w:val="21"/>
          <w:highlight w:val="none"/>
          <w:lang w:eastAsia="zh-CN"/>
        </w:rPr>
        <w:t>与保护水源无关的人类活动</w:t>
      </w:r>
      <w:r>
        <w:rPr>
          <w:rFonts w:hint="eastAsia" w:ascii="宋体" w:hAnsi="宋体" w:cs="宋体"/>
          <w:color w:val="auto"/>
          <w:szCs w:val="21"/>
          <w:highlight w:val="none"/>
        </w:rPr>
        <w:t>及其他重点水域。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③监控对象</w:t>
      </w:r>
    </w:p>
    <w:p>
      <w:pPr>
        <w:spacing w:line="360" w:lineRule="auto"/>
        <w:ind w:firstLine="420" w:firstLineChars="200"/>
        <w:rPr>
          <w:rFonts w:ascii="宋体" w:hAnsi="宋体" w:cs="宋体"/>
          <w:szCs w:val="21"/>
        </w:rPr>
      </w:pPr>
      <w:r>
        <w:rPr>
          <w:rFonts w:hint="eastAsia" w:ascii="宋体" w:hAnsi="宋体" w:cs="宋体"/>
          <w:szCs w:val="21"/>
        </w:rPr>
        <w:t>电子围栏主要监控对象为非工作人员违规进入保护区范围。</w:t>
      </w:r>
    </w:p>
    <w:p>
      <w:pPr>
        <w:spacing w:line="360" w:lineRule="auto"/>
        <w:ind w:firstLine="420" w:firstLineChars="200"/>
        <w:rPr>
          <w:rFonts w:ascii="宋体" w:hAnsi="宋体" w:cs="宋体"/>
          <w:szCs w:val="21"/>
        </w:rPr>
      </w:pPr>
      <w:r>
        <w:rPr>
          <w:rFonts w:hint="eastAsia" w:ascii="宋体" w:hAnsi="宋体" w:cs="宋体"/>
          <w:szCs w:val="21"/>
        </w:rPr>
        <w:t>④监控场景</w:t>
      </w:r>
    </w:p>
    <w:p>
      <w:pPr>
        <w:spacing w:line="360" w:lineRule="auto"/>
        <w:ind w:firstLine="420" w:firstLineChars="200"/>
        <w:rPr>
          <w:rFonts w:ascii="宋体" w:hAnsi="宋体" w:cs="宋体"/>
          <w:szCs w:val="21"/>
        </w:rPr>
      </w:pPr>
      <w:r>
        <w:rPr>
          <w:rFonts w:hint="eastAsia" w:ascii="宋体" w:hAnsi="宋体" w:cs="宋体"/>
          <w:szCs w:val="21"/>
        </w:rPr>
        <w:t>★监控场景按实际情况可分为数据4G无线回传场景和数据有线VPN回传场景，投标人应承诺按业主要求在合适位置选用相应的视频监控设备。</w:t>
      </w:r>
    </w:p>
    <w:p>
      <w:pPr>
        <w:numPr>
          <w:ilvl w:val="0"/>
          <w:numId w:val="2"/>
        </w:numPr>
        <w:adjustRightInd w:val="0"/>
        <w:snapToGrid w:val="0"/>
        <w:spacing w:line="560" w:lineRule="exact"/>
        <w:ind w:left="1055"/>
        <w:rPr>
          <w:rFonts w:ascii="宋体" w:hAnsi="宋体" w:cs="宋体"/>
          <w:b/>
          <w:bCs/>
          <w:szCs w:val="21"/>
        </w:rPr>
      </w:pPr>
      <w:r>
        <w:rPr>
          <w:rFonts w:hint="eastAsia" w:ascii="宋体" w:hAnsi="宋体" w:cs="宋体"/>
          <w:b/>
          <w:bCs/>
          <w:kern w:val="0"/>
          <w:szCs w:val="21"/>
        </w:rPr>
        <w:t>警报处理及对接服务</w:t>
      </w:r>
    </w:p>
    <w:p>
      <w:pPr>
        <w:spacing w:line="360" w:lineRule="auto"/>
        <w:ind w:firstLine="420" w:firstLineChars="200"/>
        <w:rPr>
          <w:rFonts w:ascii="宋体" w:hAnsi="宋体" w:cs="宋体"/>
          <w:color w:val="auto"/>
          <w:kern w:val="0"/>
          <w:szCs w:val="21"/>
          <w:lang w:bidi="ar"/>
        </w:rPr>
      </w:pPr>
      <w:r>
        <w:rPr>
          <w:rFonts w:hint="eastAsia" w:ascii="宋体" w:hAnsi="宋体" w:cs="宋体"/>
          <w:color w:val="000000"/>
          <w:kern w:val="0"/>
          <w:szCs w:val="21"/>
          <w:lang w:bidi="ar"/>
        </w:rPr>
        <w:t>通过AI智算服务功能提供警报处理及相关功能，该服务功能要求实现包括站点分布图、站点信息查询、远程监管功能、查看实时视频、告警信息、告警信息处理、绘制</w:t>
      </w:r>
      <w:r>
        <w:rPr>
          <w:rFonts w:hint="eastAsia" w:ascii="宋体" w:hAnsi="宋体" w:cs="宋体"/>
          <w:color w:val="auto"/>
          <w:kern w:val="0"/>
          <w:szCs w:val="21"/>
          <w:lang w:bidi="ar"/>
        </w:rPr>
        <w:t>越界线以及告警分析报告等功能。具备移动端“浙政钉”应用，可通过移动端应用推送和处理告警信息，告警信息由系统平台通过移动端方式推送至相关管理人员，管理人对各个异常信息进行人为干预，处理完成后反馈核查处理情况，需要做到快速反应、快速处置。实现告警处理的闭环。</w:t>
      </w:r>
    </w:p>
    <w:p>
      <w:pPr>
        <w:spacing w:line="360" w:lineRule="auto"/>
        <w:ind w:firstLine="420" w:firstLineChars="200"/>
        <w:rPr>
          <w:rFonts w:ascii="宋体" w:hAnsi="宋体" w:cs="宋体"/>
          <w:color w:val="auto"/>
          <w:kern w:val="0"/>
          <w:szCs w:val="21"/>
          <w:lang w:bidi="ar"/>
        </w:rPr>
      </w:pPr>
      <w:r>
        <w:rPr>
          <w:rFonts w:hint="eastAsia" w:ascii="宋体" w:hAnsi="宋体" w:cs="宋体"/>
          <w:color w:val="auto"/>
          <w:szCs w:val="21"/>
        </w:rPr>
        <w:t>★</w:t>
      </w:r>
      <w:r>
        <w:rPr>
          <w:rFonts w:hint="eastAsia" w:ascii="宋体" w:hAnsi="宋体" w:cs="宋体"/>
          <w:color w:val="auto"/>
          <w:kern w:val="0"/>
          <w:szCs w:val="21"/>
          <w:lang w:bidi="ar"/>
        </w:rPr>
        <w:t>完成本系统与宁波市生态环境综合监管与协同平台的数据对接。</w:t>
      </w:r>
    </w:p>
    <w:p>
      <w:pPr>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根据业主需求，完成非本项目清单内水源地电子围栏数据的对接。</w:t>
      </w:r>
    </w:p>
    <w:p>
      <w:pPr>
        <w:numPr>
          <w:ilvl w:val="0"/>
          <w:numId w:val="2"/>
        </w:numPr>
        <w:adjustRightInd w:val="0"/>
        <w:snapToGrid w:val="0"/>
        <w:spacing w:line="560" w:lineRule="exact"/>
        <w:ind w:left="1055"/>
        <w:rPr>
          <w:rFonts w:ascii="宋体" w:hAnsi="宋体" w:cs="宋体"/>
          <w:b/>
          <w:bCs/>
          <w:color w:val="auto"/>
          <w:szCs w:val="21"/>
        </w:rPr>
      </w:pPr>
      <w:r>
        <w:rPr>
          <w:rFonts w:hint="eastAsia" w:ascii="宋体" w:hAnsi="宋体" w:cs="宋体"/>
          <w:b/>
          <w:bCs/>
          <w:color w:val="auto"/>
          <w:kern w:val="0"/>
          <w:szCs w:val="21"/>
        </w:rPr>
        <w:t>环境核查服务</w:t>
      </w:r>
    </w:p>
    <w:p>
      <w:pPr>
        <w:spacing w:line="360" w:lineRule="auto"/>
        <w:ind w:firstLine="420" w:firstLineChars="200"/>
        <w:rPr>
          <w:rFonts w:ascii="宋体" w:hAnsi="宋体" w:cs="宋体"/>
          <w:szCs w:val="21"/>
        </w:rPr>
      </w:pPr>
      <w:r>
        <w:rPr>
          <w:rFonts w:hint="eastAsia" w:ascii="宋体" w:hAnsi="宋体" w:cs="宋体"/>
          <w:color w:val="000000"/>
          <w:kern w:val="0"/>
          <w:szCs w:val="21"/>
          <w:lang w:bidi="ar"/>
        </w:rPr>
        <w:t>根据日常数据分析和招标方的要求，</w:t>
      </w:r>
      <w:r>
        <w:rPr>
          <w:rFonts w:hint="eastAsia" w:ascii="宋体" w:hAnsi="宋体" w:cs="宋体"/>
          <w:szCs w:val="21"/>
        </w:rPr>
        <w:t>通过无人机航飞巡查、遥感数据内业解译和人工现场核查相结合的方式，开展宁波市13个县级以上饮用水源地保护区范围内的风险源遥感解译及变化监测分析工作，完成特定类别信息提取、现场复核、报告制作等工作，提供相关报告、信息统计表和成果图件。</w:t>
      </w:r>
    </w:p>
    <w:p>
      <w:pPr>
        <w:numPr>
          <w:ilvl w:val="0"/>
          <w:numId w:val="2"/>
        </w:numPr>
        <w:adjustRightInd w:val="0"/>
        <w:snapToGrid w:val="0"/>
        <w:spacing w:line="560" w:lineRule="exact"/>
        <w:ind w:left="1055"/>
        <w:rPr>
          <w:rFonts w:ascii="宋体" w:hAnsi="宋体" w:cs="宋体"/>
          <w:b/>
          <w:szCs w:val="21"/>
        </w:rPr>
      </w:pPr>
      <w:r>
        <w:rPr>
          <w:rFonts w:hint="eastAsia" w:ascii="宋体" w:hAnsi="宋体" w:cs="宋体"/>
          <w:b/>
          <w:szCs w:val="21"/>
        </w:rPr>
        <w:t>数据运维服务</w:t>
      </w:r>
    </w:p>
    <w:p>
      <w:pPr>
        <w:spacing w:line="360" w:lineRule="auto"/>
        <w:ind w:firstLine="420" w:firstLineChars="200"/>
        <w:rPr>
          <w:rFonts w:ascii="宋体" w:hAnsi="宋体" w:cs="宋体"/>
          <w:szCs w:val="21"/>
        </w:rPr>
      </w:pPr>
      <w:r>
        <w:rPr>
          <w:rFonts w:hint="eastAsia" w:ascii="宋体" w:hAnsi="宋体" w:cs="宋体"/>
          <w:szCs w:val="21"/>
        </w:rPr>
        <w:t>根据采购方实际工作安排提供2名运维人员完成系统运行情况监控和问题发现处置服务，项目运维实施人员需包括常驻驻场服务人员和远程维护人员各1名。</w:t>
      </w:r>
    </w:p>
    <w:p>
      <w:pPr>
        <w:numPr>
          <w:ilvl w:val="0"/>
          <w:numId w:val="2"/>
        </w:numPr>
        <w:adjustRightInd w:val="0"/>
        <w:snapToGrid w:val="0"/>
        <w:spacing w:line="560" w:lineRule="exact"/>
        <w:ind w:left="1055"/>
        <w:rPr>
          <w:rFonts w:ascii="宋体" w:hAnsi="宋体" w:cs="宋体"/>
          <w:b/>
          <w:bCs/>
          <w:szCs w:val="21"/>
        </w:rPr>
      </w:pPr>
      <w:r>
        <w:rPr>
          <w:rFonts w:hint="eastAsia" w:ascii="宋体" w:hAnsi="宋体" w:cs="宋体"/>
          <w:b/>
          <w:bCs/>
          <w:kern w:val="0"/>
          <w:szCs w:val="21"/>
        </w:rPr>
        <w:t>数据传输</w:t>
      </w:r>
      <w:r>
        <w:rPr>
          <w:rFonts w:hint="eastAsia" w:ascii="宋体" w:hAnsi="宋体" w:cs="宋体"/>
          <w:b/>
          <w:bCs/>
          <w:szCs w:val="21"/>
        </w:rPr>
        <w:t>服务</w:t>
      </w:r>
    </w:p>
    <w:p>
      <w:pPr>
        <w:spacing w:line="360" w:lineRule="auto"/>
        <w:ind w:firstLine="420" w:firstLineChars="200"/>
        <w:rPr>
          <w:rFonts w:ascii="宋体" w:hAnsi="宋体" w:cs="宋体"/>
          <w:szCs w:val="21"/>
        </w:rPr>
      </w:pPr>
      <w:r>
        <w:rPr>
          <w:rFonts w:hint="eastAsia" w:ascii="宋体" w:hAnsi="宋体" w:cs="宋体"/>
          <w:szCs w:val="21"/>
        </w:rPr>
        <w:t>★根据实际服务场景不同，需提供足够数量的4G无线回传服务和有线VPN回传线路。</w:t>
      </w:r>
    </w:p>
    <w:p>
      <w:pPr>
        <w:pStyle w:val="283"/>
        <w:tabs>
          <w:tab w:val="left" w:pos="0"/>
          <w:tab w:val="left" w:pos="360"/>
          <w:tab w:val="clear" w:pos="860"/>
        </w:tabs>
        <w:spacing w:before="120" w:after="120"/>
        <w:rPr>
          <w:rFonts w:ascii="宋体" w:hAnsi="宋体" w:eastAsia="宋体" w:cs="宋体"/>
          <w:sz w:val="21"/>
          <w:szCs w:val="21"/>
        </w:rPr>
      </w:pPr>
      <w:r>
        <w:rPr>
          <w:rFonts w:hint="eastAsia" w:ascii="宋体" w:hAnsi="宋体" w:eastAsia="宋体" w:cs="宋体"/>
          <w:sz w:val="21"/>
          <w:szCs w:val="21"/>
        </w:rPr>
        <w:t>（四）拟采购服务区域清单</w:t>
      </w:r>
    </w:p>
    <w:p>
      <w:pPr>
        <w:spacing w:line="360" w:lineRule="auto"/>
        <w:ind w:firstLine="420" w:firstLineChars="200"/>
        <w:rPr>
          <w:rFonts w:ascii="宋体" w:hAnsi="宋体" w:cs="宋体"/>
          <w:szCs w:val="21"/>
        </w:rPr>
      </w:pPr>
      <w:r>
        <w:rPr>
          <w:rFonts w:hint="eastAsia" w:ascii="宋体" w:hAnsi="宋体" w:cs="宋体"/>
          <w:szCs w:val="21"/>
        </w:rPr>
        <w:t>本项目全面应用视频监控新技术和市内外其他相关领域先进做法，结合自动监测站运行保障和生态环保工作实际，强化顶层设计和系统衔接，突出经济实用和实战应用，以较小的投入实现监控预警目标，形成可复制、可推广的制度和经验。</w:t>
      </w:r>
    </w:p>
    <w:p>
      <w:pPr>
        <w:spacing w:line="360" w:lineRule="auto"/>
        <w:ind w:firstLine="420" w:firstLineChars="200"/>
        <w:rPr>
          <w:rFonts w:ascii="宋体" w:hAnsi="宋体" w:cs="宋体"/>
          <w:szCs w:val="21"/>
        </w:rPr>
      </w:pPr>
      <w:r>
        <w:rPr>
          <w:rFonts w:hint="eastAsia" w:ascii="宋体" w:hAnsi="宋体" w:cs="宋体"/>
          <w:szCs w:val="21"/>
        </w:rPr>
        <w:t>本项目要求提供电子围栏监测服务的区域清单如下：（具体点位由供应商在投标文件中确定）。</w:t>
      </w:r>
    </w:p>
    <w:tbl>
      <w:tblPr>
        <w:tblStyle w:val="44"/>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9"/>
        <w:gridCol w:w="1528"/>
        <w:gridCol w:w="2223"/>
        <w:gridCol w:w="1918"/>
        <w:gridCol w:w="1272"/>
        <w:gridCol w:w="12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blHeader/>
          <w:jc w:val="center"/>
        </w:trPr>
        <w:tc>
          <w:tcPr>
            <w:tcW w:w="468"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序号</w:t>
            </w:r>
          </w:p>
        </w:tc>
        <w:tc>
          <w:tcPr>
            <w:tcW w:w="842"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区县（市）</w:t>
            </w:r>
          </w:p>
        </w:tc>
        <w:tc>
          <w:tcPr>
            <w:tcW w:w="1225"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水源名称</w:t>
            </w:r>
          </w:p>
        </w:tc>
        <w:tc>
          <w:tcPr>
            <w:tcW w:w="1057"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所在乡镇</w:t>
            </w:r>
          </w:p>
        </w:tc>
        <w:tc>
          <w:tcPr>
            <w:tcW w:w="701"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水源类型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水源等级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lang w:val="zh-CN"/>
              </w:rPr>
            </w:pPr>
            <w:r>
              <w:rPr>
                <w:rFonts w:hint="eastAsia" w:ascii="宋体" w:hAnsi="宋体" w:cs="宋体"/>
                <w:sz w:val="21"/>
                <w:szCs w:val="21"/>
                <w:lang w:val="zh-CN"/>
              </w:rPr>
              <w:t>1</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海曙区</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皎口-周公宅水库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章水镇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市级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2</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奉化区</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亭下水库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溪口镇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市级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3</w:t>
            </w:r>
          </w:p>
        </w:tc>
        <w:tc>
          <w:tcPr>
            <w:tcW w:w="842" w:type="pct"/>
            <w:vAlign w:val="center"/>
          </w:tcPr>
          <w:p>
            <w:pPr>
              <w:pStyle w:val="392"/>
              <w:spacing w:before="0" w:beforeAutospacing="0" w:after="0" w:afterAutospacing="0" w:line="240" w:lineRule="atLeast"/>
              <w:rPr>
                <w:rFonts w:ascii="宋体" w:hAnsi="宋体" w:cs="宋体"/>
                <w:color w:val="FF0000"/>
                <w:sz w:val="21"/>
                <w:szCs w:val="21"/>
              </w:rPr>
            </w:pPr>
            <w:r>
              <w:rPr>
                <w:rFonts w:hint="eastAsia" w:ascii="宋体" w:hAnsi="宋体" w:cs="宋体"/>
                <w:sz w:val="21"/>
                <w:szCs w:val="21"/>
              </w:rPr>
              <w:t>奉化区</w:t>
            </w:r>
          </w:p>
        </w:tc>
        <w:tc>
          <w:tcPr>
            <w:tcW w:w="1225" w:type="pct"/>
            <w:vAlign w:val="center"/>
          </w:tcPr>
          <w:p>
            <w:pPr>
              <w:pStyle w:val="392"/>
              <w:spacing w:before="0" w:beforeAutospacing="0" w:after="0" w:afterAutospacing="0" w:line="240" w:lineRule="atLeast"/>
              <w:rPr>
                <w:rFonts w:ascii="宋体" w:hAnsi="宋体" w:cs="宋体"/>
                <w:color w:val="FF0000"/>
                <w:sz w:val="21"/>
                <w:szCs w:val="21"/>
              </w:rPr>
            </w:pPr>
            <w:r>
              <w:rPr>
                <w:rFonts w:hint="eastAsia" w:ascii="宋体" w:hAnsi="宋体" w:cs="宋体"/>
                <w:sz w:val="21"/>
                <w:szCs w:val="21"/>
              </w:rPr>
              <w:t>横山水库</w:t>
            </w:r>
          </w:p>
        </w:tc>
        <w:tc>
          <w:tcPr>
            <w:tcW w:w="1057" w:type="pct"/>
            <w:vAlign w:val="center"/>
          </w:tcPr>
          <w:p>
            <w:pPr>
              <w:pStyle w:val="392"/>
              <w:spacing w:before="0" w:beforeAutospacing="0" w:after="0" w:afterAutospacing="0" w:line="240" w:lineRule="atLeast"/>
              <w:rPr>
                <w:rFonts w:ascii="宋体" w:hAnsi="宋体" w:cs="宋体"/>
                <w:color w:val="FF0000"/>
                <w:sz w:val="21"/>
                <w:szCs w:val="21"/>
              </w:rPr>
            </w:pPr>
            <w:r>
              <w:rPr>
                <w:rFonts w:hint="eastAsia" w:ascii="宋体" w:hAnsi="宋体" w:cs="宋体"/>
                <w:sz w:val="21"/>
                <w:szCs w:val="21"/>
              </w:rPr>
              <w:t>尚田街道</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市级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4</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余姚市</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四明湖水库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梁弄镇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5</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余姚市</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双溪口水库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大隐镇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6</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余姚市</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梁辉水库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梨洲街道</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7</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余姚市</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陆埠水库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陆埠镇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8</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慈溪市</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上林湖水库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匡堰镇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9</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宁海县</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白溪水库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岔路镇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市级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10</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宁海县</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西溪（黄坛）水库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黄坛镇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11</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象山县</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仓岙水库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墙头镇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12</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象山县</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溪口水库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茅洋乡</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468"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13</w:t>
            </w:r>
          </w:p>
        </w:tc>
        <w:tc>
          <w:tcPr>
            <w:tcW w:w="842"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象山县</w:t>
            </w:r>
          </w:p>
        </w:tc>
        <w:tc>
          <w:tcPr>
            <w:tcW w:w="1225"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上张-隔溪张水库</w:t>
            </w:r>
          </w:p>
        </w:tc>
        <w:tc>
          <w:tcPr>
            <w:tcW w:w="1057"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西周镇</w:t>
            </w:r>
          </w:p>
        </w:tc>
        <w:tc>
          <w:tcPr>
            <w:tcW w:w="701" w:type="pct"/>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湖库型</w:t>
            </w:r>
          </w:p>
        </w:tc>
        <w:tc>
          <w:tcPr>
            <w:tcW w:w="704" w:type="pct"/>
            <w:tcBorders>
              <w:right w:val="single" w:color="auto" w:sz="4" w:space="0"/>
            </w:tcBorders>
            <w:vAlign w:val="center"/>
          </w:tcPr>
          <w:p>
            <w:pPr>
              <w:pStyle w:val="392"/>
              <w:spacing w:before="0" w:beforeAutospacing="0" w:after="0" w:afterAutospacing="0" w:line="240" w:lineRule="atLeast"/>
              <w:rPr>
                <w:rFonts w:ascii="宋体" w:hAnsi="宋体" w:cs="宋体"/>
                <w:sz w:val="21"/>
                <w:szCs w:val="21"/>
              </w:rPr>
            </w:pPr>
            <w:r>
              <w:rPr>
                <w:rFonts w:hint="eastAsia" w:ascii="宋体" w:hAnsi="宋体" w:cs="宋体"/>
                <w:sz w:val="21"/>
                <w:szCs w:val="21"/>
              </w:rPr>
              <w:t>县级</w:t>
            </w:r>
          </w:p>
        </w:tc>
      </w:tr>
    </w:tbl>
    <w:p>
      <w:pPr>
        <w:spacing w:line="360" w:lineRule="auto"/>
        <w:rPr>
          <w:rFonts w:ascii="宋体" w:hAnsi="宋体" w:cs="宋体"/>
          <w:szCs w:val="21"/>
        </w:rPr>
      </w:pPr>
    </w:p>
    <w:p>
      <w:pPr>
        <w:pStyle w:val="283"/>
        <w:tabs>
          <w:tab w:val="left" w:pos="0"/>
          <w:tab w:val="left" w:pos="360"/>
          <w:tab w:val="clear" w:pos="860"/>
        </w:tabs>
        <w:spacing w:before="120" w:after="120"/>
        <w:rPr>
          <w:rFonts w:ascii="宋体" w:hAnsi="宋体" w:eastAsia="宋体" w:cs="宋体"/>
          <w:sz w:val="21"/>
          <w:szCs w:val="21"/>
        </w:rPr>
      </w:pPr>
      <w:r>
        <w:rPr>
          <w:rFonts w:hint="eastAsia" w:ascii="宋体" w:hAnsi="宋体" w:eastAsia="宋体" w:cs="宋体"/>
          <w:sz w:val="21"/>
          <w:szCs w:val="21"/>
        </w:rPr>
        <w:t>（五）为满足本项目服务要求的主要技术参数及服务要求</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1、整体技术规范</w:t>
      </w:r>
    </w:p>
    <w:p>
      <w:pPr>
        <w:pStyle w:val="391"/>
        <w:spacing w:before="120"/>
        <w:ind w:firstLine="420"/>
        <w:rPr>
          <w:rFonts w:cs="宋体"/>
          <w:sz w:val="21"/>
          <w:szCs w:val="21"/>
        </w:rPr>
      </w:pPr>
      <w:r>
        <w:rPr>
          <w:rFonts w:hint="eastAsia" w:cs="宋体"/>
          <w:sz w:val="21"/>
          <w:szCs w:val="21"/>
        </w:rPr>
        <w:t>（</w:t>
      </w:r>
      <w:r>
        <w:rPr>
          <w:rFonts w:hint="eastAsia" w:cs="宋体"/>
          <w:sz w:val="21"/>
          <w:szCs w:val="21"/>
          <w:lang w:val="en-US"/>
        </w:rPr>
        <w:t>1</w:t>
      </w:r>
      <w:r>
        <w:rPr>
          <w:rFonts w:hint="eastAsia" w:cs="宋体"/>
          <w:sz w:val="21"/>
          <w:szCs w:val="21"/>
        </w:rPr>
        <w:t>）系统设备安装（包括所使用的设备、材料、</w:t>
      </w:r>
      <w:r>
        <w:rPr>
          <w:rFonts w:hint="eastAsia" w:cs="宋体"/>
          <w:sz w:val="21"/>
          <w:szCs w:val="21"/>
          <w:lang w:val="en-US"/>
        </w:rPr>
        <w:t>布线</w:t>
      </w:r>
      <w:r>
        <w:rPr>
          <w:rFonts w:hint="eastAsia" w:cs="宋体"/>
          <w:sz w:val="21"/>
          <w:szCs w:val="21"/>
        </w:rPr>
        <w:t>方法、安装工艺、调试开通等）必须符合国家、行业法规和规范要求。</w:t>
      </w:r>
    </w:p>
    <w:p>
      <w:pPr>
        <w:pStyle w:val="391"/>
        <w:spacing w:before="120"/>
        <w:ind w:firstLine="420"/>
        <w:rPr>
          <w:rFonts w:cs="宋体"/>
          <w:sz w:val="21"/>
          <w:szCs w:val="21"/>
        </w:rPr>
      </w:pPr>
      <w:r>
        <w:rPr>
          <w:rFonts w:hint="eastAsia" w:cs="宋体"/>
          <w:sz w:val="21"/>
          <w:szCs w:val="21"/>
        </w:rPr>
        <w:t>（</w:t>
      </w:r>
      <w:r>
        <w:rPr>
          <w:rFonts w:hint="eastAsia" w:cs="宋体"/>
          <w:sz w:val="21"/>
          <w:szCs w:val="21"/>
          <w:lang w:val="en-US"/>
        </w:rPr>
        <w:t>2</w:t>
      </w:r>
      <w:r>
        <w:rPr>
          <w:rFonts w:hint="eastAsia" w:cs="宋体"/>
          <w:sz w:val="21"/>
          <w:szCs w:val="21"/>
        </w:rPr>
        <w:t>）提供的设备、配件的生产厂家必须是信誉可靠，技术先进并经国家有关部门批准在中国境内合法使用的，并提供随机资料。其他附件及材料必须符合国家有关标准。</w:t>
      </w:r>
    </w:p>
    <w:p>
      <w:pPr>
        <w:pStyle w:val="391"/>
        <w:spacing w:before="120"/>
        <w:ind w:firstLine="420"/>
        <w:rPr>
          <w:rFonts w:cs="宋体"/>
          <w:sz w:val="21"/>
          <w:szCs w:val="21"/>
          <w:lang w:val="en-US"/>
        </w:rPr>
      </w:pPr>
      <w:r>
        <w:rPr>
          <w:rFonts w:hint="eastAsia" w:cs="宋体"/>
          <w:sz w:val="21"/>
          <w:szCs w:val="21"/>
          <w:lang w:val="en-US"/>
        </w:rPr>
        <w:t>采用高清摄像头，提供精准侦测、报警、联动跟踪，可方便实现电子围栏区域设置可通过智能算法有效剔除飞鸟、动物、树叶等干扰，可针对1公里的100m×100m的范围进行电子围栏识别；识别物体的大小不小于0.5m×0.5m。具备声光警戒功能，内置扬声器，声音内容可自定义。可通过人脸识别、移动端和管理系统三种方式进行电子围栏功能的开启或关闭。管理系统具有远程监管、查看实时视频、人员越界告警、绘制越界线以及告警分析报告等功能。</w:t>
      </w:r>
    </w:p>
    <w:p>
      <w:pPr>
        <w:pStyle w:val="391"/>
        <w:spacing w:before="120"/>
        <w:ind w:firstLine="420"/>
        <w:rPr>
          <w:rFonts w:cs="宋体"/>
          <w:sz w:val="21"/>
          <w:szCs w:val="21"/>
          <w:lang w:val="en-US"/>
        </w:rPr>
      </w:pPr>
      <w:r>
        <w:rPr>
          <w:rFonts w:hint="eastAsia" w:cs="宋体"/>
          <w:sz w:val="21"/>
          <w:szCs w:val="21"/>
          <w:lang w:val="en-US"/>
        </w:rPr>
        <w:t>所有监测设施需满足30天的视频存储。</w:t>
      </w:r>
    </w:p>
    <w:p>
      <w:pPr>
        <w:pStyle w:val="189"/>
        <w:tabs>
          <w:tab w:val="left" w:pos="0"/>
          <w:tab w:val="clear" w:pos="720"/>
          <w:tab w:val="clear" w:pos="1740"/>
        </w:tabs>
        <w:spacing w:before="120" w:after="120"/>
        <w:rPr>
          <w:rFonts w:ascii="宋体" w:hAnsi="宋体" w:eastAsia="宋体" w:cs="宋体"/>
          <w:sz w:val="21"/>
          <w:szCs w:val="21"/>
        </w:rPr>
      </w:pPr>
      <w:r>
        <w:rPr>
          <w:rFonts w:hint="eastAsia" w:ascii="宋体" w:hAnsi="宋体" w:eastAsia="宋体" w:cs="宋体"/>
          <w:sz w:val="21"/>
          <w:szCs w:val="21"/>
        </w:rPr>
        <w:t>2、视频监控服</w:t>
      </w:r>
      <w:r>
        <w:rPr>
          <w:rFonts w:hint="eastAsia" w:ascii="宋体" w:hAnsi="宋体" w:eastAsia="宋体" w:cs="宋体"/>
          <w:color w:val="auto"/>
          <w:sz w:val="21"/>
          <w:szCs w:val="21"/>
        </w:rPr>
        <w:t>务功能所需设备及服务要求</w:t>
      </w:r>
    </w:p>
    <w:tbl>
      <w:tblPr>
        <w:tblStyle w:val="44"/>
        <w:tblpPr w:leftFromText="180" w:rightFromText="180" w:vertAnchor="text" w:horzAnchor="page" w:tblpX="1780" w:tblpY="305"/>
        <w:tblOverlap w:val="never"/>
        <w:tblW w:w="4799" w:type="pct"/>
        <w:tblInd w:w="0" w:type="dxa"/>
        <w:tblLayout w:type="autofit"/>
        <w:tblCellMar>
          <w:top w:w="0" w:type="dxa"/>
          <w:left w:w="108" w:type="dxa"/>
          <w:bottom w:w="0" w:type="dxa"/>
          <w:right w:w="108" w:type="dxa"/>
        </w:tblCellMar>
      </w:tblPr>
      <w:tblGrid>
        <w:gridCol w:w="1698"/>
        <w:gridCol w:w="2791"/>
        <w:gridCol w:w="932"/>
        <w:gridCol w:w="1084"/>
        <w:gridCol w:w="2202"/>
      </w:tblGrid>
      <w:tr>
        <w:tblPrEx>
          <w:tblCellMar>
            <w:top w:w="0" w:type="dxa"/>
            <w:left w:w="108" w:type="dxa"/>
            <w:bottom w:w="0" w:type="dxa"/>
            <w:right w:w="108" w:type="dxa"/>
          </w:tblCellMar>
        </w:tblPrEx>
        <w:trPr>
          <w:trHeight w:val="315" w:hRule="atLeast"/>
        </w:trPr>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6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6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2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189" w:hRule="atLeast"/>
        </w:trPr>
        <w:tc>
          <w:tcPr>
            <w:tcW w:w="97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视频监控数据服务</w:t>
            </w:r>
          </w:p>
        </w:tc>
        <w:tc>
          <w:tcPr>
            <w:tcW w:w="16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普通高清监控摄像机</w:t>
            </w:r>
          </w:p>
        </w:tc>
        <w:tc>
          <w:tcPr>
            <w:tcW w:w="535" w:type="pct"/>
            <w:vMerge w:val="restart"/>
            <w:tcBorders>
              <w:top w:val="nil"/>
              <w:left w:val="nil"/>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22" w:type="pct"/>
            <w:vMerge w:val="restart"/>
            <w:tcBorders>
              <w:top w:val="nil"/>
              <w:left w:val="nil"/>
              <w:right w:val="single" w:color="auto" w:sz="4" w:space="0"/>
            </w:tcBorders>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200</w:t>
            </w:r>
          </w:p>
        </w:tc>
        <w:tc>
          <w:tcPr>
            <w:tcW w:w="1264" w:type="pct"/>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kern w:val="0"/>
                <w:szCs w:val="21"/>
              </w:rPr>
              <w:t>根据不同场景经业主确认后按需配置数量。</w:t>
            </w:r>
          </w:p>
        </w:tc>
      </w:tr>
      <w:tr>
        <w:tblPrEx>
          <w:tblCellMar>
            <w:top w:w="0" w:type="dxa"/>
            <w:left w:w="108" w:type="dxa"/>
            <w:bottom w:w="0" w:type="dxa"/>
            <w:right w:w="108" w:type="dxa"/>
          </w:tblCellMar>
        </w:tblPrEx>
        <w:trPr>
          <w:trHeight w:val="155" w:hRule="atLeast"/>
        </w:trPr>
        <w:tc>
          <w:tcPr>
            <w:tcW w:w="97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6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高清周界摄像机</w:t>
            </w:r>
          </w:p>
        </w:tc>
        <w:tc>
          <w:tcPr>
            <w:tcW w:w="535" w:type="pct"/>
            <w:vMerge w:val="continue"/>
            <w:tcBorders>
              <w:left w:val="nil"/>
              <w:right w:val="single" w:color="auto" w:sz="4" w:space="0"/>
            </w:tcBorders>
            <w:shd w:val="clear" w:color="auto" w:fill="auto"/>
            <w:noWrap/>
            <w:vAlign w:val="center"/>
          </w:tcPr>
          <w:p>
            <w:pPr>
              <w:jc w:val="center"/>
              <w:rPr>
                <w:rFonts w:ascii="宋体" w:hAnsi="宋体" w:cs="宋体"/>
                <w:color w:val="000000"/>
                <w:kern w:val="0"/>
                <w:szCs w:val="21"/>
              </w:rPr>
            </w:pPr>
          </w:p>
        </w:tc>
        <w:tc>
          <w:tcPr>
            <w:tcW w:w="622" w:type="pct"/>
            <w:vMerge w:val="continue"/>
            <w:tcBorders>
              <w:left w:val="nil"/>
              <w:right w:val="single" w:color="auto" w:sz="4" w:space="0"/>
            </w:tcBorders>
            <w:shd w:val="clear" w:color="auto" w:fill="auto"/>
            <w:noWrap/>
            <w:vAlign w:val="center"/>
          </w:tcPr>
          <w:p>
            <w:pPr>
              <w:jc w:val="center"/>
              <w:rPr>
                <w:rFonts w:ascii="宋体" w:hAnsi="宋体" w:cs="宋体"/>
                <w:color w:val="000000"/>
                <w:kern w:val="0"/>
                <w:szCs w:val="21"/>
              </w:rPr>
            </w:pPr>
          </w:p>
        </w:tc>
        <w:tc>
          <w:tcPr>
            <w:tcW w:w="1264" w:type="pct"/>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71" w:hRule="atLeast"/>
        </w:trPr>
        <w:tc>
          <w:tcPr>
            <w:tcW w:w="975" w:type="pct"/>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6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常规监控摄像机</w:t>
            </w:r>
          </w:p>
        </w:tc>
        <w:tc>
          <w:tcPr>
            <w:tcW w:w="535" w:type="pct"/>
            <w:vMerge w:val="continue"/>
            <w:tcBorders>
              <w:left w:val="nil"/>
              <w:right w:val="single" w:color="auto" w:sz="4" w:space="0"/>
            </w:tcBorders>
            <w:shd w:val="clear" w:color="auto" w:fill="auto"/>
            <w:noWrap/>
            <w:vAlign w:val="center"/>
          </w:tcPr>
          <w:p>
            <w:pPr>
              <w:jc w:val="center"/>
              <w:rPr>
                <w:rFonts w:ascii="宋体" w:hAnsi="宋体" w:cs="宋体"/>
                <w:color w:val="000000"/>
                <w:kern w:val="0"/>
                <w:szCs w:val="21"/>
              </w:rPr>
            </w:pPr>
          </w:p>
        </w:tc>
        <w:tc>
          <w:tcPr>
            <w:tcW w:w="622" w:type="pct"/>
            <w:vMerge w:val="continue"/>
            <w:tcBorders>
              <w:left w:val="nil"/>
              <w:right w:val="single" w:color="auto" w:sz="4" w:space="0"/>
            </w:tcBorders>
            <w:shd w:val="clear" w:color="auto" w:fill="auto"/>
            <w:noWrap/>
            <w:vAlign w:val="center"/>
          </w:tcPr>
          <w:p>
            <w:pPr>
              <w:jc w:val="center"/>
              <w:rPr>
                <w:rFonts w:ascii="宋体" w:hAnsi="宋体" w:cs="宋体"/>
                <w:color w:val="000000"/>
                <w:kern w:val="0"/>
                <w:szCs w:val="21"/>
              </w:rPr>
            </w:pPr>
          </w:p>
        </w:tc>
        <w:tc>
          <w:tcPr>
            <w:tcW w:w="1264" w:type="pct"/>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37" w:hRule="atLeast"/>
        </w:trPr>
        <w:tc>
          <w:tcPr>
            <w:tcW w:w="9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高位全景AI监控摄像机</w:t>
            </w:r>
          </w:p>
        </w:tc>
        <w:tc>
          <w:tcPr>
            <w:tcW w:w="535" w:type="pct"/>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622" w:type="pct"/>
            <w:vMerge w:val="continue"/>
            <w:tcBorders>
              <w:left w:val="nil"/>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64" w:type="pct"/>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139" w:hRule="atLeast"/>
        </w:trPr>
        <w:tc>
          <w:tcPr>
            <w:tcW w:w="9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0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双光人脸警戒变焦枪型网络摄像机</w:t>
            </w:r>
          </w:p>
        </w:tc>
        <w:tc>
          <w:tcPr>
            <w:tcW w:w="535"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622"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p>
        </w:tc>
        <w:tc>
          <w:tcPr>
            <w:tcW w:w="1264"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9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热成像监控摄像机</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05" w:hRule="atLeast"/>
        </w:trPr>
        <w:tc>
          <w:tcPr>
            <w:tcW w:w="9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60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雷球监控摄像机</w:t>
            </w: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bl>
    <w:p>
      <w:pPr>
        <w:pStyle w:val="255"/>
        <w:tabs>
          <w:tab w:val="left" w:pos="0"/>
          <w:tab w:val="left" w:pos="360"/>
          <w:tab w:val="clear" w:pos="2160"/>
        </w:tabs>
        <w:spacing w:before="156"/>
        <w:rPr>
          <w:rFonts w:ascii="宋体" w:hAnsi="宋体" w:eastAsia="宋体" w:cs="宋体"/>
          <w:sz w:val="21"/>
          <w:szCs w:val="21"/>
        </w:rPr>
      </w:pPr>
      <w:r>
        <w:rPr>
          <w:rFonts w:hint="eastAsia" w:ascii="宋体" w:hAnsi="宋体" w:eastAsia="宋体" w:cs="宋体"/>
          <w:sz w:val="21"/>
          <w:szCs w:val="21"/>
        </w:rPr>
        <w:t>服务设备主要技术参数要求</w:t>
      </w:r>
    </w:p>
    <w:tbl>
      <w:tblPr>
        <w:tblStyle w:val="45"/>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1272"/>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序号</w:t>
            </w:r>
          </w:p>
        </w:tc>
        <w:tc>
          <w:tcPr>
            <w:tcW w:w="1272"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设备名称</w:t>
            </w:r>
          </w:p>
        </w:tc>
        <w:tc>
          <w:tcPr>
            <w:tcW w:w="6379" w:type="dxa"/>
            <w:vAlign w:val="center"/>
          </w:tcPr>
          <w:p>
            <w:pPr>
              <w:jc w:val="center"/>
              <w:rPr>
                <w:rFonts w:ascii="宋体" w:hAnsi="宋体" w:cs="宋体"/>
                <w:b/>
                <w:kern w:val="0"/>
                <w:szCs w:val="21"/>
              </w:rPr>
            </w:pPr>
            <w:r>
              <w:rPr>
                <w:rFonts w:hint="eastAsia" w:ascii="宋体" w:hAnsi="宋体" w:cs="宋体"/>
                <w:b/>
                <w:kern w:val="0"/>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7" w:hRule="atLeast"/>
        </w:trPr>
        <w:tc>
          <w:tcPr>
            <w:tcW w:w="708" w:type="dxa"/>
            <w:tcBorders>
              <w:bottom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1272" w:type="dxa"/>
            <w:tcBorders>
              <w:bottom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普通高清监控摄像机</w:t>
            </w:r>
          </w:p>
        </w:tc>
        <w:tc>
          <w:tcPr>
            <w:tcW w:w="6379" w:type="dxa"/>
            <w:tcBorders>
              <w:bottom w:val="single" w:color="auto" w:sz="4" w:space="0"/>
            </w:tcBorders>
            <w:vAlign w:val="center"/>
          </w:tcPr>
          <w:p>
            <w:pPr>
              <w:rPr>
                <w:rFonts w:ascii="宋体" w:hAnsi="宋体" w:cs="宋体"/>
                <w:kern w:val="0"/>
                <w:szCs w:val="21"/>
              </w:rPr>
            </w:pPr>
            <w:r>
              <w:rPr>
                <w:rFonts w:hint="eastAsia" w:ascii="宋体" w:hAnsi="宋体" w:cs="宋体"/>
                <w:kern w:val="0"/>
                <w:szCs w:val="21"/>
              </w:rPr>
              <w:t>传感器类型：1/2.8英寸CMOS；</w:t>
            </w:r>
          </w:p>
          <w:p>
            <w:pPr>
              <w:rPr>
                <w:rFonts w:ascii="宋体" w:hAnsi="宋体" w:cs="宋体"/>
                <w:kern w:val="0"/>
                <w:szCs w:val="21"/>
              </w:rPr>
            </w:pPr>
            <w:r>
              <w:rPr>
                <w:rFonts w:hint="eastAsia" w:ascii="宋体" w:hAnsi="宋体" w:cs="宋体"/>
                <w:kern w:val="0"/>
                <w:szCs w:val="21"/>
              </w:rPr>
              <w:t>像素：200万；</w:t>
            </w:r>
          </w:p>
          <w:p>
            <w:pPr>
              <w:rPr>
                <w:rFonts w:ascii="宋体" w:hAnsi="宋体" w:cs="宋体"/>
                <w:kern w:val="0"/>
                <w:szCs w:val="21"/>
              </w:rPr>
            </w:pPr>
            <w:r>
              <w:rPr>
                <w:rFonts w:hint="eastAsia" w:ascii="宋体" w:hAnsi="宋体" w:cs="宋体"/>
                <w:kern w:val="0"/>
                <w:szCs w:val="21"/>
              </w:rPr>
              <w:t>最大分辨率：1920×1080；</w:t>
            </w:r>
          </w:p>
          <w:p>
            <w:pPr>
              <w:rPr>
                <w:rFonts w:ascii="宋体" w:hAnsi="宋体" w:cs="宋体"/>
                <w:kern w:val="0"/>
                <w:szCs w:val="21"/>
              </w:rPr>
            </w:pPr>
            <w:r>
              <w:rPr>
                <w:rFonts w:hint="eastAsia" w:ascii="宋体" w:hAnsi="宋体" w:cs="宋体"/>
                <w:kern w:val="0"/>
                <w:szCs w:val="21"/>
              </w:rPr>
              <w:t>最低照度：0.002Lux（彩色模式）;0.0002Lux（黑白模式）;0Lux（补光灯开启）；</w:t>
            </w:r>
          </w:p>
          <w:p>
            <w:pPr>
              <w:rPr>
                <w:rFonts w:ascii="宋体" w:hAnsi="宋体" w:cs="宋体"/>
                <w:kern w:val="0"/>
                <w:szCs w:val="21"/>
              </w:rPr>
            </w:pPr>
            <w:r>
              <w:rPr>
                <w:rFonts w:hint="eastAsia" w:ascii="宋体" w:hAnsi="宋体" w:cs="宋体"/>
                <w:kern w:val="0"/>
                <w:szCs w:val="21"/>
              </w:rPr>
              <w:t>最大补光距离：50m（红外）；</w:t>
            </w:r>
          </w:p>
          <w:p>
            <w:pPr>
              <w:rPr>
                <w:rFonts w:ascii="宋体" w:hAnsi="宋体" w:cs="宋体"/>
                <w:kern w:val="0"/>
                <w:szCs w:val="21"/>
              </w:rPr>
            </w:pPr>
            <w:r>
              <w:rPr>
                <w:rFonts w:hint="eastAsia" w:ascii="宋体" w:hAnsi="宋体" w:cs="宋体"/>
                <w:kern w:val="0"/>
                <w:szCs w:val="21"/>
              </w:rPr>
              <w:t>镜头类型：定焦；</w:t>
            </w:r>
          </w:p>
          <w:p>
            <w:pPr>
              <w:rPr>
                <w:rFonts w:ascii="宋体" w:hAnsi="宋体" w:cs="宋体"/>
                <w:kern w:val="0"/>
                <w:szCs w:val="21"/>
              </w:rPr>
            </w:pPr>
            <w:r>
              <w:rPr>
                <w:rFonts w:hint="eastAsia" w:ascii="宋体" w:hAnsi="宋体" w:cs="宋体"/>
                <w:kern w:val="0"/>
                <w:szCs w:val="21"/>
              </w:rPr>
              <w:t>镜头焦距：3.6mm；6mm；8mm；12mm（可选）</w:t>
            </w:r>
          </w:p>
          <w:p>
            <w:pPr>
              <w:rPr>
                <w:rFonts w:ascii="宋体" w:hAnsi="宋体" w:cs="宋体"/>
                <w:kern w:val="0"/>
                <w:szCs w:val="21"/>
              </w:rPr>
            </w:pPr>
            <w:r>
              <w:rPr>
                <w:rFonts w:hint="eastAsia" w:ascii="宋体" w:hAnsi="宋体" w:cs="宋体"/>
                <w:kern w:val="0"/>
                <w:szCs w:val="21"/>
              </w:rPr>
              <w:t>通用行为分析：绊线入侵;区域入侵；</w:t>
            </w:r>
          </w:p>
          <w:p>
            <w:pPr>
              <w:rPr>
                <w:rFonts w:ascii="宋体" w:hAnsi="宋体" w:cs="宋体"/>
                <w:kern w:val="0"/>
                <w:szCs w:val="21"/>
              </w:rPr>
            </w:pPr>
            <w:r>
              <w:rPr>
                <w:rFonts w:hint="eastAsia" w:ascii="宋体" w:hAnsi="宋体" w:cs="宋体"/>
                <w:kern w:val="0"/>
                <w:szCs w:val="21"/>
              </w:rPr>
              <w:t>视频压缩标准：H.265;H.264;H.264B;MJPEG（仅辅码流支持）；</w:t>
            </w:r>
          </w:p>
          <w:p>
            <w:pPr>
              <w:rPr>
                <w:rFonts w:ascii="宋体" w:hAnsi="宋体" w:cs="宋体"/>
                <w:kern w:val="0"/>
                <w:szCs w:val="21"/>
              </w:rPr>
            </w:pPr>
            <w:r>
              <w:rPr>
                <w:rFonts w:hint="eastAsia" w:ascii="宋体" w:hAnsi="宋体" w:cs="宋体"/>
                <w:kern w:val="0"/>
                <w:szCs w:val="21"/>
              </w:rPr>
              <w:t>智能编码：H.264：支持H.265：支持；</w:t>
            </w:r>
          </w:p>
          <w:p>
            <w:pPr>
              <w:rPr>
                <w:rFonts w:ascii="宋体" w:hAnsi="宋体" w:cs="宋体"/>
                <w:kern w:val="0"/>
                <w:szCs w:val="21"/>
              </w:rPr>
            </w:pPr>
            <w:r>
              <w:rPr>
                <w:rFonts w:hint="eastAsia" w:ascii="宋体" w:hAnsi="宋体" w:cs="宋体"/>
                <w:kern w:val="0"/>
                <w:szCs w:val="21"/>
              </w:rPr>
              <w:t>宽动态：120dB；</w:t>
            </w:r>
          </w:p>
          <w:p>
            <w:pPr>
              <w:rPr>
                <w:rFonts w:ascii="宋体" w:hAnsi="宋体" w:cs="宋体"/>
                <w:kern w:val="0"/>
                <w:szCs w:val="21"/>
              </w:rPr>
            </w:pPr>
            <w:r>
              <w:rPr>
                <w:rFonts w:hint="eastAsia" w:ascii="宋体" w:hAnsi="宋体" w:cs="宋体"/>
                <w:kern w:val="0"/>
                <w:szCs w:val="21"/>
              </w:rPr>
              <w:t>报警事件：网络断开;IP冲突;非法访问;动态检测;视频遮挡;绊线入侵;区域入侵;电压检测;智能动检（人）;安全异常；</w:t>
            </w:r>
          </w:p>
          <w:p>
            <w:pPr>
              <w:rPr>
                <w:rFonts w:ascii="宋体" w:hAnsi="宋体" w:cs="宋体"/>
                <w:kern w:val="0"/>
                <w:szCs w:val="21"/>
              </w:rPr>
            </w:pPr>
            <w:r>
              <w:rPr>
                <w:rFonts w:hint="eastAsia" w:ascii="宋体" w:hAnsi="宋体" w:cs="宋体"/>
                <w:kern w:val="0"/>
                <w:szCs w:val="21"/>
              </w:rPr>
              <w:t>接入标准：ONVIF（Profile S/Profile T）; CGI;GB/T28181（双国标）;</w:t>
            </w:r>
          </w:p>
          <w:p>
            <w:pPr>
              <w:rPr>
                <w:rFonts w:ascii="宋体" w:hAnsi="宋体" w:cs="宋体"/>
                <w:kern w:val="0"/>
                <w:szCs w:val="21"/>
              </w:rPr>
            </w:pPr>
            <w:r>
              <w:rPr>
                <w:rFonts w:hint="eastAsia" w:ascii="宋体" w:hAnsi="宋体" w:cs="宋体"/>
                <w:kern w:val="0"/>
                <w:szCs w:val="21"/>
              </w:rPr>
              <w:t>供电方式：DC12V/POE；</w:t>
            </w:r>
          </w:p>
          <w:p>
            <w:pPr>
              <w:rPr>
                <w:rFonts w:ascii="宋体" w:hAnsi="宋体" w:cs="宋体"/>
                <w:kern w:val="0"/>
                <w:szCs w:val="21"/>
              </w:rPr>
            </w:pPr>
            <w:r>
              <w:rPr>
                <w:rFonts w:hint="eastAsia" w:ascii="宋体" w:hAnsi="宋体" w:cs="宋体"/>
                <w:kern w:val="0"/>
                <w:szCs w:val="21"/>
              </w:rPr>
              <w:t>防护等级：IP67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708" w:type="dxa"/>
            <w:tcBorders>
              <w:top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2</w:t>
            </w:r>
          </w:p>
        </w:tc>
        <w:tc>
          <w:tcPr>
            <w:tcW w:w="1272" w:type="dxa"/>
            <w:tcBorders>
              <w:top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高清周界摄像机</w:t>
            </w:r>
          </w:p>
        </w:tc>
        <w:tc>
          <w:tcPr>
            <w:tcW w:w="6379" w:type="dxa"/>
            <w:tcBorders>
              <w:top w:val="single" w:color="auto" w:sz="4" w:space="0"/>
            </w:tcBorders>
            <w:vAlign w:val="center"/>
          </w:tcPr>
          <w:p>
            <w:pPr>
              <w:rPr>
                <w:rFonts w:ascii="宋体" w:hAnsi="宋体" w:cs="宋体"/>
                <w:kern w:val="0"/>
                <w:szCs w:val="21"/>
              </w:rPr>
            </w:pPr>
            <w:bookmarkStart w:id="61" w:name="_GoBack"/>
            <w:bookmarkEnd w:id="61"/>
            <w:r>
              <w:rPr>
                <w:rFonts w:hint="eastAsia" w:ascii="宋体" w:hAnsi="宋体" w:cs="宋体"/>
                <w:kern w:val="0"/>
                <w:szCs w:val="21"/>
              </w:rPr>
              <w:t>像素：400万；</w:t>
            </w:r>
          </w:p>
          <w:p>
            <w:pPr>
              <w:rPr>
                <w:rFonts w:ascii="宋体" w:hAnsi="宋体" w:cs="宋体"/>
                <w:kern w:val="0"/>
                <w:szCs w:val="21"/>
              </w:rPr>
            </w:pPr>
            <w:r>
              <w:rPr>
                <w:rFonts w:hint="eastAsia" w:ascii="宋体" w:hAnsi="宋体" w:cs="宋体"/>
                <w:kern w:val="0"/>
                <w:szCs w:val="21"/>
              </w:rPr>
              <w:t>最大分辨率：2688×1520；</w:t>
            </w:r>
          </w:p>
          <w:p>
            <w:pPr>
              <w:rPr>
                <w:rFonts w:ascii="宋体" w:hAnsi="宋体" w:cs="宋体"/>
                <w:kern w:val="0"/>
                <w:szCs w:val="21"/>
              </w:rPr>
            </w:pPr>
            <w:r>
              <w:rPr>
                <w:rFonts w:hint="eastAsia" w:ascii="宋体" w:hAnsi="宋体" w:cs="宋体"/>
                <w:kern w:val="0"/>
                <w:szCs w:val="21"/>
              </w:rPr>
              <w:t>最低照度：0.002Lux(彩色模式);0.0002Lux(黑白模式);0Lux(补光灯开启)。；</w:t>
            </w:r>
          </w:p>
          <w:p>
            <w:pPr>
              <w:rPr>
                <w:rFonts w:ascii="宋体" w:hAnsi="宋体" w:cs="宋体"/>
                <w:kern w:val="0"/>
                <w:szCs w:val="21"/>
              </w:rPr>
            </w:pPr>
            <w:r>
              <w:rPr>
                <w:rFonts w:hint="eastAsia" w:ascii="宋体" w:hAnsi="宋体" w:cs="宋体"/>
                <w:kern w:val="0"/>
                <w:szCs w:val="21"/>
              </w:rPr>
              <w:t>最大补光距离：60m（红外视频监控距离）30m（暖光视频监控距离）10m（暖光人脸检测距离）；</w:t>
            </w:r>
          </w:p>
          <w:p>
            <w:pPr>
              <w:rPr>
                <w:rFonts w:ascii="宋体" w:hAnsi="宋体" w:cs="宋体"/>
                <w:kern w:val="0"/>
                <w:szCs w:val="21"/>
              </w:rPr>
            </w:pPr>
            <w:r>
              <w:rPr>
                <w:rFonts w:hint="eastAsia" w:ascii="宋体" w:hAnsi="宋体" w:cs="宋体"/>
                <w:kern w:val="0"/>
                <w:szCs w:val="21"/>
              </w:rPr>
              <w:t>镜头类型：电动变焦；</w:t>
            </w:r>
          </w:p>
          <w:p>
            <w:pPr>
              <w:rPr>
                <w:rFonts w:ascii="宋体" w:hAnsi="宋体" w:cs="宋体"/>
                <w:kern w:val="0"/>
                <w:szCs w:val="21"/>
              </w:rPr>
            </w:pPr>
            <w:r>
              <w:rPr>
                <w:rFonts w:hint="eastAsia" w:ascii="宋体" w:hAnsi="宋体" w:cs="宋体"/>
                <w:kern w:val="0"/>
                <w:szCs w:val="21"/>
              </w:rPr>
              <w:t>镜头焦距：2.7mm~13.5mm；</w:t>
            </w:r>
          </w:p>
          <w:p>
            <w:pPr>
              <w:rPr>
                <w:rFonts w:ascii="宋体" w:hAnsi="宋体" w:cs="宋体"/>
                <w:kern w:val="0"/>
                <w:szCs w:val="21"/>
              </w:rPr>
            </w:pPr>
            <w:r>
              <w:rPr>
                <w:rFonts w:hint="eastAsia" w:ascii="宋体" w:hAnsi="宋体" w:cs="宋体"/>
                <w:kern w:val="0"/>
                <w:szCs w:val="21"/>
              </w:rPr>
              <w:t>通用行为分析：物品遗留；物品搬移；</w:t>
            </w:r>
          </w:p>
          <w:p>
            <w:pPr>
              <w:rPr>
                <w:rFonts w:ascii="宋体" w:hAnsi="宋体" w:cs="宋体"/>
                <w:kern w:val="0"/>
                <w:szCs w:val="21"/>
              </w:rPr>
            </w:pPr>
            <w:r>
              <w:rPr>
                <w:rFonts w:hint="eastAsia" w:ascii="宋体" w:hAnsi="宋体" w:cs="宋体"/>
                <w:kern w:val="0"/>
                <w:szCs w:val="21"/>
              </w:rPr>
              <w:t>热度图：支持；</w:t>
            </w:r>
          </w:p>
          <w:p>
            <w:pPr>
              <w:rPr>
                <w:rFonts w:ascii="宋体" w:hAnsi="宋体" w:cs="宋体"/>
                <w:kern w:val="0"/>
                <w:szCs w:val="21"/>
              </w:rPr>
            </w:pPr>
            <w:r>
              <w:rPr>
                <w:rFonts w:hint="eastAsia" w:ascii="宋体" w:hAnsi="宋体" w:cs="宋体"/>
                <w:kern w:val="0"/>
                <w:szCs w:val="21"/>
              </w:rPr>
              <w:t>周界防范：绊线入侵；区域入侵；快速移动（三项均支持人车分类及精准检测）；徘徊检测；人员聚集；停车检测；</w:t>
            </w:r>
          </w:p>
          <w:p>
            <w:pPr>
              <w:rPr>
                <w:rFonts w:ascii="宋体" w:hAnsi="宋体" w:cs="宋体"/>
                <w:kern w:val="0"/>
                <w:szCs w:val="21"/>
              </w:rPr>
            </w:pPr>
            <w:r>
              <w:rPr>
                <w:rFonts w:hint="eastAsia" w:ascii="宋体" w:hAnsi="宋体" w:cs="宋体"/>
                <w:kern w:val="0"/>
                <w:szCs w:val="21"/>
              </w:rP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p>
          <w:p>
            <w:pPr>
              <w:rPr>
                <w:rFonts w:ascii="宋体" w:hAnsi="宋体" w:cs="宋体"/>
                <w:kern w:val="0"/>
                <w:szCs w:val="21"/>
              </w:rPr>
            </w:pPr>
            <w:r>
              <w:rPr>
                <w:rFonts w:hint="eastAsia" w:ascii="宋体" w:hAnsi="宋体" w:cs="宋体"/>
                <w:kern w:val="0"/>
                <w:szCs w:val="21"/>
              </w:rP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p>
          <w:p>
            <w:pPr>
              <w:rPr>
                <w:rFonts w:ascii="宋体" w:hAnsi="宋体" w:cs="宋体"/>
                <w:kern w:val="0"/>
                <w:szCs w:val="21"/>
              </w:rPr>
            </w:pPr>
            <w:r>
              <w:rPr>
                <w:rFonts w:hint="eastAsia" w:ascii="宋体" w:hAnsi="宋体" w:cs="宋体"/>
                <w:kern w:val="0"/>
                <w:szCs w:val="21"/>
              </w:rPr>
              <w:t>视频压缩标准：H.265；H.264；H.264H；H.264B；MJPEG（仅辅码流支持）；</w:t>
            </w:r>
          </w:p>
          <w:p>
            <w:pPr>
              <w:rPr>
                <w:rFonts w:ascii="宋体" w:hAnsi="宋体" w:cs="宋体"/>
                <w:kern w:val="0"/>
                <w:szCs w:val="21"/>
              </w:rPr>
            </w:pPr>
            <w:r>
              <w:rPr>
                <w:rFonts w:hint="eastAsia" w:ascii="宋体" w:hAnsi="宋体" w:cs="宋体"/>
                <w:kern w:val="0"/>
                <w:szCs w:val="21"/>
              </w:rPr>
              <w:t>智能编码：H.264：支持H.265：支持；</w:t>
            </w:r>
          </w:p>
          <w:p>
            <w:pPr>
              <w:rPr>
                <w:rFonts w:ascii="宋体" w:hAnsi="宋体" w:cs="宋体"/>
                <w:kern w:val="0"/>
                <w:szCs w:val="21"/>
              </w:rPr>
            </w:pPr>
            <w:r>
              <w:rPr>
                <w:rFonts w:hint="eastAsia" w:ascii="宋体" w:hAnsi="宋体" w:cs="宋体"/>
                <w:kern w:val="0"/>
                <w:szCs w:val="21"/>
              </w:rPr>
              <w:t>宽动态：120dB；</w:t>
            </w:r>
          </w:p>
          <w:p>
            <w:pPr>
              <w:rPr>
                <w:rFonts w:ascii="宋体" w:hAnsi="宋体" w:cs="宋体"/>
                <w:kern w:val="0"/>
                <w:szCs w:val="21"/>
              </w:rPr>
            </w:pPr>
            <w:r>
              <w:rPr>
                <w:rFonts w:hint="eastAsia" w:ascii="宋体" w:hAnsi="宋体" w:cs="宋体"/>
                <w:kern w:val="0"/>
                <w:szCs w:val="21"/>
              </w:rPr>
              <w:t>透雾功能：支持；</w:t>
            </w:r>
          </w:p>
          <w:p>
            <w:pPr>
              <w:rPr>
                <w:rFonts w:ascii="宋体" w:hAnsi="宋体" w:cs="宋体"/>
                <w:kern w:val="0"/>
                <w:szCs w:val="21"/>
              </w:rPr>
            </w:pPr>
            <w:r>
              <w:rPr>
                <w:rFonts w:hint="eastAsia" w:ascii="宋体" w:hAnsi="宋体" w:cs="宋体"/>
                <w:kern w:val="0"/>
                <w:szCs w:val="21"/>
              </w:rPr>
              <w:t>内置MIC：支持；</w:t>
            </w:r>
          </w:p>
          <w:p>
            <w:pPr>
              <w:rPr>
                <w:rFonts w:ascii="宋体" w:hAnsi="宋体" w:cs="宋体"/>
                <w:kern w:val="0"/>
                <w:szCs w:val="21"/>
              </w:rPr>
            </w:pPr>
            <w:r>
              <w:rPr>
                <w:rFonts w:hint="eastAsia" w:ascii="宋体" w:hAnsi="宋体" w:cs="宋体"/>
                <w:kern w:val="0"/>
                <w:szCs w:val="21"/>
              </w:rPr>
              <w:t>内置扬声器：支持；</w:t>
            </w:r>
          </w:p>
          <w:p>
            <w:pPr>
              <w:rPr>
                <w:rFonts w:ascii="宋体" w:hAnsi="宋体" w:cs="宋体"/>
                <w:kern w:val="0"/>
                <w:szCs w:val="21"/>
              </w:rPr>
            </w:pPr>
            <w:r>
              <w:rPr>
                <w:rFonts w:hint="eastAsia" w:ascii="宋体" w:hAnsi="宋体" w:cs="宋体"/>
                <w:kern w:val="0"/>
                <w:szCs w:val="21"/>
              </w:rP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SMD；区域内人数统计；滞留报警；人数统计；人数异常检测；排队人数；排队时间；安全异常；灯光报警；声音报警（内置21种语音可选，支持用户自定义语音导入）；</w:t>
            </w:r>
          </w:p>
          <w:p>
            <w:pPr>
              <w:rPr>
                <w:rFonts w:ascii="宋体" w:hAnsi="宋体" w:cs="宋体"/>
                <w:kern w:val="0"/>
                <w:szCs w:val="21"/>
              </w:rPr>
            </w:pPr>
            <w:r>
              <w:rPr>
                <w:rFonts w:hint="eastAsia" w:ascii="宋体" w:hAnsi="宋体" w:cs="宋体"/>
                <w:kern w:val="0"/>
                <w:szCs w:val="21"/>
              </w:rPr>
              <w:t>接入标准：ONVIF（Profile S/Profile G/Profile T）;CGI;GB/T28181（双国标）;GA/T1400;</w:t>
            </w:r>
          </w:p>
          <w:p>
            <w:pPr>
              <w:rPr>
                <w:rFonts w:ascii="宋体" w:hAnsi="宋体" w:cs="宋体"/>
                <w:kern w:val="0"/>
                <w:szCs w:val="21"/>
              </w:rPr>
            </w:pPr>
            <w:r>
              <w:rPr>
                <w:rFonts w:hint="eastAsia" w:ascii="宋体" w:hAnsi="宋体" w:cs="宋体"/>
                <w:kern w:val="0"/>
                <w:szCs w:val="21"/>
              </w:rPr>
              <w:t>最大Micro SD卡：256GB；</w:t>
            </w:r>
          </w:p>
          <w:p>
            <w:pPr>
              <w:rPr>
                <w:rFonts w:ascii="宋体" w:hAnsi="宋体" w:cs="宋体"/>
                <w:kern w:val="0"/>
                <w:szCs w:val="21"/>
              </w:rPr>
            </w:pPr>
            <w:r>
              <w:rPr>
                <w:rFonts w:hint="eastAsia" w:ascii="宋体" w:hAnsi="宋体" w:cs="宋体"/>
                <w:kern w:val="0"/>
                <w:szCs w:val="21"/>
              </w:rPr>
              <w:t>音频输入：1路（RCA头）；</w:t>
            </w:r>
          </w:p>
          <w:p>
            <w:pPr>
              <w:rPr>
                <w:rFonts w:ascii="宋体" w:hAnsi="宋体" w:cs="宋体"/>
                <w:kern w:val="0"/>
                <w:szCs w:val="21"/>
              </w:rPr>
            </w:pPr>
            <w:r>
              <w:rPr>
                <w:rFonts w:hint="eastAsia" w:ascii="宋体" w:hAnsi="宋体" w:cs="宋体"/>
                <w:kern w:val="0"/>
                <w:szCs w:val="21"/>
              </w:rPr>
              <w:t>音频输出：1路（RCA头）；</w:t>
            </w:r>
          </w:p>
          <w:p>
            <w:pPr>
              <w:rPr>
                <w:rFonts w:ascii="宋体" w:hAnsi="宋体" w:cs="宋体"/>
                <w:kern w:val="0"/>
                <w:szCs w:val="21"/>
              </w:rPr>
            </w:pPr>
            <w:r>
              <w:rPr>
                <w:rFonts w:hint="eastAsia" w:ascii="宋体" w:hAnsi="宋体" w:cs="宋体"/>
                <w:kern w:val="0"/>
                <w:szCs w:val="21"/>
              </w:rPr>
              <w:t>报警输入：3路（湿节点,支持直流3V~5V电位,5mA电流）；</w:t>
            </w:r>
          </w:p>
          <w:p>
            <w:pPr>
              <w:rPr>
                <w:rFonts w:ascii="宋体" w:hAnsi="宋体" w:cs="宋体"/>
                <w:kern w:val="0"/>
                <w:szCs w:val="21"/>
              </w:rPr>
            </w:pPr>
            <w:r>
              <w:rPr>
                <w:rFonts w:hint="eastAsia" w:ascii="宋体" w:hAnsi="宋体" w:cs="宋体"/>
                <w:kern w:val="0"/>
                <w:szCs w:val="21"/>
              </w:rPr>
              <w:t>报警输出：2路（湿节点,支持直流最大12V电位,0.3A电流）；</w:t>
            </w:r>
          </w:p>
          <w:p>
            <w:pPr>
              <w:rPr>
                <w:rFonts w:ascii="宋体" w:hAnsi="宋体" w:cs="宋体"/>
                <w:kern w:val="0"/>
                <w:szCs w:val="21"/>
              </w:rPr>
            </w:pPr>
            <w:r>
              <w:rPr>
                <w:rFonts w:hint="eastAsia" w:ascii="宋体" w:hAnsi="宋体" w:cs="宋体"/>
                <w:kern w:val="0"/>
                <w:szCs w:val="21"/>
              </w:rPr>
              <w:t>供电方式：DC12V/POE；</w:t>
            </w:r>
          </w:p>
          <w:p>
            <w:pPr>
              <w:rPr>
                <w:rFonts w:ascii="宋体" w:hAnsi="宋体" w:cs="宋体"/>
                <w:kern w:val="0"/>
                <w:szCs w:val="21"/>
              </w:rPr>
            </w:pPr>
            <w:r>
              <w:rPr>
                <w:rFonts w:hint="eastAsia" w:ascii="宋体" w:hAnsi="宋体" w:cs="宋体"/>
                <w:kern w:val="0"/>
                <w:szCs w:val="21"/>
              </w:rPr>
              <w:t>防护等级：IP67</w:t>
            </w:r>
          </w:p>
          <w:p>
            <w:pPr>
              <w:rPr>
                <w:rFonts w:ascii="宋体" w:hAnsi="宋体" w:cs="宋体"/>
                <w:kern w:val="0"/>
                <w:szCs w:val="21"/>
              </w:rPr>
            </w:pPr>
            <w:r>
              <w:rPr>
                <w:rFonts w:hint="eastAsia" w:ascii="宋体" w:hAnsi="宋体" w:cs="宋体"/>
                <w:kern w:val="0"/>
                <w:szCs w:val="21"/>
              </w:rPr>
              <w:t>★靶面尺寸为1/1.8英寸,内置一个GPU芯片,具有1个100/1000M RJ45网络接口、3个报警输入接口、2个报警输出接口、1个音频 输入接口、1个音频输出接口、1个内置麦克风、1个内置扬声器、1个RS232接口、1个复位键和1个SD卡槽，采用DC12V供电。（提供公安部有效检测报告复印件加盖原厂公章）</w:t>
            </w:r>
          </w:p>
          <w:p>
            <w:pPr>
              <w:rPr>
                <w:rFonts w:ascii="宋体" w:hAnsi="宋体" w:cs="宋体"/>
                <w:kern w:val="0"/>
                <w:szCs w:val="21"/>
              </w:rPr>
            </w:pPr>
            <w:r>
              <w:rPr>
                <w:rFonts w:hint="eastAsia" w:ascii="宋体" w:hAnsi="宋体" w:cs="宋体"/>
                <w:kern w:val="0"/>
                <w:szCs w:val="21"/>
              </w:rPr>
              <w:t>★可将人脸抓拍图片分别存储为场景图和人脸图，场景图和人脸图可关联存储，并可通过IE浏览器或客户端查看和检索存储的图片（提供公安部有效检测报告复印件加盖原厂公章）</w:t>
            </w:r>
          </w:p>
          <w:p>
            <w:pPr>
              <w:rPr>
                <w:rFonts w:ascii="宋体" w:hAnsi="宋体" w:cs="宋体"/>
                <w:kern w:val="0"/>
                <w:szCs w:val="21"/>
              </w:rPr>
            </w:pPr>
            <w:r>
              <w:rPr>
                <w:rFonts w:hint="eastAsia" w:ascii="宋体" w:hAnsi="宋体" w:cs="宋体"/>
                <w:kern w:val="0"/>
                <w:szCs w:val="21"/>
              </w:rPr>
              <w:t>★支持人脸区域曝光功能，可根据根据人脸区域光照变化自动调节曝光参数（提供公安部有效检测报告复印件加盖原厂公章）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127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常规监控摄像机</w:t>
            </w:r>
          </w:p>
        </w:tc>
        <w:tc>
          <w:tcPr>
            <w:tcW w:w="6379" w:type="dxa"/>
            <w:vAlign w:val="center"/>
          </w:tcPr>
          <w:p>
            <w:pPr>
              <w:widowControl/>
              <w:jc w:val="left"/>
              <w:rPr>
                <w:rFonts w:ascii="宋体" w:hAnsi="宋体" w:cs="宋体"/>
                <w:kern w:val="0"/>
                <w:szCs w:val="21"/>
              </w:rPr>
            </w:pPr>
            <w:r>
              <w:rPr>
                <w:rFonts w:hint="eastAsia" w:ascii="宋体" w:hAnsi="宋体" w:cs="宋体"/>
                <w:kern w:val="0"/>
                <w:szCs w:val="21"/>
              </w:rPr>
              <w:t xml:space="preserve">1. 200万像素1/2.8"筒型网络摄像机；4.0/6.0/8.0/12.0mm定焦，设备采用DC12V供电。 </w:t>
            </w:r>
          </w:p>
          <w:p>
            <w:pPr>
              <w:widowControl/>
              <w:jc w:val="left"/>
              <w:rPr>
                <w:rFonts w:ascii="宋体" w:hAnsi="宋体" w:cs="宋体"/>
                <w:kern w:val="0"/>
                <w:szCs w:val="21"/>
              </w:rPr>
            </w:pPr>
            <w:r>
              <w:rPr>
                <w:rFonts w:hint="eastAsia" w:ascii="宋体" w:hAnsi="宋体" w:cs="宋体"/>
                <w:kern w:val="0"/>
                <w:szCs w:val="21"/>
              </w:rPr>
              <w:t>2. 最低照度：彩色：0.0005lux（AGC ON, 应能分辨反射式视频矩阵测试卡中彩色色块）；黑色：0.0001 lux（AGC ON，RJ45输出，能分辨反射式视频分辨率测试卡中圆形轮廓）</w:t>
            </w:r>
          </w:p>
          <w:p>
            <w:pPr>
              <w:widowControl/>
              <w:jc w:val="left"/>
              <w:rPr>
                <w:rFonts w:ascii="宋体" w:hAnsi="宋体" w:cs="宋体"/>
                <w:kern w:val="0"/>
                <w:szCs w:val="21"/>
              </w:rPr>
            </w:pPr>
            <w:r>
              <w:rPr>
                <w:rFonts w:hint="eastAsia" w:ascii="宋体" w:hAnsi="宋体" w:cs="宋体"/>
                <w:kern w:val="0"/>
                <w:szCs w:val="21"/>
              </w:rPr>
              <w:t>3. 支持五码流技术：在IE浏览器下，五码流分辨率、帧率与码率可设置为：主码流：1920×1080, 30帧/s， 2Mbps；子码流：1280x720, 30帧/s， 2Mbps；第三码流：720×576，30帧/s， 1Mbps；第四码流：1280x720, 30帧/s， 2Mbps；第五码流：720×576, 30帧/s， 1Mbps；。</w:t>
            </w:r>
          </w:p>
          <w:p>
            <w:pPr>
              <w:widowControl/>
              <w:jc w:val="left"/>
              <w:rPr>
                <w:rFonts w:ascii="宋体" w:hAnsi="宋体" w:cs="宋体"/>
                <w:kern w:val="0"/>
                <w:szCs w:val="21"/>
              </w:rPr>
            </w:pPr>
            <w:r>
              <w:rPr>
                <w:rFonts w:hint="eastAsia" w:ascii="宋体" w:hAnsi="宋体" w:cs="宋体"/>
                <w:kern w:val="0"/>
                <w:szCs w:val="21"/>
              </w:rPr>
              <w:t xml:space="preserve">4. ★夜视距离：设备红外补光灯可定时或自动开启，开启后可识别距离样机150m处人体（1.7m×0.5m）轮廓。（提供公安部权威机构检测报告并加盖公章为证） </w:t>
            </w:r>
          </w:p>
          <w:p>
            <w:pPr>
              <w:widowControl/>
              <w:jc w:val="left"/>
              <w:rPr>
                <w:rFonts w:ascii="宋体" w:hAnsi="宋体" w:cs="宋体"/>
                <w:kern w:val="0"/>
                <w:szCs w:val="21"/>
              </w:rPr>
            </w:pPr>
            <w:r>
              <w:rPr>
                <w:rFonts w:hint="eastAsia" w:ascii="宋体" w:hAnsi="宋体" w:cs="宋体"/>
                <w:kern w:val="0"/>
                <w:szCs w:val="21"/>
              </w:rPr>
              <w:t xml:space="preserve">5. 宽动态自动切换功能：在IE浏览器下，样机具有宽动态自动切换设置选项。在环境亮度变化时，可自动进行关闭/开启切换 </w:t>
            </w:r>
          </w:p>
          <w:p>
            <w:pPr>
              <w:widowControl/>
              <w:jc w:val="left"/>
              <w:rPr>
                <w:rFonts w:ascii="宋体" w:hAnsi="宋体" w:cs="宋体"/>
                <w:kern w:val="0"/>
                <w:szCs w:val="21"/>
              </w:rPr>
            </w:pPr>
            <w:r>
              <w:rPr>
                <w:rFonts w:hint="eastAsia" w:ascii="宋体" w:hAnsi="宋体" w:cs="宋体"/>
                <w:kern w:val="0"/>
                <w:szCs w:val="21"/>
              </w:rPr>
              <w:t>6. 智能行为分析功能：当以下的智能行为分析达到设定的阀值时，可通过客户端软件或IE浏览器给出报警提示；a)区域入侵； b)停车；c)越界入侵；d)人员聚集；e)进入区域；f)离开区域；g)快速移动；h)物品移除；i)物品遗留；j)徘徊；k)监控区域内出现人脸；样机支持行为分析触发后报警上传，发送邮件，联动录像，辅助输出等多种报警触发方式</w:t>
            </w:r>
          </w:p>
          <w:p>
            <w:pPr>
              <w:widowControl/>
              <w:jc w:val="left"/>
              <w:rPr>
                <w:rFonts w:ascii="宋体" w:hAnsi="宋体" w:cs="宋体"/>
                <w:kern w:val="0"/>
                <w:szCs w:val="21"/>
              </w:rPr>
            </w:pPr>
            <w:r>
              <w:rPr>
                <w:rFonts w:hint="eastAsia" w:ascii="宋体" w:hAnsi="宋体" w:cs="宋体"/>
                <w:kern w:val="0"/>
                <w:szCs w:val="21"/>
              </w:rPr>
              <w:t xml:space="preserve">7. ★非机动车、机动车及行人抓拍功能：可对监控区域内出现的单辆自行车、电瓶车、三轮车、机动车及行人进行抓拍。（提供公安部权威机构检测报告并加盖公章为证） </w:t>
            </w:r>
          </w:p>
          <w:p>
            <w:pPr>
              <w:widowControl/>
              <w:jc w:val="left"/>
              <w:rPr>
                <w:rFonts w:ascii="宋体" w:hAnsi="宋体" w:cs="宋体"/>
                <w:kern w:val="0"/>
                <w:szCs w:val="21"/>
              </w:rPr>
            </w:pPr>
            <w:r>
              <w:rPr>
                <w:rFonts w:hint="eastAsia" w:ascii="宋体" w:hAnsi="宋体" w:cs="宋体"/>
                <w:kern w:val="0"/>
                <w:szCs w:val="21"/>
              </w:rPr>
              <w:t xml:space="preserve">8. 网关ARP绑定功能：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 </w:t>
            </w:r>
          </w:p>
          <w:p>
            <w:pPr>
              <w:widowControl/>
              <w:jc w:val="left"/>
              <w:rPr>
                <w:rFonts w:ascii="宋体" w:hAnsi="宋体" w:cs="宋体"/>
                <w:kern w:val="0"/>
                <w:szCs w:val="21"/>
              </w:rPr>
            </w:pPr>
            <w:r>
              <w:rPr>
                <w:rFonts w:hint="eastAsia" w:ascii="宋体" w:hAnsi="宋体" w:cs="宋体"/>
                <w:kern w:val="0"/>
                <w:szCs w:val="21"/>
              </w:rPr>
              <w:t xml:space="preserve">9. 友好密码功能：启用友好密码功能策略时，与设备处于同一网段的地址可以使用设备出厂密码登录和访问设备；跨网段的地址只能使用复杂度为高的密码（至少8位，由大小写字母、数字和特殊字符组成）登录和访问设备；关闭友好密码功能策略时，与设备处于同一网段的地址和跨网段的地址都只能使用复杂度为高的密码（至少8位，由大小写字母、数字和特殊字符组成）登录和访问设备 </w:t>
            </w:r>
          </w:p>
          <w:p>
            <w:pPr>
              <w:widowControl/>
              <w:jc w:val="left"/>
              <w:rPr>
                <w:rFonts w:ascii="宋体" w:hAnsi="宋体" w:cs="宋体"/>
                <w:kern w:val="0"/>
                <w:szCs w:val="21"/>
              </w:rPr>
            </w:pPr>
            <w:r>
              <w:rPr>
                <w:rFonts w:hint="eastAsia" w:ascii="宋体" w:hAnsi="宋体" w:cs="宋体"/>
                <w:kern w:val="0"/>
                <w:szCs w:val="21"/>
              </w:rPr>
              <w:t xml:space="preserve">10. ★视频内容保护功能：启用该功能时可对视屏图像码流进行随机混淆处理，提取设备网络通信数据包获得的视频码流无法正常播放，从设备存储介质拷贝和下载的文件需解码密钥才可播放；通过平台播放、回放下载设备的视频需要解码密钥；解码密钥应能周期性变化。（提供公安部权威机构检测报告并加盖公章为证） </w:t>
            </w:r>
          </w:p>
          <w:p>
            <w:pPr>
              <w:widowControl/>
              <w:jc w:val="left"/>
              <w:rPr>
                <w:rFonts w:ascii="宋体" w:hAnsi="宋体" w:cs="宋体"/>
                <w:kern w:val="0"/>
                <w:szCs w:val="21"/>
              </w:rPr>
            </w:pPr>
            <w:r>
              <w:rPr>
                <w:rFonts w:hint="eastAsia" w:ascii="宋体" w:hAnsi="宋体" w:cs="宋体"/>
                <w:kern w:val="0"/>
                <w:szCs w:val="21"/>
              </w:rPr>
              <w:t xml:space="preserve">11. 电源适应性：未使用适配器的情况下，电源电压在DC12V±35%范围内变化时，设备应能正常工作 </w:t>
            </w:r>
          </w:p>
          <w:p>
            <w:pPr>
              <w:jc w:val="left"/>
              <w:rPr>
                <w:rFonts w:ascii="宋体" w:hAnsi="宋体" w:cs="宋体"/>
                <w:kern w:val="0"/>
                <w:szCs w:val="21"/>
              </w:rPr>
            </w:pPr>
            <w:r>
              <w:rPr>
                <w:rFonts w:hint="eastAsia" w:ascii="宋体" w:hAnsi="宋体" w:cs="宋体"/>
                <w:kern w:val="0"/>
                <w:szCs w:val="21"/>
              </w:rPr>
              <w:t>12. 外壳防护能力：应符合GB/T4208-2017中IP68的要求（水下1m，持续时间1h）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c>
          <w:tcPr>
            <w:tcW w:w="1272" w:type="dxa"/>
            <w:vAlign w:val="center"/>
          </w:tcPr>
          <w:p>
            <w:pPr>
              <w:jc w:val="center"/>
              <w:rPr>
                <w:rFonts w:ascii="宋体" w:hAnsi="宋体" w:cs="宋体"/>
                <w:color w:val="000000"/>
                <w:kern w:val="0"/>
                <w:szCs w:val="21"/>
              </w:rPr>
            </w:pPr>
            <w:r>
              <w:rPr>
                <w:rFonts w:hint="eastAsia" w:ascii="宋体" w:hAnsi="宋体" w:cs="宋体"/>
                <w:color w:val="000000"/>
                <w:kern w:val="0"/>
                <w:szCs w:val="21"/>
              </w:rPr>
              <w:t>高位全景AI监控摄像机</w:t>
            </w:r>
          </w:p>
        </w:tc>
        <w:tc>
          <w:tcPr>
            <w:tcW w:w="6379" w:type="dxa"/>
            <w:vAlign w:val="center"/>
          </w:tcPr>
          <w:p>
            <w:pPr>
              <w:rPr>
                <w:rFonts w:ascii="宋体" w:hAnsi="宋体" w:cs="宋体"/>
                <w:kern w:val="0"/>
                <w:szCs w:val="21"/>
              </w:rPr>
            </w:pPr>
            <w:r>
              <w:rPr>
                <w:rFonts w:hint="eastAsia" w:ascii="宋体" w:hAnsi="宋体" w:cs="宋体"/>
                <w:kern w:val="0"/>
                <w:szCs w:val="21"/>
              </w:rPr>
              <w:t>传感器类型：1/1.8英寸CMOS；</w:t>
            </w:r>
          </w:p>
          <w:p>
            <w:pPr>
              <w:rPr>
                <w:rFonts w:ascii="宋体" w:hAnsi="宋体" w:cs="宋体"/>
                <w:kern w:val="0"/>
                <w:szCs w:val="21"/>
              </w:rPr>
            </w:pPr>
            <w:r>
              <w:rPr>
                <w:rFonts w:hint="eastAsia" w:ascii="宋体" w:hAnsi="宋体" w:cs="宋体"/>
                <w:kern w:val="0"/>
                <w:szCs w:val="21"/>
              </w:rPr>
              <w:t>像素：全景：1600万；球机：400万；</w:t>
            </w:r>
          </w:p>
          <w:p>
            <w:pPr>
              <w:rPr>
                <w:rFonts w:ascii="宋体" w:hAnsi="宋体" w:cs="宋体"/>
                <w:kern w:val="0"/>
                <w:szCs w:val="21"/>
              </w:rPr>
            </w:pPr>
            <w:r>
              <w:rPr>
                <w:rFonts w:hint="eastAsia" w:ascii="宋体" w:hAnsi="宋体" w:cs="宋体"/>
                <w:kern w:val="0"/>
                <w:szCs w:val="21"/>
              </w:rPr>
              <w:t>最大分辨率：8192×1800；</w:t>
            </w:r>
          </w:p>
          <w:p>
            <w:pPr>
              <w:rPr>
                <w:rFonts w:ascii="宋体" w:hAnsi="宋体" w:cs="宋体"/>
                <w:kern w:val="0"/>
                <w:szCs w:val="21"/>
              </w:rPr>
            </w:pPr>
            <w:r>
              <w:rPr>
                <w:rFonts w:hint="eastAsia" w:ascii="宋体" w:hAnsi="宋体" w:cs="宋体"/>
                <w:kern w:val="0"/>
                <w:szCs w:val="21"/>
              </w:rPr>
              <w:t>最低照度：全景：0.0005Lux（彩色模式）；0.0002Lux（黑白模式）；球机：0. 001Lux F1.4（彩色模式）；0.0005Lux F1.4（黑白模式）；0Lux（红外灯开启）；</w:t>
            </w:r>
          </w:p>
          <w:p>
            <w:pPr>
              <w:rPr>
                <w:rFonts w:ascii="宋体" w:hAnsi="宋体" w:cs="宋体"/>
                <w:kern w:val="0"/>
                <w:szCs w:val="21"/>
              </w:rPr>
            </w:pPr>
            <w:r>
              <w:rPr>
                <w:rFonts w:hint="eastAsia" w:ascii="宋体" w:hAnsi="宋体" w:cs="宋体"/>
                <w:kern w:val="0"/>
                <w:szCs w:val="21"/>
              </w:rPr>
              <w:t>最大补光距离：全景：NA；球机：≥400米；；</w:t>
            </w:r>
          </w:p>
          <w:p>
            <w:pPr>
              <w:rPr>
                <w:rFonts w:ascii="宋体" w:hAnsi="宋体" w:cs="宋体"/>
                <w:kern w:val="0"/>
                <w:szCs w:val="21"/>
              </w:rPr>
            </w:pPr>
            <w:r>
              <w:rPr>
                <w:rFonts w:hint="eastAsia" w:ascii="宋体" w:hAnsi="宋体" w:cs="宋体"/>
                <w:kern w:val="0"/>
                <w:szCs w:val="21"/>
              </w:rPr>
              <w:t>镜头类型：全景：定焦 球机：变焦；</w:t>
            </w:r>
          </w:p>
          <w:p>
            <w:pPr>
              <w:rPr>
                <w:rFonts w:ascii="宋体" w:hAnsi="宋体" w:cs="宋体"/>
                <w:kern w:val="0"/>
                <w:szCs w:val="21"/>
              </w:rPr>
            </w:pPr>
            <w:r>
              <w:rPr>
                <w:rFonts w:hint="eastAsia" w:ascii="宋体" w:hAnsi="宋体" w:cs="宋体"/>
                <w:kern w:val="0"/>
                <w:szCs w:val="21"/>
              </w:rPr>
              <w:t>镜头焦距：全景：2.8mm 球机：5.5mm～220mm；</w:t>
            </w:r>
          </w:p>
          <w:p>
            <w:pPr>
              <w:rPr>
                <w:rFonts w:ascii="宋体" w:hAnsi="宋体" w:cs="宋体"/>
                <w:kern w:val="0"/>
                <w:szCs w:val="21"/>
              </w:rPr>
            </w:pPr>
            <w:r>
              <w:rPr>
                <w:rFonts w:hint="eastAsia" w:ascii="宋体" w:hAnsi="宋体" w:cs="宋体"/>
                <w:kern w:val="0"/>
                <w:szCs w:val="21"/>
              </w:rPr>
              <w:t>周界防范：绊线入侵；区域入侵；停车检测；</w:t>
            </w:r>
          </w:p>
          <w:p>
            <w:pPr>
              <w:rPr>
                <w:rFonts w:ascii="宋体" w:hAnsi="宋体" w:cs="宋体"/>
                <w:kern w:val="0"/>
                <w:szCs w:val="21"/>
              </w:rPr>
            </w:pPr>
            <w:r>
              <w:rPr>
                <w:rFonts w:hint="eastAsia" w:ascii="宋体" w:hAnsi="宋体" w:cs="宋体"/>
                <w:kern w:val="0"/>
                <w:szCs w:val="21"/>
              </w:rPr>
              <w:t>视频压缩标准：H.265；H.264；H.264H；H.264B；MJPEG（仅辅码流支持）；</w:t>
            </w:r>
          </w:p>
          <w:p>
            <w:pPr>
              <w:rPr>
                <w:rFonts w:ascii="宋体" w:hAnsi="宋体" w:cs="宋体"/>
                <w:kern w:val="0"/>
                <w:szCs w:val="21"/>
              </w:rPr>
            </w:pPr>
            <w:r>
              <w:rPr>
                <w:rFonts w:hint="eastAsia" w:ascii="宋体" w:hAnsi="宋体" w:cs="宋体"/>
                <w:kern w:val="0"/>
                <w:szCs w:val="21"/>
              </w:rPr>
              <w:t>智能编码：H.264:支持；H.265:支持；</w:t>
            </w:r>
          </w:p>
          <w:p>
            <w:pPr>
              <w:rPr>
                <w:rFonts w:ascii="宋体" w:hAnsi="宋体" w:cs="宋体"/>
                <w:kern w:val="0"/>
                <w:szCs w:val="21"/>
              </w:rPr>
            </w:pPr>
            <w:r>
              <w:rPr>
                <w:rFonts w:hint="eastAsia" w:ascii="宋体" w:hAnsi="宋体" w:cs="宋体"/>
                <w:kern w:val="0"/>
                <w:szCs w:val="21"/>
              </w:rPr>
              <w:t>宽动态：全景：120dB；球机：120dB；；</w:t>
            </w:r>
          </w:p>
          <w:p>
            <w:pPr>
              <w:rPr>
                <w:rFonts w:ascii="宋体" w:hAnsi="宋体" w:cs="宋体"/>
                <w:kern w:val="0"/>
                <w:szCs w:val="21"/>
              </w:rPr>
            </w:pPr>
            <w:r>
              <w:rPr>
                <w:rFonts w:hint="eastAsia" w:ascii="宋体" w:hAnsi="宋体" w:cs="宋体"/>
                <w:kern w:val="0"/>
                <w:szCs w:val="21"/>
              </w:rPr>
              <w:t>透雾功能：全景：NA；球机：光学透雾；</w:t>
            </w:r>
          </w:p>
          <w:p>
            <w:pPr>
              <w:rPr>
                <w:rFonts w:ascii="宋体" w:hAnsi="宋体" w:cs="宋体"/>
                <w:kern w:val="0"/>
                <w:szCs w:val="21"/>
              </w:rPr>
            </w:pPr>
            <w:r>
              <w:rPr>
                <w:rFonts w:hint="eastAsia" w:ascii="宋体" w:hAnsi="宋体" w:cs="宋体"/>
                <w:kern w:val="0"/>
                <w:szCs w:val="21"/>
              </w:rPr>
              <w:t>接入标准：ONVIF（Profile S/Profile G/Profile T）；CGI；GB/T28181（双国标）；GA/T1400（只有中文带人脸或结构化才有）；GB/35114；</w:t>
            </w:r>
          </w:p>
          <w:p>
            <w:pPr>
              <w:rPr>
                <w:rFonts w:ascii="宋体" w:hAnsi="宋体" w:cs="宋体"/>
                <w:kern w:val="0"/>
                <w:szCs w:val="21"/>
              </w:rPr>
            </w:pPr>
            <w:r>
              <w:rPr>
                <w:rFonts w:hint="eastAsia" w:ascii="宋体" w:hAnsi="宋体" w:cs="宋体"/>
                <w:kern w:val="0"/>
                <w:szCs w:val="21"/>
              </w:rPr>
              <w:t>最大Micro SD卡：512GB；</w:t>
            </w:r>
          </w:p>
          <w:p>
            <w:pPr>
              <w:rPr>
                <w:rFonts w:ascii="宋体" w:hAnsi="宋体" w:cs="宋体"/>
                <w:kern w:val="0"/>
                <w:szCs w:val="21"/>
              </w:rPr>
            </w:pPr>
            <w:r>
              <w:rPr>
                <w:rFonts w:hint="eastAsia" w:ascii="宋体" w:hAnsi="宋体" w:cs="宋体"/>
                <w:kern w:val="0"/>
                <w:szCs w:val="21"/>
              </w:rPr>
              <w:t>RS-485接口：1个（波特率范围:1200bps~115200bps）；</w:t>
            </w:r>
          </w:p>
          <w:p>
            <w:pPr>
              <w:rPr>
                <w:rFonts w:ascii="宋体" w:hAnsi="宋体" w:cs="宋体"/>
                <w:kern w:val="0"/>
                <w:szCs w:val="21"/>
              </w:rPr>
            </w:pPr>
            <w:r>
              <w:rPr>
                <w:rFonts w:hint="eastAsia" w:ascii="宋体" w:hAnsi="宋体" w:cs="宋体"/>
                <w:kern w:val="0"/>
                <w:szCs w:val="21"/>
              </w:rPr>
              <w:t>音频输入：2路（接线端子）；</w:t>
            </w:r>
          </w:p>
          <w:p>
            <w:pPr>
              <w:rPr>
                <w:rFonts w:ascii="宋体" w:hAnsi="宋体" w:cs="宋体"/>
                <w:kern w:val="0"/>
                <w:szCs w:val="21"/>
              </w:rPr>
            </w:pPr>
            <w:r>
              <w:rPr>
                <w:rFonts w:hint="eastAsia" w:ascii="宋体" w:hAnsi="宋体" w:cs="宋体"/>
                <w:kern w:val="0"/>
                <w:szCs w:val="21"/>
              </w:rPr>
              <w:t>音频输出：2路（接线端子）；</w:t>
            </w:r>
          </w:p>
          <w:p>
            <w:pPr>
              <w:rPr>
                <w:rFonts w:ascii="宋体" w:hAnsi="宋体" w:cs="宋体"/>
                <w:kern w:val="0"/>
                <w:szCs w:val="21"/>
              </w:rPr>
            </w:pPr>
            <w:r>
              <w:rPr>
                <w:rFonts w:hint="eastAsia" w:ascii="宋体" w:hAnsi="宋体" w:cs="宋体"/>
                <w:kern w:val="0"/>
                <w:szCs w:val="21"/>
              </w:rPr>
              <w:t>报警输入：7路（湿节点,支持直流3V~5V电位,5mA电流）；</w:t>
            </w:r>
          </w:p>
          <w:p>
            <w:pPr>
              <w:rPr>
                <w:rFonts w:ascii="宋体" w:hAnsi="宋体" w:cs="宋体"/>
                <w:kern w:val="0"/>
                <w:szCs w:val="21"/>
              </w:rPr>
            </w:pPr>
            <w:r>
              <w:rPr>
                <w:rFonts w:hint="eastAsia" w:ascii="宋体" w:hAnsi="宋体" w:cs="宋体"/>
                <w:kern w:val="0"/>
                <w:szCs w:val="21"/>
              </w:rPr>
              <w:t>报警输出：3路（干节点,支持直流最大30V电位,1A电流/交流最大50V电位,0.5A电流）；</w:t>
            </w:r>
          </w:p>
          <w:p>
            <w:pPr>
              <w:rPr>
                <w:rFonts w:ascii="宋体" w:hAnsi="宋体" w:cs="宋体"/>
                <w:kern w:val="0"/>
                <w:szCs w:val="21"/>
              </w:rPr>
            </w:pPr>
            <w:r>
              <w:rPr>
                <w:rFonts w:hint="eastAsia" w:ascii="宋体" w:hAnsi="宋体" w:cs="宋体"/>
                <w:kern w:val="0"/>
                <w:szCs w:val="21"/>
              </w:rPr>
              <w:t>模拟输出接口：1路（CVBS输出 BNC接口）；</w:t>
            </w:r>
          </w:p>
          <w:p>
            <w:pPr>
              <w:rPr>
                <w:rFonts w:ascii="宋体" w:hAnsi="宋体" w:cs="宋体"/>
                <w:kern w:val="0"/>
                <w:szCs w:val="21"/>
              </w:rPr>
            </w:pPr>
            <w:r>
              <w:rPr>
                <w:rFonts w:hint="eastAsia" w:ascii="宋体" w:hAnsi="宋体" w:cs="宋体"/>
                <w:kern w:val="0"/>
                <w:szCs w:val="21"/>
              </w:rPr>
              <w:t>供电方式：DC36V；</w:t>
            </w:r>
          </w:p>
          <w:p>
            <w:pPr>
              <w:rPr>
                <w:rFonts w:ascii="宋体" w:hAnsi="宋体" w:cs="宋体"/>
                <w:kern w:val="0"/>
                <w:szCs w:val="21"/>
              </w:rPr>
            </w:pPr>
            <w:r>
              <w:rPr>
                <w:rFonts w:hint="eastAsia" w:ascii="宋体" w:hAnsi="宋体" w:cs="宋体"/>
                <w:kern w:val="0"/>
                <w:szCs w:val="21"/>
              </w:rPr>
              <w:t>防护等级：IP66</w:t>
            </w:r>
          </w:p>
          <w:p>
            <w:pPr>
              <w:rPr>
                <w:rFonts w:ascii="宋体" w:hAnsi="宋体" w:cs="宋体"/>
                <w:kern w:val="0"/>
                <w:szCs w:val="21"/>
              </w:rPr>
            </w:pPr>
            <w:r>
              <w:rPr>
                <w:rFonts w:hint="eastAsia" w:ascii="宋体" w:hAnsi="宋体" w:cs="宋体"/>
                <w:kern w:val="0"/>
                <w:szCs w:val="21"/>
              </w:rPr>
              <w:t>★设备自带防水透气膜，内部水气可通过防水透气膜排出，外部的水气无法进入（提供公安部有效检测报告复印件加盖原厂公章）</w:t>
            </w:r>
          </w:p>
          <w:p>
            <w:pPr>
              <w:rPr>
                <w:rFonts w:ascii="宋体" w:hAnsi="宋体" w:cs="宋体"/>
                <w:kern w:val="0"/>
                <w:szCs w:val="21"/>
              </w:rPr>
            </w:pPr>
            <w:r>
              <w:rPr>
                <w:rFonts w:hint="eastAsia" w:ascii="宋体" w:hAnsi="宋体" w:cs="宋体"/>
                <w:kern w:val="0"/>
                <w:szCs w:val="21"/>
              </w:rPr>
              <w:t>★具有1个RJ45网络接口、1个CVBS模拟视频输出接口、1个光纤接口、2路音频输入、2 路音频输出、7路报警输入、3路报警输出、2个RS232接口、1个RS485接口、1个复位按钮、1个SD卡槽、1个DC12V输出接口（提供公安部有效检测报告复印件加盖原厂公章）</w:t>
            </w:r>
          </w:p>
          <w:p>
            <w:pPr>
              <w:rPr>
                <w:rFonts w:ascii="宋体" w:hAnsi="宋体" w:cs="宋体"/>
                <w:kern w:val="0"/>
                <w:szCs w:val="21"/>
              </w:rPr>
            </w:pPr>
            <w:r>
              <w:rPr>
                <w:rFonts w:hint="eastAsia" w:ascii="宋体" w:hAnsi="宋体" w:cs="宋体"/>
                <w:kern w:val="0"/>
                <w:szCs w:val="21"/>
              </w:rPr>
              <w:t>★设备自身重量应≤14.5kg（提供公安部有效检测报告复印件加盖原厂公章）</w:t>
            </w:r>
          </w:p>
          <w:p>
            <w:pPr>
              <w:rPr>
                <w:rFonts w:ascii="宋体" w:hAnsi="宋体" w:cs="宋体"/>
                <w:kern w:val="0"/>
                <w:szCs w:val="21"/>
              </w:rPr>
            </w:pPr>
            <w:r>
              <w:rPr>
                <w:rFonts w:hint="eastAsia" w:ascii="宋体" w:hAnsi="宋体" w:cs="宋体"/>
                <w:kern w:val="0"/>
                <w:szCs w:val="21"/>
              </w:rPr>
              <w:t>★具有智能风控除雾功能，可自动去除内部水状和雾状附着物（提供公安部有效检测报告复印件加盖原厂公章）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08" w:type="dxa"/>
            <w:tcBorders>
              <w:bottom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c>
          <w:tcPr>
            <w:tcW w:w="1272" w:type="dxa"/>
            <w:tcBorders>
              <w:bottom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400万双光人脸警戒变焦枪型网络摄像机</w:t>
            </w:r>
          </w:p>
        </w:tc>
        <w:tc>
          <w:tcPr>
            <w:tcW w:w="6379" w:type="dxa"/>
            <w:tcBorders>
              <w:bottom w:val="single" w:color="auto" w:sz="4" w:space="0"/>
            </w:tcBorders>
            <w:vAlign w:val="center"/>
          </w:tcPr>
          <w:p>
            <w:pPr>
              <w:rPr>
                <w:rFonts w:ascii="宋体" w:hAnsi="宋体" w:cs="宋体"/>
                <w:kern w:val="0"/>
                <w:szCs w:val="21"/>
              </w:rPr>
            </w:pPr>
            <w:r>
              <w:rPr>
                <w:rFonts w:hint="eastAsia" w:ascii="宋体" w:hAnsi="宋体" w:cs="宋体"/>
                <w:kern w:val="0"/>
                <w:szCs w:val="21"/>
              </w:rPr>
              <w:t>1. 采用≥1/1.8”逐行扫描400万像素CMOS图像传感器，焦距范围：2.8-12mm，电动变焦。</w:t>
            </w:r>
          </w:p>
          <w:p>
            <w:pPr>
              <w:rPr>
                <w:rFonts w:ascii="宋体" w:hAnsi="宋体" w:cs="宋体"/>
                <w:kern w:val="0"/>
                <w:szCs w:val="21"/>
              </w:rPr>
            </w:pPr>
            <w:r>
              <w:rPr>
                <w:rFonts w:hint="eastAsia" w:ascii="宋体" w:hAnsi="宋体" w:cs="宋体"/>
                <w:kern w:val="0"/>
                <w:szCs w:val="21"/>
              </w:rPr>
              <w:t>2. 最低照度：彩色：≤0.0005lx，黑白：≤0.0001lx。</w:t>
            </w:r>
          </w:p>
          <w:p>
            <w:pPr>
              <w:rPr>
                <w:rFonts w:ascii="宋体" w:hAnsi="宋体" w:cs="宋体"/>
                <w:kern w:val="0"/>
                <w:szCs w:val="21"/>
              </w:rPr>
            </w:pPr>
            <w:r>
              <w:rPr>
                <w:rFonts w:hint="eastAsia" w:ascii="宋体" w:hAnsi="宋体" w:cs="宋体"/>
                <w:kern w:val="0"/>
                <w:szCs w:val="21"/>
              </w:rPr>
              <w:t>3. 内置1个拾音器和1个扬声器，具有≥1个RJ45网口、1路音频输入、1路音频输出、1路报警输入、1路报警输出、1个SD卡接口。</w:t>
            </w:r>
          </w:p>
          <w:p>
            <w:pPr>
              <w:rPr>
                <w:rFonts w:ascii="宋体" w:hAnsi="宋体" w:cs="宋体"/>
                <w:kern w:val="0"/>
                <w:szCs w:val="21"/>
              </w:rPr>
            </w:pPr>
            <w:r>
              <w:rPr>
                <w:rFonts w:hint="eastAsia" w:ascii="宋体" w:hAnsi="宋体" w:cs="宋体"/>
                <w:kern w:val="0"/>
                <w:szCs w:val="21"/>
              </w:rPr>
              <w:t>4. 支持H.265、MJPEG、H.264设置选项，可将H.264/H.265格式设置为Baseline/Main/HighProfile。</w:t>
            </w:r>
          </w:p>
          <w:p>
            <w:pPr>
              <w:rPr>
                <w:rFonts w:ascii="宋体" w:hAnsi="宋体" w:cs="宋体"/>
                <w:kern w:val="0"/>
                <w:szCs w:val="21"/>
              </w:rPr>
            </w:pPr>
            <w:r>
              <w:rPr>
                <w:rFonts w:hint="eastAsia" w:ascii="宋体" w:hAnsi="宋体" w:cs="宋体"/>
                <w:kern w:val="0"/>
                <w:szCs w:val="21"/>
              </w:rPr>
              <w:t>5. ★支持双光谱补光，夜晚开启红外补光的情况下，可识别距设备≥150m处的人体轮廓；夜晚开启白光补光的情况下，可识别距设备≥100m处的人体轮廓。（提供公安部权威机构检测报告复印件并加盖公章为证）</w:t>
            </w:r>
          </w:p>
          <w:p>
            <w:pPr>
              <w:rPr>
                <w:rFonts w:ascii="宋体" w:hAnsi="宋体" w:cs="宋体"/>
                <w:kern w:val="0"/>
                <w:szCs w:val="21"/>
              </w:rPr>
            </w:pPr>
            <w:r>
              <w:rPr>
                <w:rFonts w:hint="eastAsia" w:ascii="宋体" w:hAnsi="宋体" w:cs="宋体"/>
                <w:kern w:val="0"/>
                <w:szCs w:val="21"/>
              </w:rPr>
              <w:t>6. 支持五码流功能：主码流分辨率为2688x1520，帧率为30帧/s，码率为5Mbps；子码流分辨率为1280x720，帧率为30帧/s，码率为2Mbps；第三码流分辨率为720x576，帧率为30帧/s，码率为1Mbps；第四码流：分辨率为1280x720，帧率为30帧/s，码率为2Mbps；第五码流：分辨率为720x576，帧率为30帧/s，码率为1Mbps。</w:t>
            </w:r>
          </w:p>
          <w:p>
            <w:pPr>
              <w:rPr>
                <w:rFonts w:ascii="宋体" w:hAnsi="宋体" w:cs="宋体"/>
                <w:kern w:val="0"/>
                <w:szCs w:val="21"/>
              </w:rPr>
            </w:pPr>
            <w:r>
              <w:rPr>
                <w:rFonts w:hint="eastAsia" w:ascii="宋体" w:hAnsi="宋体" w:cs="宋体"/>
                <w:kern w:val="0"/>
                <w:szCs w:val="21"/>
              </w:rPr>
              <w:t>7. ★设备支持IPSAN或以iSCSI直存方式进行双路传输数据，存储方式可设置为高端、基础、云存储。（提供公安部权威机构检测报告复印件并加盖公章为证）</w:t>
            </w:r>
          </w:p>
          <w:p>
            <w:pPr>
              <w:rPr>
                <w:rFonts w:ascii="宋体" w:hAnsi="宋体" w:cs="宋体"/>
                <w:kern w:val="0"/>
                <w:szCs w:val="21"/>
              </w:rPr>
            </w:pPr>
            <w:r>
              <w:rPr>
                <w:rFonts w:hint="eastAsia" w:ascii="宋体" w:hAnsi="宋体" w:cs="宋体"/>
                <w:kern w:val="0"/>
                <w:szCs w:val="21"/>
              </w:rPr>
              <w:t>8. ★具有8行字符显示，字体可设置为32×32、48×48、64×64、72×72、96×96、128×128像素等模式；7×16种字体颜色、描边、背景、空心等样式可设置，叠加的OSD支持在屏幕中滚动显示，支持叠加图片格式的OSD。（提供公安部权威机构检测报告复印件并加盖公章为证）</w:t>
            </w:r>
          </w:p>
          <w:p>
            <w:pPr>
              <w:rPr>
                <w:rFonts w:ascii="宋体" w:hAnsi="宋体" w:cs="宋体"/>
                <w:kern w:val="0"/>
                <w:szCs w:val="21"/>
              </w:rPr>
            </w:pPr>
            <w:r>
              <w:rPr>
                <w:rFonts w:hint="eastAsia" w:ascii="宋体" w:hAnsi="宋体" w:cs="宋体"/>
                <w:kern w:val="0"/>
                <w:szCs w:val="21"/>
              </w:rPr>
              <w:t>9. 具备人脸抓拍功能，可对警官设定区域的行人进行人脸检测和人脸跟踪，当检测到人脸后，可抓拍人脸图片，抓拍图片数量可设，可设置抓拍人脸小图，在同一场景中可同时对8张人脸进行检测并进行图片抓拍。</w:t>
            </w:r>
          </w:p>
          <w:p>
            <w:pPr>
              <w:rPr>
                <w:rFonts w:ascii="宋体" w:hAnsi="宋体" w:cs="宋体"/>
                <w:kern w:val="0"/>
                <w:szCs w:val="21"/>
              </w:rPr>
            </w:pPr>
            <w:r>
              <w:rPr>
                <w:rFonts w:hint="eastAsia" w:ascii="宋体" w:hAnsi="宋体" w:cs="宋体"/>
                <w:kern w:val="0"/>
                <w:szCs w:val="21"/>
              </w:rPr>
              <w:t>10. ★支持分别对在监视画面中进入和离开的人数进行统计，可配置进入、离开人数报警阀值，并可再监视画面上显示当前统计人数，当人数超过设定阀值时可上报平台。采用多人依次循环通过进行试验，试验环境照度≥100lx，试验人员数量≥5人，通过速度≥1m/s，人员通过间隔时间≤1s，试验次数100人次，设备的客流量统计结果≥99次。（提供公安部权威机构检测报告复印件并加盖公章为证）</w:t>
            </w:r>
          </w:p>
          <w:p>
            <w:pPr>
              <w:rPr>
                <w:rFonts w:ascii="宋体" w:hAnsi="宋体" w:cs="宋体"/>
                <w:kern w:val="0"/>
                <w:szCs w:val="21"/>
              </w:rPr>
            </w:pPr>
            <w:r>
              <w:rPr>
                <w:rFonts w:hint="eastAsia" w:ascii="宋体" w:hAnsi="宋体" w:cs="宋体"/>
                <w:kern w:val="0"/>
                <w:szCs w:val="21"/>
              </w:rPr>
              <w:t>11. 具有区域入侵、停车、越界入侵、人员聚集、进入区域、离开区域、快速移动、物品移除、物品遗留、徘徊智能行为分析功能，支持行为分析触发后报警上报，发送邮件，联动录像等多种报警触发方式。</w:t>
            </w:r>
          </w:p>
          <w:p>
            <w:pPr>
              <w:rPr>
                <w:rFonts w:ascii="宋体" w:hAnsi="宋体" w:cs="宋体"/>
                <w:kern w:val="0"/>
                <w:szCs w:val="21"/>
              </w:rPr>
            </w:pPr>
            <w:r>
              <w:rPr>
                <w:rFonts w:hint="eastAsia" w:ascii="宋体" w:hAnsi="宋体" w:cs="宋体"/>
                <w:kern w:val="0"/>
                <w:szCs w:val="21"/>
              </w:rPr>
              <w:t>12. 支持对监控区域内出现的自行车目标、电瓶车目标、三轮车目标、机动车目标及行人目标进行检测和抓拍。</w:t>
            </w:r>
          </w:p>
          <w:p>
            <w:pPr>
              <w:rPr>
                <w:rFonts w:ascii="宋体" w:hAnsi="宋体" w:cs="宋体"/>
                <w:kern w:val="0"/>
                <w:szCs w:val="21"/>
              </w:rPr>
            </w:pPr>
            <w:r>
              <w:rPr>
                <w:rFonts w:hint="eastAsia" w:ascii="宋体" w:hAnsi="宋体" w:cs="宋体"/>
                <w:kern w:val="0"/>
                <w:szCs w:val="21"/>
              </w:rPr>
              <w:t>13. ★在设定的侦测区域内具有目标移动时，可在客户端给出报警提示，最多可设置18×22个区域移动侦测。（提供公安部权威机构检测报告复印件并加盖公章为证）</w:t>
            </w:r>
          </w:p>
          <w:p>
            <w:pPr>
              <w:rPr>
                <w:rFonts w:ascii="宋体" w:hAnsi="宋体" w:cs="宋体"/>
                <w:kern w:val="0"/>
                <w:szCs w:val="21"/>
              </w:rPr>
            </w:pPr>
            <w:r>
              <w:rPr>
                <w:rFonts w:hint="eastAsia" w:ascii="宋体" w:hAnsi="宋体" w:cs="宋体"/>
                <w:kern w:val="0"/>
                <w:szCs w:val="21"/>
              </w:rPr>
              <w:t>14. ★支持声光告警功能，设备智能行为分析触发时可联动声音告警和白光灯闪烁告警，且有红外、双光和白光三种模式可选，并可对闪烁时间和亮度进行设置。支持自定义声音文件上传，最多可上传14条语音，播放次数可配置。（提供公安部权威机构检测报告复印件并加盖公章为证）</w:t>
            </w:r>
          </w:p>
          <w:p>
            <w:pPr>
              <w:rPr>
                <w:rFonts w:ascii="宋体" w:hAnsi="宋体" w:cs="宋体"/>
                <w:kern w:val="0"/>
                <w:szCs w:val="21"/>
              </w:rPr>
            </w:pPr>
            <w:r>
              <w:rPr>
                <w:rFonts w:hint="eastAsia" w:ascii="宋体" w:hAnsi="宋体" w:cs="宋体"/>
                <w:kern w:val="0"/>
                <w:szCs w:val="21"/>
              </w:rPr>
              <w:t>15. ★设备启用视频内容保护功能后，视频码流中的解码秘钥应能够周期性动态变化，变化周期可设置为10分钟至1个月。（提供公安部权威机构检测报告复印件并加盖公章为证）</w:t>
            </w:r>
          </w:p>
          <w:p>
            <w:pPr>
              <w:rPr>
                <w:rFonts w:ascii="宋体" w:hAnsi="宋体" w:cs="宋体"/>
                <w:szCs w:val="21"/>
              </w:rPr>
            </w:pPr>
            <w:r>
              <w:rPr>
                <w:rFonts w:hint="eastAsia" w:ascii="宋体" w:hAnsi="宋体" w:cs="宋体"/>
                <w:kern w:val="0"/>
                <w:szCs w:val="21"/>
              </w:rPr>
              <w:t>16. 支持在环境温度为-45℃～70℃环境下正常工作。外壳防护等级≥IP68。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708" w:type="dxa"/>
            <w:tcBorders>
              <w:top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6</w:t>
            </w:r>
          </w:p>
        </w:tc>
        <w:tc>
          <w:tcPr>
            <w:tcW w:w="1272" w:type="dxa"/>
            <w:tcBorders>
              <w:top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热成像监控摄像机</w:t>
            </w:r>
          </w:p>
        </w:tc>
        <w:tc>
          <w:tcPr>
            <w:tcW w:w="6379" w:type="dxa"/>
            <w:tcBorders>
              <w:top w:val="single" w:color="auto" w:sz="4" w:space="0"/>
            </w:tcBorders>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外观：双目中枪；</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使用类型：观测型；</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探测器类型：非制冷氧化钒焦平面探测器；</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探测器像素：400 × 300；</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热成像镜头焦距：25mm；</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热成像视场角：水平：15.5°;垂直： 11.6°；</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传感器类型：1/2.7英寸CMOS；</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最大分辨率：2688 x 1520；</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可见光像素：400万；</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透雾功能：电子透雾；</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可见光镜头焦距：8mm；</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可见光视场角：水平：41.3°;垂直：23.1°；</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补光类型：红外；</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最大补光距离：30m；</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火点侦测：支持；</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周界防范：支持绊线入侵/支持区域入侵等多种行为检测；</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目标区分：支持人，机动车分类；</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目标跟踪：支持；</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吸烟检测：支持；</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打电话检测：支持；</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烟雾检测：支持；</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模拟输出接口：1路CVBS输出，BNC接口；</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网络接口：1个，10M/100M以太网口（RJ-45）；</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报警输入：2路；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报警输出：2路；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音频输入：1路；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音频输出：1路；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RS-485接口：1路；</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供电方式：12 VDC ± 20%, PoE (802.3af), ePoE；</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功耗：基本功耗：3.96W(不开补光，不开加热，不开喇叭)；最大功耗：11W（开启补光，开启加热，开启喇叭）；</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工作温度：-30℃ ~ +70℃；</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工作湿度：≤95%；</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防护等级：IP67</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★最小可分辨温差（MRTD）检验：≤150mk（提供公安部有效检测报告复印件加盖原厂公章）</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★噪声等效温差（NETD）检验：≤8mk（提供公安部有效检测报告复印件加盖原厂公章）</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★热成像探测器分辨率检查：探测器分辨率≥400×300（提供公安部有效检测报告复印件加盖原厂公章）</w:t>
            </w:r>
          </w:p>
          <w:p>
            <w:pPr>
              <w:rPr>
                <w:rFonts w:hint="eastAsia" w:ascii="宋体" w:hAnsi="宋体" w:eastAsia="宋体" w:cs="宋体"/>
                <w:kern w:val="0"/>
                <w:szCs w:val="21"/>
                <w:lang w:eastAsia="zh-CN"/>
              </w:rPr>
            </w:pPr>
            <w:r>
              <w:rPr>
                <w:rFonts w:hint="eastAsia" w:ascii="宋体" w:hAnsi="宋体" w:cs="宋体"/>
                <w:color w:val="auto"/>
                <w:kern w:val="0"/>
                <w:szCs w:val="21"/>
                <w:highlight w:val="none"/>
              </w:rPr>
              <w:t>★射频电磁场辐射抗扰度试验 按照CB/T17626. 3-2016中等级3进行试验。样机处于工作状态,在场强为10V/m,调制频率1kHz,调制度80%的条件下,扫描频率从80MHz-1000MHz进行扫频干扰试验。试验中允许功能或性能暂时丧失或降低,但在试验停止后应能自行恢复,不需要探作者干预（提供公安部有效检测报告复印件加盖原厂公章</w:t>
            </w:r>
            <w:r>
              <w:rPr>
                <w:rFonts w:hint="eastAsia" w:ascii="宋体" w:hAnsi="宋体" w:cs="宋体"/>
                <w:color w:val="auto"/>
                <w:kern w:val="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vAlign w:val="center"/>
          </w:tcPr>
          <w:p>
            <w:pPr>
              <w:jc w:val="center"/>
              <w:rPr>
                <w:rFonts w:ascii="宋体" w:hAnsi="宋体" w:cs="宋体"/>
                <w:color w:val="000000"/>
                <w:kern w:val="0"/>
                <w:szCs w:val="21"/>
              </w:rPr>
            </w:pPr>
            <w:r>
              <w:rPr>
                <w:rFonts w:hint="eastAsia" w:ascii="宋体" w:hAnsi="宋体" w:cs="宋体"/>
                <w:color w:val="000000"/>
                <w:kern w:val="0"/>
                <w:szCs w:val="21"/>
              </w:rPr>
              <w:t>7</w:t>
            </w:r>
          </w:p>
        </w:tc>
        <w:tc>
          <w:tcPr>
            <w:tcW w:w="1272" w:type="dxa"/>
            <w:vAlign w:val="center"/>
          </w:tcPr>
          <w:p>
            <w:pPr>
              <w:jc w:val="center"/>
              <w:rPr>
                <w:rFonts w:ascii="宋体" w:hAnsi="宋体" w:cs="宋体"/>
                <w:color w:val="000000"/>
                <w:kern w:val="0"/>
                <w:szCs w:val="21"/>
              </w:rPr>
            </w:pPr>
            <w:r>
              <w:rPr>
                <w:rFonts w:hint="eastAsia" w:ascii="宋体" w:hAnsi="宋体" w:cs="宋体"/>
                <w:color w:val="000000"/>
                <w:kern w:val="0"/>
                <w:szCs w:val="21"/>
              </w:rPr>
              <w:t>雷球监控摄像机套件</w:t>
            </w:r>
          </w:p>
        </w:tc>
        <w:tc>
          <w:tcPr>
            <w:tcW w:w="6379" w:type="dxa"/>
            <w:vAlign w:val="center"/>
          </w:tcPr>
          <w:p>
            <w:pPr>
              <w:rPr>
                <w:rFonts w:ascii="宋体" w:hAnsi="宋体" w:cs="宋体"/>
                <w:kern w:val="0"/>
                <w:szCs w:val="21"/>
              </w:rPr>
            </w:pPr>
            <w:r>
              <w:rPr>
                <w:rFonts w:hint="eastAsia" w:ascii="宋体" w:hAnsi="宋体" w:cs="宋体"/>
                <w:szCs w:val="21"/>
              </w:rPr>
              <w:t>支持目标定位，轨迹显示；支持探测目标距离、方向、角度等信息，上报经纬度信息；环境适应性强，支持全天时、全天候正常工作；频段：C波段</w:t>
            </w:r>
            <w:r>
              <w:rPr>
                <w:rFonts w:hint="eastAsia" w:ascii="宋体" w:hAnsi="宋体" w:cs="宋体"/>
                <w:kern w:val="0"/>
                <w:szCs w:val="21"/>
              </w:rPr>
              <w:t>；径向探测300m（@人，0°）；横穿探测240m（@人，走、跑）；横穿探测150m（@人，蹲走、匍匐）；探测角度：水平：20°   俯仰：13°；最大检测目标：32个；速度范围：径向移动：80km/h  横穿移动：36km/h；防区：10个区域、4条绊线；网络接口：1个RJ45 10M/100M自适应以太网口；功耗：≤ 20W；供电：DC 12V / AC 24V / PoE (802.3at)；颜色：白色；重量：＜3kg；工作温度：–40℃～+65℃</w:t>
            </w:r>
          </w:p>
          <w:p>
            <w:pPr>
              <w:rPr>
                <w:rFonts w:ascii="宋体" w:hAnsi="宋体" w:cs="宋体"/>
                <w:kern w:val="0"/>
                <w:szCs w:val="21"/>
              </w:rPr>
            </w:pPr>
            <w:r>
              <w:rPr>
                <w:rFonts w:hint="eastAsia" w:ascii="宋体" w:hAnsi="宋体" w:cs="宋体"/>
                <w:kern w:val="0"/>
                <w:szCs w:val="21"/>
              </w:rPr>
              <w:t>★无线发射频率在24.05GHz-24.25GHz范围内（提供公安部有效检测报告复印件加盖原厂公章）</w:t>
            </w:r>
          </w:p>
          <w:p>
            <w:pPr>
              <w:rPr>
                <w:rFonts w:ascii="宋体" w:hAnsi="宋体" w:cs="宋体"/>
                <w:kern w:val="0"/>
                <w:szCs w:val="21"/>
              </w:rPr>
            </w:pPr>
            <w:r>
              <w:rPr>
                <w:rFonts w:hint="eastAsia" w:ascii="宋体" w:hAnsi="宋体" w:cs="宋体"/>
                <w:kern w:val="0"/>
                <w:szCs w:val="21"/>
              </w:rPr>
              <w:t>★探测距离，人：350m，车370m（提供公安部有效检测报告复印件加盖原厂公章）</w:t>
            </w:r>
          </w:p>
          <w:p>
            <w:pPr>
              <w:rPr>
                <w:rFonts w:ascii="宋体" w:hAnsi="宋体" w:cs="宋体"/>
                <w:kern w:val="0"/>
                <w:szCs w:val="21"/>
              </w:rPr>
            </w:pPr>
            <w:r>
              <w:rPr>
                <w:rFonts w:hint="eastAsia" w:ascii="宋体" w:hAnsi="宋体" w:cs="宋体"/>
                <w:kern w:val="0"/>
                <w:szCs w:val="21"/>
              </w:rPr>
              <w:t>传感器类型：1/1.8英寸CMOS；</w:t>
            </w:r>
          </w:p>
          <w:p>
            <w:pPr>
              <w:rPr>
                <w:rFonts w:ascii="宋体" w:hAnsi="宋体" w:cs="宋体"/>
                <w:kern w:val="0"/>
                <w:szCs w:val="21"/>
              </w:rPr>
            </w:pPr>
            <w:r>
              <w:rPr>
                <w:rFonts w:hint="eastAsia" w:ascii="宋体" w:hAnsi="宋体" w:cs="宋体"/>
                <w:kern w:val="0"/>
                <w:szCs w:val="21"/>
              </w:rPr>
              <w:t>像素：400万；</w:t>
            </w:r>
          </w:p>
          <w:p>
            <w:pPr>
              <w:rPr>
                <w:rFonts w:ascii="宋体" w:hAnsi="宋体" w:cs="宋体"/>
                <w:kern w:val="0"/>
                <w:szCs w:val="21"/>
              </w:rPr>
            </w:pPr>
            <w:r>
              <w:rPr>
                <w:rFonts w:hint="eastAsia" w:ascii="宋体" w:hAnsi="宋体" w:cs="宋体"/>
                <w:kern w:val="0"/>
                <w:szCs w:val="21"/>
              </w:rPr>
              <w:t>最大分辨率：2560×1440；</w:t>
            </w:r>
          </w:p>
          <w:p>
            <w:pPr>
              <w:rPr>
                <w:rFonts w:ascii="宋体" w:hAnsi="宋体" w:cs="宋体"/>
                <w:kern w:val="0"/>
                <w:szCs w:val="21"/>
              </w:rPr>
            </w:pPr>
            <w:r>
              <w:rPr>
                <w:rFonts w:hint="eastAsia" w:ascii="宋体" w:hAnsi="宋体" w:cs="宋体"/>
                <w:kern w:val="0"/>
                <w:szCs w:val="21"/>
              </w:rPr>
              <w:t>最低照度：彩色：0.001Lux@F1.4黑白：0.0001Lux@F1.40Lux（红外灯开启）；</w:t>
            </w:r>
          </w:p>
          <w:p>
            <w:pPr>
              <w:rPr>
                <w:rFonts w:ascii="宋体" w:hAnsi="宋体" w:cs="宋体"/>
                <w:kern w:val="0"/>
                <w:szCs w:val="21"/>
              </w:rPr>
            </w:pPr>
            <w:r>
              <w:rPr>
                <w:rFonts w:hint="eastAsia" w:ascii="宋体" w:hAnsi="宋体" w:cs="宋体"/>
                <w:kern w:val="0"/>
                <w:szCs w:val="21"/>
              </w:rPr>
              <w:t>最大补光距离：250m（红外）；</w:t>
            </w:r>
          </w:p>
          <w:p>
            <w:pPr>
              <w:rPr>
                <w:rFonts w:ascii="宋体" w:hAnsi="宋体" w:cs="宋体"/>
                <w:kern w:val="0"/>
                <w:szCs w:val="21"/>
              </w:rPr>
            </w:pPr>
            <w:r>
              <w:rPr>
                <w:rFonts w:hint="eastAsia" w:ascii="宋体" w:hAnsi="宋体" w:cs="宋体"/>
                <w:kern w:val="0"/>
                <w:szCs w:val="21"/>
              </w:rPr>
              <w:t>补光类型：红外；</w:t>
            </w:r>
          </w:p>
          <w:p>
            <w:pPr>
              <w:rPr>
                <w:rFonts w:ascii="宋体" w:hAnsi="宋体" w:cs="宋体"/>
                <w:kern w:val="0"/>
                <w:szCs w:val="21"/>
              </w:rPr>
            </w:pPr>
            <w:r>
              <w:rPr>
                <w:rFonts w:hint="eastAsia" w:ascii="宋体" w:hAnsi="宋体" w:cs="宋体"/>
                <w:kern w:val="0"/>
                <w:szCs w:val="21"/>
              </w:rPr>
              <w:t>镜头焦距：5.5mm~220mm；</w:t>
            </w:r>
          </w:p>
          <w:p>
            <w:pPr>
              <w:rPr>
                <w:rFonts w:ascii="宋体" w:hAnsi="宋体" w:cs="宋体"/>
                <w:kern w:val="0"/>
                <w:szCs w:val="21"/>
              </w:rPr>
            </w:pPr>
            <w:r>
              <w:rPr>
                <w:rFonts w:hint="eastAsia" w:ascii="宋体" w:hAnsi="宋体" w:cs="宋体"/>
                <w:kern w:val="0"/>
                <w:szCs w:val="21"/>
              </w:rPr>
              <w:t>光学变倍：40倍；</w:t>
            </w:r>
          </w:p>
          <w:p>
            <w:pPr>
              <w:rPr>
                <w:rFonts w:ascii="宋体" w:hAnsi="宋体" w:cs="宋体"/>
                <w:kern w:val="0"/>
                <w:szCs w:val="21"/>
              </w:rPr>
            </w:pPr>
            <w:r>
              <w:rPr>
                <w:rFonts w:hint="eastAsia" w:ascii="宋体" w:hAnsi="宋体" w:cs="宋体"/>
                <w:kern w:val="0"/>
                <w:szCs w:val="21"/>
              </w:rPr>
              <w:t>视频结构化：支持机动车、非机动车、人脸、人体检测；支持跟踪；支持优选；支持抓拍；支持上报最优的抓图机动车属性（车牌，车牌颜色 ，车辆类型，车身颜色，车标，车系/年款，遮阳板，安全带，抽烟，打电话，车内饰品，年检标志）；</w:t>
            </w:r>
          </w:p>
          <w:p>
            <w:pPr>
              <w:rPr>
                <w:rFonts w:ascii="宋体" w:hAnsi="宋体" w:cs="宋体"/>
                <w:kern w:val="0"/>
                <w:szCs w:val="21"/>
              </w:rPr>
            </w:pPr>
            <w:r>
              <w:rPr>
                <w:rFonts w:hint="eastAsia" w:ascii="宋体" w:hAnsi="宋体" w:cs="宋体"/>
                <w:kern w:val="0"/>
                <w:szCs w:val="21"/>
              </w:rPr>
              <w:t>周界防范：支持区域入侵；支持穿越围栏；支持徘徊检测；支持物品遗留；支持物品搬移；支持快速移动；支持停车检测；支持人员聚集；支持人车分类报警；支持联动跟踪；</w:t>
            </w:r>
          </w:p>
          <w:p>
            <w:pPr>
              <w:rPr>
                <w:rFonts w:ascii="宋体" w:hAnsi="宋体" w:cs="宋体"/>
                <w:kern w:val="0"/>
                <w:szCs w:val="21"/>
              </w:rPr>
            </w:pPr>
            <w:r>
              <w:rPr>
                <w:rFonts w:hint="eastAsia" w:ascii="宋体" w:hAnsi="宋体" w:cs="宋体"/>
                <w:kern w:val="0"/>
                <w:szCs w:val="21"/>
              </w:rPr>
              <w:t>人脸检测：支持人脸检测；支持人脸轨迹框；支持优选；支持抓拍；支持上报最优的人脸抓图；支持人脸增强；支持人脸属性提取，支持6种属性14种表情：性别，年龄，眼镜，表情（愤怒，悲伤，厌恶，害怕，惊讶，平静，高兴，困惑），口罩，胡子；支持人脸抠图区域可设：人脸，单寸照；支持实时抓拍，优选抓拍，支持质量优先三种抓拍策略；</w:t>
            </w:r>
          </w:p>
          <w:p>
            <w:pPr>
              <w:rPr>
                <w:rFonts w:ascii="宋体" w:hAnsi="宋体" w:cs="宋体"/>
                <w:kern w:val="0"/>
                <w:szCs w:val="21"/>
              </w:rPr>
            </w:pPr>
            <w:r>
              <w:rPr>
                <w:rFonts w:hint="eastAsia" w:ascii="宋体" w:hAnsi="宋体" w:cs="宋体"/>
                <w:kern w:val="0"/>
                <w:szCs w:val="21"/>
              </w:rPr>
              <w:t>防抖功能：电子防抖；</w:t>
            </w:r>
          </w:p>
          <w:p>
            <w:pPr>
              <w:rPr>
                <w:rFonts w:ascii="宋体" w:hAnsi="宋体" w:cs="宋体"/>
                <w:kern w:val="0"/>
                <w:szCs w:val="21"/>
              </w:rPr>
            </w:pPr>
            <w:r>
              <w:rPr>
                <w:rFonts w:hint="eastAsia" w:ascii="宋体" w:hAnsi="宋体" w:cs="宋体"/>
                <w:kern w:val="0"/>
                <w:szCs w:val="21"/>
              </w:rPr>
              <w:t>透雾功能：光学透雾；</w:t>
            </w:r>
          </w:p>
          <w:p>
            <w:pPr>
              <w:rPr>
                <w:rFonts w:ascii="宋体" w:hAnsi="宋体" w:cs="宋体"/>
                <w:kern w:val="0"/>
                <w:szCs w:val="21"/>
              </w:rPr>
            </w:pPr>
            <w:r>
              <w:rPr>
                <w:rFonts w:hint="eastAsia" w:ascii="宋体" w:hAnsi="宋体" w:cs="宋体"/>
                <w:kern w:val="0"/>
                <w:szCs w:val="21"/>
              </w:rPr>
              <w:t>音频输入：1路（LINE IN；裸线）；</w:t>
            </w:r>
          </w:p>
          <w:p>
            <w:pPr>
              <w:rPr>
                <w:rFonts w:ascii="宋体" w:hAnsi="宋体" w:cs="宋体"/>
                <w:kern w:val="0"/>
                <w:szCs w:val="21"/>
              </w:rPr>
            </w:pPr>
            <w:r>
              <w:rPr>
                <w:rFonts w:hint="eastAsia" w:ascii="宋体" w:hAnsi="宋体" w:cs="宋体"/>
                <w:kern w:val="0"/>
                <w:szCs w:val="21"/>
              </w:rPr>
              <w:t>音频输出：1路（LINE OUT；裸线）；</w:t>
            </w:r>
          </w:p>
          <w:p>
            <w:pPr>
              <w:rPr>
                <w:rFonts w:ascii="宋体" w:hAnsi="宋体" w:cs="宋体"/>
                <w:kern w:val="0"/>
                <w:szCs w:val="21"/>
              </w:rPr>
            </w:pPr>
            <w:r>
              <w:rPr>
                <w:rFonts w:hint="eastAsia" w:ascii="宋体" w:hAnsi="宋体" w:cs="宋体"/>
                <w:kern w:val="0"/>
                <w:szCs w:val="21"/>
              </w:rPr>
              <w:t>语音对讲：支持；</w:t>
            </w:r>
          </w:p>
          <w:p>
            <w:pPr>
              <w:rPr>
                <w:rFonts w:ascii="宋体" w:hAnsi="宋体" w:cs="宋体"/>
                <w:kern w:val="0"/>
                <w:szCs w:val="21"/>
              </w:rPr>
            </w:pPr>
            <w:r>
              <w:rPr>
                <w:rFonts w:hint="eastAsia" w:ascii="宋体" w:hAnsi="宋体" w:cs="宋体"/>
                <w:kern w:val="0"/>
                <w:szCs w:val="21"/>
              </w:rPr>
              <w:t>报警输入：2路，开关量输入（0~5V DC）；</w:t>
            </w:r>
          </w:p>
          <w:p>
            <w:pPr>
              <w:rPr>
                <w:rFonts w:ascii="宋体" w:hAnsi="宋体" w:cs="宋体"/>
                <w:kern w:val="0"/>
                <w:szCs w:val="21"/>
              </w:rPr>
            </w:pPr>
            <w:r>
              <w:rPr>
                <w:rFonts w:hint="eastAsia" w:ascii="宋体" w:hAnsi="宋体" w:cs="宋体"/>
                <w:kern w:val="0"/>
                <w:szCs w:val="21"/>
              </w:rPr>
              <w:t>报警输出：1路；</w:t>
            </w:r>
          </w:p>
          <w:p>
            <w:pPr>
              <w:rPr>
                <w:rFonts w:ascii="宋体" w:hAnsi="宋体" w:cs="宋体"/>
                <w:kern w:val="0"/>
                <w:szCs w:val="21"/>
              </w:rPr>
            </w:pPr>
            <w:r>
              <w:rPr>
                <w:rFonts w:hint="eastAsia" w:ascii="宋体" w:hAnsi="宋体" w:cs="宋体"/>
                <w:kern w:val="0"/>
                <w:szCs w:val="21"/>
              </w:rPr>
              <w:t>供电方式：DC24V /2.5A±30%（标配）；</w:t>
            </w:r>
          </w:p>
          <w:p>
            <w:pPr>
              <w:rPr>
                <w:rFonts w:ascii="宋体" w:hAnsi="宋体" w:cs="宋体"/>
                <w:kern w:val="0"/>
                <w:szCs w:val="21"/>
              </w:rPr>
            </w:pPr>
            <w:r>
              <w:rPr>
                <w:rFonts w:hint="eastAsia" w:ascii="宋体" w:hAnsi="宋体" w:cs="宋体"/>
                <w:kern w:val="0"/>
                <w:szCs w:val="21"/>
              </w:rPr>
              <w:t>球机尺寸：8寸；</w:t>
            </w:r>
          </w:p>
          <w:p>
            <w:pPr>
              <w:rPr>
                <w:rFonts w:ascii="宋体" w:hAnsi="宋体" w:cs="宋体"/>
                <w:kern w:val="0"/>
                <w:szCs w:val="21"/>
              </w:rPr>
            </w:pPr>
            <w:r>
              <w:rPr>
                <w:rFonts w:hint="eastAsia" w:ascii="宋体" w:hAnsi="宋体" w:cs="宋体"/>
                <w:kern w:val="0"/>
                <w:szCs w:val="21"/>
              </w:rPr>
              <w:t>接口类型：RJ45接口</w:t>
            </w:r>
          </w:p>
          <w:p>
            <w:pPr>
              <w:rPr>
                <w:rFonts w:ascii="宋体" w:hAnsi="宋体" w:cs="宋体"/>
                <w:kern w:val="0"/>
                <w:szCs w:val="21"/>
              </w:rPr>
            </w:pPr>
            <w:r>
              <w:rPr>
                <w:rFonts w:hint="eastAsia" w:ascii="宋体" w:hAnsi="宋体" w:cs="宋体"/>
                <w:kern w:val="0"/>
                <w:szCs w:val="21"/>
              </w:rPr>
              <w:t>★云台定位准确度检验：云台定位准确度小于等于0.01°（提供公安部有效检测报告复印件加盖原厂公章）</w:t>
            </w:r>
          </w:p>
          <w:p>
            <w:pPr>
              <w:rPr>
                <w:rFonts w:ascii="宋体" w:hAnsi="宋体" w:cs="宋体"/>
                <w:kern w:val="0"/>
                <w:szCs w:val="21"/>
              </w:rPr>
            </w:pPr>
            <w:r>
              <w:rPr>
                <w:rFonts w:hint="eastAsia" w:ascii="宋体" w:hAnsi="宋体" w:cs="宋体"/>
                <w:kern w:val="0"/>
                <w:szCs w:val="21"/>
              </w:rPr>
              <w:t>★日夜模式功能检验：在客户端或IE浏览器下，具有彩色模式、黑白模式设置选项，具有自动感应光敏电阻出发并转换设置选项，类型可设置电子或者ICR，并具有自动、定时、报警触发转换设置选项，采用可切换的红外截止滤光片(IR-CUT)，日夜转换时支持自动后焦矫正（提供公安部有效检测报告复印件加盖原厂公章）</w:t>
            </w:r>
          </w:p>
          <w:p>
            <w:pPr>
              <w:rPr>
                <w:rFonts w:ascii="宋体" w:hAnsi="宋体" w:cs="宋体"/>
                <w:kern w:val="0"/>
                <w:szCs w:val="21"/>
              </w:rPr>
            </w:pPr>
            <w:r>
              <w:rPr>
                <w:rFonts w:hint="eastAsia" w:ascii="宋体" w:hAnsi="宋体" w:cs="宋体"/>
                <w:kern w:val="0"/>
                <w:szCs w:val="21"/>
              </w:rPr>
              <w:t>★当智能行为分析设置为区域入侵、越界入侵侦测、进入区域侦测、离开区域侦测快速移动侦测时，可对人、车、自行车电瓶车、摩托车、三轮车等进行检测。样机支持行为分析触发后联动聚焦、联动目标跟踪、报警上传，上传FTP，发送邮件，联动录像，辅助输出等多种报警触发方式（提供公安部有效检测报告复印件加盖原厂公章）</w:t>
            </w:r>
          </w:p>
        </w:tc>
      </w:tr>
    </w:tbl>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3、警报处理及对接服务</w:t>
      </w:r>
    </w:p>
    <w:p>
      <w:pPr>
        <w:pStyle w:val="255"/>
        <w:tabs>
          <w:tab w:val="left" w:pos="0"/>
          <w:tab w:val="left" w:pos="360"/>
          <w:tab w:val="clear" w:pos="2160"/>
        </w:tabs>
        <w:spacing w:before="156"/>
        <w:ind w:left="3412" w:leftChars="200" w:hanging="2992" w:hangingChars="1419"/>
        <w:rPr>
          <w:rFonts w:ascii="宋体" w:hAnsi="宋体" w:eastAsia="宋体" w:cs="宋体"/>
          <w:sz w:val="21"/>
          <w:szCs w:val="21"/>
        </w:rPr>
      </w:pPr>
      <w:r>
        <w:rPr>
          <w:rFonts w:hint="eastAsia" w:ascii="宋体" w:hAnsi="宋体" w:eastAsia="宋体" w:cs="宋体"/>
          <w:sz w:val="21"/>
          <w:szCs w:val="21"/>
        </w:rPr>
        <w:t>（1）技术要求</w:t>
      </w:r>
    </w:p>
    <w:p>
      <w:pPr>
        <w:spacing w:line="360" w:lineRule="auto"/>
        <w:ind w:firstLine="420" w:firstLineChars="200"/>
        <w:rPr>
          <w:rFonts w:ascii="宋体" w:hAnsi="宋体" w:cs="宋体"/>
          <w:color w:val="auto"/>
          <w:szCs w:val="21"/>
          <w:highlight w:val="none"/>
          <w:lang w:val="en-GB"/>
        </w:rPr>
      </w:pPr>
      <w:r>
        <w:rPr>
          <w:rFonts w:hint="eastAsia" w:ascii="宋体" w:hAnsi="宋体" w:cs="宋体"/>
          <w:szCs w:val="21"/>
          <w:lang w:val="en-GB"/>
        </w:rPr>
        <w:t>通过AI智算服务功能提供相关功能，包含任务调度，模型配置，后处理算法，AI识别能力，视频管理系统：（1）任务调度功能：支持任务列表管理功能，任务新增和编辑功能。（2）模型配置功能：支持多预置位配置功能、支持多模型配置功能、支持多预置位和多模型组合配置、支持数据推送配置。（3）后处理算法：支持</w:t>
      </w:r>
      <w:r>
        <w:rPr>
          <w:rFonts w:hint="eastAsia" w:ascii="宋体" w:hAnsi="宋体" w:cs="宋体"/>
          <w:color w:val="auto"/>
          <w:szCs w:val="21"/>
          <w:highlight w:val="none"/>
          <w:lang w:val="en-GB"/>
        </w:rPr>
        <w:t>复杂算法处理，包括但不限于多边形电子围栏内报警、多边形电子围栏内外报警、高宽比分析、报警判断过滤等后处理算法配置功能。（4）AI识别能力应具备能力：支持具备视频智能识别分析能力：如焚烧排烟识别、非运维人员违规进入识别、垂钓识别、洗衣识别、船只识别、下塘游玩识别、水位识别、特种车辆识别。（5）视频管理系统：支持服务器信息查看、视频分屏展示、国标设备级联、用户管理等功能。</w:t>
      </w:r>
    </w:p>
    <w:p>
      <w:pPr>
        <w:spacing w:line="360" w:lineRule="auto"/>
        <w:ind w:firstLine="420" w:firstLineChars="200"/>
        <w:rPr>
          <w:rFonts w:ascii="宋体" w:hAnsi="宋体" w:cs="宋体"/>
          <w:szCs w:val="21"/>
          <w:lang w:val="en-GB"/>
        </w:rPr>
      </w:pPr>
      <w:r>
        <w:rPr>
          <w:rFonts w:hint="eastAsia" w:ascii="宋体" w:hAnsi="宋体" w:cs="宋体"/>
          <w:szCs w:val="21"/>
          <w:lang w:val="en-GB"/>
        </w:rPr>
        <w:t>本次处理系统服务功能要求实现包括站点分布图、站点信息查询、远程监管功能、查看实时视频、告警信息、告警信息处理、绘制越界线以及告警分析报告等功能。具备移动端“浙政钉”应用，可通过移动端应用推送和处理告警信息，告警信息由系统平台通过移动端方式推送至相关管理人员，管理人对各个异常信息进行人为干扰，处理完成后反馈核查处理情况，需要做到快速反应、快速处置。实现告警处理的闭环。</w:t>
      </w:r>
    </w:p>
    <w:p>
      <w:pPr>
        <w:spacing w:line="360" w:lineRule="auto"/>
        <w:ind w:firstLine="420" w:firstLineChars="200"/>
        <w:rPr>
          <w:rFonts w:ascii="宋体" w:hAnsi="宋体" w:cs="宋体"/>
          <w:szCs w:val="21"/>
          <w:lang w:val="en-GB"/>
        </w:rPr>
      </w:pPr>
      <w:r>
        <w:rPr>
          <w:rFonts w:hint="eastAsia" w:ascii="宋体" w:hAnsi="宋体" w:cs="宋体"/>
          <w:kern w:val="0"/>
          <w:szCs w:val="21"/>
        </w:rPr>
        <w:t>★</w:t>
      </w:r>
      <w:r>
        <w:rPr>
          <w:rFonts w:hint="eastAsia" w:ascii="宋体" w:hAnsi="宋体" w:cs="宋体"/>
          <w:szCs w:val="21"/>
          <w:lang w:val="en-GB"/>
        </w:rPr>
        <w:t>完成本系统与宁波市生态环境综合监管与协同平台的数据对接。</w:t>
      </w:r>
    </w:p>
    <w:p>
      <w:pPr>
        <w:spacing w:line="360" w:lineRule="auto"/>
        <w:ind w:firstLine="420" w:firstLineChars="200"/>
        <w:rPr>
          <w:rFonts w:ascii="宋体" w:hAnsi="宋体" w:cs="宋体"/>
          <w:szCs w:val="21"/>
          <w:lang w:val="en-GB"/>
        </w:rPr>
      </w:pPr>
      <w:r>
        <w:rPr>
          <w:rFonts w:hint="eastAsia" w:ascii="宋体" w:hAnsi="宋体" w:cs="宋体"/>
          <w:szCs w:val="21"/>
        </w:rPr>
        <w:t>根据业主需求，完成非本项目清单内水源地电子围栏数据的对接。</w:t>
      </w:r>
    </w:p>
    <w:p>
      <w:pPr>
        <w:pStyle w:val="255"/>
        <w:tabs>
          <w:tab w:val="left" w:pos="0"/>
          <w:tab w:val="left" w:pos="360"/>
          <w:tab w:val="clear" w:pos="2160"/>
        </w:tabs>
        <w:spacing w:before="156"/>
        <w:rPr>
          <w:rFonts w:ascii="宋体" w:hAnsi="宋体" w:eastAsia="宋体" w:cs="宋体"/>
          <w:sz w:val="21"/>
          <w:szCs w:val="21"/>
        </w:rPr>
      </w:pPr>
      <w:r>
        <w:rPr>
          <w:rFonts w:hint="eastAsia" w:ascii="宋体" w:hAnsi="宋体" w:eastAsia="宋体" w:cs="宋体"/>
          <w:sz w:val="21"/>
          <w:szCs w:val="21"/>
        </w:rPr>
        <w:t>（2）功能描述</w:t>
      </w:r>
    </w:p>
    <w:p>
      <w:pPr>
        <w:spacing w:line="360" w:lineRule="auto"/>
        <w:ind w:firstLine="420" w:firstLineChars="200"/>
        <w:rPr>
          <w:rFonts w:ascii="宋体" w:hAnsi="宋体" w:cs="宋体"/>
          <w:szCs w:val="21"/>
          <w:lang w:val="en-GB"/>
        </w:rPr>
      </w:pPr>
      <w:r>
        <w:rPr>
          <w:rFonts w:hint="eastAsia" w:ascii="宋体" w:hAnsi="宋体" w:cs="宋体"/>
          <w:szCs w:val="21"/>
          <w:lang w:val="en-GB"/>
        </w:rPr>
        <w:t>站点一张图：系统支持实现站点分布图功能，要求在一张图上展示站点分布情况，支持站点搜索；支持站点基本信息的查看，包括站点名称，所属区域等；支持远程监管，可查看该站点实时视频，并进行视频云台控制。</w:t>
      </w:r>
    </w:p>
    <w:p>
      <w:pPr>
        <w:spacing w:line="360" w:lineRule="auto"/>
        <w:ind w:firstLine="420" w:firstLineChars="200"/>
        <w:rPr>
          <w:rFonts w:ascii="宋体" w:hAnsi="宋体" w:cs="宋体"/>
          <w:szCs w:val="21"/>
          <w:lang w:val="en-GB"/>
        </w:rPr>
      </w:pPr>
      <w:r>
        <w:rPr>
          <w:rFonts w:hint="eastAsia" w:ascii="宋体" w:hAnsi="宋体" w:cs="宋体"/>
          <w:szCs w:val="21"/>
          <w:lang w:val="en-GB"/>
        </w:rPr>
        <w:t>智能报警：支持查看告警信息，可以列表形式查看实时预警数据，包括该预警事件的站点名称、报警内容、事件处理状态等信息，支持按照事件发生时间筛选告警事件。支持告警事件闭环处理。可查看该告警事件的地理位置、消息生成时间、详细事件预警图片等信息。系统支持整体闭环流程监管，实现包括事件从发生，到事件任务处理派发，最终事件处理结果和处理图片的信息查看。</w:t>
      </w:r>
    </w:p>
    <w:p>
      <w:pPr>
        <w:spacing w:line="360" w:lineRule="auto"/>
        <w:ind w:firstLine="420" w:firstLineChars="200"/>
        <w:rPr>
          <w:rFonts w:ascii="宋体" w:hAnsi="宋体" w:cs="宋体"/>
          <w:szCs w:val="21"/>
          <w:lang w:val="en-GB"/>
        </w:rPr>
      </w:pPr>
      <w:r>
        <w:rPr>
          <w:rFonts w:hint="eastAsia" w:ascii="宋体" w:hAnsi="宋体" w:cs="宋体"/>
          <w:szCs w:val="21"/>
          <w:lang w:val="en-GB"/>
        </w:rPr>
        <w:t>移动端应用：系统支持与浙政钉平台打通，实现浙政钉端预警信息接收处置功能。</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4、环境核查服务</w:t>
      </w:r>
    </w:p>
    <w:p>
      <w:pPr>
        <w:spacing w:line="360" w:lineRule="auto"/>
        <w:ind w:firstLine="420" w:firstLineChars="200"/>
        <w:rPr>
          <w:rFonts w:ascii="宋体" w:hAnsi="宋体" w:cs="宋体"/>
          <w:szCs w:val="21"/>
        </w:rPr>
      </w:pPr>
      <w:r>
        <w:rPr>
          <w:rFonts w:hint="eastAsia" w:ascii="宋体" w:hAnsi="宋体" w:cs="宋体"/>
          <w:szCs w:val="21"/>
        </w:rPr>
        <w:t>对饮用水源保护区周边航测区内的地貌及地上建筑运用专业摄影装备进行数据采集，运用专业的地理信息软件制作影像图。需提取出一、二级水源保护区域内的污染源、设施和项目情况，形成疑似违法建设项目清单。其中输出数据的具体要求如下：数据相对测量精度1：1000；数据定位精度：不低于10厘米。航拍项目分三大模块：数据采集、数据制作、数据对比。实现原理归统于航空摄影测量。采用无人机上航摄仪器对地面进行连续摄取相片，获取地面信息，绘制地图作业。</w:t>
      </w:r>
    </w:p>
    <w:p>
      <w:pPr>
        <w:spacing w:line="360" w:lineRule="auto"/>
        <w:ind w:firstLine="420" w:firstLineChars="200"/>
        <w:rPr>
          <w:rFonts w:ascii="宋体" w:hAnsi="宋体" w:cs="宋体"/>
          <w:szCs w:val="21"/>
        </w:rPr>
      </w:pPr>
      <w:r>
        <w:rPr>
          <w:rFonts w:hint="eastAsia" w:ascii="宋体" w:hAnsi="宋体" w:cs="宋体"/>
          <w:szCs w:val="21"/>
        </w:rPr>
        <w:t>一是形成现场无人机航拍范围内的疑似违法建设项目的报告，为各区县对辖区内疑似违法建设项目进行人工核查和执法提供技术支撑。</w:t>
      </w:r>
    </w:p>
    <w:p>
      <w:pPr>
        <w:spacing w:line="360" w:lineRule="auto"/>
        <w:ind w:firstLine="420" w:firstLineChars="200"/>
        <w:rPr>
          <w:rFonts w:ascii="宋体" w:hAnsi="宋体" w:cs="宋体"/>
          <w:szCs w:val="21"/>
        </w:rPr>
      </w:pPr>
      <w:r>
        <w:rPr>
          <w:rFonts w:hint="eastAsia" w:ascii="宋体" w:hAnsi="宋体" w:cs="宋体"/>
          <w:szCs w:val="21"/>
        </w:rPr>
        <w:t xml:space="preserve"> 二是形成饮用水源保护区污染源遥感排查报告，为下一步整治和动态管控提供支撑。</w:t>
      </w:r>
    </w:p>
    <w:p>
      <w:pPr>
        <w:spacing w:line="360" w:lineRule="auto"/>
        <w:ind w:firstLine="420" w:firstLineChars="200"/>
        <w:rPr>
          <w:rFonts w:ascii="宋体" w:hAnsi="宋体" w:cs="宋体"/>
          <w:szCs w:val="21"/>
        </w:rPr>
      </w:pPr>
      <w:r>
        <w:rPr>
          <w:rFonts w:hint="eastAsia" w:ascii="宋体" w:hAnsi="宋体" w:cs="宋体"/>
          <w:szCs w:val="21"/>
        </w:rPr>
        <w:t>三是对疑似违法建设项目图斑以及污染源图斑进行人工外业核查，进行现场情况记录，现场照片拍摄。形成图斑目录表。</w:t>
      </w:r>
    </w:p>
    <w:p>
      <w:pPr>
        <w:spacing w:line="360" w:lineRule="auto"/>
        <w:ind w:firstLine="420" w:firstLineChars="200"/>
        <w:rPr>
          <w:rFonts w:ascii="宋体" w:hAnsi="宋体" w:cs="宋体"/>
          <w:szCs w:val="21"/>
        </w:rPr>
      </w:pPr>
      <w:r>
        <w:rPr>
          <w:rFonts w:hint="eastAsia" w:ascii="宋体" w:hAnsi="宋体" w:cs="宋体"/>
          <w:szCs w:val="21"/>
        </w:rPr>
        <w:t>服务频次：重点饮用水水源地</w:t>
      </w:r>
      <w:r>
        <w:rPr>
          <w:rFonts w:hint="eastAsia" w:ascii="宋体" w:hAnsi="宋体" w:cs="宋体"/>
          <w:szCs w:val="21"/>
          <w:lang w:eastAsia="zh-CN"/>
        </w:rPr>
        <w:t>（由采购人指定）</w:t>
      </w:r>
      <w:r>
        <w:rPr>
          <w:rFonts w:hint="eastAsia" w:ascii="宋体" w:hAnsi="宋体" w:cs="宋体"/>
          <w:szCs w:val="21"/>
        </w:rPr>
        <w:t>遥感频次每季度一次，遥测每次覆盖范围不少于4个</w:t>
      </w:r>
      <w:r>
        <w:rPr>
          <w:rFonts w:hint="eastAsia" w:ascii="宋体" w:hAnsi="宋体" w:cs="宋体"/>
          <w:szCs w:val="21"/>
          <w:lang w:eastAsia="zh-CN"/>
        </w:rPr>
        <w:t>水源地</w:t>
      </w:r>
      <w:r>
        <w:rPr>
          <w:rFonts w:hint="eastAsia" w:ascii="宋体" w:hAnsi="宋体" w:cs="宋体"/>
          <w:szCs w:val="21"/>
        </w:rPr>
        <w:t>，每年开展四期饮用水源地环境变化监测，具体服务时间由采购人指定，年度服务内容至少完成13个饮用水源地遍历。</w:t>
      </w:r>
    </w:p>
    <w:p>
      <w:pPr>
        <w:spacing w:line="360" w:lineRule="auto"/>
        <w:ind w:firstLine="420" w:firstLineChars="200"/>
        <w:rPr>
          <w:rFonts w:ascii="宋体" w:hAnsi="宋体" w:cs="宋体"/>
          <w:szCs w:val="21"/>
        </w:rPr>
      </w:pPr>
      <w:r>
        <w:rPr>
          <w:rFonts w:hint="eastAsia" w:ascii="宋体" w:hAnsi="宋体" w:cs="宋体"/>
          <w:szCs w:val="21"/>
        </w:rPr>
        <w:t>技术要求：每个疑似违规项目图斑都有对应的无人机影像高清图，要求无人机图片裁剪至大小包含每块风险源图斑，图片标注对应矢量编号。无人机航测分辨率优于 0. 1m/pixel、测区内正射影像 tif 格式、图斑点位 信息 shp（大地 2000 坐标系） +kml+jpg 格式、复杂点位导航路径 kml 格式。</w:t>
      </w:r>
    </w:p>
    <w:p>
      <w:pPr>
        <w:spacing w:line="360" w:lineRule="auto"/>
        <w:ind w:firstLine="420" w:firstLineChars="200"/>
        <w:rPr>
          <w:rFonts w:ascii="宋体" w:hAnsi="宋体" w:cs="宋体"/>
          <w:szCs w:val="21"/>
        </w:rPr>
      </w:pPr>
      <w:r>
        <w:rPr>
          <w:rFonts w:hint="eastAsia" w:ascii="宋体" w:hAnsi="宋体" w:cs="宋体"/>
          <w:szCs w:val="21"/>
        </w:rPr>
        <w:t>成果交付：</w:t>
      </w:r>
      <w:r>
        <w:rPr>
          <w:rFonts w:hint="eastAsia" w:ascii="宋体" w:hAnsi="宋体" w:cs="宋体"/>
          <w:color w:val="000000"/>
          <w:kern w:val="0"/>
          <w:szCs w:val="21"/>
          <w:lang w:bidi="ar"/>
        </w:rPr>
        <w:t>提供现场无人机航拍范围内的疑似违法建设项目的报告，为各区</w:t>
      </w:r>
      <w:r>
        <w:rPr>
          <w:rFonts w:hint="eastAsia" w:ascii="宋体" w:hAnsi="宋体" w:cs="宋体"/>
          <w:color w:val="000000"/>
          <w:kern w:val="0"/>
          <w:szCs w:val="21"/>
          <w:lang w:eastAsia="zh-CN" w:bidi="ar"/>
        </w:rPr>
        <w:t>（县、市）</w:t>
      </w:r>
      <w:r>
        <w:rPr>
          <w:rFonts w:hint="eastAsia" w:ascii="宋体" w:hAnsi="宋体" w:cs="宋体"/>
          <w:color w:val="000000"/>
          <w:kern w:val="0"/>
          <w:szCs w:val="21"/>
          <w:lang w:bidi="ar"/>
        </w:rPr>
        <w:t>对辖区内疑似违法建设项目进行人工核查和执法提供技术支撑。提供饮用水源保护区污染源遥感排查报告，为下一步整治和动态管控提供支撑。</w:t>
      </w:r>
      <w:r>
        <w:rPr>
          <w:rFonts w:hint="eastAsia" w:ascii="宋体" w:hAnsi="宋体" w:cs="宋体"/>
          <w:szCs w:val="21"/>
        </w:rPr>
        <w:t>对疑似违法建设项目图斑以及污染源图斑进行人工外业核查，进行现场情况记录，现场照片拍摄，形成图斑目录表。</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5、数据运维服务</w:t>
      </w:r>
    </w:p>
    <w:p>
      <w:pPr>
        <w:spacing w:line="360" w:lineRule="auto"/>
        <w:ind w:firstLine="420" w:firstLineChars="200"/>
        <w:rPr>
          <w:rFonts w:ascii="宋体" w:hAnsi="宋体" w:cs="宋体"/>
          <w:szCs w:val="21"/>
        </w:rPr>
      </w:pPr>
      <w:r>
        <w:rPr>
          <w:rFonts w:hint="eastAsia" w:ascii="宋体" w:hAnsi="宋体" w:cs="宋体"/>
          <w:szCs w:val="21"/>
        </w:rPr>
        <w:t>根据采购方实际工作安排提供2名运维人员完成系统运行情况监控和问题发现处置服务，项目运维实施人员需包括常驻驻场服务人员和远程维护人员。</w:t>
      </w:r>
    </w:p>
    <w:p>
      <w:pPr>
        <w:spacing w:line="360" w:lineRule="auto"/>
        <w:ind w:firstLine="420" w:firstLineChars="200"/>
        <w:rPr>
          <w:rFonts w:ascii="宋体" w:hAnsi="宋体" w:cs="宋体"/>
          <w:szCs w:val="21"/>
        </w:rPr>
      </w:pPr>
      <w:r>
        <w:rPr>
          <w:rFonts w:hint="eastAsia" w:ascii="宋体" w:hAnsi="宋体" w:cs="宋体"/>
          <w:szCs w:val="21"/>
        </w:rPr>
        <w:t>1名驻场人员配合整体运维工作，包括日常巡检、运维资料记录、应急响应、故障抢修等调度传达工作，确保问题闭环流程工作的执行力。要求常驻人员身体健康无传染病史，品德端正无犯罪记录，人员派驻前需通过</w:t>
      </w:r>
      <w:r>
        <w:rPr>
          <w:rFonts w:hint="eastAsia" w:ascii="宋体" w:hAnsi="宋体" w:cs="宋体"/>
          <w:szCs w:val="21"/>
          <w:lang w:eastAsia="zh-CN"/>
        </w:rPr>
        <w:t>采购方</w:t>
      </w:r>
      <w:r>
        <w:rPr>
          <w:rFonts w:hint="eastAsia" w:ascii="宋体" w:hAnsi="宋体" w:cs="宋体"/>
          <w:szCs w:val="21"/>
        </w:rPr>
        <w:t>考核。常驻驻场服务人员在</w:t>
      </w:r>
      <w:r>
        <w:rPr>
          <w:rFonts w:hint="eastAsia" w:ascii="宋体" w:hAnsi="宋体" w:cs="宋体"/>
          <w:szCs w:val="21"/>
          <w:lang w:eastAsia="zh-CN"/>
        </w:rPr>
        <w:t>采购</w:t>
      </w:r>
      <w:r>
        <w:rPr>
          <w:rFonts w:hint="eastAsia" w:ascii="宋体" w:hAnsi="宋体" w:cs="宋体"/>
          <w:szCs w:val="21"/>
        </w:rPr>
        <w:t>方指定地点进行5×8小时现场技术支持服务（与</w:t>
      </w:r>
      <w:r>
        <w:rPr>
          <w:rFonts w:hint="eastAsia" w:ascii="宋体" w:hAnsi="宋体" w:cs="宋体"/>
          <w:szCs w:val="21"/>
          <w:lang w:eastAsia="zh-CN"/>
        </w:rPr>
        <w:t>采购方</w:t>
      </w:r>
      <w:r>
        <w:rPr>
          <w:rFonts w:hint="eastAsia" w:ascii="宋体" w:hAnsi="宋体" w:cs="宋体"/>
          <w:szCs w:val="21"/>
        </w:rPr>
        <w:t>作息一致），实时响应运维服务要求，紧急事件10分钟内响应，运维人员具体要求如下：</w:t>
      </w:r>
    </w:p>
    <w:p>
      <w:pPr>
        <w:spacing w:line="360" w:lineRule="auto"/>
        <w:ind w:firstLine="420" w:firstLineChars="200"/>
        <w:rPr>
          <w:rFonts w:ascii="宋体" w:hAnsi="宋体" w:cs="宋体"/>
          <w:szCs w:val="21"/>
        </w:rPr>
      </w:pPr>
      <w:r>
        <w:rPr>
          <w:rFonts w:hint="eastAsia" w:ascii="宋体" w:hAnsi="宋体" w:cs="宋体"/>
          <w:szCs w:val="21"/>
        </w:rPr>
        <w:t>1）熟悉各功能模块、处理流程和标准体系，具备良好沟通协调能力。</w:t>
      </w:r>
    </w:p>
    <w:p>
      <w:pPr>
        <w:spacing w:line="360" w:lineRule="auto"/>
        <w:ind w:firstLine="420" w:firstLineChars="200"/>
        <w:rPr>
          <w:rFonts w:ascii="宋体" w:hAnsi="宋体" w:cs="宋体"/>
          <w:szCs w:val="21"/>
        </w:rPr>
      </w:pPr>
      <w:r>
        <w:rPr>
          <w:rFonts w:hint="eastAsia" w:ascii="宋体" w:hAnsi="宋体" w:cs="宋体"/>
          <w:szCs w:val="21"/>
        </w:rPr>
        <w:t>2）有3年以上同类工作经验，并具有一定的系统开发经验及能力，以便及时处理一体化数据中心等系统存在的安全风险问题。</w:t>
      </w:r>
    </w:p>
    <w:p>
      <w:pPr>
        <w:spacing w:line="360" w:lineRule="auto"/>
        <w:ind w:firstLine="420" w:firstLineChars="200"/>
        <w:rPr>
          <w:rFonts w:ascii="宋体" w:hAnsi="宋体" w:cs="宋体"/>
          <w:szCs w:val="21"/>
        </w:rPr>
      </w:pPr>
      <w:r>
        <w:rPr>
          <w:rFonts w:hint="eastAsia" w:ascii="宋体" w:hAnsi="宋体" w:cs="宋体"/>
          <w:szCs w:val="21"/>
        </w:rPr>
        <w:t>3）常驻运维人员要求技术过硬、富有耐心、责任心强，无特殊情况不得请假，重大活动、节假日、设备调试维护等期间，按用户需求参与值班值守，年度在岗率不低于95%。</w:t>
      </w:r>
    </w:p>
    <w:p>
      <w:pPr>
        <w:spacing w:line="360" w:lineRule="auto"/>
        <w:ind w:firstLine="420" w:firstLineChars="200"/>
        <w:rPr>
          <w:rFonts w:ascii="宋体" w:hAnsi="宋体" w:cs="宋体"/>
          <w:szCs w:val="21"/>
        </w:rPr>
      </w:pPr>
      <w:r>
        <w:rPr>
          <w:rFonts w:hint="eastAsia" w:ascii="宋体" w:hAnsi="宋体" w:cs="宋体"/>
          <w:szCs w:val="21"/>
        </w:rPr>
        <w:t>1名远程维护人员负责对常驻维护进行技术支持，在用户方现场或在异地通过远程接入的方式进行协助配合共组，提供相应的服务，确保项目的正常顺利运营，紧急事件发生时必须在半小时内及时响应。</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6、数据传输服务</w:t>
      </w:r>
    </w:p>
    <w:p>
      <w:pPr>
        <w:spacing w:line="360" w:lineRule="auto"/>
        <w:ind w:firstLine="420" w:firstLineChars="200"/>
        <w:rPr>
          <w:rFonts w:ascii="宋体" w:hAnsi="宋体" w:cs="宋体"/>
          <w:szCs w:val="21"/>
        </w:rPr>
      </w:pPr>
      <w:r>
        <w:rPr>
          <w:rFonts w:hint="eastAsia" w:ascii="宋体" w:hAnsi="宋体" w:cs="宋体"/>
          <w:szCs w:val="21"/>
        </w:rPr>
        <w:t>根据实际服务场景不同，中标方需提供足够数量的4G无线回传服务和有线VPN回传线路。</w:t>
      </w:r>
    </w:p>
    <w:p>
      <w:pPr>
        <w:spacing w:line="360" w:lineRule="auto"/>
        <w:ind w:firstLine="420" w:firstLineChars="200"/>
        <w:rPr>
          <w:rFonts w:ascii="宋体" w:hAnsi="宋体" w:cs="宋体"/>
          <w:szCs w:val="21"/>
        </w:rPr>
      </w:pPr>
      <w:r>
        <w:rPr>
          <w:rFonts w:hint="eastAsia" w:ascii="宋体" w:hAnsi="宋体" w:cs="宋体"/>
          <w:szCs w:val="21"/>
        </w:rPr>
        <w:t>实际选配类型和数量视实际点位选择确定，以有线VPN回传线路为优选，4G无线回传服务为候选。</w:t>
      </w:r>
    </w:p>
    <w:p>
      <w:pPr>
        <w:pStyle w:val="283"/>
        <w:tabs>
          <w:tab w:val="left" w:pos="0"/>
          <w:tab w:val="left" w:pos="360"/>
          <w:tab w:val="clear" w:pos="860"/>
        </w:tabs>
        <w:spacing w:before="120" w:after="120"/>
        <w:rPr>
          <w:rFonts w:ascii="宋体" w:hAnsi="宋体" w:eastAsia="宋体" w:cs="宋体"/>
          <w:sz w:val="21"/>
          <w:szCs w:val="21"/>
          <w:lang w:val="en-GB"/>
        </w:rPr>
      </w:pPr>
      <w:r>
        <w:rPr>
          <w:rFonts w:hint="eastAsia" w:ascii="宋体" w:hAnsi="宋体" w:eastAsia="宋体" w:cs="宋体"/>
          <w:sz w:val="21"/>
          <w:szCs w:val="21"/>
          <w:lang w:val="en-GB"/>
        </w:rPr>
        <w:t>（</w:t>
      </w:r>
      <w:r>
        <w:rPr>
          <w:rFonts w:hint="eastAsia" w:ascii="宋体" w:hAnsi="宋体" w:eastAsia="宋体" w:cs="宋体"/>
          <w:sz w:val="21"/>
          <w:szCs w:val="21"/>
        </w:rPr>
        <w:t>六</w:t>
      </w:r>
      <w:r>
        <w:rPr>
          <w:rFonts w:hint="eastAsia" w:ascii="宋体" w:hAnsi="宋体" w:eastAsia="宋体" w:cs="宋体"/>
          <w:sz w:val="21"/>
          <w:szCs w:val="21"/>
          <w:lang w:val="en-GB"/>
        </w:rPr>
        <w:t>）项目实施及其他要求</w:t>
      </w:r>
    </w:p>
    <w:p>
      <w:pPr>
        <w:pStyle w:val="189"/>
        <w:tabs>
          <w:tab w:val="left" w:pos="0"/>
          <w:tab w:val="clear" w:pos="720"/>
          <w:tab w:val="clear" w:pos="1740"/>
        </w:tabs>
        <w:spacing w:before="120" w:after="120"/>
        <w:ind w:left="0" w:firstLine="422" w:firstLineChars="200"/>
        <w:rPr>
          <w:rFonts w:ascii="宋体" w:hAnsi="宋体" w:eastAsia="宋体" w:cs="宋体"/>
          <w:sz w:val="21"/>
          <w:szCs w:val="21"/>
          <w:lang w:val="en-GB"/>
        </w:rPr>
      </w:pPr>
      <w:r>
        <w:rPr>
          <w:rFonts w:hint="eastAsia" w:ascii="宋体" w:hAnsi="宋体" w:eastAsia="宋体" w:cs="宋体"/>
          <w:sz w:val="21"/>
          <w:szCs w:val="21"/>
        </w:rPr>
        <w:t>1、</w:t>
      </w:r>
      <w:r>
        <w:rPr>
          <w:rFonts w:hint="eastAsia" w:ascii="宋体" w:hAnsi="宋体" w:eastAsia="宋体" w:cs="宋体"/>
          <w:sz w:val="21"/>
          <w:szCs w:val="21"/>
          <w:lang w:val="en-GB"/>
        </w:rPr>
        <w:t>项目服务维护要求</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服务期内运行维护包括前端设备维护、光纤线路维护等的服务，确保监控系统的正常运行，确保前端各点位每年正常运行率90%以上。</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 xml:space="preserve">1．故障恢复时间：发生故障在1小时内响应，4小时以内到现场，8小时以内解决问题；不能当场修复的，必须采取提供备品、备件或备机等措施。 </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2．维护单位建立详实可行的租赁服务方案、制度以及应急措施。</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3．维护单位建立运维团队，提供7*24小时服务。</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4．建立领先、系统、全面的运行维护体系，根据最终用户要求提交相关统计报告，每季度形成正式运维报告和每年形成运维年报报送用户审核。</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2、项目实施要求</w:t>
      </w:r>
    </w:p>
    <w:p>
      <w:pPr>
        <w:spacing w:line="360" w:lineRule="auto"/>
        <w:ind w:firstLine="420" w:firstLineChars="200"/>
        <w:rPr>
          <w:rFonts w:ascii="宋体" w:hAnsi="宋体" w:cs="宋体"/>
          <w:szCs w:val="21"/>
          <w:highlight w:val="none"/>
          <w:lang w:val="en-GB"/>
        </w:rPr>
      </w:pPr>
      <w:r>
        <w:rPr>
          <w:rFonts w:hint="eastAsia" w:ascii="宋体" w:hAnsi="宋体" w:cs="宋体"/>
          <w:szCs w:val="21"/>
          <w:lang w:val="en-GB"/>
        </w:rPr>
        <w:t>根据</w:t>
      </w:r>
      <w:r>
        <w:rPr>
          <w:rFonts w:hint="eastAsia" w:ascii="宋体" w:hAnsi="宋体" w:cs="宋体"/>
          <w:szCs w:val="21"/>
          <w:lang w:val="en-GB" w:eastAsia="zh-CN"/>
        </w:rPr>
        <w:t>采购方</w:t>
      </w:r>
      <w:r>
        <w:rPr>
          <w:rFonts w:hint="eastAsia" w:ascii="宋体" w:hAnsi="宋体" w:cs="宋体"/>
          <w:szCs w:val="21"/>
          <w:lang w:val="en-GB"/>
        </w:rPr>
        <w:t>的实际需求对原方案进行调整、完善</w:t>
      </w:r>
      <w:r>
        <w:rPr>
          <w:rFonts w:hint="eastAsia" w:ascii="宋体" w:hAnsi="宋体" w:cs="宋体"/>
          <w:szCs w:val="21"/>
        </w:rPr>
        <w:t>和明确</w:t>
      </w:r>
      <w:r>
        <w:rPr>
          <w:rFonts w:hint="eastAsia" w:ascii="宋体" w:hAnsi="宋体" w:cs="宋体"/>
          <w:szCs w:val="21"/>
          <w:lang w:val="en-GB"/>
        </w:rPr>
        <w:t>，同时</w:t>
      </w:r>
      <w:r>
        <w:rPr>
          <w:rFonts w:hint="eastAsia" w:ascii="宋体" w:hAnsi="宋体" w:cs="宋体"/>
          <w:szCs w:val="21"/>
        </w:rPr>
        <w:t>确定</w:t>
      </w:r>
      <w:r>
        <w:rPr>
          <w:rFonts w:hint="eastAsia" w:ascii="宋体" w:hAnsi="宋体" w:cs="宋体"/>
          <w:szCs w:val="21"/>
          <w:lang w:val="en-GB"/>
        </w:rPr>
        <w:t>招标项目工作的方式、过程步骤、按阶段分解的详细计划、对应计划应提交的工作</w:t>
      </w:r>
      <w:r>
        <w:rPr>
          <w:rFonts w:hint="eastAsia" w:ascii="宋体" w:hAnsi="宋体" w:cs="宋体"/>
          <w:szCs w:val="21"/>
          <w:highlight w:val="none"/>
          <w:lang w:val="en-GB"/>
        </w:rPr>
        <w:t>成果、需要用户协调与配合的事项，并经用户审核、批准。</w:t>
      </w:r>
    </w:p>
    <w:p>
      <w:pPr>
        <w:pStyle w:val="53"/>
        <w:ind w:firstLine="420"/>
        <w:rPr>
          <w:rFonts w:ascii="宋体"/>
          <w:sz w:val="21"/>
          <w:szCs w:val="21"/>
          <w:lang w:val="en-GB"/>
        </w:rPr>
      </w:pPr>
      <w:r>
        <w:rPr>
          <w:rFonts w:hint="eastAsia" w:ascii="宋体"/>
          <w:sz w:val="21"/>
          <w:szCs w:val="21"/>
          <w:highlight w:val="none"/>
          <w:lang w:val="en-GB"/>
        </w:rPr>
        <w:t>（</w:t>
      </w:r>
      <w:r>
        <w:rPr>
          <w:rFonts w:hint="eastAsia" w:ascii="宋体"/>
          <w:sz w:val="21"/>
          <w:szCs w:val="21"/>
          <w:highlight w:val="none"/>
        </w:rPr>
        <w:t>1</w:t>
      </w:r>
      <w:r>
        <w:rPr>
          <w:rFonts w:hint="eastAsia" w:ascii="宋体"/>
          <w:sz w:val="21"/>
          <w:szCs w:val="21"/>
          <w:highlight w:val="none"/>
          <w:lang w:val="en-GB"/>
        </w:rPr>
        <w:t>）供应商应熟知</w:t>
      </w:r>
      <w:r>
        <w:rPr>
          <w:rFonts w:hint="eastAsia" w:ascii="宋体"/>
          <w:sz w:val="21"/>
          <w:szCs w:val="21"/>
          <w:highlight w:val="none"/>
          <w:lang w:val="en-GB" w:eastAsia="zh-CN"/>
        </w:rPr>
        <w:t>《中华人民共和国水污染防治法》《浙江省饮用水水源保护条例》</w:t>
      </w:r>
      <w:r>
        <w:rPr>
          <w:rFonts w:hint="eastAsia" w:ascii="宋体"/>
          <w:sz w:val="21"/>
          <w:szCs w:val="21"/>
          <w:highlight w:val="none"/>
          <w:lang w:val="en-GB"/>
        </w:rPr>
        <w:t>等</w:t>
      </w:r>
      <w:r>
        <w:rPr>
          <w:rFonts w:hint="eastAsia" w:ascii="宋体"/>
          <w:sz w:val="21"/>
          <w:szCs w:val="21"/>
          <w:highlight w:val="none"/>
          <w:lang w:val="en-GB" w:eastAsia="zh-CN"/>
        </w:rPr>
        <w:t>法律法规以及《宁波市“千吨万人”以上饮用水水源保护区整治工作方案》的相关要求，</w:t>
      </w:r>
      <w:r>
        <w:rPr>
          <w:rFonts w:hint="eastAsia" w:ascii="宋体"/>
          <w:sz w:val="21"/>
          <w:szCs w:val="21"/>
          <w:highlight w:val="none"/>
          <w:lang w:val="en-GB"/>
        </w:rPr>
        <w:t>掌握水源保护区规范化建设尤其是隔离防护等方面政策要求，从项目所属水源地基本情况、保护区划定、周边污染源和风险源等方面开展详细摸排，分析水源地水质，识别影响水源</w:t>
      </w:r>
      <w:r>
        <w:rPr>
          <w:rFonts w:hint="eastAsia" w:ascii="宋体"/>
          <w:sz w:val="21"/>
          <w:szCs w:val="21"/>
          <w:lang w:val="en-GB"/>
        </w:rPr>
        <w:t>地水质达标和水生态破坏的风险点，从而制定切实可行的电子围栏选点方案，切实保障我市县级以上饮用水水源地水质稳定达标并持续改善。</w:t>
      </w:r>
    </w:p>
    <w:p>
      <w:pPr>
        <w:pStyle w:val="53"/>
        <w:ind w:firstLine="420"/>
        <w:rPr>
          <w:rFonts w:ascii="宋体"/>
          <w:sz w:val="21"/>
          <w:szCs w:val="21"/>
          <w:lang w:val="en-GB"/>
        </w:rPr>
      </w:pPr>
      <w:r>
        <w:rPr>
          <w:rFonts w:hint="eastAsia" w:ascii="宋体"/>
          <w:sz w:val="21"/>
          <w:szCs w:val="21"/>
          <w:lang w:val="en-GB"/>
        </w:rPr>
        <w:t>（</w:t>
      </w:r>
      <w:r>
        <w:rPr>
          <w:rFonts w:hint="eastAsia" w:ascii="宋体"/>
          <w:sz w:val="21"/>
          <w:szCs w:val="21"/>
        </w:rPr>
        <w:t>2</w:t>
      </w:r>
      <w:r>
        <w:rPr>
          <w:rFonts w:hint="eastAsia" w:ascii="宋体"/>
          <w:sz w:val="21"/>
          <w:szCs w:val="21"/>
          <w:lang w:val="en-GB"/>
        </w:rPr>
        <w:t>）供应商必须制定详细的设备选型、场地选点（包括但不限于）方案，阐述选择依据，详细说明电力、通信、安装、维护等工作内容。</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（3）在系统设计时，考虑当地的气候条件，对场外设备应考虑防潮、防雾，金属设备和器件应具有较强的防腐蚀能力；同时对需要采取防雷措施的有关设备提出相关建议供采购人参考。</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（4）如有涉及开挖审批、接电等工作的，由供应商负责，采购人协助，费用计入投标报价。</w:t>
      </w:r>
    </w:p>
    <w:p>
      <w:pPr>
        <w:spacing w:line="360" w:lineRule="auto"/>
        <w:ind w:firstLine="420" w:firstLineChars="200"/>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5</w:t>
      </w:r>
      <w:r>
        <w:rPr>
          <w:rFonts w:hint="eastAsia" w:ascii="宋体" w:hAnsi="宋体" w:cs="宋体"/>
          <w:szCs w:val="21"/>
          <w:lang w:val="en-GB"/>
        </w:rPr>
        <w:t>）进度要求：</w:t>
      </w:r>
    </w:p>
    <w:p>
      <w:pPr>
        <w:spacing w:line="360" w:lineRule="auto"/>
        <w:ind w:firstLine="420" w:firstLineChars="200"/>
        <w:rPr>
          <w:rFonts w:ascii="宋体" w:hAnsi="宋体" w:cs="宋体"/>
          <w:szCs w:val="21"/>
        </w:rPr>
      </w:pPr>
      <w:r>
        <w:rPr>
          <w:rFonts w:hint="eastAsia" w:ascii="宋体" w:hAnsi="宋体" w:cs="宋体"/>
          <w:szCs w:val="21"/>
        </w:rPr>
        <w:t>自合同签订之日起至2022年12月底前完成前端设备建设，服务平台搭建完成，具备运行条件后，进入服务期，提供各类数据服务，服务期三年。</w:t>
      </w:r>
    </w:p>
    <w:p>
      <w:pPr>
        <w:pStyle w:val="189"/>
        <w:tabs>
          <w:tab w:val="left" w:pos="0"/>
          <w:tab w:val="clear" w:pos="720"/>
          <w:tab w:val="clear" w:pos="1740"/>
        </w:tabs>
        <w:spacing w:before="120" w:after="120"/>
        <w:ind w:left="420" w:leftChars="200"/>
        <w:rPr>
          <w:rFonts w:ascii="宋体" w:hAnsi="宋体" w:eastAsia="宋体" w:cs="宋体"/>
          <w:sz w:val="21"/>
          <w:szCs w:val="21"/>
        </w:rPr>
      </w:pPr>
      <w:r>
        <w:rPr>
          <w:rFonts w:hint="eastAsia" w:ascii="宋体" w:hAnsi="宋体" w:eastAsia="宋体" w:cs="宋体"/>
          <w:sz w:val="21"/>
          <w:szCs w:val="21"/>
        </w:rPr>
        <w:t>3、项目考核要求</w:t>
      </w:r>
    </w:p>
    <w:p>
      <w:pPr>
        <w:pStyle w:val="189"/>
        <w:tabs>
          <w:tab w:val="left" w:pos="0"/>
          <w:tab w:val="clear" w:pos="720"/>
          <w:tab w:val="clear" w:pos="1740"/>
        </w:tabs>
        <w:spacing w:before="120" w:after="120"/>
        <w:ind w:left="420" w:leftChars="200"/>
        <w:rPr>
          <w:rFonts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考核办法</w:t>
      </w:r>
    </w:p>
    <w:p>
      <w:pPr>
        <w:pStyle w:val="189"/>
        <w:tabs>
          <w:tab w:val="left" w:pos="0"/>
          <w:tab w:val="clear" w:pos="720"/>
          <w:tab w:val="clear" w:pos="1740"/>
        </w:tabs>
        <w:spacing w:before="120" w:after="120"/>
        <w:ind w:left="0"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运维考核采取满分100分扣分制，通过对中标单位服务过程中系统的运行情况及对故障处理的处理能力及服务情况进行打分。</w:t>
      </w:r>
    </w:p>
    <w:p>
      <w:pPr>
        <w:pStyle w:val="393"/>
        <w:spacing w:line="560" w:lineRule="exact"/>
        <w:ind w:firstLine="174" w:firstLineChars="83"/>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）考核标准</w:t>
      </w:r>
    </w:p>
    <w:tbl>
      <w:tblPr>
        <w:tblStyle w:val="4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46"/>
        <w:gridCol w:w="2201"/>
        <w:gridCol w:w="436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88" w:hRule="atLeast"/>
          <w:jc w:val="center"/>
        </w:trPr>
        <w:tc>
          <w:tcPr>
            <w:tcW w:w="522" w:type="pct"/>
            <w:vAlign w:val="center"/>
          </w:tcPr>
          <w:p>
            <w:pPr>
              <w:jc w:val="center"/>
              <w:rPr>
                <w:rFonts w:ascii="宋体" w:hAnsi="宋体" w:cs="宋体"/>
                <w:b/>
                <w:bCs/>
                <w:szCs w:val="21"/>
              </w:rPr>
            </w:pPr>
            <w:r>
              <w:rPr>
                <w:rFonts w:hint="eastAsia" w:ascii="宋体" w:hAnsi="宋体" w:cs="宋体"/>
                <w:b/>
                <w:bCs/>
                <w:szCs w:val="21"/>
              </w:rPr>
              <w:t>序号</w:t>
            </w:r>
          </w:p>
        </w:tc>
        <w:tc>
          <w:tcPr>
            <w:tcW w:w="1214" w:type="pct"/>
            <w:vAlign w:val="center"/>
          </w:tcPr>
          <w:p>
            <w:pPr>
              <w:jc w:val="center"/>
              <w:rPr>
                <w:rFonts w:ascii="宋体" w:hAnsi="宋体" w:cs="宋体"/>
                <w:b/>
                <w:bCs/>
                <w:szCs w:val="21"/>
              </w:rPr>
            </w:pPr>
            <w:r>
              <w:rPr>
                <w:rFonts w:hint="eastAsia" w:ascii="宋体" w:hAnsi="宋体" w:cs="宋体"/>
                <w:b/>
                <w:bCs/>
                <w:szCs w:val="21"/>
              </w:rPr>
              <w:t>考核指标</w:t>
            </w:r>
          </w:p>
        </w:tc>
        <w:tc>
          <w:tcPr>
            <w:tcW w:w="2410" w:type="pct"/>
            <w:vAlign w:val="center"/>
          </w:tcPr>
          <w:p>
            <w:pPr>
              <w:jc w:val="center"/>
              <w:rPr>
                <w:rFonts w:ascii="宋体" w:hAnsi="宋体" w:cs="宋体"/>
                <w:b/>
                <w:bCs/>
                <w:szCs w:val="21"/>
              </w:rPr>
            </w:pPr>
            <w:r>
              <w:rPr>
                <w:rFonts w:hint="eastAsia" w:ascii="宋体" w:hAnsi="宋体" w:cs="宋体"/>
                <w:b/>
                <w:bCs/>
                <w:szCs w:val="21"/>
              </w:rPr>
              <w:t>标准</w:t>
            </w:r>
          </w:p>
        </w:tc>
        <w:tc>
          <w:tcPr>
            <w:tcW w:w="852" w:type="pct"/>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78" w:hRule="atLeast"/>
          <w:jc w:val="center"/>
        </w:trPr>
        <w:tc>
          <w:tcPr>
            <w:tcW w:w="522" w:type="pct"/>
            <w:vAlign w:val="center"/>
          </w:tcPr>
          <w:p>
            <w:pPr>
              <w:jc w:val="center"/>
              <w:rPr>
                <w:rFonts w:ascii="宋体" w:hAnsi="宋体" w:cs="宋体"/>
                <w:szCs w:val="21"/>
              </w:rPr>
            </w:pPr>
            <w:r>
              <w:rPr>
                <w:rFonts w:hint="eastAsia" w:ascii="宋体" w:hAnsi="宋体" w:cs="宋体"/>
                <w:szCs w:val="21"/>
              </w:rPr>
              <w:t>1</w:t>
            </w:r>
          </w:p>
        </w:tc>
        <w:tc>
          <w:tcPr>
            <w:tcW w:w="1214" w:type="pct"/>
            <w:vAlign w:val="center"/>
          </w:tcPr>
          <w:p>
            <w:pPr>
              <w:rPr>
                <w:rFonts w:ascii="宋体" w:hAnsi="宋体" w:cs="宋体"/>
                <w:kern w:val="0"/>
                <w:szCs w:val="21"/>
              </w:rPr>
            </w:pPr>
            <w:r>
              <w:rPr>
                <w:rFonts w:hint="eastAsia" w:ascii="宋体" w:hAnsi="宋体" w:cs="宋体"/>
                <w:kern w:val="0"/>
                <w:szCs w:val="21"/>
              </w:rPr>
              <w:t>故障处理响应时间</w:t>
            </w:r>
          </w:p>
        </w:tc>
        <w:tc>
          <w:tcPr>
            <w:tcW w:w="2410" w:type="pct"/>
            <w:vAlign w:val="center"/>
          </w:tcPr>
          <w:p>
            <w:pPr>
              <w:rPr>
                <w:rFonts w:ascii="宋体" w:hAnsi="宋体" w:cs="宋体"/>
                <w:kern w:val="0"/>
                <w:szCs w:val="21"/>
              </w:rPr>
            </w:pPr>
            <w:r>
              <w:rPr>
                <w:rFonts w:hint="eastAsia" w:ascii="宋体" w:hAnsi="宋体" w:cs="宋体"/>
                <w:kern w:val="0"/>
                <w:szCs w:val="21"/>
              </w:rPr>
              <w:t>响应时间超过要求时间1小时，扣1分；超过2小时扣2分，超过24小时，扣3分。</w:t>
            </w:r>
          </w:p>
        </w:tc>
        <w:tc>
          <w:tcPr>
            <w:tcW w:w="852" w:type="pc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jc w:val="center"/>
        </w:trPr>
        <w:tc>
          <w:tcPr>
            <w:tcW w:w="522" w:type="pct"/>
            <w:vAlign w:val="center"/>
          </w:tcPr>
          <w:p>
            <w:pPr>
              <w:jc w:val="center"/>
              <w:rPr>
                <w:rFonts w:ascii="宋体" w:hAnsi="宋体" w:cs="宋体"/>
                <w:szCs w:val="21"/>
              </w:rPr>
            </w:pPr>
            <w:r>
              <w:rPr>
                <w:rFonts w:hint="eastAsia" w:ascii="宋体" w:hAnsi="宋体" w:cs="宋体"/>
                <w:szCs w:val="21"/>
              </w:rPr>
              <w:t>2</w:t>
            </w:r>
          </w:p>
        </w:tc>
        <w:tc>
          <w:tcPr>
            <w:tcW w:w="1214" w:type="pct"/>
            <w:vAlign w:val="center"/>
          </w:tcPr>
          <w:p>
            <w:pPr>
              <w:rPr>
                <w:rFonts w:ascii="宋体" w:hAnsi="宋体" w:cs="宋体"/>
                <w:szCs w:val="21"/>
              </w:rPr>
            </w:pPr>
            <w:r>
              <w:rPr>
                <w:rFonts w:hint="eastAsia" w:ascii="宋体" w:hAnsi="宋体" w:cs="宋体"/>
                <w:kern w:val="0"/>
                <w:szCs w:val="21"/>
              </w:rPr>
              <w:t>现场技术支持响应时间</w:t>
            </w:r>
          </w:p>
        </w:tc>
        <w:tc>
          <w:tcPr>
            <w:tcW w:w="2410" w:type="pct"/>
            <w:vAlign w:val="center"/>
          </w:tcPr>
          <w:p>
            <w:pPr>
              <w:rPr>
                <w:rFonts w:ascii="宋体" w:hAnsi="宋体" w:cs="宋体"/>
                <w:szCs w:val="21"/>
              </w:rPr>
            </w:pPr>
            <w:r>
              <w:rPr>
                <w:rFonts w:hint="eastAsia" w:ascii="宋体" w:hAnsi="宋体" w:cs="宋体"/>
                <w:kern w:val="0"/>
                <w:szCs w:val="21"/>
              </w:rPr>
              <w:t>不能远程修复时，应答方须在4小时内到达现场；每超过要求时间1小时，扣1分；超过2小时扣2分，超过24小时，扣3分；超过48小时，扣10分。</w:t>
            </w:r>
          </w:p>
        </w:tc>
        <w:tc>
          <w:tcPr>
            <w:tcW w:w="852" w:type="pc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30" w:hRule="atLeast"/>
          <w:jc w:val="center"/>
        </w:trPr>
        <w:tc>
          <w:tcPr>
            <w:tcW w:w="522" w:type="pct"/>
            <w:vAlign w:val="center"/>
          </w:tcPr>
          <w:p>
            <w:pPr>
              <w:rPr>
                <w:rFonts w:ascii="宋体" w:hAnsi="宋体" w:cs="宋体"/>
                <w:kern w:val="0"/>
                <w:szCs w:val="21"/>
              </w:rPr>
            </w:pPr>
            <w:r>
              <w:rPr>
                <w:rFonts w:hint="eastAsia" w:ascii="宋体" w:hAnsi="宋体" w:cs="宋体"/>
                <w:kern w:val="0"/>
                <w:szCs w:val="21"/>
              </w:rPr>
              <w:t>3</w:t>
            </w:r>
          </w:p>
        </w:tc>
        <w:tc>
          <w:tcPr>
            <w:tcW w:w="1214" w:type="pct"/>
            <w:vAlign w:val="center"/>
          </w:tcPr>
          <w:p>
            <w:pPr>
              <w:rPr>
                <w:rFonts w:ascii="宋体" w:hAnsi="宋体" w:cs="宋体"/>
                <w:kern w:val="0"/>
                <w:szCs w:val="21"/>
              </w:rPr>
            </w:pPr>
            <w:r>
              <w:rPr>
                <w:rFonts w:hint="eastAsia" w:ascii="宋体" w:hAnsi="宋体" w:cs="宋体"/>
                <w:kern w:val="0"/>
                <w:szCs w:val="21"/>
              </w:rPr>
              <w:t>故障解决时间</w:t>
            </w:r>
          </w:p>
        </w:tc>
        <w:tc>
          <w:tcPr>
            <w:tcW w:w="2410" w:type="pct"/>
            <w:vAlign w:val="center"/>
          </w:tcPr>
          <w:p>
            <w:pPr>
              <w:rPr>
                <w:rFonts w:ascii="宋体" w:hAnsi="宋体" w:cs="宋体"/>
                <w:kern w:val="0"/>
                <w:szCs w:val="21"/>
              </w:rPr>
            </w:pPr>
            <w:r>
              <w:rPr>
                <w:rFonts w:hint="eastAsia" w:ascii="宋体" w:hAnsi="宋体" w:cs="宋体"/>
                <w:kern w:val="0"/>
                <w:szCs w:val="21"/>
              </w:rPr>
              <w:t>故障解决时间超过要求时间1小时，扣1分；超过2小时扣4分，超过3小时，扣6分；超过24小时，扣10分。</w:t>
            </w:r>
          </w:p>
        </w:tc>
        <w:tc>
          <w:tcPr>
            <w:tcW w:w="852" w:type="pc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64" w:hRule="atLeast"/>
          <w:jc w:val="center"/>
        </w:trPr>
        <w:tc>
          <w:tcPr>
            <w:tcW w:w="522" w:type="pct"/>
            <w:vAlign w:val="center"/>
          </w:tcPr>
          <w:p>
            <w:pPr>
              <w:rPr>
                <w:rFonts w:ascii="宋体" w:hAnsi="宋体" w:cs="宋体"/>
                <w:kern w:val="0"/>
                <w:szCs w:val="21"/>
              </w:rPr>
            </w:pPr>
            <w:r>
              <w:rPr>
                <w:rFonts w:hint="eastAsia" w:ascii="宋体" w:hAnsi="宋体" w:cs="宋体"/>
                <w:kern w:val="0"/>
                <w:szCs w:val="21"/>
              </w:rPr>
              <w:t>4</w:t>
            </w:r>
          </w:p>
        </w:tc>
        <w:tc>
          <w:tcPr>
            <w:tcW w:w="1214" w:type="pct"/>
            <w:vAlign w:val="center"/>
          </w:tcPr>
          <w:p>
            <w:pPr>
              <w:rPr>
                <w:rFonts w:ascii="宋体" w:hAnsi="宋体" w:cs="宋体"/>
                <w:kern w:val="0"/>
                <w:szCs w:val="21"/>
              </w:rPr>
            </w:pPr>
            <w:r>
              <w:rPr>
                <w:rFonts w:hint="eastAsia" w:ascii="宋体" w:hAnsi="宋体" w:cs="宋体"/>
                <w:kern w:val="0"/>
                <w:szCs w:val="21"/>
              </w:rPr>
              <w:t>常驻人员考勤</w:t>
            </w:r>
          </w:p>
        </w:tc>
        <w:tc>
          <w:tcPr>
            <w:tcW w:w="2410" w:type="pct"/>
            <w:vAlign w:val="center"/>
          </w:tcPr>
          <w:p>
            <w:pPr>
              <w:rPr>
                <w:rFonts w:ascii="宋体" w:hAnsi="宋体" w:cs="宋体"/>
                <w:kern w:val="0"/>
                <w:szCs w:val="21"/>
              </w:rPr>
            </w:pPr>
            <w:r>
              <w:rPr>
                <w:rFonts w:hint="eastAsia" w:ascii="宋体" w:hAnsi="宋体" w:cs="宋体"/>
                <w:kern w:val="0"/>
                <w:szCs w:val="21"/>
              </w:rPr>
              <w:t>无故缺勤1人天扣1分，无故迟到或早退1小时以上扣0.5分。</w:t>
            </w:r>
          </w:p>
        </w:tc>
        <w:tc>
          <w:tcPr>
            <w:tcW w:w="852" w:type="pct"/>
            <w:vAlign w:val="center"/>
          </w:tcPr>
          <w:p>
            <w:pP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76" w:hRule="atLeast"/>
          <w:jc w:val="center"/>
        </w:trPr>
        <w:tc>
          <w:tcPr>
            <w:tcW w:w="522" w:type="pct"/>
            <w:vAlign w:val="center"/>
          </w:tcPr>
          <w:p>
            <w:pPr>
              <w:rPr>
                <w:rFonts w:ascii="宋体" w:hAnsi="宋体" w:cs="宋体"/>
                <w:kern w:val="0"/>
                <w:szCs w:val="21"/>
              </w:rPr>
            </w:pPr>
            <w:r>
              <w:rPr>
                <w:rFonts w:hint="eastAsia" w:ascii="宋体" w:hAnsi="宋体" w:cs="宋体"/>
                <w:kern w:val="0"/>
                <w:szCs w:val="21"/>
              </w:rPr>
              <w:t>5</w:t>
            </w:r>
          </w:p>
        </w:tc>
        <w:tc>
          <w:tcPr>
            <w:tcW w:w="1214" w:type="pct"/>
            <w:vAlign w:val="center"/>
          </w:tcPr>
          <w:p>
            <w:pPr>
              <w:rPr>
                <w:rFonts w:ascii="宋体" w:hAnsi="宋体" w:cs="宋体"/>
                <w:kern w:val="0"/>
                <w:szCs w:val="21"/>
              </w:rPr>
            </w:pPr>
            <w:r>
              <w:rPr>
                <w:rFonts w:hint="eastAsia" w:ascii="宋体" w:hAnsi="宋体" w:cs="宋体"/>
                <w:kern w:val="0"/>
                <w:szCs w:val="21"/>
              </w:rPr>
              <w:t>加分项</w:t>
            </w:r>
          </w:p>
        </w:tc>
        <w:tc>
          <w:tcPr>
            <w:tcW w:w="2410" w:type="pct"/>
            <w:vAlign w:val="center"/>
          </w:tcPr>
          <w:p>
            <w:pPr>
              <w:rPr>
                <w:rFonts w:ascii="宋体" w:hAnsi="宋体" w:cs="宋体"/>
                <w:kern w:val="0"/>
                <w:szCs w:val="21"/>
              </w:rPr>
            </w:pPr>
            <w:r>
              <w:rPr>
                <w:rFonts w:hint="eastAsia" w:ascii="宋体" w:hAnsi="宋体" w:cs="宋体"/>
                <w:kern w:val="0"/>
                <w:szCs w:val="21"/>
              </w:rPr>
              <w:t>积极主动发现系统或是项目中存在的风险，制定有效方案并优化，每次加1-5分。</w:t>
            </w:r>
          </w:p>
        </w:tc>
        <w:tc>
          <w:tcPr>
            <w:tcW w:w="852" w:type="pct"/>
            <w:vAlign w:val="center"/>
          </w:tcPr>
          <w:p>
            <w:pPr>
              <w:rPr>
                <w:rFonts w:ascii="宋体" w:hAnsi="宋体" w:cs="宋体"/>
                <w:kern w:val="0"/>
                <w:szCs w:val="21"/>
              </w:rPr>
            </w:pPr>
          </w:p>
        </w:tc>
      </w:tr>
    </w:tbl>
    <w:p>
      <w:pPr>
        <w:spacing w:line="5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考核说明：考核分每年度进行核算。考核得分90分及以上，</w:t>
      </w:r>
      <w:r>
        <w:rPr>
          <w:rFonts w:hint="eastAsia" w:ascii="宋体" w:hAnsi="宋体" w:cs="宋体"/>
          <w:color w:val="auto"/>
          <w:szCs w:val="21"/>
          <w:lang w:val="en-US" w:eastAsia="zh-CN"/>
        </w:rPr>
        <w:t>属于服务合格</w:t>
      </w:r>
      <w:r>
        <w:rPr>
          <w:rFonts w:hint="eastAsia" w:ascii="宋体" w:hAnsi="宋体" w:cs="宋体"/>
          <w:color w:val="auto"/>
          <w:szCs w:val="21"/>
        </w:rPr>
        <w:t>；90分以下，</w:t>
      </w:r>
      <w:r>
        <w:rPr>
          <w:rFonts w:hint="eastAsia" w:ascii="宋体" w:hAnsi="宋体"/>
          <w:color w:val="auto"/>
          <w:szCs w:val="21"/>
        </w:rPr>
        <w:t>扣5%的年度服务费，并要求进行整改，整改完成合格后，扣罚可免除，所有扣罚统一在年度服务期结束之时结算</w:t>
      </w:r>
      <w:r>
        <w:rPr>
          <w:rFonts w:hint="eastAsia" w:ascii="宋体" w:hAnsi="宋体"/>
          <w:color w:val="auto"/>
          <w:szCs w:val="21"/>
          <w:lang w:eastAsia="zh-CN"/>
        </w:rPr>
        <w:t>，</w:t>
      </w:r>
      <w:r>
        <w:rPr>
          <w:rFonts w:hint="eastAsia" w:ascii="宋体" w:hAnsi="宋体"/>
          <w:color w:val="auto"/>
          <w:szCs w:val="21"/>
          <w:lang w:val="en-US" w:eastAsia="zh-CN"/>
        </w:rPr>
        <w:t>扣罚金额从履约保证金扣除，不足部分，采购人将向中标人进行追缴。</w:t>
      </w:r>
    </w:p>
    <w:p>
      <w:pPr>
        <w:pStyle w:val="391"/>
        <w:spacing w:before="120"/>
        <w:ind w:firstLine="0" w:firstLineChars="0"/>
        <w:rPr>
          <w:rFonts w:cs="宋体"/>
          <w:color w:val="auto"/>
          <w:sz w:val="21"/>
          <w:szCs w:val="21"/>
          <w:lang w:val="en-US"/>
        </w:rPr>
      </w:pPr>
      <w:r>
        <w:rPr>
          <w:rFonts w:hint="eastAsia" w:cs="宋体"/>
          <w:color w:val="auto"/>
          <w:sz w:val="21"/>
          <w:szCs w:val="21"/>
        </w:rPr>
        <w:br w:type="page"/>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4、项目管理要求</w:t>
      </w:r>
    </w:p>
    <w:p>
      <w:pPr>
        <w:pStyle w:val="255"/>
        <w:tabs>
          <w:tab w:val="left" w:pos="0"/>
          <w:tab w:val="left" w:pos="360"/>
          <w:tab w:val="clear" w:pos="2160"/>
        </w:tabs>
        <w:spacing w:before="156"/>
        <w:ind w:left="3412" w:leftChars="200" w:hanging="2992" w:hangingChars="1419"/>
        <w:rPr>
          <w:rFonts w:ascii="宋体" w:hAnsi="宋体" w:eastAsia="宋体" w:cs="宋体"/>
          <w:sz w:val="21"/>
          <w:szCs w:val="21"/>
        </w:rPr>
      </w:pPr>
      <w:r>
        <w:rPr>
          <w:rFonts w:hint="eastAsia" w:ascii="宋体" w:hAnsi="宋体" w:eastAsia="宋体" w:cs="宋体"/>
          <w:sz w:val="21"/>
          <w:szCs w:val="21"/>
        </w:rPr>
        <w:t>（1）基本要求</w:t>
      </w:r>
    </w:p>
    <w:p>
      <w:pPr>
        <w:pStyle w:val="391"/>
        <w:spacing w:before="120"/>
        <w:ind w:firstLine="420"/>
        <w:rPr>
          <w:rFonts w:cs="宋体"/>
          <w:color w:val="auto"/>
          <w:sz w:val="21"/>
          <w:szCs w:val="21"/>
        </w:rPr>
      </w:pPr>
      <w:r>
        <w:rPr>
          <w:rFonts w:hint="eastAsia" w:cs="宋体"/>
          <w:color w:val="auto"/>
          <w:sz w:val="21"/>
          <w:szCs w:val="21"/>
        </w:rPr>
        <w:t>中标单位应针对本项目的实施提出完整的项目管理方案，其中包括关于项目进度控制、质量控制、风险控制、文档管理以及与本项目相关的沟通协调工作等的详细描述。</w:t>
      </w:r>
    </w:p>
    <w:p>
      <w:pPr>
        <w:pStyle w:val="391"/>
        <w:spacing w:before="120"/>
        <w:ind w:firstLine="420"/>
        <w:rPr>
          <w:rFonts w:cs="宋体"/>
          <w:color w:val="auto"/>
          <w:sz w:val="21"/>
          <w:szCs w:val="21"/>
        </w:rPr>
      </w:pPr>
      <w:r>
        <w:rPr>
          <w:rFonts w:hint="eastAsia" w:cs="宋体"/>
          <w:color w:val="auto"/>
          <w:sz w:val="21"/>
          <w:szCs w:val="21"/>
        </w:rPr>
        <w:t>中标单位应充分考虑到本项目的复杂性和可能出现的问题，提出切实可行的项目质量控制计划，并在中标后与招标人共同讨论确认。</w:t>
      </w:r>
    </w:p>
    <w:p>
      <w:pPr>
        <w:pStyle w:val="391"/>
        <w:spacing w:before="120"/>
        <w:ind w:firstLine="420"/>
        <w:rPr>
          <w:rFonts w:cs="宋体"/>
          <w:color w:val="auto"/>
          <w:sz w:val="21"/>
          <w:szCs w:val="21"/>
        </w:rPr>
      </w:pPr>
      <w:r>
        <w:rPr>
          <w:rFonts w:hint="eastAsia" w:cs="宋体"/>
          <w:color w:val="auto"/>
          <w:sz w:val="21"/>
          <w:szCs w:val="21"/>
        </w:rPr>
        <w:t>在项目实施过程中应按要求向招标人提交关于项目实施的工作周报、专题报告及其他项目执行过程文档，对可能影响项目质量、效果、进度的重大问题应及时向招标人汇报。</w:t>
      </w:r>
    </w:p>
    <w:p>
      <w:pPr>
        <w:pStyle w:val="255"/>
        <w:tabs>
          <w:tab w:val="left" w:pos="0"/>
          <w:tab w:val="left" w:pos="360"/>
          <w:tab w:val="clear" w:pos="2160"/>
        </w:tabs>
        <w:spacing w:before="156"/>
        <w:ind w:left="3412" w:leftChars="200" w:hanging="2992" w:hangingChars="1419"/>
        <w:rPr>
          <w:rFonts w:ascii="宋体" w:hAnsi="宋体" w:eastAsia="宋体" w:cs="宋体"/>
          <w:sz w:val="21"/>
          <w:szCs w:val="21"/>
        </w:rPr>
      </w:pPr>
      <w:r>
        <w:rPr>
          <w:rFonts w:hint="eastAsia" w:ascii="宋体" w:hAnsi="宋体" w:eastAsia="宋体" w:cs="宋体"/>
          <w:sz w:val="21"/>
          <w:szCs w:val="21"/>
        </w:rPr>
        <w:t>（2）保密要求</w:t>
      </w:r>
    </w:p>
    <w:p>
      <w:pPr>
        <w:pStyle w:val="391"/>
        <w:spacing w:before="120"/>
        <w:ind w:firstLine="420"/>
        <w:rPr>
          <w:rFonts w:cs="宋体"/>
          <w:color w:val="auto"/>
          <w:sz w:val="21"/>
          <w:szCs w:val="21"/>
        </w:rPr>
      </w:pPr>
      <w:r>
        <w:rPr>
          <w:rFonts w:hint="eastAsia" w:cs="宋体"/>
          <w:color w:val="auto"/>
          <w:sz w:val="21"/>
          <w:szCs w:val="21"/>
        </w:rPr>
        <w:t>中标单位提供的人员，应在项目开展前熟悉业主各项管理制度和安全规范，切不可超出该项目工作范围。</w:t>
      </w:r>
    </w:p>
    <w:p>
      <w:pPr>
        <w:pStyle w:val="391"/>
        <w:spacing w:before="120"/>
        <w:ind w:firstLine="420"/>
        <w:rPr>
          <w:rFonts w:cs="宋体"/>
          <w:color w:val="auto"/>
          <w:sz w:val="21"/>
          <w:szCs w:val="21"/>
        </w:rPr>
      </w:pPr>
      <w:r>
        <w:rPr>
          <w:rFonts w:hint="eastAsia" w:cs="宋体"/>
          <w:color w:val="auto"/>
          <w:sz w:val="21"/>
          <w:szCs w:val="21"/>
        </w:rPr>
        <w:t>如有招标人人员泄露有关敏感信息的，对招标人造成不利影响的，对其追究相应的法律责任。</w:t>
      </w:r>
    </w:p>
    <w:p>
      <w:pPr>
        <w:pStyle w:val="189"/>
        <w:tabs>
          <w:tab w:val="left" w:pos="0"/>
          <w:tab w:val="clear" w:pos="720"/>
          <w:tab w:val="clear" w:pos="1740"/>
        </w:tabs>
        <w:spacing w:before="120" w:after="120"/>
        <w:ind w:left="0" w:firstLine="422" w:firstLineChars="200"/>
        <w:rPr>
          <w:rFonts w:ascii="宋体" w:hAnsi="宋体" w:eastAsia="宋体" w:cs="宋体"/>
          <w:sz w:val="21"/>
          <w:szCs w:val="21"/>
          <w:lang w:val="sq-AL"/>
        </w:rPr>
      </w:pPr>
      <w:r>
        <w:rPr>
          <w:rFonts w:hint="eastAsia" w:ascii="宋体" w:hAnsi="宋体" w:eastAsia="宋体" w:cs="宋体"/>
          <w:sz w:val="21"/>
          <w:szCs w:val="21"/>
        </w:rPr>
        <w:t>5、</w:t>
      </w:r>
      <w:r>
        <w:rPr>
          <w:rFonts w:hint="eastAsia" w:ascii="宋体" w:hAnsi="宋体" w:eastAsia="宋体" w:cs="宋体"/>
          <w:sz w:val="21"/>
          <w:szCs w:val="21"/>
          <w:lang w:val="sq-AL"/>
        </w:rPr>
        <w:t>项目培训要求</w:t>
      </w:r>
    </w:p>
    <w:p>
      <w:pPr>
        <w:pStyle w:val="391"/>
        <w:spacing w:before="120"/>
        <w:ind w:firstLine="420"/>
        <w:rPr>
          <w:rFonts w:cs="宋体"/>
          <w:color w:val="auto"/>
          <w:sz w:val="21"/>
          <w:szCs w:val="21"/>
        </w:rPr>
      </w:pPr>
      <w:r>
        <w:rPr>
          <w:rFonts w:hint="eastAsia" w:cs="宋体"/>
          <w:color w:val="auto"/>
          <w:sz w:val="21"/>
          <w:szCs w:val="21"/>
        </w:rPr>
        <w:t>项目培训主要针对管理层人员和业务人员进行培训，培训人员数量不少于</w:t>
      </w:r>
      <w:r>
        <w:rPr>
          <w:rFonts w:hint="eastAsia" w:cs="宋体"/>
          <w:color w:val="auto"/>
          <w:sz w:val="21"/>
          <w:szCs w:val="21"/>
          <w:lang w:eastAsia="zh-CN"/>
        </w:rPr>
        <w:t>采购方</w:t>
      </w:r>
      <w:r>
        <w:rPr>
          <w:rFonts w:hint="eastAsia" w:cs="宋体"/>
          <w:color w:val="auto"/>
          <w:sz w:val="21"/>
          <w:szCs w:val="21"/>
        </w:rPr>
        <w:t>要求，培训时限达到人员正常操作为止。</w:t>
      </w:r>
    </w:p>
    <w:p>
      <w:pPr>
        <w:pStyle w:val="391"/>
        <w:spacing w:before="120"/>
        <w:ind w:firstLine="420"/>
        <w:rPr>
          <w:rFonts w:cs="宋体"/>
          <w:color w:val="auto"/>
          <w:sz w:val="21"/>
          <w:szCs w:val="21"/>
        </w:rPr>
      </w:pPr>
      <w:r>
        <w:rPr>
          <w:rFonts w:hint="eastAsia" w:cs="宋体"/>
          <w:color w:val="auto"/>
          <w:sz w:val="21"/>
          <w:szCs w:val="21"/>
        </w:rPr>
        <w:t>投标人必须提供满足系统建设、管理、维护等要求的技术培训服务，并达到预定的培训目标。</w:t>
      </w:r>
    </w:p>
    <w:p>
      <w:pPr>
        <w:pStyle w:val="391"/>
        <w:spacing w:before="120"/>
        <w:ind w:firstLine="420"/>
        <w:rPr>
          <w:rFonts w:cs="宋体"/>
          <w:color w:val="auto"/>
          <w:sz w:val="21"/>
          <w:szCs w:val="21"/>
        </w:rPr>
      </w:pPr>
      <w:r>
        <w:rPr>
          <w:rFonts w:hint="eastAsia" w:cs="宋体"/>
          <w:color w:val="auto"/>
          <w:sz w:val="21"/>
          <w:szCs w:val="21"/>
        </w:rPr>
        <w:t>投标人必须根据本次招标文件所制定的目标和范围，提供完备的培训服务，面向不同应用层次的人员分别列出所提供设备的原理和技术性能、操作维护方法、安装调测、排除故障及软件结构、定制和升级等各个方面，并提供全套培训教材、培训方式、培训场地安排、培训设备安排、培训时间与班次安排等，作为投标文件的一部分提交。培训费用包含在投标报价中。</w:t>
      </w:r>
    </w:p>
    <w:p>
      <w:pPr>
        <w:pStyle w:val="391"/>
        <w:spacing w:before="120"/>
        <w:ind w:firstLine="420"/>
        <w:rPr>
          <w:rFonts w:cs="宋体"/>
          <w:color w:val="auto"/>
          <w:sz w:val="21"/>
          <w:szCs w:val="21"/>
          <w:lang w:val="en-US"/>
        </w:rPr>
      </w:pPr>
      <w:r>
        <w:rPr>
          <w:rFonts w:hint="eastAsia" w:cs="宋体"/>
          <w:color w:val="auto"/>
          <w:sz w:val="21"/>
          <w:szCs w:val="21"/>
        </w:rPr>
        <w:t>所有书面资料或电子文档用中文书写，授课形式为中文。培训成果应在培训计划及课程中予以明确说明。</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6、知识产权要求</w:t>
      </w:r>
    </w:p>
    <w:p>
      <w:pPr>
        <w:pStyle w:val="391"/>
        <w:spacing w:before="120"/>
        <w:ind w:firstLine="420"/>
        <w:rPr>
          <w:rFonts w:cs="宋体"/>
          <w:color w:val="auto"/>
          <w:sz w:val="21"/>
          <w:szCs w:val="21"/>
        </w:rPr>
      </w:pPr>
      <w:r>
        <w:rPr>
          <w:rFonts w:hint="eastAsia" w:cs="宋体"/>
          <w:color w:val="auto"/>
          <w:sz w:val="21"/>
          <w:szCs w:val="21"/>
        </w:rPr>
        <w:t>在本项目过程中所产生的技术成果（包括项目实施文档、软件、秘密信息、技术资料等）的知识产权包括相关权益归采购人所有，未经同意，不得将涉及知识产权的技术秘密透露给第三方。</w:t>
      </w:r>
    </w:p>
    <w:p>
      <w:pPr>
        <w:pStyle w:val="189"/>
        <w:tabs>
          <w:tab w:val="left" w:pos="0"/>
          <w:tab w:val="clear" w:pos="720"/>
          <w:tab w:val="clear" w:pos="1740"/>
        </w:tabs>
        <w:spacing w:before="120" w:after="120"/>
        <w:ind w:left="0" w:firstLine="422" w:firstLineChars="200"/>
        <w:rPr>
          <w:rFonts w:ascii="宋体" w:hAnsi="宋体" w:eastAsia="宋体" w:cs="宋体"/>
          <w:sz w:val="21"/>
          <w:szCs w:val="21"/>
        </w:rPr>
      </w:pPr>
      <w:r>
        <w:rPr>
          <w:rFonts w:hint="eastAsia" w:ascii="宋体" w:hAnsi="宋体" w:eastAsia="宋体" w:cs="宋体"/>
          <w:sz w:val="21"/>
          <w:szCs w:val="21"/>
        </w:rPr>
        <w:t>7、系统伴随服务</w:t>
      </w:r>
    </w:p>
    <w:p>
      <w:pPr>
        <w:pStyle w:val="391"/>
        <w:spacing w:before="120"/>
        <w:ind w:firstLine="420"/>
        <w:rPr>
          <w:rFonts w:cs="宋体"/>
          <w:color w:val="auto"/>
          <w:sz w:val="21"/>
          <w:szCs w:val="21"/>
          <w:lang w:bidi="en-US"/>
        </w:rPr>
      </w:pPr>
      <w:r>
        <w:rPr>
          <w:rFonts w:hint="eastAsia" w:cs="宋体"/>
          <w:color w:val="auto"/>
          <w:sz w:val="21"/>
          <w:szCs w:val="21"/>
          <w:lang w:bidi="en-US"/>
        </w:rPr>
        <w:t>（</w:t>
      </w:r>
      <w:r>
        <w:rPr>
          <w:rFonts w:hint="eastAsia" w:cs="宋体"/>
          <w:color w:val="auto"/>
          <w:sz w:val="21"/>
          <w:szCs w:val="21"/>
          <w:lang w:val="en-US" w:bidi="en-US"/>
        </w:rPr>
        <w:t>1</w:t>
      </w:r>
      <w:r>
        <w:rPr>
          <w:rFonts w:hint="eastAsia" w:cs="宋体"/>
          <w:color w:val="auto"/>
          <w:sz w:val="21"/>
          <w:szCs w:val="21"/>
          <w:lang w:bidi="en-US"/>
        </w:rPr>
        <w:t>）提供系统日常巡检服务，确保每台设备在稳定的工作；出现异常情况应在</w:t>
      </w:r>
      <w:r>
        <w:rPr>
          <w:rFonts w:hint="eastAsia" w:cs="宋体"/>
          <w:color w:val="auto"/>
          <w:sz w:val="21"/>
          <w:szCs w:val="21"/>
          <w:lang w:val="en-US" w:bidi="en-US"/>
        </w:rPr>
        <w:t>规定时间</w:t>
      </w:r>
      <w:r>
        <w:rPr>
          <w:rFonts w:hint="eastAsia" w:cs="宋体"/>
          <w:color w:val="auto"/>
          <w:sz w:val="21"/>
          <w:szCs w:val="21"/>
          <w:lang w:bidi="en-US"/>
        </w:rPr>
        <w:t>内解决。</w:t>
      </w:r>
    </w:p>
    <w:p>
      <w:pPr>
        <w:pStyle w:val="391"/>
        <w:spacing w:before="120"/>
        <w:ind w:firstLine="420"/>
        <w:rPr>
          <w:rFonts w:cs="宋体"/>
          <w:color w:val="auto"/>
          <w:sz w:val="21"/>
          <w:szCs w:val="21"/>
          <w:lang w:bidi="en-US"/>
        </w:rPr>
      </w:pPr>
      <w:r>
        <w:rPr>
          <w:rFonts w:hint="eastAsia" w:cs="宋体"/>
          <w:color w:val="auto"/>
          <w:sz w:val="21"/>
          <w:szCs w:val="21"/>
          <w:lang w:bidi="en-US"/>
        </w:rPr>
        <w:t>（</w:t>
      </w:r>
      <w:r>
        <w:rPr>
          <w:rFonts w:hint="eastAsia" w:cs="宋体"/>
          <w:color w:val="auto"/>
          <w:sz w:val="21"/>
          <w:szCs w:val="21"/>
          <w:lang w:val="en-US" w:bidi="en-US"/>
        </w:rPr>
        <w:t>2</w:t>
      </w:r>
      <w:r>
        <w:rPr>
          <w:rFonts w:hint="eastAsia" w:cs="宋体"/>
          <w:color w:val="auto"/>
          <w:sz w:val="21"/>
          <w:szCs w:val="21"/>
          <w:lang w:bidi="en-US"/>
        </w:rPr>
        <w:t>）针对本项目实施场景，对系统存在的潜在安全或故障隐患进行分析并提出相应的解决方案。</w:t>
      </w:r>
    </w:p>
    <w:p>
      <w:pPr>
        <w:pStyle w:val="391"/>
        <w:spacing w:before="120"/>
        <w:ind w:firstLine="420"/>
        <w:rPr>
          <w:rFonts w:cs="宋体"/>
          <w:color w:val="auto"/>
          <w:sz w:val="21"/>
          <w:szCs w:val="21"/>
          <w:lang w:bidi="en-US"/>
        </w:rPr>
      </w:pPr>
      <w:r>
        <w:rPr>
          <w:rFonts w:hint="eastAsia" w:cs="宋体"/>
          <w:color w:val="auto"/>
          <w:sz w:val="21"/>
          <w:szCs w:val="21"/>
          <w:lang w:bidi="en-US"/>
        </w:rPr>
        <w:t>（</w:t>
      </w:r>
      <w:r>
        <w:rPr>
          <w:rFonts w:hint="eastAsia" w:cs="宋体"/>
          <w:color w:val="auto"/>
          <w:sz w:val="21"/>
          <w:szCs w:val="21"/>
          <w:lang w:val="en-US" w:bidi="en-US"/>
        </w:rPr>
        <w:t>3</w:t>
      </w:r>
      <w:r>
        <w:rPr>
          <w:rFonts w:hint="eastAsia" w:cs="宋体"/>
          <w:color w:val="auto"/>
          <w:sz w:val="21"/>
          <w:szCs w:val="21"/>
          <w:lang w:bidi="en-US"/>
        </w:rPr>
        <w:t>）针对本项目中实现服务所需设备，供应商需在备件库中有高于或等同于本项目设备型号或系列的备品备件，对无法及时修复的故障先免费更换；备品储备量需达到本项目设备的3%。</w:t>
      </w:r>
    </w:p>
    <w:p>
      <w:pPr>
        <w:pStyle w:val="391"/>
        <w:spacing w:before="120"/>
        <w:ind w:firstLine="420"/>
        <w:rPr>
          <w:rFonts w:cs="宋体"/>
          <w:color w:val="auto"/>
          <w:sz w:val="21"/>
          <w:szCs w:val="21"/>
          <w:lang w:bidi="en-US"/>
        </w:rPr>
      </w:pPr>
      <w:r>
        <w:rPr>
          <w:rFonts w:hint="eastAsia" w:cs="宋体"/>
          <w:color w:val="auto"/>
          <w:sz w:val="21"/>
          <w:szCs w:val="21"/>
          <w:lang w:bidi="en-US"/>
        </w:rPr>
        <w:t>（</w:t>
      </w:r>
      <w:r>
        <w:rPr>
          <w:rFonts w:hint="eastAsia" w:cs="宋体"/>
          <w:color w:val="auto"/>
          <w:sz w:val="21"/>
          <w:szCs w:val="21"/>
          <w:lang w:val="en-US" w:bidi="en-US"/>
        </w:rPr>
        <w:t>4</w:t>
      </w:r>
      <w:r>
        <w:rPr>
          <w:rFonts w:hint="eastAsia" w:cs="宋体"/>
          <w:color w:val="auto"/>
          <w:sz w:val="21"/>
          <w:szCs w:val="21"/>
          <w:lang w:bidi="en-US"/>
        </w:rPr>
        <w:t>）服务期内，供应商应免费提供设备软件升级服务，在网络和设备扩容及软件升级时，需派技术人员到场实施或指导。</w:t>
      </w:r>
    </w:p>
    <w:p>
      <w:pPr>
        <w:pStyle w:val="391"/>
        <w:spacing w:before="120"/>
        <w:ind w:firstLine="420"/>
        <w:rPr>
          <w:rFonts w:hint="eastAsia" w:ascii="宋体" w:hAnsi="宋体" w:cs="宋体"/>
          <w:b/>
          <w:bCs/>
          <w:kern w:val="0"/>
          <w:szCs w:val="21"/>
          <w:lang w:val="en-US" w:eastAsia="zh-CN"/>
        </w:rPr>
      </w:pPr>
      <w:r>
        <w:rPr>
          <w:rFonts w:hint="eastAsia" w:cs="宋体"/>
          <w:color w:val="auto"/>
          <w:sz w:val="21"/>
          <w:szCs w:val="21"/>
          <w:lang w:bidi="en-US"/>
        </w:rPr>
        <w:t>（</w:t>
      </w:r>
      <w:r>
        <w:rPr>
          <w:rFonts w:hint="eastAsia" w:cs="宋体"/>
          <w:color w:val="auto"/>
          <w:sz w:val="21"/>
          <w:szCs w:val="21"/>
          <w:lang w:val="en-US" w:bidi="en-US"/>
        </w:rPr>
        <w:t>5</w:t>
      </w:r>
      <w:r>
        <w:rPr>
          <w:rFonts w:hint="eastAsia" w:cs="宋体"/>
          <w:color w:val="auto"/>
          <w:sz w:val="21"/>
          <w:szCs w:val="21"/>
          <w:lang w:bidi="en-US"/>
        </w:rPr>
        <w:t>）供应商应提供系统所有故障排除服务，确保系统进行实时、有效的视频诊断、视频监视，图像显示、记录与回放。</w:t>
      </w:r>
    </w:p>
    <w:p>
      <w:pPr>
        <w:rPr>
          <w:rFonts w:hint="eastAsia" w:ascii="宋体" w:hAnsi="宋体"/>
          <w:b/>
          <w:kern w:val="1"/>
          <w:szCs w:val="21"/>
        </w:rPr>
      </w:pPr>
      <w:r>
        <w:rPr>
          <w:rFonts w:hint="eastAsia" w:ascii="宋体" w:hAnsi="宋体"/>
          <w:b/>
          <w:kern w:val="1"/>
          <w:szCs w:val="21"/>
        </w:rPr>
        <w:br w:type="page"/>
      </w:r>
    </w:p>
    <w:p>
      <w:pPr>
        <w:widowControl/>
        <w:tabs>
          <w:tab w:val="left" w:pos="420"/>
          <w:tab w:val="left" w:pos="851"/>
        </w:tabs>
        <w:spacing w:line="360" w:lineRule="auto"/>
        <w:ind w:firstLine="424" w:firstLineChars="201"/>
        <w:jc w:val="left"/>
        <w:rPr>
          <w:rFonts w:ascii="宋体" w:hAnsi="宋体"/>
          <w:b/>
          <w:kern w:val="1"/>
          <w:szCs w:val="21"/>
        </w:rPr>
      </w:pPr>
      <w:r>
        <w:rPr>
          <w:rFonts w:hint="eastAsia" w:ascii="宋体" w:hAnsi="宋体"/>
          <w:b/>
          <w:kern w:val="1"/>
          <w:szCs w:val="21"/>
        </w:rPr>
        <w:t>二</w:t>
      </w:r>
      <w:r>
        <w:rPr>
          <w:rFonts w:ascii="宋体" w:hAnsi="宋体"/>
          <w:b/>
          <w:kern w:val="1"/>
          <w:szCs w:val="21"/>
        </w:rPr>
        <w:t>、商务要求</w:t>
      </w:r>
    </w:p>
    <w:tbl>
      <w:tblPr>
        <w:tblStyle w:val="44"/>
        <w:tblW w:w="8874" w:type="dxa"/>
        <w:tblInd w:w="108" w:type="dxa"/>
        <w:tblLayout w:type="fixed"/>
        <w:tblCellMar>
          <w:top w:w="0" w:type="dxa"/>
          <w:left w:w="108" w:type="dxa"/>
          <w:bottom w:w="0" w:type="dxa"/>
          <w:right w:w="108" w:type="dxa"/>
        </w:tblCellMar>
      </w:tblPr>
      <w:tblGrid>
        <w:gridCol w:w="1560"/>
        <w:gridCol w:w="7314"/>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项目</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ind w:left="-108"/>
              <w:rPr>
                <w:rFonts w:asciiTheme="minorEastAsia" w:hAnsiTheme="minorEastAsia" w:eastAsiaTheme="minorEastAsia"/>
                <w:color w:val="auto"/>
                <w:kern w:val="1"/>
                <w:sz w:val="21"/>
                <w:szCs w:val="21"/>
              </w:rPr>
            </w:pPr>
            <w:r>
              <w:rPr>
                <w:rFonts w:asciiTheme="minorEastAsia" w:hAnsiTheme="minorEastAsia" w:eastAsiaTheme="minorEastAsia"/>
                <w:color w:val="auto"/>
                <w:kern w:val="1"/>
                <w:sz w:val="21"/>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服务期限</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szCs w:val="21"/>
                <w:highlight w:val="none"/>
              </w:rPr>
            </w:pPr>
            <w:r>
              <w:rPr>
                <w:rFonts w:hint="eastAsia" w:ascii="宋体" w:hAnsi="宋体"/>
                <w:color w:val="auto"/>
                <w:szCs w:val="21"/>
                <w:highlight w:val="none"/>
              </w:rPr>
              <w:t>自合同签订之日起至2022年12月底前完成前端设备建设。服务平台搭建完成，具备运行条件后，进入服务期，提供各类数据服务，服务期为3年。</w:t>
            </w:r>
            <w:r>
              <w:rPr>
                <w:rFonts w:hint="eastAsia" w:ascii="宋体" w:hAnsi="宋体" w:cs="宋体"/>
                <w:color w:val="auto"/>
                <w:szCs w:val="21"/>
                <w:highlight w:val="none"/>
                <w:lang w:eastAsia="zh-CN"/>
              </w:rPr>
              <w:t>服务期内提供各类数据服务，各阶段服务进度按采购人要求调整。</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成果交付时间</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eastAsiaTheme="minorEastAsia"/>
                <w:color w:val="auto"/>
                <w:szCs w:val="21"/>
                <w:highlight w:val="none"/>
                <w:lang w:val="en-US" w:eastAsia="zh-CN"/>
              </w:rPr>
              <w:t>3年服务期结束后，提供总体服务报告。</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成果交付地点</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0"/>
              <w:spacing w:before="0" w:after="0"/>
              <w:jc w:val="both"/>
              <w:rPr>
                <w:rFonts w:ascii="宋体" w:hAnsi="宋体" w:eastAsia="宋体"/>
                <w:b w:val="0"/>
                <w:color w:val="auto"/>
                <w:kern w:val="1"/>
                <w:sz w:val="21"/>
                <w:szCs w:val="21"/>
              </w:rPr>
            </w:pPr>
            <w:r>
              <w:rPr>
                <w:rFonts w:hint="eastAsia" w:ascii="宋体" w:hAnsi="宋体" w:eastAsia="宋体"/>
                <w:b w:val="0"/>
                <w:color w:val="auto"/>
                <w:kern w:val="1"/>
                <w:sz w:val="21"/>
                <w:szCs w:val="21"/>
                <w:lang w:eastAsia="zh-CN"/>
              </w:rPr>
              <w:t>采购</w:t>
            </w:r>
            <w:r>
              <w:rPr>
                <w:rFonts w:hint="eastAsia" w:ascii="宋体" w:hAnsi="宋体" w:eastAsia="宋体"/>
                <w:b w:val="0"/>
                <w:color w:val="auto"/>
                <w:kern w:val="1"/>
                <w:sz w:val="21"/>
                <w:szCs w:val="21"/>
              </w:rPr>
              <w:t>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质量标准</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rPr>
              <w:t>具有</w:t>
            </w:r>
            <w:r>
              <w:rPr>
                <w:rFonts w:hint="eastAsia" w:asciiTheme="minorEastAsia" w:hAnsiTheme="minorEastAsia" w:eastAsiaTheme="minorEastAsia"/>
                <w:color w:val="auto"/>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验收</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签订合同时间</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中标通知书发出之日起30日内签订合同，具体签约时间以招标人通知为准。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合同款项支付条件及方式</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color w:val="auto"/>
                <w:highlight w:val="none"/>
              </w:rPr>
            </w:pPr>
            <w:r>
              <w:rPr>
                <w:rFonts w:hint="eastAsia"/>
                <w:color w:val="auto"/>
                <w:highlight w:val="none"/>
              </w:rPr>
              <w:t>（一）2022年：合同签订</w:t>
            </w:r>
            <w:r>
              <w:rPr>
                <w:rFonts w:hint="eastAsia"/>
                <w:color w:val="auto"/>
                <w:highlight w:val="none"/>
                <w:lang w:val="en-US" w:eastAsia="zh-CN"/>
              </w:rPr>
              <w:t>并生效</w:t>
            </w:r>
            <w:r>
              <w:rPr>
                <w:rFonts w:hint="eastAsia"/>
                <w:color w:val="auto"/>
                <w:highlight w:val="none"/>
              </w:rPr>
              <w:t>后</w:t>
            </w:r>
            <w:r>
              <w:rPr>
                <w:rFonts w:hint="eastAsia"/>
                <w:color w:val="auto"/>
                <w:highlight w:val="none"/>
                <w:lang w:val="en-US" w:eastAsia="zh-CN"/>
              </w:rPr>
              <w:t>7个工作日</w:t>
            </w:r>
            <w:r>
              <w:rPr>
                <w:rFonts w:hint="eastAsia"/>
                <w:color w:val="auto"/>
                <w:highlight w:val="none"/>
              </w:rPr>
              <w:t>支付合同总价的33.33%；</w:t>
            </w:r>
          </w:p>
          <w:p>
            <w:pPr>
              <w:spacing w:line="300" w:lineRule="exact"/>
              <w:jc w:val="left"/>
              <w:rPr>
                <w:rFonts w:hint="eastAsia"/>
                <w:color w:val="auto"/>
                <w:highlight w:val="none"/>
              </w:rPr>
            </w:pPr>
            <w:r>
              <w:rPr>
                <w:rFonts w:hint="eastAsia"/>
                <w:color w:val="auto"/>
                <w:highlight w:val="none"/>
              </w:rPr>
              <w:t>（二）2023年：第一年服务期开始2个月后支付合同总价的20%，第一年服务期开始8个月后支付合同总金额的13.33%；</w:t>
            </w:r>
          </w:p>
          <w:p>
            <w:pPr>
              <w:spacing w:line="300" w:lineRule="exact"/>
              <w:jc w:val="left"/>
              <w:rPr>
                <w:rFonts w:hint="default" w:eastAsiaTheme="minorEastAsia"/>
                <w:color w:val="auto"/>
                <w:highlight w:val="none"/>
                <w:lang w:val="en-US" w:eastAsia="zh-CN"/>
              </w:rPr>
            </w:pPr>
            <w:r>
              <w:rPr>
                <w:rFonts w:hint="eastAsia"/>
                <w:color w:val="auto"/>
                <w:highlight w:val="none"/>
              </w:rPr>
              <w:t>（三）2024年：第二年服务期开始2个月后支付合同总价的20%，第二年服务期开始8个月后支付剩余</w:t>
            </w:r>
            <w:r>
              <w:rPr>
                <w:rFonts w:hint="eastAsia"/>
                <w:color w:val="auto"/>
                <w:highlight w:val="none"/>
                <w:lang w:val="en-US" w:eastAsia="zh-CN"/>
              </w:rPr>
              <w:t>合同</w:t>
            </w:r>
            <w:r>
              <w:rPr>
                <w:rFonts w:hint="eastAsia"/>
                <w:color w:val="auto"/>
                <w:highlight w:val="none"/>
              </w:rPr>
              <w:t>款项（支付该笔款项前由中标方提供履约保证金）</w:t>
            </w:r>
            <w:r>
              <w:rPr>
                <w:rFonts w:hint="eastAsia"/>
                <w:color w:val="auto"/>
                <w:highlight w:val="none"/>
                <w:lang w:eastAsia="zh-CN"/>
              </w:rPr>
              <w:t>。</w:t>
            </w:r>
            <w:r>
              <w:rPr>
                <w:rFonts w:hint="eastAsia"/>
                <w:color w:val="auto"/>
                <w:highlight w:val="none"/>
              </w:rPr>
              <w:t>三年服务期全部履行完毕，提供总体服务报告，项目验收</w:t>
            </w:r>
            <w:r>
              <w:rPr>
                <w:rFonts w:hint="eastAsia"/>
                <w:color w:val="auto"/>
                <w:highlight w:val="none"/>
                <w:lang w:val="en-US" w:eastAsia="zh-CN"/>
              </w:rPr>
              <w:t>合格</w:t>
            </w:r>
            <w:r>
              <w:rPr>
                <w:rFonts w:hint="eastAsia"/>
                <w:color w:val="auto"/>
                <w:highlight w:val="none"/>
              </w:rPr>
              <w:t>后7个工作日内退还履约保证金。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rPr>
              <w:t>发票要求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ind w:right="34" w:rightChars="16"/>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hint="eastAsia"/>
                <w:color w:val="auto"/>
                <w:highlight w:val="none"/>
                <w:lang w:val="en-US" w:eastAsia="zh-CN"/>
              </w:rPr>
            </w:pPr>
            <w:r>
              <w:rPr>
                <w:rFonts w:hint="eastAsia"/>
                <w:color w:val="auto"/>
                <w:highlight w:val="none"/>
              </w:rPr>
              <w:t>履</w:t>
            </w:r>
            <w:r>
              <w:rPr>
                <w:rFonts w:hint="eastAsia"/>
                <w:color w:val="auto"/>
                <w:highlight w:val="none"/>
                <w:lang w:val="en-US" w:eastAsia="zh-CN"/>
              </w:rPr>
              <w:t>约保证金：合同总金额的1%；</w:t>
            </w:r>
          </w:p>
          <w:p>
            <w:pPr>
              <w:ind w:right="34" w:rightChars="16"/>
              <w:jc w:val="left"/>
              <w:rPr>
                <w:rFonts w:hint="default"/>
                <w:color w:val="auto"/>
                <w:highlight w:val="none"/>
                <w:lang w:val="en-US" w:eastAsia="zh-CN"/>
              </w:rPr>
            </w:pPr>
            <w:r>
              <w:rPr>
                <w:rFonts w:hint="eastAsia"/>
                <w:color w:val="auto"/>
                <w:highlight w:val="none"/>
                <w:lang w:val="en-US" w:eastAsia="zh-CN"/>
              </w:rPr>
              <w:t>保证金形式：银行转账或银行、保险、财务公司等金融机构出具的保函形式；</w:t>
            </w:r>
          </w:p>
          <w:p>
            <w:pPr>
              <w:ind w:right="34" w:rightChars="16"/>
              <w:jc w:val="left"/>
              <w:rPr>
                <w:rFonts w:hint="eastAsia"/>
                <w:color w:val="auto"/>
                <w:highlight w:val="none"/>
                <w:lang w:val="en-US" w:eastAsia="zh-CN"/>
              </w:rPr>
            </w:pPr>
            <w:r>
              <w:rPr>
                <w:rFonts w:hint="eastAsia"/>
                <w:color w:val="auto"/>
                <w:highlight w:val="none"/>
                <w:lang w:val="en-US" w:eastAsia="zh-CN"/>
              </w:rPr>
              <w:t>提交时间：2024年，支付剩余项目合同款项时提交；</w:t>
            </w:r>
          </w:p>
          <w:p>
            <w:pPr>
              <w:ind w:right="34" w:rightChars="16"/>
              <w:jc w:val="left"/>
              <w:rPr>
                <w:rFonts w:hint="eastAsia"/>
                <w:color w:val="auto"/>
                <w:highlight w:val="none"/>
                <w:lang w:val="en-US" w:eastAsia="zh-CN"/>
              </w:rPr>
            </w:pPr>
            <w:r>
              <w:rPr>
                <w:rFonts w:hint="eastAsia"/>
                <w:color w:val="auto"/>
                <w:highlight w:val="none"/>
                <w:lang w:val="en-US" w:eastAsia="zh-CN"/>
              </w:rPr>
              <w:t>保证金退还时间：三年服务期全部履行完毕，提供总体服务报告，项目验收合格后7个工作日内退还履约保证金。</w:t>
            </w:r>
          </w:p>
          <w:p>
            <w:pPr>
              <w:pStyle w:val="3"/>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关于考核扣罚说明：考核分每年度进行核算。考核得分90分及以上，属于服务合格；90分以下，扣5%的年度服务费，并要求进行整改，整改完成合格后，扣罚可免除，所有扣罚统一在年度服务期结束之时结算，扣罚金额从履约保证金扣除，不足部分，采购人将向中标人进行追缴</w:t>
            </w:r>
            <w:r>
              <w:rPr>
                <w:rFonts w:hint="eastAsia" w:ascii="Times New Roman" w:hAnsi="Times New Roman" w:cs="Times New Roman"/>
                <w:color w:val="auto"/>
                <w:kern w:val="2"/>
                <w:sz w:val="21"/>
                <w:szCs w:val="24"/>
                <w:highlight w:val="none"/>
                <w:lang w:val="en-US" w:eastAsia="zh-CN" w:bidi="ar-SA"/>
              </w:rPr>
              <w:t>；履约保证金被扣罚后，中标人须及时补足履约保证金。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rPr>
            </w:pPr>
            <w:r>
              <w:rPr>
                <w:rFonts w:hint="eastAsia" w:asciiTheme="minorEastAsia" w:hAnsiTheme="minorEastAsia" w:eastAsiaTheme="minorEastAsia"/>
                <w:color w:val="auto"/>
                <w:szCs w:val="21"/>
              </w:rPr>
              <w:t>在合同执行过程中，中标人应承担由于其行为所造成的招标人或第三人的人身伤害、财产损失或损坏的责任，无论何种原因所造成，招标人均不负责。</w:t>
            </w:r>
          </w:p>
        </w:tc>
      </w:tr>
    </w:tbl>
    <w:p>
      <w:pPr>
        <w:pStyle w:val="40"/>
        <w:spacing w:before="0" w:after="0" w:line="360" w:lineRule="auto"/>
        <w:rPr>
          <w:rFonts w:ascii="宋体" w:hAnsi="宋体" w:eastAsia="宋体"/>
          <w:sz w:val="32"/>
        </w:rPr>
      </w:pPr>
      <w:r>
        <w:rPr>
          <w:rFonts w:ascii="宋体" w:hAnsi="宋体" w:eastAsia="宋体"/>
        </w:rPr>
        <w:br w:type="page"/>
      </w:r>
      <w:bookmarkStart w:id="34" w:name="_Toc34844743"/>
      <w:r>
        <w:rPr>
          <w:rFonts w:hint="eastAsia" w:ascii="宋体" w:hAnsi="宋体" w:eastAsia="宋体"/>
          <w:sz w:val="24"/>
        </w:rPr>
        <w:t>第三章  投标人须知</w:t>
      </w:r>
      <w:bookmarkEnd w:id="34"/>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6"/>
          <w:rFonts w:hint="default"/>
          <w:color w:val="auto"/>
          <w:sz w:val="21"/>
        </w:rPr>
        <w:t>说明：</w:t>
      </w:r>
      <w:r>
        <w:rPr>
          <w:rStyle w:val="386"/>
          <w:rFonts w:hint="default"/>
          <w:color w:val="auto"/>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宁波市生态环境局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宁波市政府</w:t>
            </w:r>
            <w:r>
              <w:rPr>
                <w:rFonts w:cs="Arial" w:asciiTheme="minorEastAsia" w:hAnsiTheme="minorEastAsia" w:eastAsiaTheme="minorEastAsia"/>
                <w:szCs w:val="21"/>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bCs/>
                <w:sz w:val="21"/>
                <w:szCs w:val="21"/>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递交方式：</w:t>
            </w:r>
            <w:r>
              <w:rPr>
                <w:rFonts w:hint="eastAsia" w:asciiTheme="minorEastAsia" w:hAnsiTheme="minorEastAsia" w:eastAsiaTheme="minorEastAsia"/>
                <w:sz w:val="21"/>
                <w:szCs w:val="21"/>
                <w:u w:val="single"/>
              </w:rPr>
              <w:t>书面形式</w:t>
            </w:r>
          </w:p>
          <w:p>
            <w:pPr>
              <w:pStyle w:val="323"/>
              <w:widowControl w:val="0"/>
              <w:spacing w:before="0" w:beforeAutospacing="0" w:afterAutospacing="0"/>
              <w:jc w:val="both"/>
              <w:rPr>
                <w:rFonts w:asciiTheme="minorEastAsia" w:hAnsiTheme="minorEastAsia" w:eastAsiaTheme="minorEastAsia"/>
                <w:b/>
                <w:bCs/>
                <w:sz w:val="21"/>
                <w:szCs w:val="21"/>
                <w:u w:val="single"/>
              </w:rPr>
            </w:pPr>
            <w:r>
              <w:rPr>
                <w:rFonts w:hint="eastAsia" w:asciiTheme="minorEastAsia" w:hAnsiTheme="minorEastAsia" w:eastAsiaTheme="minorEastAsia"/>
                <w:sz w:val="21"/>
                <w:szCs w:val="21"/>
              </w:rPr>
              <w:t>接收部门：</w:t>
            </w:r>
            <w:r>
              <w:rPr>
                <w:rFonts w:hint="eastAsia" w:asciiTheme="minorEastAsia" w:hAnsiTheme="minorEastAsia" w:eastAsiaTheme="minorEastAsia"/>
                <w:sz w:val="21"/>
                <w:szCs w:val="21"/>
                <w:u w:val="single"/>
              </w:rPr>
              <w:t>综合办</w:t>
            </w:r>
          </w:p>
          <w:p>
            <w:pPr>
              <w:pStyle w:val="323"/>
              <w:widowControl w:val="0"/>
              <w:spacing w:before="0" w:beforeAutospacing="0" w:afterAutospacing="0"/>
              <w:jc w:val="both"/>
              <w:rPr>
                <w:rFonts w:asciiTheme="minorEastAsia" w:hAnsiTheme="minorEastAsia" w:eastAsiaTheme="minorEastAsia"/>
                <w:b/>
                <w:bCs/>
                <w:sz w:val="21"/>
                <w:szCs w:val="21"/>
                <w:u w:val="single"/>
              </w:rPr>
            </w:pPr>
            <w:r>
              <w:rPr>
                <w:rFonts w:asciiTheme="minorEastAsia" w:hAnsiTheme="minorEastAsia" w:eastAsiaTheme="minorEastAsia"/>
                <w:sz w:val="21"/>
                <w:szCs w:val="21"/>
              </w:rPr>
              <w:t>联系电话：</w:t>
            </w:r>
            <w:r>
              <w:rPr>
                <w:rFonts w:hint="eastAsia" w:asciiTheme="minorEastAsia" w:hAnsiTheme="minorEastAsia" w:eastAsiaTheme="minorEastAsia"/>
                <w:bCs/>
                <w:sz w:val="21"/>
                <w:szCs w:val="21"/>
                <w:u w:val="single"/>
              </w:rPr>
              <w:t>0574-87101271</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rPr>
            </w:pPr>
            <w:r>
              <w:rPr>
                <w:rFonts w:hint="eastAsia" w:asciiTheme="minorEastAsia" w:hAnsiTheme="minorEastAsia" w:eastAsiaTheme="minorEastAsia"/>
                <w:bCs/>
              </w:rPr>
              <w:t>1.根据国家发改委发改办价格[2003]857号通知和原国家计委计价格[2002]1980号文件规定的收费费率为取费标准。</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rPr>
              <w:t>2.以</w:t>
            </w:r>
            <w:r>
              <w:rPr>
                <w:rFonts w:hint="eastAsia" w:asciiTheme="minorEastAsia" w:hAnsiTheme="minorEastAsia" w:eastAsiaTheme="minorEastAsia"/>
                <w:bCs/>
                <w:lang w:val="en-US" w:eastAsia="zh-CN"/>
              </w:rPr>
              <w:t>中标</w:t>
            </w:r>
            <w:r>
              <w:rPr>
                <w:rFonts w:hint="eastAsia" w:asciiTheme="minorEastAsia" w:hAnsiTheme="minorEastAsia" w:eastAsiaTheme="minorEastAsia"/>
                <w:bCs/>
              </w:rPr>
              <w:t>通知书确定的</w:t>
            </w:r>
            <w:r>
              <w:rPr>
                <w:rFonts w:hint="eastAsia" w:asciiTheme="minorEastAsia" w:hAnsiTheme="minorEastAsia" w:eastAsiaTheme="minorEastAsia"/>
                <w:bCs/>
                <w:lang w:val="en-US" w:eastAsia="zh-CN"/>
              </w:rPr>
              <w:t>中标</w:t>
            </w:r>
            <w:r>
              <w:rPr>
                <w:rFonts w:hint="eastAsia" w:asciiTheme="minorEastAsia" w:hAnsiTheme="minorEastAsia" w:eastAsiaTheme="minorEastAsia"/>
                <w:bCs/>
              </w:rPr>
              <w:t>总金额为计算基数，结合上述费率标准计算本项目的代理服务费用。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szCs w:val="21"/>
                <w:highlight w:val="yellow"/>
              </w:rPr>
            </w:pPr>
            <w:r>
              <w:rPr>
                <w:rFonts w:hint="eastAsia" w:asciiTheme="minorEastAsia" w:hAnsiTheme="minorEastAsia" w:eastAsiaTheme="minorEastAsia"/>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szCs w:val="21"/>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资格要求响应文件的组成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1.投标人资格声明函（若联合体投标的，联合体各方均须提供）；</w:t>
            </w:r>
          </w:p>
          <w:p>
            <w:pPr>
              <w:rPr>
                <w:rFonts w:asciiTheme="minorEastAsia" w:hAnsiTheme="minorEastAsia" w:eastAsiaTheme="minorEastAsia"/>
                <w:bCs/>
                <w:szCs w:val="21"/>
              </w:rPr>
            </w:pPr>
            <w:r>
              <w:rPr>
                <w:rFonts w:hint="eastAsia" w:asciiTheme="minorEastAsia" w:hAnsiTheme="minorEastAsia" w:eastAsiaTheme="minorEastAsia"/>
                <w:szCs w:val="21"/>
              </w:rPr>
              <w:t>2.法人或者其他组织的营业执照等登记证明文件复印件（若联合体投标的，联合体各方均须提供）；</w:t>
            </w:r>
          </w:p>
          <w:p>
            <w:pPr>
              <w:rPr>
                <w:rFonts w:asciiTheme="minorEastAsia" w:hAnsiTheme="minorEastAsia" w:eastAsiaTheme="minorEastAsia"/>
              </w:rPr>
            </w:pPr>
            <w:r>
              <w:rPr>
                <w:rFonts w:asciiTheme="minorEastAsia" w:hAnsiTheme="minorEastAsia" w:eastAsiaTheme="minorEastAsia"/>
                <w:szCs w:val="21"/>
              </w:rPr>
              <w:t>3</w:t>
            </w:r>
            <w:r>
              <w:rPr>
                <w:rFonts w:hint="eastAsia" w:asciiTheme="minorEastAsia" w:hAnsiTheme="minorEastAsia" w:eastAsiaTheme="minorEastAsia"/>
                <w:szCs w:val="21"/>
              </w:rPr>
              <w:t>.联合协议（非联合体投标的无需提供）。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1.投标函；</w:t>
            </w:r>
          </w:p>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2.法定代表人身份证复印件（双面）或法定代表人授权委托书及其附件；</w:t>
            </w:r>
          </w:p>
          <w:p>
            <w:pPr>
              <w:rPr>
                <w:rFonts w:asciiTheme="minorEastAsia" w:hAnsiTheme="minorEastAsia" w:eastAsiaTheme="minorEastAsia"/>
                <w:szCs w:val="21"/>
              </w:rPr>
            </w:pPr>
            <w:r>
              <w:rPr>
                <w:rFonts w:hint="eastAsia" w:asciiTheme="minorEastAsia" w:hAnsiTheme="minorEastAsia" w:eastAsiaTheme="minorEastAsia"/>
                <w:szCs w:val="21"/>
              </w:rPr>
              <w:t>3.评委打分索引表；</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商务要求</w:t>
            </w:r>
            <w:r>
              <w:rPr>
                <w:rFonts w:hint="eastAsia" w:asciiTheme="minorEastAsia" w:hAnsiTheme="minorEastAsia" w:eastAsiaTheme="minorEastAsia"/>
                <w:szCs w:val="21"/>
              </w:rPr>
              <w:t>响应表；</w:t>
            </w:r>
          </w:p>
          <w:p>
            <w:pPr>
              <w:rPr>
                <w:rFonts w:asciiTheme="minorEastAsia" w:hAnsiTheme="minorEastAsia" w:eastAsiaTheme="minorEastAsia"/>
                <w:szCs w:val="21"/>
              </w:rPr>
            </w:pPr>
            <w:r>
              <w:rPr>
                <w:rFonts w:hint="eastAsia" w:asciiTheme="minorEastAsia" w:hAnsiTheme="minorEastAsia" w:eastAsiaTheme="minorEastAsia"/>
                <w:szCs w:val="21"/>
              </w:rPr>
              <w:t>5.技术要求响应表；</w:t>
            </w:r>
          </w:p>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项目实施方案</w:t>
            </w:r>
          </w:p>
          <w:p>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.项目实施人员情况表；</w:t>
            </w:r>
          </w:p>
          <w:p>
            <w:pP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.类似项目业绩一览表；</w:t>
            </w:r>
          </w:p>
          <w:p>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开标一览表；</w:t>
            </w:r>
          </w:p>
          <w:p>
            <w:pPr>
              <w:rPr>
                <w:rFonts w:asciiTheme="minorEastAsia" w:hAnsiTheme="minorEastAsia" w:eastAsiaTheme="minorEastAsia"/>
                <w:szCs w:val="21"/>
              </w:rPr>
            </w:pPr>
            <w:r>
              <w:rPr>
                <w:rFonts w:hint="eastAsia" w:asciiTheme="minorEastAsia" w:hAnsiTheme="minorEastAsia" w:eastAsiaTheme="minorEastAsia"/>
                <w:szCs w:val="21"/>
              </w:rPr>
              <w:t>2.</w:t>
            </w:r>
            <w:bookmarkStart w:id="35" w:name="_Hlk104213143"/>
            <w:r>
              <w:rPr>
                <w:rFonts w:hint="eastAsia" w:asciiTheme="minorEastAsia" w:hAnsiTheme="minorEastAsia" w:eastAsiaTheme="minorEastAsia"/>
                <w:szCs w:val="21"/>
              </w:rPr>
              <w:t>投标报价组成明细表</w:t>
            </w:r>
            <w:bookmarkEnd w:id="35"/>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.中小企业声明函（如不符合，无法获得政策优惠，可不提供）；</w:t>
            </w:r>
          </w:p>
          <w:p>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投标文件的份数</w:t>
            </w:r>
          </w:p>
        </w:tc>
        <w:tc>
          <w:tcPr>
            <w:tcW w:w="5582"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1.电子加密投标文件：1份；</w:t>
            </w:r>
          </w:p>
          <w:p>
            <w:pPr>
              <w:jc w:val="left"/>
              <w:rPr>
                <w:rFonts w:asciiTheme="minorEastAsia" w:hAnsiTheme="minorEastAsia" w:eastAsiaTheme="minorEastAsia"/>
                <w:szCs w:val="21"/>
              </w:rPr>
            </w:pPr>
            <w:r>
              <w:rPr>
                <w:rFonts w:hint="eastAsia" w:asciiTheme="minorEastAsia" w:hAnsiTheme="minorEastAsia" w:eastAsiaTheme="minorEastAsia"/>
                <w:szCs w:val="21"/>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90日历</w:t>
            </w:r>
            <w:r>
              <w:rPr>
                <w:rFonts w:hint="eastAsia" w:cs="Arial" w:asciiTheme="minorEastAsia" w:hAnsiTheme="minorEastAsia" w:eastAsiaTheme="minorEastAsia"/>
                <w:szCs w:val="21"/>
                <w:lang w:val="en-US" w:eastAsia="zh-CN"/>
              </w:rPr>
              <w:t>日</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解密指令发出后3</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asciiTheme="minorEastAsia" w:hAnsiTheme="minorEastAsia" w:eastAsiaTheme="minorEastAsia"/>
                <w:sz w:val="21"/>
                <w:szCs w:val="21"/>
              </w:rPr>
              <w:t>中标候选</w:t>
            </w:r>
            <w:r>
              <w:rPr>
                <w:rFonts w:hint="eastAsia" w:asciiTheme="minorEastAsia" w:hAnsiTheme="minorEastAsia" w:eastAsiaTheme="minorEastAsia"/>
                <w:sz w:val="21"/>
                <w:szCs w:val="21"/>
              </w:rPr>
              <w:t>人的</w:t>
            </w:r>
            <w:r>
              <w:rPr>
                <w:rFonts w:asciiTheme="minorEastAsia" w:hAnsiTheme="minorEastAsia" w:eastAsiaTheme="minorEastAsia"/>
                <w:sz w:val="21"/>
                <w:szCs w:val="21"/>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3"/>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所有有效的投标人</w:t>
            </w:r>
          </w:p>
        </w:tc>
      </w:tr>
    </w:tbl>
    <w:p>
      <w:pPr>
        <w:spacing w:line="360" w:lineRule="auto"/>
        <w:rPr>
          <w:rFonts w:ascii="宋体" w:hAnsi="宋体"/>
          <w:b/>
          <w:szCs w:val="21"/>
        </w:rPr>
      </w:pPr>
    </w:p>
    <w:p>
      <w:pPr>
        <w:pStyle w:val="24"/>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本招标文件仅适用于本次公开招标所述的服务项目采购。</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r>
        <w:rPr>
          <w:rFonts w:hint="eastAsia" w:asciiTheme="minorEastAsia" w:hAnsiTheme="minorEastAsia" w:eastAsiaTheme="minorEastAsia"/>
          <w:szCs w:val="21"/>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2.4实质性条款：标注</w:t>
      </w:r>
      <w:r>
        <w:rPr>
          <w:rFonts w:cs="Arial" w:asciiTheme="minorEastAsia" w:hAnsiTheme="minorEastAsia" w:eastAsiaTheme="minorEastAsia"/>
          <w:szCs w:val="21"/>
        </w:rPr>
        <w:t>“▲”</w:t>
      </w:r>
      <w:r>
        <w:rPr>
          <w:rFonts w:hint="eastAsia" w:cs="Arial" w:asciiTheme="minorEastAsia" w:hAnsiTheme="minorEastAsia" w:eastAsiaTheme="minorEastAsia"/>
          <w:szCs w:val="21"/>
        </w:rPr>
        <w:t>的属于招标文件的</w:t>
      </w:r>
      <w:r>
        <w:rPr>
          <w:rFonts w:cs="Arial" w:asciiTheme="minorEastAsia" w:hAnsiTheme="minorEastAsia" w:eastAsiaTheme="minorEastAsia"/>
          <w:szCs w:val="21"/>
        </w:rPr>
        <w:t>实质性要求条款。</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2.5公章:</w:t>
      </w:r>
      <w:r>
        <w:rPr>
          <w:rFonts w:cs="Arial" w:asciiTheme="minorEastAsia" w:hAnsiTheme="minorEastAsia" w:eastAsiaTheme="minorEastAsia"/>
          <w:szCs w:val="21"/>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采购人、采购代理机构及投标人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w:t>
      </w:r>
      <w:r>
        <w:rPr>
          <w:rFonts w:hint="eastAsia" w:asciiTheme="minorEastAsia" w:hAnsiTheme="minorEastAsia" w:eastAsiaTheme="minorEastAsia"/>
          <w:szCs w:val="21"/>
        </w:rPr>
        <w:t>（招标人）</w:t>
      </w:r>
      <w:r>
        <w:rPr>
          <w:rFonts w:asciiTheme="minorEastAsia" w:hAnsiTheme="minorEastAsia" w:eastAsiaTheme="minorEastAsia"/>
          <w:szCs w:val="21"/>
        </w:rPr>
        <w:t>：是指依法开展政府采购活动的国家机关、事业单位、团体组织。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w:t>
      </w:r>
      <w:r>
        <w:rPr>
          <w:rFonts w:hint="eastAsia" w:asciiTheme="minorEastAsia" w:hAnsiTheme="minorEastAsia" w:eastAsiaTheme="minorEastAsia"/>
          <w:szCs w:val="21"/>
        </w:rPr>
        <w:t>（招标代理公司）</w:t>
      </w:r>
      <w:r>
        <w:rPr>
          <w:rFonts w:asciiTheme="minorEastAsia" w:hAnsiTheme="minorEastAsia" w:eastAsiaTheme="minorEastAsia"/>
          <w:szCs w:val="21"/>
        </w:rPr>
        <w:t>：是指从事采购代理业务的社会中介机构。本项目的采购代理机构见</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.4投标人</w:t>
      </w:r>
      <w:r>
        <w:rPr>
          <w:rFonts w:hint="eastAsia" w:asciiTheme="minorEastAsia" w:hAnsiTheme="minorEastAsia" w:eastAsiaTheme="minorEastAsia"/>
          <w:szCs w:val="21"/>
        </w:rPr>
        <w:t>（投标供应商、供应商）</w:t>
      </w:r>
      <w:r>
        <w:rPr>
          <w:rFonts w:asciiTheme="minorEastAsia" w:hAnsiTheme="minorEastAsia" w:eastAsiaTheme="minorEastAsia"/>
          <w:szCs w:val="21"/>
        </w:rPr>
        <w:t>：是指向采购人提供</w:t>
      </w:r>
      <w:r>
        <w:rPr>
          <w:rFonts w:hint="eastAsia" w:asciiTheme="minorEastAsia" w:hAnsiTheme="minorEastAsia" w:eastAsiaTheme="minorEastAsia"/>
          <w:szCs w:val="21"/>
        </w:rPr>
        <w:t>本项目服务</w:t>
      </w:r>
      <w:r>
        <w:rPr>
          <w:rFonts w:asciiTheme="minorEastAsia" w:hAnsiTheme="minorEastAsia" w:eastAsiaTheme="minorEastAsia"/>
          <w:szCs w:val="21"/>
        </w:rPr>
        <w:t>的法人、非法人组织</w:t>
      </w:r>
      <w:r>
        <w:rPr>
          <w:rFonts w:hint="eastAsia" w:asciiTheme="minorEastAsia" w:hAnsiTheme="minorEastAsia" w:eastAsiaTheme="minorEastAsia"/>
          <w:szCs w:val="21"/>
        </w:rPr>
        <w:t>，</w:t>
      </w:r>
      <w:r>
        <w:rPr>
          <w:rFonts w:asciiTheme="minorEastAsia" w:hAnsiTheme="minorEastAsia" w:eastAsiaTheme="minorEastAsia"/>
          <w:szCs w:val="21"/>
        </w:rPr>
        <w:t>须满足</w:t>
      </w:r>
      <w:r>
        <w:rPr>
          <w:rFonts w:hint="eastAsia" w:asciiTheme="minorEastAsia" w:hAnsiTheme="minorEastAsia" w:eastAsiaTheme="minorEastAsia"/>
          <w:szCs w:val="21"/>
        </w:rPr>
        <w:t>招标公告（投标邀请）中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pPr>
        <w:spacing w:line="360" w:lineRule="auto"/>
        <w:ind w:firstLine="435"/>
        <w:rPr>
          <w:rFonts w:asciiTheme="minorEastAsia" w:hAnsiTheme="minorEastAsia" w:eastAsiaTheme="minorEastAsia"/>
          <w:szCs w:val="21"/>
        </w:rPr>
      </w:pPr>
      <w:bookmarkStart w:id="36" w:name="_Hlk60580614"/>
      <w:r>
        <w:rPr>
          <w:rFonts w:asciiTheme="minorEastAsia" w:hAnsiTheme="minorEastAsia" w:eastAsiaTheme="minorEastAsia"/>
          <w:szCs w:val="21"/>
        </w:rPr>
        <w:t>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中</w:t>
      </w:r>
      <w:r>
        <w:rPr>
          <w:rFonts w:hint="eastAsia" w:asciiTheme="minorEastAsia" w:hAnsiTheme="minorEastAsia" w:eastAsiaTheme="minorEastAsia"/>
          <w:szCs w:val="21"/>
        </w:rPr>
        <w:t>明确本项目</w:t>
      </w:r>
      <w:r>
        <w:rPr>
          <w:rFonts w:asciiTheme="minorEastAsia" w:hAnsiTheme="minorEastAsia" w:eastAsiaTheme="minorEastAsia"/>
          <w:szCs w:val="21"/>
        </w:rPr>
        <w:t>专门面向中小企业采购，</w:t>
      </w:r>
      <w:r>
        <w:rPr>
          <w:rFonts w:hint="eastAsia" w:asciiTheme="minorEastAsia" w:hAnsiTheme="minorEastAsia" w:eastAsiaTheme="minorEastAsia"/>
          <w:szCs w:val="21"/>
        </w:rPr>
        <w:t>如投标人非中小企业的</w:t>
      </w:r>
      <w:r>
        <w:rPr>
          <w:rFonts w:asciiTheme="minorEastAsia" w:hAnsiTheme="minorEastAsia" w:eastAsiaTheme="minorEastAsia"/>
          <w:szCs w:val="21"/>
        </w:rPr>
        <w:t>，其投标将被认定为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bookmarkEnd w:id="36"/>
    <w:p>
      <w:pPr>
        <w:spacing w:line="360" w:lineRule="auto"/>
        <w:ind w:firstLine="435"/>
        <w:rPr>
          <w:rFonts w:asciiTheme="minorEastAsia" w:hAnsiTheme="minorEastAsia" w:eastAsiaTheme="minorEastAsia"/>
          <w:bCs/>
          <w:kern w:val="0"/>
          <w:szCs w:val="21"/>
        </w:rPr>
      </w:pPr>
      <w:bookmarkStart w:id="37"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r>
        <w:rPr>
          <w:rFonts w:hint="eastAsia" w:asciiTheme="minorEastAsia" w:hAnsiTheme="minorEastAsia" w:eastAsiaTheme="minorEastAsia"/>
          <w:bCs/>
          <w:kern w:val="0"/>
          <w:szCs w:val="21"/>
        </w:rPr>
        <w:t>若招标公告（投标邀请）</w:t>
      </w:r>
      <w:r>
        <w:rPr>
          <w:rFonts w:asciiTheme="minorEastAsia" w:hAnsiTheme="minorEastAsia" w:eastAsiaTheme="minorEastAsia"/>
          <w:bCs/>
          <w:kern w:val="0"/>
          <w:szCs w:val="21"/>
        </w:rPr>
        <w:t>中允许联合体投标，对联合体规定如下：</w:t>
      </w:r>
    </w:p>
    <w:bookmarkEnd w:id="37"/>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两个以上供应商可以组成一个投标联合体，</w:t>
      </w:r>
      <w:r>
        <w:rPr>
          <w:rFonts w:hint="eastAsia" w:asciiTheme="minorEastAsia" w:hAnsiTheme="minorEastAsia" w:eastAsiaTheme="minorEastAsia"/>
          <w:szCs w:val="21"/>
        </w:rPr>
        <w:t>以一个投标人的身份共同参加政府采购</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联合体各方均应符合《中华人民共和国政府采购法》第二十二条规定的条件。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联合体各方应签订</w:t>
      </w:r>
      <w:r>
        <w:rPr>
          <w:rFonts w:hint="eastAsia" w:asciiTheme="minorEastAsia" w:hAnsiTheme="minorEastAsia" w:eastAsiaTheme="minorEastAsia"/>
          <w:szCs w:val="21"/>
        </w:rPr>
        <w:t>联合协议</w:t>
      </w:r>
      <w:r>
        <w:rPr>
          <w:rFonts w:asciiTheme="minorEastAsia" w:hAnsiTheme="minorEastAsia" w:eastAsiaTheme="minorEastAsia"/>
          <w:szCs w:val="21"/>
        </w:rPr>
        <w:t>，明确约定联合体各方承担的工作和相应的责任，并将</w:t>
      </w:r>
      <w:r>
        <w:rPr>
          <w:rFonts w:hint="eastAsia" w:asciiTheme="minorEastAsia" w:hAnsiTheme="minorEastAsia" w:eastAsiaTheme="minorEastAsia"/>
          <w:szCs w:val="21"/>
        </w:rPr>
        <w:t>联合协议</w:t>
      </w:r>
      <w:r>
        <w:rPr>
          <w:rFonts w:asciiTheme="minorEastAsia" w:hAnsiTheme="minorEastAsia" w:eastAsiaTheme="minorEastAsia"/>
          <w:szCs w:val="21"/>
        </w:rPr>
        <w:t>作为投标文件</w:t>
      </w:r>
      <w:r>
        <w:rPr>
          <w:rFonts w:hint="eastAsia" w:asciiTheme="minorEastAsia" w:hAnsiTheme="minorEastAsia" w:eastAsiaTheme="minorEastAsia"/>
          <w:szCs w:val="21"/>
        </w:rPr>
        <w:t>的组成</w:t>
      </w:r>
      <w:r>
        <w:rPr>
          <w:rFonts w:asciiTheme="minorEastAsia" w:hAnsiTheme="minorEastAsia" w:eastAsiaTheme="minorEastAsia"/>
          <w:szCs w:val="21"/>
        </w:rPr>
        <w:t>提交。</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（4）联合体中有同类资质的供应商按照联合体分工承担相同工作的，</w:t>
      </w:r>
      <w:r>
        <w:rPr>
          <w:rFonts w:asciiTheme="minorEastAsia" w:hAnsiTheme="minorEastAsia" w:eastAsiaTheme="minorEastAsia"/>
          <w:szCs w:val="21"/>
        </w:rPr>
        <w:t>按照</w:t>
      </w:r>
      <w:r>
        <w:rPr>
          <w:rFonts w:hint="eastAsia" w:asciiTheme="minorEastAsia" w:hAnsiTheme="minorEastAsia" w:eastAsiaTheme="minorEastAsia"/>
          <w:szCs w:val="21"/>
        </w:rPr>
        <w:t>资质等级较低的供应商确定资质等级。</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szCs w:val="21"/>
        </w:rPr>
        <w:t>均</w:t>
      </w:r>
      <w:r>
        <w:rPr>
          <w:rFonts w:asciiTheme="minorEastAsia" w:hAnsiTheme="minorEastAsia" w:eastAsiaTheme="minorEastAsia"/>
          <w:szCs w:val="21"/>
        </w:rPr>
        <w:t>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对联合体投标的其他资格要求见</w:t>
      </w:r>
      <w:r>
        <w:rPr>
          <w:rFonts w:hint="eastAsia" w:asciiTheme="minorEastAsia" w:hAnsiTheme="minorEastAsia" w:eastAsiaTheme="minorEastAsia"/>
          <w:bCs/>
          <w:kern w:val="0"/>
          <w:szCs w:val="21"/>
          <w:u w:val="single"/>
        </w:rPr>
        <w:t>招标公告（投标邀请）</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不得参加同一合同项下的政府采购活动。否则其投标将被认定为</w:t>
      </w:r>
      <w:r>
        <w:rPr>
          <w:rFonts w:hint="eastAsia" w:asciiTheme="minorEastAsia" w:hAnsiTheme="minorEastAsia" w:eastAsiaTheme="minorEastAsia"/>
          <w:b/>
          <w:bCs/>
          <w:szCs w:val="21"/>
        </w:rPr>
        <w:t>投标无效</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38" w:name="_Hlk13431092"/>
      <w:r>
        <w:rPr>
          <w:rFonts w:asciiTheme="minorEastAsia" w:hAnsiTheme="minorEastAsia" w:eastAsiaTheme="minorEastAsia"/>
          <w:szCs w:val="21"/>
        </w:rPr>
        <w:t>否则其投标将被认定为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bookmarkEnd w:id="38"/>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本项目的采购人已获得足以支付本次招标后所签订的合同项下的资金。</w:t>
      </w:r>
    </w:p>
    <w:p>
      <w:pPr>
        <w:spacing w:line="360" w:lineRule="auto"/>
        <w:ind w:firstLine="435"/>
        <w:rPr>
          <w:rFonts w:asciiTheme="minorEastAsia" w:hAnsiTheme="minorEastAsia" w:eastAsiaTheme="minorEastAsia"/>
          <w:szCs w:val="21"/>
        </w:rPr>
      </w:pPr>
      <w:bookmarkStart w:id="39" w:name="_Hlk11702998"/>
      <w:r>
        <w:rPr>
          <w:rFonts w:hint="eastAsia" w:asciiTheme="minorEastAsia" w:hAnsiTheme="minorEastAsia" w:eastAsiaTheme="minorEastAsia"/>
          <w:szCs w:val="21"/>
        </w:rPr>
        <w:t>4.2项目预算金额和分项（或分包）最高限价见</w:t>
      </w:r>
      <w:r>
        <w:rPr>
          <w:rFonts w:hint="eastAsia" w:asciiTheme="minorEastAsia" w:hAnsiTheme="minorEastAsia" w:eastAsiaTheme="minorEastAsia"/>
          <w:szCs w:val="21"/>
          <w:u w:val="single"/>
        </w:rPr>
        <w:t>投标邀请</w:t>
      </w:r>
      <w:r>
        <w:rPr>
          <w:rFonts w:hint="eastAsia" w:asciiTheme="minorEastAsia" w:hAnsiTheme="minorEastAsia" w:eastAsiaTheme="minorEastAsia"/>
          <w:szCs w:val="21"/>
        </w:rPr>
        <w:t>。</w:t>
      </w:r>
    </w:p>
    <w:bookmarkEnd w:id="39"/>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5.投标委托</w:t>
      </w:r>
    </w:p>
    <w:p>
      <w:pPr>
        <w:pStyle w:val="290"/>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sz w:val="21"/>
          <w:szCs w:val="21"/>
        </w:rPr>
        <w:t>法定代表人出具的授权委托书</w:t>
      </w:r>
      <w:r>
        <w:rPr>
          <w:rFonts w:hint="eastAsia" w:asciiTheme="minorEastAsia" w:hAnsiTheme="minorEastAsia" w:eastAsiaTheme="minorEastAsia"/>
          <w:sz w:val="21"/>
          <w:szCs w:val="21"/>
        </w:rPr>
        <w:t>及授权代表的身份证正反面复印件</w:t>
      </w:r>
      <w:r>
        <w:rPr>
          <w:rFonts w:asciiTheme="minorEastAsia" w:hAnsiTheme="minorEastAsia" w:eastAsiaTheme="minorEastAsia"/>
          <w:sz w:val="21"/>
          <w:szCs w:val="21"/>
        </w:rPr>
        <w:t>。</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6.投标费用</w:t>
      </w:r>
    </w:p>
    <w:p>
      <w:pPr>
        <w:pStyle w:val="290"/>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pPr>
        <w:pStyle w:val="290"/>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投标人应保证在本项目使用的任何产品（包括部分使用），不会产生因第三方提出侵犯其</w:t>
      </w:r>
      <w:r>
        <w:rPr>
          <w:rFonts w:hint="eastAsia" w:asciiTheme="minorEastAsia" w:hAnsiTheme="minorEastAsia" w:eastAsiaTheme="minorEastAsia"/>
          <w:sz w:val="21"/>
          <w:szCs w:val="21"/>
        </w:rPr>
        <w:t>著作权、</w:t>
      </w:r>
      <w:r>
        <w:rPr>
          <w:rFonts w:asciiTheme="minorEastAsia" w:hAnsiTheme="minorEastAsia" w:eastAsiaTheme="minorEastAsia"/>
          <w:sz w:val="21"/>
          <w:szCs w:val="21"/>
        </w:rPr>
        <w:t>专利权、商标权</w:t>
      </w:r>
      <w:r>
        <w:rPr>
          <w:rFonts w:hint="eastAsia" w:asciiTheme="minorEastAsia" w:hAnsiTheme="minorEastAsia" w:eastAsiaTheme="minorEastAsia"/>
          <w:sz w:val="21"/>
          <w:szCs w:val="21"/>
        </w:rPr>
        <w:t>等</w:t>
      </w:r>
      <w:r>
        <w:rPr>
          <w:rFonts w:asciiTheme="minorEastAsia" w:hAnsiTheme="minorEastAsia" w:eastAsiaTheme="minorEastAsia"/>
          <w:sz w:val="21"/>
          <w:szCs w:val="21"/>
        </w:rPr>
        <w:t>知识产权而引起</w:t>
      </w:r>
      <w:r>
        <w:rPr>
          <w:rFonts w:hint="eastAsia" w:asciiTheme="minorEastAsia" w:hAnsiTheme="minorEastAsia" w:eastAsiaTheme="minorEastAsia"/>
          <w:sz w:val="21"/>
          <w:szCs w:val="21"/>
        </w:rPr>
        <w:t>法律或经济纠纷。</w:t>
      </w:r>
      <w:r>
        <w:rPr>
          <w:rFonts w:asciiTheme="minorEastAsia" w:hAnsiTheme="minorEastAsia" w:eastAsiaTheme="minorEastAsia"/>
          <w:sz w:val="21"/>
          <w:szCs w:val="21"/>
        </w:rPr>
        <w:t>如果任何第三方提出侵权</w:t>
      </w:r>
      <w:r>
        <w:rPr>
          <w:rFonts w:hint="eastAsia" w:asciiTheme="minorEastAsia" w:hAnsiTheme="minorEastAsia" w:eastAsiaTheme="minorEastAsia"/>
          <w:sz w:val="21"/>
          <w:szCs w:val="21"/>
        </w:rPr>
        <w:t>指控，由投标人</w:t>
      </w:r>
      <w:r>
        <w:rPr>
          <w:rFonts w:asciiTheme="minorEastAsia" w:hAnsiTheme="minorEastAsia" w:eastAsiaTheme="minorEastAsia"/>
          <w:sz w:val="21"/>
          <w:szCs w:val="21"/>
        </w:rPr>
        <w:t>与该第三方交涉并承担由此发生的一切责任、费用和赔偿</w:t>
      </w:r>
      <w:r>
        <w:rPr>
          <w:rFonts w:hint="eastAsia" w:asciiTheme="minorEastAsia" w:hAnsiTheme="minorEastAsia" w:eastAsiaTheme="minorEastAsia"/>
          <w:sz w:val="21"/>
          <w:szCs w:val="21"/>
        </w:rPr>
        <w:t>。</w:t>
      </w:r>
    </w:p>
    <w:p>
      <w:pPr>
        <w:pStyle w:val="24"/>
        <w:snapToGrid w:val="0"/>
        <w:spacing w:beforeLines="0" w:afterLines="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投标人如采用自身所不拥有的知识产权，无论投标人是否在投标报价中单独列明，采购人均视为投标人的投标报价已包含投</w:t>
      </w:r>
      <w:r>
        <w:rPr>
          <w:rFonts w:hint="eastAsia" w:asciiTheme="minorEastAsia" w:hAnsiTheme="minorEastAsia" w:eastAsiaTheme="minorEastAsia"/>
          <w:color w:val="auto"/>
          <w:sz w:val="21"/>
          <w:szCs w:val="21"/>
        </w:rPr>
        <w:t>标人合法获取该知识产权的相关费用。</w:t>
      </w:r>
    </w:p>
    <w:p>
      <w:pPr>
        <w:spacing w:line="360" w:lineRule="auto"/>
        <w:ind w:firstLine="422" w:firstLineChars="200"/>
        <w:jc w:val="lef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9.转包</w:t>
      </w:r>
    </w:p>
    <w:p>
      <w:pPr>
        <w:snapToGrid w:val="0"/>
        <w:spacing w:line="360" w:lineRule="auto"/>
        <w:ind w:firstLine="420" w:firstLineChars="200"/>
        <w:jc w:val="left"/>
        <w:rPr>
          <w:rFonts w:cs="Arial" w:asciiTheme="minorEastAsia" w:hAnsiTheme="minorEastAsia" w:eastAsiaTheme="minorEastAsia"/>
          <w:color w:val="auto"/>
          <w:szCs w:val="21"/>
        </w:rPr>
      </w:pPr>
      <w:r>
        <w:rPr>
          <w:rFonts w:cs="Arial" w:asciiTheme="minorEastAsia" w:hAnsiTheme="minorEastAsia" w:eastAsiaTheme="minorEastAsia"/>
          <w:color w:val="auto"/>
          <w:szCs w:val="21"/>
        </w:rPr>
        <w:t>本项目不允许转包</w:t>
      </w:r>
      <w:r>
        <w:rPr>
          <w:rFonts w:hint="eastAsia" w:cs="Arial" w:asciiTheme="minorEastAsia" w:hAnsiTheme="minorEastAsia" w:eastAsiaTheme="minorEastAsia"/>
          <w:color w:val="auto"/>
          <w:szCs w:val="21"/>
        </w:rPr>
        <w:t>。</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10.分包</w:t>
      </w:r>
    </w:p>
    <w:p>
      <w:pPr>
        <w:snapToGrid w:val="0"/>
        <w:spacing w:line="360" w:lineRule="auto"/>
        <w:ind w:firstLine="420" w:firstLineChars="200"/>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本项目经采购人同意后，非关键、非主体工作内容允许分包。</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11.</w:t>
      </w:r>
      <w:r>
        <w:rPr>
          <w:rFonts w:cs="宋体" w:asciiTheme="minorEastAsia" w:hAnsiTheme="minorEastAsia" w:eastAsiaTheme="minorEastAsia"/>
          <w:b/>
          <w:color w:val="auto"/>
          <w:kern w:val="0"/>
          <w:szCs w:val="21"/>
        </w:rPr>
        <w:t>质疑和投诉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color w:val="auto"/>
          <w:szCs w:val="21"/>
        </w:rPr>
        <w:t>11.1投标人认为招标文件、招标过程和中标结果使自己的权益受到损害的，可以在知道或者应知其权益受到损害之日起七个工作日内，以书面形式向采购人</w:t>
      </w:r>
      <w:r>
        <w:rPr>
          <w:rFonts w:hint="eastAsia" w:cs="Arial" w:asciiTheme="minorEastAsia" w:hAnsiTheme="minorEastAsia" w:eastAsiaTheme="minorEastAsia"/>
          <w:szCs w:val="21"/>
        </w:rPr>
        <w:t>或其委托的采购代理机构提出质疑。</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11</w:t>
      </w:r>
      <w:r>
        <w:rPr>
          <w:rFonts w:hint="eastAsia" w:asciiTheme="minorEastAsia" w:hAnsiTheme="minorEastAsia" w:eastAsiaTheme="minorEastAsia"/>
          <w:szCs w:val="21"/>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11.5</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均须</w:t>
      </w:r>
      <w:r>
        <w:rPr>
          <w:rFonts w:cs="Arial" w:asciiTheme="minorEastAsia" w:hAnsiTheme="minorEastAsia" w:eastAsiaTheme="minorEastAsia"/>
          <w:szCs w:val="21"/>
        </w:rPr>
        <w:t>采用书面形式，质疑、投诉</w:t>
      </w:r>
      <w:r>
        <w:rPr>
          <w:rFonts w:hint="eastAsia" w:cs="Arial" w:asciiTheme="minorEastAsia" w:hAnsiTheme="minorEastAsia" w:eastAsiaTheme="minorEastAsia"/>
          <w:szCs w:val="21"/>
        </w:rPr>
        <w:t>资料</w:t>
      </w:r>
      <w:r>
        <w:rPr>
          <w:rFonts w:cs="Arial" w:asciiTheme="minorEastAsia" w:hAnsiTheme="minorEastAsia" w:eastAsiaTheme="minorEastAsia"/>
          <w:szCs w:val="21"/>
        </w:rPr>
        <w:t>均应明确阐述</w:t>
      </w:r>
      <w:r>
        <w:rPr>
          <w:rFonts w:hint="eastAsia" w:cs="Arial" w:asciiTheme="minorEastAsia" w:hAnsiTheme="minorEastAsia" w:eastAsiaTheme="minorEastAsia"/>
          <w:szCs w:val="21"/>
        </w:rPr>
        <w:t>自身</w:t>
      </w:r>
      <w:r>
        <w:rPr>
          <w:rFonts w:cs="Arial" w:asciiTheme="minorEastAsia" w:hAnsiTheme="minorEastAsia" w:eastAsiaTheme="minorEastAsia"/>
          <w:szCs w:val="21"/>
        </w:rPr>
        <w:t>合法权益受到损害的实质性内容，提供相关事实、依据和证据及其来源或线索，便于调查、答复和处理</w:t>
      </w:r>
      <w:r>
        <w:rPr>
          <w:rFonts w:hint="eastAsia" w:cs="Arial" w:asciiTheme="minorEastAsia" w:hAnsiTheme="minorEastAsia" w:eastAsiaTheme="minorEastAsia"/>
          <w:szCs w:val="21"/>
        </w:rPr>
        <w:t>，</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文件具体格式要求详见《第七章  政府采购供应商质疑函及投诉书格式》。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12.信用记录查询及使用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12.1</w:t>
      </w:r>
      <w:r>
        <w:rPr>
          <w:rFonts w:asciiTheme="minorEastAsia" w:hAnsiTheme="minorEastAsia" w:eastAsiaTheme="minorEastAsia"/>
          <w:sz w:val="21"/>
          <w:szCs w:val="21"/>
        </w:rPr>
        <w:t>投标人信用信息查询渠道</w:t>
      </w:r>
      <w:r>
        <w:rPr>
          <w:rFonts w:hint="eastAsia" w:asciiTheme="minorEastAsia" w:hAnsiTheme="minorEastAsia" w:eastAsiaTheme="minorEastAsia"/>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12.2</w:t>
      </w:r>
      <w:r>
        <w:rPr>
          <w:rFonts w:asciiTheme="minorEastAsia" w:hAnsiTheme="minorEastAsia" w:eastAsiaTheme="minorEastAsia"/>
          <w:sz w:val="21"/>
          <w:szCs w:val="21"/>
        </w:rPr>
        <w:t>信息查询截止时点</w:t>
      </w:r>
      <w:r>
        <w:rPr>
          <w:rFonts w:hint="eastAsia" w:asciiTheme="minorEastAsia" w:hAnsiTheme="minorEastAsia" w:eastAsiaTheme="minorEastAsia"/>
          <w:sz w:val="21"/>
          <w:szCs w:val="21"/>
        </w:rPr>
        <w:t>：投标截止时间后至评审结束前。</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工作人员将查询网页打印、签字并与其他采购文件一并存档备查。</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投标人不良信用记录以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40"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招标文件规定</w:t>
      </w:r>
      <w:r>
        <w:rPr>
          <w:rFonts w:hint="eastAsia" w:asciiTheme="minorEastAsia" w:hAnsiTheme="minorEastAsia" w:eastAsiaTheme="minorEastAsia"/>
          <w:sz w:val="21"/>
          <w:szCs w:val="21"/>
        </w:rPr>
        <w:t>的查询时间之外，网站信息发生的任何变更均不作为资格审查依据。</w:t>
      </w:r>
      <w:bookmarkEnd w:id="40"/>
      <w:r>
        <w:rPr>
          <w:rFonts w:hint="eastAsia" w:asciiTheme="minorEastAsia" w:hAnsiTheme="minorEastAsia" w:eastAsiaTheme="minorEastAsia"/>
          <w:sz w:val="21"/>
          <w:szCs w:val="21"/>
        </w:rPr>
        <w:t>投标人自行提供的网站查询结果材料亦不作为资格审查依据。</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以联合体形式参加投标的，联合体任何成员存在以上不良信用记录的，联合体投标将被认定为</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13.政府采购信息发布媒体</w:t>
      </w:r>
    </w:p>
    <w:p>
      <w:pPr>
        <w:pStyle w:val="20"/>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详见第一章（投标邀请）。</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14.</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14.3</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代理服务费收款账户信息：</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开户银行：宁波银行海曙支行</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户名：宁波名诚招标代理有限公司</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账号：20010122000443166</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15.其他</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15.1招标文件的标题和序号只是为了查阅方便，不影响对招标文件的理解。</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15.3招标文件要求携带原件备查的资料，如果该资料可以通过互联网或者相关信息系统查询的，投标人能够当场提供账号、网址等进行查询、核实资料真伪及有关数据的，视同提供了原件。</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二</w:t>
      </w:r>
      <w:r>
        <w:rPr>
          <w:rFonts w:hint="eastAsia" w:asciiTheme="minorEastAsia" w:hAnsiTheme="minorEastAsia" w:eastAsiaTheme="minorEastAsia"/>
          <w:b/>
          <w:sz w:val="21"/>
          <w:szCs w:val="21"/>
        </w:rPr>
        <w:t>、招标</w:t>
      </w:r>
      <w:r>
        <w:rPr>
          <w:rFonts w:asciiTheme="minorEastAsia" w:hAnsiTheme="minorEastAsia" w:eastAsiaTheme="minorEastAsia"/>
          <w:b/>
          <w:sz w:val="21"/>
          <w:szCs w:val="21"/>
        </w:rPr>
        <w:t>文件</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16.招标文件的编制依据与构成</w:t>
      </w:r>
    </w:p>
    <w:p>
      <w:pPr>
        <w:pStyle w:val="24"/>
        <w:snapToGrid w:val="0"/>
        <w:spacing w:beforeLines="0" w:afterLines="0" w:line="360" w:lineRule="auto"/>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16.1本招标文件根据《中华人民共和国政府采购法》《中华人民共和国政府采购法实施条例》《政府采购货物和服务招标投标管理办法》等政府采购法律法规的规定编制。</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16.2本项目要求提供的服务及伴随的货物和工程、招标过程和合同条件在招标文件中均有说明。</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16.3招标文件以中文文字编写，共七章。由下列文件以及在招标过程中发出的澄清或修改文件和补充文件组成，内容如下：</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第一章  投标邀请</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第二章  </w:t>
      </w:r>
      <w:r>
        <w:rPr>
          <w:rFonts w:asciiTheme="minorEastAsia" w:hAnsiTheme="minorEastAsia" w:eastAsiaTheme="minorEastAsia"/>
          <w:sz w:val="21"/>
          <w:szCs w:val="21"/>
        </w:rPr>
        <w:t>采购需求</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第三章  </w:t>
      </w:r>
      <w:r>
        <w:rPr>
          <w:rFonts w:asciiTheme="minorEastAsia" w:hAnsiTheme="minorEastAsia" w:eastAsiaTheme="minorEastAsia"/>
          <w:sz w:val="21"/>
          <w:szCs w:val="21"/>
        </w:rPr>
        <w:t>投标人须知</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第四章  </w:t>
      </w:r>
      <w:r>
        <w:rPr>
          <w:rFonts w:asciiTheme="minorEastAsia" w:hAnsiTheme="minorEastAsia" w:eastAsiaTheme="minorEastAsia"/>
          <w:sz w:val="21"/>
          <w:szCs w:val="21"/>
        </w:rPr>
        <w:t>评标</w:t>
      </w:r>
      <w:r>
        <w:rPr>
          <w:rFonts w:hint="eastAsia" w:asciiTheme="minorEastAsia" w:hAnsiTheme="minorEastAsia" w:eastAsiaTheme="minorEastAsia"/>
          <w:sz w:val="21"/>
          <w:szCs w:val="21"/>
        </w:rPr>
        <w:t>方法</w:t>
      </w:r>
      <w:r>
        <w:rPr>
          <w:rFonts w:asciiTheme="minorEastAsia" w:hAnsiTheme="minorEastAsia" w:eastAsiaTheme="minorEastAsia"/>
          <w:sz w:val="21"/>
          <w:szCs w:val="21"/>
        </w:rPr>
        <w:t>及</w:t>
      </w:r>
      <w:r>
        <w:rPr>
          <w:rFonts w:hint="eastAsia" w:asciiTheme="minorEastAsia" w:hAnsiTheme="minorEastAsia" w:eastAsiaTheme="minorEastAsia"/>
          <w:sz w:val="21"/>
          <w:szCs w:val="21"/>
        </w:rPr>
        <w:t>评标</w:t>
      </w:r>
      <w:r>
        <w:rPr>
          <w:rFonts w:asciiTheme="minorEastAsia" w:hAnsiTheme="minorEastAsia" w:eastAsiaTheme="minorEastAsia"/>
          <w:sz w:val="21"/>
          <w:szCs w:val="21"/>
        </w:rPr>
        <w:t>标准</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第五章  </w:t>
      </w:r>
      <w:r>
        <w:rPr>
          <w:rFonts w:asciiTheme="minorEastAsia" w:hAnsiTheme="minorEastAsia" w:eastAsiaTheme="minorEastAsia"/>
          <w:sz w:val="21"/>
          <w:szCs w:val="21"/>
        </w:rPr>
        <w:t>合同文本</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第六章  </w:t>
      </w:r>
      <w:r>
        <w:rPr>
          <w:rFonts w:asciiTheme="minorEastAsia" w:hAnsiTheme="minorEastAsia" w:eastAsiaTheme="minorEastAsia"/>
          <w:sz w:val="21"/>
          <w:szCs w:val="21"/>
        </w:rPr>
        <w:t>投标文件格式</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第七章  政府采购供应商质疑函及投诉书范本</w:t>
      </w:r>
    </w:p>
    <w:p>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17.招标文件的询问、澄清和修改</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w:t>
      </w: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询问</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投标人</w:t>
      </w:r>
      <w:r>
        <w:rPr>
          <w:rFonts w:hint="eastAsia" w:asciiTheme="minorEastAsia" w:hAnsiTheme="minorEastAsia" w:eastAsiaTheme="minorEastAsia"/>
          <w:bCs/>
          <w:sz w:val="21"/>
          <w:szCs w:val="21"/>
        </w:rPr>
        <w:t>对招标文件有疑问，可以向</w:t>
      </w:r>
      <w:r>
        <w:rPr>
          <w:rFonts w:hint="eastAsia" w:asciiTheme="minorEastAsia" w:hAnsiTheme="minorEastAsia" w:eastAsiaTheme="minorEastAsia"/>
          <w:sz w:val="21"/>
          <w:szCs w:val="21"/>
        </w:rPr>
        <w:t>采购人或采购代理机构</w:t>
      </w:r>
      <w:r>
        <w:rPr>
          <w:rFonts w:hint="eastAsia" w:asciiTheme="minorEastAsia" w:hAnsiTheme="minorEastAsia" w:eastAsiaTheme="minorEastAsia"/>
          <w:bCs/>
          <w:sz w:val="21"/>
          <w:szCs w:val="21"/>
        </w:rPr>
        <w:t>询问，</w:t>
      </w:r>
      <w:r>
        <w:rPr>
          <w:rFonts w:hint="eastAsia" w:asciiTheme="minorEastAsia" w:hAnsiTheme="minorEastAsia" w:eastAsiaTheme="minorEastAsia"/>
          <w:sz w:val="21"/>
          <w:szCs w:val="21"/>
        </w:rPr>
        <w:t>采购人或采购代理机构将依法</w:t>
      </w:r>
      <w:r>
        <w:rPr>
          <w:rFonts w:hint="eastAsia" w:asciiTheme="minorEastAsia" w:hAnsiTheme="minorEastAsia" w:eastAsiaTheme="minorEastAsia"/>
          <w:bCs/>
          <w:sz w:val="21"/>
          <w:szCs w:val="21"/>
        </w:rPr>
        <w:t>对潜在投标人</w:t>
      </w:r>
      <w:r>
        <w:rPr>
          <w:rFonts w:hint="eastAsia" w:asciiTheme="minorEastAsia" w:hAnsiTheme="minorEastAsia" w:eastAsiaTheme="minorEastAsia"/>
          <w:sz w:val="21"/>
          <w:szCs w:val="21"/>
        </w:rPr>
        <w:t>的询问作出答复。</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17.2澄清和修改</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可以</w:t>
      </w:r>
      <w:r>
        <w:rPr>
          <w:rFonts w:hint="eastAsia" w:asciiTheme="minorEastAsia" w:hAnsiTheme="minorEastAsia" w:eastAsiaTheme="minorEastAsia"/>
          <w:bCs/>
          <w:sz w:val="21"/>
          <w:szCs w:val="21"/>
        </w:rPr>
        <w:t>主动的或在解答投标人提出的问题时</w:t>
      </w:r>
      <w:r>
        <w:rPr>
          <w:rFonts w:asciiTheme="minorEastAsia" w:hAnsiTheme="minorEastAsia" w:eastAsiaTheme="minorEastAsia"/>
          <w:bCs/>
          <w:sz w:val="21"/>
          <w:szCs w:val="21"/>
        </w:rPr>
        <w:t>对已发出的招标文件进行必要的澄清或者修改。澄清或者修改</w:t>
      </w:r>
      <w:r>
        <w:rPr>
          <w:rFonts w:hint="eastAsia" w:asciiTheme="minorEastAsia" w:hAnsiTheme="minorEastAsia" w:eastAsiaTheme="minorEastAsia"/>
          <w:bCs/>
          <w:sz w:val="21"/>
          <w:szCs w:val="21"/>
        </w:rPr>
        <w:t>将</w:t>
      </w:r>
      <w:r>
        <w:rPr>
          <w:rFonts w:asciiTheme="minorEastAsia" w:hAnsiTheme="minorEastAsia" w:eastAsiaTheme="minorEastAsia"/>
          <w:bCs/>
          <w:sz w:val="21"/>
          <w:szCs w:val="21"/>
        </w:rPr>
        <w:t>在原</w:t>
      </w:r>
      <w:r>
        <w:rPr>
          <w:rFonts w:hint="eastAsia" w:asciiTheme="minorEastAsia" w:hAnsiTheme="minorEastAsia" w:eastAsiaTheme="minorEastAsia"/>
          <w:bCs/>
          <w:sz w:val="21"/>
          <w:szCs w:val="21"/>
        </w:rPr>
        <w:t>招标</w:t>
      </w:r>
      <w:r>
        <w:rPr>
          <w:rFonts w:asciiTheme="minorEastAsia" w:hAnsiTheme="minorEastAsia" w:eastAsiaTheme="minorEastAsia"/>
          <w:bCs/>
          <w:sz w:val="21"/>
          <w:szCs w:val="21"/>
        </w:rPr>
        <w:t>公告发布媒体发布</w:t>
      </w:r>
      <w:r>
        <w:rPr>
          <w:rFonts w:hint="eastAsia" w:asciiTheme="minorEastAsia" w:hAnsiTheme="minorEastAsia" w:eastAsiaTheme="minorEastAsia"/>
          <w:bCs/>
          <w:sz w:val="21"/>
          <w:szCs w:val="21"/>
        </w:rPr>
        <w:t>更正</w:t>
      </w:r>
      <w:r>
        <w:rPr>
          <w:rFonts w:asciiTheme="minorEastAsia" w:hAnsiTheme="minorEastAsia" w:eastAsiaTheme="minorEastAsia"/>
          <w:bCs/>
          <w:sz w:val="21"/>
          <w:szCs w:val="21"/>
        </w:rPr>
        <w:t>公告</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澄清或者修改的内容为招标文件的组成部分</w:t>
      </w:r>
      <w:r>
        <w:rPr>
          <w:rFonts w:hint="eastAsia" w:asciiTheme="minorEastAsia" w:hAnsiTheme="minorEastAsia" w:eastAsiaTheme="minorEastAsia"/>
          <w:bCs/>
          <w:sz w:val="21"/>
          <w:szCs w:val="21"/>
        </w:rPr>
        <w:t>，对投标人起约束作用</w:t>
      </w:r>
      <w:r>
        <w:rPr>
          <w:rFonts w:asciiTheme="minorEastAsia" w:hAnsiTheme="minorEastAsia" w:eastAsiaTheme="minorEastAsia"/>
          <w:bCs/>
          <w:sz w:val="21"/>
          <w:szCs w:val="21"/>
        </w:rPr>
        <w:t>。</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（2）潜在</w:t>
      </w:r>
      <w:r>
        <w:rPr>
          <w:rFonts w:asciiTheme="minorEastAsia" w:hAnsiTheme="minorEastAsia" w:eastAsiaTheme="minorEastAsia"/>
          <w:bCs/>
          <w:sz w:val="21"/>
          <w:szCs w:val="21"/>
        </w:rPr>
        <w:t>投标人在收到书面形式通知后，</w:t>
      </w:r>
      <w:r>
        <w:rPr>
          <w:rFonts w:hint="eastAsia" w:asciiTheme="minorEastAsia" w:hAnsiTheme="minorEastAsia" w:eastAsiaTheme="minorEastAsia"/>
          <w:bCs/>
          <w:sz w:val="21"/>
          <w:szCs w:val="21"/>
        </w:rPr>
        <w:t>认为</w:t>
      </w:r>
      <w:r>
        <w:rPr>
          <w:rFonts w:asciiTheme="minorEastAsia" w:hAnsiTheme="minorEastAsia" w:eastAsiaTheme="minorEastAsia"/>
          <w:bCs/>
          <w:sz w:val="21"/>
          <w:szCs w:val="21"/>
        </w:rPr>
        <w:t>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影响投标文件编制</w:t>
      </w:r>
      <w:r>
        <w:rPr>
          <w:rFonts w:hint="eastAsia" w:asciiTheme="minorEastAsia" w:hAnsiTheme="minorEastAsia" w:eastAsiaTheme="minorEastAsia"/>
          <w:bCs/>
          <w:sz w:val="21"/>
          <w:szCs w:val="21"/>
        </w:rPr>
        <w:t>的</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应当</w:t>
      </w:r>
      <w:r>
        <w:rPr>
          <w:rFonts w:asciiTheme="minorEastAsia" w:hAnsiTheme="minorEastAsia" w:eastAsiaTheme="minorEastAsia"/>
          <w:bCs/>
          <w:sz w:val="21"/>
          <w:szCs w:val="21"/>
        </w:rPr>
        <w:t>在收到</w:t>
      </w:r>
      <w:r>
        <w:rPr>
          <w:rFonts w:hint="eastAsia" w:asciiTheme="minorEastAsia" w:hAnsiTheme="minorEastAsia" w:eastAsiaTheme="minorEastAsia"/>
          <w:bCs/>
          <w:sz w:val="21"/>
          <w:szCs w:val="21"/>
        </w:rPr>
        <w:t>书面通知</w:t>
      </w:r>
      <w:r>
        <w:rPr>
          <w:rFonts w:asciiTheme="minorEastAsia" w:hAnsiTheme="minorEastAsia" w:eastAsiaTheme="minorEastAsia"/>
          <w:bCs/>
          <w:sz w:val="21"/>
          <w:szCs w:val="21"/>
        </w:rPr>
        <w:t>后</w:t>
      </w:r>
      <w:r>
        <w:rPr>
          <w:rFonts w:hint="eastAsia" w:asciiTheme="minorEastAsia" w:hAnsiTheme="minorEastAsia" w:eastAsiaTheme="minorEastAsia"/>
          <w:bCs/>
          <w:sz w:val="21"/>
          <w:szCs w:val="21"/>
        </w:rPr>
        <w:t>及时</w:t>
      </w:r>
      <w:r>
        <w:rPr>
          <w:rFonts w:asciiTheme="minorEastAsia" w:hAnsiTheme="minorEastAsia" w:eastAsiaTheme="minorEastAsia"/>
          <w:bCs/>
          <w:sz w:val="21"/>
          <w:szCs w:val="21"/>
        </w:rPr>
        <w:t>将</w:t>
      </w:r>
      <w:r>
        <w:rPr>
          <w:rFonts w:hint="eastAsia" w:asciiTheme="minorEastAsia" w:hAnsiTheme="minorEastAsia" w:eastAsiaTheme="minorEastAsia"/>
          <w:bCs/>
          <w:sz w:val="21"/>
          <w:szCs w:val="21"/>
        </w:rPr>
        <w:t>有关</w:t>
      </w:r>
      <w:r>
        <w:rPr>
          <w:rFonts w:asciiTheme="minorEastAsia" w:hAnsiTheme="minorEastAsia" w:eastAsiaTheme="minorEastAsia"/>
          <w:bCs/>
          <w:sz w:val="21"/>
          <w:szCs w:val="21"/>
        </w:rPr>
        <w:t>意见以书面形式向</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提出，否则，</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视</w:t>
      </w:r>
      <w:r>
        <w:rPr>
          <w:rFonts w:hint="eastAsia" w:asciiTheme="minorEastAsia" w:hAnsiTheme="minorEastAsia" w:eastAsiaTheme="minorEastAsia"/>
          <w:bCs/>
          <w:sz w:val="21"/>
          <w:szCs w:val="21"/>
        </w:rPr>
        <w:t>为潜在</w:t>
      </w:r>
      <w:r>
        <w:rPr>
          <w:rFonts w:asciiTheme="minorEastAsia" w:hAnsiTheme="minorEastAsia" w:eastAsiaTheme="minorEastAsia"/>
          <w:bCs/>
          <w:sz w:val="21"/>
          <w:szCs w:val="21"/>
        </w:rPr>
        <w:t>投标人完全接受澄清或者修改的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rFonts w:asciiTheme="minorEastAsia" w:hAnsiTheme="minorEastAsia" w:eastAsiaTheme="minorEastAsia"/>
          <w:bCs/>
          <w:sz w:val="21"/>
          <w:szCs w:val="21"/>
        </w:rPr>
        <w:t>影响</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文件编制。</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（3）潜在</w:t>
      </w:r>
      <w:r>
        <w:rPr>
          <w:rFonts w:asciiTheme="minorEastAsia" w:hAnsiTheme="minorEastAsia" w:eastAsiaTheme="minorEastAsia"/>
          <w:bCs/>
          <w:sz w:val="21"/>
          <w:szCs w:val="21"/>
        </w:rPr>
        <w:t>投标人要求澄清</w:t>
      </w:r>
      <w:r>
        <w:rPr>
          <w:rFonts w:hint="eastAsia" w:asciiTheme="minorEastAsia" w:hAnsiTheme="minorEastAsia" w:eastAsiaTheme="minorEastAsia"/>
          <w:bCs/>
          <w:sz w:val="21"/>
          <w:szCs w:val="21"/>
        </w:rPr>
        <w:t>和回复的书面材料</w:t>
      </w:r>
      <w:r>
        <w:rPr>
          <w:rFonts w:asciiTheme="minorEastAsia" w:hAnsiTheme="minorEastAsia" w:eastAsiaTheme="minorEastAsia"/>
          <w:bCs/>
          <w:sz w:val="21"/>
          <w:szCs w:val="21"/>
        </w:rPr>
        <w:t>应加盖单位公章</w:t>
      </w:r>
      <w:r>
        <w:rPr>
          <w:rFonts w:hint="eastAsia" w:asciiTheme="minorEastAsia" w:hAnsiTheme="minorEastAsia" w:eastAsiaTheme="minorEastAsia"/>
          <w:bCs/>
          <w:sz w:val="21"/>
          <w:szCs w:val="21"/>
        </w:rPr>
        <w:t>并注明</w:t>
      </w:r>
      <w:r>
        <w:rPr>
          <w:rFonts w:asciiTheme="minorEastAsia" w:hAnsiTheme="minorEastAsia" w:eastAsiaTheme="minorEastAsia"/>
          <w:bCs/>
          <w:sz w:val="21"/>
          <w:szCs w:val="21"/>
        </w:rPr>
        <w:t>日期。</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当招标文件与</w:t>
      </w:r>
      <w:r>
        <w:rPr>
          <w:rFonts w:hint="eastAsia" w:asciiTheme="minorEastAsia" w:hAnsiTheme="minorEastAsia" w:eastAsiaTheme="minorEastAsia"/>
          <w:bCs/>
          <w:sz w:val="21"/>
          <w:szCs w:val="21"/>
        </w:rPr>
        <w:t>补充文件（包含</w:t>
      </w:r>
      <w:r>
        <w:rPr>
          <w:rFonts w:asciiTheme="minorEastAsia" w:hAnsiTheme="minorEastAsia" w:eastAsiaTheme="minorEastAsia"/>
          <w:bCs/>
          <w:sz w:val="21"/>
          <w:szCs w:val="21"/>
        </w:rPr>
        <w:t>澄清或修改</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就同一内容的表述不一致时，以最后发出的</w:t>
      </w:r>
      <w:r>
        <w:rPr>
          <w:rFonts w:hint="eastAsia" w:asciiTheme="minorEastAsia" w:hAnsiTheme="minorEastAsia" w:eastAsiaTheme="minorEastAsia"/>
          <w:bCs/>
          <w:sz w:val="21"/>
          <w:szCs w:val="21"/>
        </w:rPr>
        <w:t>补充</w:t>
      </w:r>
      <w:r>
        <w:rPr>
          <w:rFonts w:asciiTheme="minorEastAsia" w:hAnsiTheme="minorEastAsia" w:eastAsiaTheme="minorEastAsia"/>
          <w:bCs/>
          <w:sz w:val="21"/>
          <w:szCs w:val="21"/>
        </w:rPr>
        <w:t>文件为准。</w:t>
      </w:r>
    </w:p>
    <w:p>
      <w:pPr>
        <w:pStyle w:val="24"/>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（5）潜在投标人必须保证获取招标文件时提供资料的真实、准确，并确保联系方式的畅通，否则，由此导致采购人或采购代理机构无法及时通知有关事项造成的后果由投标人自行承担。</w:t>
      </w:r>
    </w:p>
    <w:p>
      <w:pPr>
        <w:pStyle w:val="24"/>
        <w:snapToGrid w:val="0"/>
        <w:spacing w:beforeLines="0" w:afterLines="0"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18.现场考察及标前答疑会</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18.1采购代理机构可以在招标文件提供期限截止后，组织已获取招标文件的潜在投标人现场考察或者召开开标前答疑会。</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18.2招标文件中未载明现场考察或者召开开标前答疑会的，在招标文件提供期限截止后以书面形式通知所有获取招标文件的潜在投标人。</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18.3</w:t>
      </w:r>
      <w:r>
        <w:rPr>
          <w:rFonts w:asciiTheme="minorEastAsia" w:hAnsiTheme="minorEastAsia" w:eastAsiaTheme="minorEastAsia"/>
          <w:sz w:val="21"/>
          <w:szCs w:val="21"/>
        </w:rPr>
        <w:t>潜在投标人</w:t>
      </w:r>
      <w:r>
        <w:rPr>
          <w:rFonts w:hint="eastAsia" w:asciiTheme="minorEastAsia" w:hAnsiTheme="minorEastAsia" w:eastAsiaTheme="minorEastAsia"/>
          <w:sz w:val="21"/>
          <w:szCs w:val="21"/>
        </w:rPr>
        <w:t>应当在通知的时间准时参加现场考察或答疑会，否则自行承担未及时参加造成的后果。</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18.4除采购人的原因外，投标人自行负责现场考察或参加开标前答疑会造成的自身或第三人的人身伤害、财产损失或损坏的责任。</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三、投标文件的编制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19.投标范围</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.1项目有</w:t>
      </w:r>
      <w:r>
        <w:rPr>
          <w:rFonts w:hint="eastAsia" w:asciiTheme="minorEastAsia" w:hAnsiTheme="minorEastAsia" w:eastAsiaTheme="minorEastAsia"/>
          <w:szCs w:val="21"/>
        </w:rPr>
        <w:t>多个标包</w:t>
      </w:r>
      <w:r>
        <w:rPr>
          <w:rFonts w:asciiTheme="minorEastAsia" w:hAnsiTheme="minorEastAsia" w:eastAsiaTheme="minorEastAsia"/>
          <w:szCs w:val="21"/>
        </w:rPr>
        <w:t>的，投标人</w:t>
      </w:r>
      <w:r>
        <w:rPr>
          <w:rFonts w:hint="eastAsia" w:asciiTheme="minorEastAsia" w:hAnsiTheme="minorEastAsia" w:eastAsiaTheme="minorEastAsia"/>
          <w:szCs w:val="21"/>
        </w:rPr>
        <w:t>可以</w:t>
      </w:r>
      <w:r>
        <w:rPr>
          <w:rFonts w:asciiTheme="minorEastAsia" w:hAnsiTheme="minorEastAsia" w:eastAsiaTheme="minorEastAsia"/>
          <w:szCs w:val="21"/>
        </w:rPr>
        <w:t>对招标文件其中某一个或几个</w:t>
      </w:r>
      <w:r>
        <w:rPr>
          <w:rFonts w:hint="eastAsia" w:asciiTheme="minorEastAsia" w:hAnsiTheme="minorEastAsia" w:eastAsiaTheme="minorEastAsia"/>
          <w:szCs w:val="21"/>
        </w:rPr>
        <w:t>标包</w:t>
      </w:r>
      <w:r>
        <w:rPr>
          <w:rFonts w:asciiTheme="minorEastAsia" w:hAnsiTheme="minorEastAsia" w:eastAsiaTheme="minorEastAsia"/>
          <w:szCs w:val="21"/>
        </w:rPr>
        <w:t>进行投标。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.2投标人应当对所投</w:t>
      </w:r>
      <w:r>
        <w:rPr>
          <w:rFonts w:hint="eastAsia" w:asciiTheme="minorEastAsia" w:hAnsiTheme="minorEastAsia" w:eastAsiaTheme="minorEastAsia"/>
          <w:szCs w:val="21"/>
        </w:rPr>
        <w:t>标包的“采购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内容进行投标，如仅响应</w:t>
      </w:r>
      <w:r>
        <w:rPr>
          <w:rFonts w:hint="eastAsia" w:asciiTheme="minorEastAsia" w:hAnsiTheme="minorEastAsia" w:eastAsiaTheme="minorEastAsia"/>
          <w:szCs w:val="21"/>
        </w:rPr>
        <w:t>所投标包</w:t>
      </w:r>
      <w:r>
        <w:rPr>
          <w:rFonts w:asciiTheme="minorEastAsia" w:hAnsiTheme="minorEastAsia" w:eastAsiaTheme="minorEastAsia"/>
          <w:szCs w:val="21"/>
        </w:rPr>
        <w:t>中的部分内容，其</w:t>
      </w:r>
      <w:r>
        <w:rPr>
          <w:rFonts w:hint="eastAsia" w:asciiTheme="minorEastAsia" w:hAnsiTheme="minorEastAsia" w:eastAsiaTheme="minorEastAsia"/>
          <w:szCs w:val="21"/>
        </w:rPr>
        <w:t>对该标包的</w:t>
      </w:r>
      <w:r>
        <w:rPr>
          <w:rFonts w:asciiTheme="minorEastAsia" w:hAnsiTheme="minorEastAsia" w:eastAsiaTheme="minorEastAsia"/>
          <w:szCs w:val="21"/>
        </w:rPr>
        <w:t>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20.投标文件中标准和计量单位的使用</w:t>
      </w:r>
    </w:p>
    <w:p>
      <w:pPr>
        <w:spacing w:line="360" w:lineRule="auto"/>
        <w:ind w:firstLine="435"/>
        <w:rPr>
          <w:rFonts w:asciiTheme="minorEastAsia" w:hAnsiTheme="minorEastAsia" w:eastAsiaTheme="minorEastAsia"/>
          <w:szCs w:val="21"/>
        </w:rPr>
      </w:pPr>
      <w:bookmarkStart w:id="41" w:name="_Hlk16458980"/>
      <w:r>
        <w:rPr>
          <w:rFonts w:hint="eastAsia" w:asciiTheme="minorEastAsia" w:hAnsiTheme="minorEastAsia" w:eastAsiaTheme="minorEastAsia"/>
          <w:szCs w:val="21"/>
        </w:rPr>
        <w:t>20.1</w:t>
      </w:r>
      <w:r>
        <w:rPr>
          <w:rFonts w:asciiTheme="minorEastAsia" w:hAnsiTheme="minorEastAsia" w:eastAsiaTheme="minorEastAsia"/>
          <w:szCs w:val="21"/>
        </w:rPr>
        <w:t>无论招标文件中是否要求，</w:t>
      </w:r>
      <w:r>
        <w:rPr>
          <w:rFonts w:hint="eastAsia" w:asciiTheme="minorEastAsia" w:hAnsiTheme="minorEastAsia" w:eastAsiaTheme="minorEastAsia"/>
          <w:szCs w:val="21"/>
        </w:rPr>
        <w:t>投标人所投服务及伴随的货物和工程均应符合国家强制性标准。</w:t>
      </w:r>
    </w:p>
    <w:bookmarkEnd w:id="41"/>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投标人与采购</w:t>
      </w:r>
      <w:r>
        <w:rPr>
          <w:rFonts w:hint="eastAsia" w:asciiTheme="minorEastAsia" w:hAnsiTheme="minorEastAsia" w:eastAsiaTheme="minorEastAsia"/>
          <w:sz w:val="21"/>
          <w:szCs w:val="21"/>
        </w:rPr>
        <w:t>代理</w:t>
      </w:r>
      <w:r>
        <w:rPr>
          <w:rFonts w:asciiTheme="minorEastAsia" w:hAnsiTheme="minorEastAsia" w:eastAsiaTheme="minorEastAsia"/>
          <w:sz w:val="21"/>
          <w:szCs w:val="21"/>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sz w:val="21"/>
          <w:szCs w:val="21"/>
        </w:rPr>
        <w:t>，未提供中文译文的视为未提供。</w:t>
      </w:r>
      <w:r>
        <w:rPr>
          <w:rFonts w:asciiTheme="minorEastAsia" w:hAnsiTheme="minorEastAsia" w:eastAsiaTheme="minorEastAsia"/>
          <w:sz w:val="21"/>
          <w:szCs w:val="21"/>
        </w:rPr>
        <w:t>翻译的中文资料与外文资料出现差异时，以中文为准。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20.3</w:t>
      </w:r>
      <w:r>
        <w:rPr>
          <w:rFonts w:asciiTheme="minorEastAsia" w:hAnsiTheme="minorEastAsia" w:eastAsiaTheme="minorEastAsia"/>
          <w:szCs w:val="21"/>
        </w:rPr>
        <w:t>除招标文件中有特殊要求外，投标文件中所使用的计量单位，应采用中华人民共和国法定计量单位。</w:t>
      </w:r>
    </w:p>
    <w:p>
      <w:pPr>
        <w:pStyle w:val="24"/>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21.投标文件的形式</w:t>
      </w:r>
    </w:p>
    <w:p>
      <w:pPr>
        <w:pStyle w:val="24"/>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本项目投标文件采用电子投标文件形式，为在政采云系统上编制生成的电子加密投标文件及其备份投标文件。</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22.投标文件内容的构成</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22.1投标人编写的投标文件应包含资格要求响应文件、商务技术文件和报价要求响应文件。</w:t>
      </w:r>
    </w:p>
    <w:p>
      <w:pPr>
        <w:pStyle w:val="24"/>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23.投标文件的制作</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kern w:val="0"/>
          <w:szCs w:val="21"/>
        </w:rPr>
        <w:t>投标文件的制作应满足以下规定：</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24.投标文件的份数、签署及盖章</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24.1投标文件的份数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投标文件的数量要求详见《投标人须知前附表》。</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24.2投标文件的签署及盖章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（1）招标文件要求签名的应当由投标人的法定代表人或经其正式授权的代表签字或盖章，</w:t>
      </w:r>
      <w:r>
        <w:rPr>
          <w:rFonts w:hint="eastAsia" w:asciiTheme="minorEastAsia" w:hAnsiTheme="minorEastAsia" w:eastAsiaTheme="minorEastAsia"/>
          <w:b/>
          <w:szCs w:val="21"/>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 xml:space="preserve">  </w:t>
      </w:r>
      <w:r>
        <w:rPr>
          <w:rFonts w:cs="Arial" w:asciiTheme="minorEastAsia" w:hAnsiTheme="minorEastAsia" w:eastAsiaTheme="minorEastAsia"/>
          <w:kern w:val="0"/>
          <w:szCs w:val="21"/>
        </w:rPr>
        <w:t>投标文件格式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章处，投标人均应加盖</w:t>
      </w:r>
      <w:r>
        <w:rPr>
          <w:rFonts w:hint="eastAsia" w:cs="Arial" w:asciiTheme="minorEastAsia" w:hAnsiTheme="minorEastAsia" w:eastAsiaTheme="minorEastAsia"/>
          <w:kern w:val="0"/>
          <w:szCs w:val="21"/>
        </w:rPr>
        <w:t>单位公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可使用电子公章在线签章或线下盖单位公章扫描后上传。</w:t>
      </w:r>
      <w:r>
        <w:rPr>
          <w:rFonts w:cs="Arial" w:asciiTheme="minorEastAsia" w:hAnsiTheme="minorEastAsia" w:eastAsiaTheme="minorEastAsia"/>
          <w:kern w:val="0"/>
          <w:szCs w:val="21"/>
        </w:rPr>
        <w:t>联合体投标的，除联合协议</w:t>
      </w:r>
      <w:r>
        <w:rPr>
          <w:rFonts w:hint="eastAsia" w:cs="Arial" w:asciiTheme="minorEastAsia" w:hAnsiTheme="minorEastAsia" w:eastAsiaTheme="minorEastAsia"/>
          <w:kern w:val="0"/>
          <w:szCs w:val="21"/>
        </w:rPr>
        <w:t>及联合体各成员单位提供的本单位证明材料</w:t>
      </w:r>
      <w:r>
        <w:rPr>
          <w:rFonts w:cs="Arial" w:asciiTheme="minorEastAsia" w:hAnsiTheme="minorEastAsia" w:eastAsiaTheme="minorEastAsia"/>
          <w:kern w:val="0"/>
          <w:szCs w:val="21"/>
        </w:rPr>
        <w:t>外，投标文件由联合体牵头人按上述规定加盖联合体牵头人单位</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w:t>
      </w:r>
      <w:r>
        <w:rPr>
          <w:rFonts w:asciiTheme="minorEastAsia" w:hAnsiTheme="minorEastAsia" w:eastAsiaTheme="minorEastAsia"/>
          <w:szCs w:val="21"/>
        </w:rPr>
        <w:t>文件若有错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等必须修改的，修改处应当</w:t>
      </w:r>
      <w:r>
        <w:rPr>
          <w:rFonts w:asciiTheme="minorEastAsia" w:hAnsiTheme="minorEastAsia" w:eastAsiaTheme="minorEastAsia"/>
          <w:szCs w:val="21"/>
        </w:rPr>
        <w:t>加盖</w:t>
      </w:r>
      <w:r>
        <w:rPr>
          <w:rFonts w:hint="eastAsia" w:asciiTheme="minorEastAsia" w:hAnsiTheme="minorEastAsia" w:eastAsiaTheme="minorEastAsia"/>
          <w:szCs w:val="21"/>
        </w:rPr>
        <w:t>投标人</w:t>
      </w:r>
      <w:r>
        <w:rPr>
          <w:rFonts w:asciiTheme="minorEastAsia" w:hAnsiTheme="minorEastAsia" w:eastAsiaTheme="minorEastAsia"/>
          <w:szCs w:val="21"/>
        </w:rPr>
        <w:t>公章或者</w:t>
      </w:r>
      <w:r>
        <w:rPr>
          <w:rFonts w:hint="eastAsia" w:asciiTheme="minorEastAsia" w:hAnsiTheme="minorEastAsia" w:eastAsiaTheme="minorEastAsia"/>
          <w:szCs w:val="21"/>
        </w:rPr>
        <w:t>由投标人的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5</w:t>
      </w:r>
      <w:r>
        <w:rPr>
          <w:rFonts w:asciiTheme="minorEastAsia" w:hAnsiTheme="minorEastAsia" w:eastAsiaTheme="minorEastAsia"/>
          <w:b/>
          <w:szCs w:val="21"/>
        </w:rPr>
        <w:t>.投标报价要求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25.1投标报价的组成：</w:t>
      </w:r>
      <w:r>
        <w:rPr>
          <w:rFonts w:asciiTheme="minorEastAsia" w:hAnsiTheme="minorEastAsia" w:eastAsiaTheme="minorEastAsia"/>
          <w:szCs w:val="21"/>
        </w:rPr>
        <w:t>投标人的报价应当包括满足本次招标全部采购需求所应提供的服务</w:t>
      </w:r>
      <w:r>
        <w:rPr>
          <w:rFonts w:hint="eastAsia" w:asciiTheme="minorEastAsia" w:hAnsiTheme="minorEastAsia" w:eastAsiaTheme="minorEastAsia"/>
          <w:szCs w:val="21"/>
        </w:rPr>
        <w:t>的费用、专家评审费用、招标代理服务费等。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25.2所有投标或结算货币均为人民币，针对本项目的投标报价（包含分项报价）</w:t>
      </w:r>
      <w:r>
        <w:rPr>
          <w:rFonts w:asciiTheme="minorEastAsia" w:hAnsiTheme="minorEastAsia" w:eastAsiaTheme="minorEastAsia"/>
          <w:szCs w:val="21"/>
        </w:rPr>
        <w:t>只允许有一个，</w:t>
      </w:r>
      <w:r>
        <w:rPr>
          <w:rFonts w:hint="eastAsia" w:asciiTheme="minorEastAsia" w:hAnsiTheme="minorEastAsia" w:eastAsiaTheme="minorEastAsia"/>
          <w:szCs w:val="21"/>
        </w:rPr>
        <w:t>不接受</w:t>
      </w:r>
      <w:r>
        <w:rPr>
          <w:rFonts w:asciiTheme="minorEastAsia" w:hAnsiTheme="minorEastAsia" w:eastAsiaTheme="minorEastAsia"/>
          <w:szCs w:val="21"/>
        </w:rPr>
        <w:t>有选择的</w:t>
      </w:r>
      <w:r>
        <w:rPr>
          <w:rFonts w:hint="eastAsia" w:asciiTheme="minorEastAsia" w:hAnsiTheme="minorEastAsia" w:eastAsiaTheme="minorEastAsia"/>
          <w:szCs w:val="21"/>
        </w:rPr>
        <w:t>或有附加条件的投标</w:t>
      </w:r>
      <w:r>
        <w:rPr>
          <w:rFonts w:asciiTheme="minorEastAsia" w:hAnsiTheme="minorEastAsia" w:eastAsiaTheme="minorEastAsia"/>
          <w:szCs w:val="21"/>
        </w:rPr>
        <w:t>报价</w:t>
      </w:r>
      <w:r>
        <w:rPr>
          <w:rFonts w:hint="eastAsia" w:asciiTheme="minorEastAsia" w:hAnsiTheme="minorEastAsia" w:eastAsiaTheme="minorEastAsia"/>
          <w:szCs w:val="21"/>
        </w:rPr>
        <w:t>（包含分项报价）</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w:t>
      </w:r>
      <w:r>
        <w:rPr>
          <w:rFonts w:hint="eastAsia" w:asciiTheme="minorEastAsia" w:hAnsiTheme="minorEastAsia" w:eastAsiaTheme="minorEastAsia"/>
          <w:b/>
          <w:szCs w:val="21"/>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26.投标保证金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本项目无须投标人缴纳投标保证金。</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w:t>
      </w:r>
      <w:r>
        <w:rPr>
          <w:rFonts w:hint="eastAsia" w:asciiTheme="minorEastAsia" w:hAnsiTheme="minorEastAsia" w:eastAsiaTheme="minorEastAsia"/>
          <w:b/>
          <w:szCs w:val="21"/>
        </w:rPr>
        <w:t>27.投标有效期</w:t>
      </w:r>
    </w:p>
    <w:p>
      <w:pPr>
        <w:pStyle w:val="24"/>
        <w:snapToGrid w:val="0"/>
        <w:spacing w:beforeLines="0" w:afterLines="0"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27.1投标有效期为从投标截止之日算起的日历天数，投标有效期详见《</w:t>
      </w:r>
      <w:r>
        <w:rPr>
          <w:rFonts w:hint="eastAsia" w:asciiTheme="minorEastAsia" w:hAnsiTheme="minorEastAsia" w:eastAsiaTheme="minorEastAsia"/>
          <w:sz w:val="21"/>
          <w:szCs w:val="21"/>
          <w:u w:val="single"/>
        </w:rPr>
        <w:t>投标人须知前附表</w:t>
      </w:r>
      <w:r>
        <w:rPr>
          <w:rFonts w:hint="eastAsia" w:asciiTheme="minorEastAsia" w:hAnsiTheme="minorEastAsia" w:eastAsiaTheme="minorEastAsia"/>
          <w:sz w:val="21"/>
          <w:szCs w:val="21"/>
        </w:rPr>
        <w:t>》。</w:t>
      </w:r>
    </w:p>
    <w:p>
      <w:pPr>
        <w:spacing w:line="360" w:lineRule="auto"/>
        <w:ind w:firstLine="435"/>
        <w:rPr>
          <w:rFonts w:asciiTheme="minorEastAsia" w:hAnsiTheme="minorEastAsia" w:eastAsiaTheme="minorEastAsia"/>
          <w:kern w:val="0"/>
          <w:szCs w:val="21"/>
        </w:rPr>
      </w:pPr>
      <w:r>
        <w:rPr>
          <w:rFonts w:hint="eastAsia" w:asciiTheme="minorEastAsia" w:hAnsiTheme="minorEastAsia" w:eastAsiaTheme="minorEastAsia"/>
          <w:kern w:val="0"/>
          <w:szCs w:val="21"/>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kern w:val="0"/>
          <w:szCs w:val="21"/>
        </w:rPr>
        <w:t>投标无效</w:t>
      </w:r>
      <w:r>
        <w:rPr>
          <w:rFonts w:hint="eastAsia" w:asciiTheme="minorEastAsia" w:hAnsiTheme="minorEastAsia" w:eastAsiaTheme="minorEastAsia"/>
          <w:kern w:val="0"/>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四、投标文件的提交</w:t>
      </w:r>
    </w:p>
    <w:p>
      <w:pPr>
        <w:pStyle w:val="24"/>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28.电子加密投标文件的提交</w:t>
      </w:r>
    </w:p>
    <w:p>
      <w:pPr>
        <w:pStyle w:val="24"/>
        <w:snapToGrid w:val="0"/>
        <w:spacing w:beforeLines="0" w:afterLines="0" w:line="360" w:lineRule="auto"/>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投标人应当在投标截止时间前将电子加密投标文件上传至政采云平台，成功上传后，投标人可自行打印投标文件接收回执。</w:t>
      </w:r>
    </w:p>
    <w:p>
      <w:pPr>
        <w:pStyle w:val="24"/>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asciiTheme="minorEastAsia" w:hAnsiTheme="minorEastAsia" w:eastAsiaTheme="minorEastAsia"/>
          <w:b/>
          <w:sz w:val="21"/>
          <w:szCs w:val="21"/>
        </w:rPr>
        <w:t>29.</w:t>
      </w:r>
      <w:r>
        <w:rPr>
          <w:rFonts w:hint="eastAsia" w:cs="宋体" w:asciiTheme="minorEastAsia" w:hAnsiTheme="minorEastAsia" w:eastAsiaTheme="minorEastAsia"/>
          <w:b/>
          <w:sz w:val="21"/>
          <w:szCs w:val="21"/>
        </w:rPr>
        <w:t>备份投标文件的提交</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30.投标截止时间及地点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30.1投标截止时间及地点见投标邀请。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31.投标文件的修改和撤回</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w:t>
      </w:r>
      <w:r>
        <w:rPr>
          <w:rFonts w:asciiTheme="minorEastAsia" w:hAnsiTheme="minorEastAsia" w:eastAsiaTheme="minorEastAsia"/>
          <w:szCs w:val="21"/>
        </w:rPr>
        <w:t>投标人在投标截止时间前，可以对</w:t>
      </w:r>
      <w:r>
        <w:rPr>
          <w:rFonts w:hint="eastAsia" w:asciiTheme="minorEastAsia" w:hAnsiTheme="minorEastAsia" w:eastAsiaTheme="minorEastAsia"/>
          <w:szCs w:val="21"/>
        </w:rPr>
        <w:t>已经提交</w:t>
      </w:r>
      <w:r>
        <w:rPr>
          <w:rFonts w:asciiTheme="minorEastAsia" w:hAnsiTheme="minorEastAsia" w:eastAsiaTheme="minorEastAsia"/>
          <w:szCs w:val="21"/>
        </w:rPr>
        <w:t>的投标文件进行补充、修改或者撤回。</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电子加密投标文件进行</w:t>
      </w:r>
      <w:r>
        <w:rPr>
          <w:rFonts w:hint="eastAsia" w:cs="Helvetica" w:asciiTheme="minorEastAsia" w:hAnsiTheme="minorEastAsia" w:eastAsiaTheme="min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cs="Arial" w:asciiTheme="minorEastAsia" w:hAnsiTheme="minorEastAsia" w:eastAsiaTheme="minorEastAsia"/>
          <w:szCs w:val="21"/>
        </w:rPr>
        <w:t>31.2投标人在投标截止时间前</w:t>
      </w:r>
      <w:r>
        <w:rPr>
          <w:rFonts w:cs="Arial" w:asciiTheme="minorEastAsia" w:hAnsiTheme="minorEastAsia" w:eastAsiaTheme="minorEastAsia"/>
          <w:szCs w:val="21"/>
        </w:rPr>
        <w:t>递交</w:t>
      </w:r>
      <w:r>
        <w:rPr>
          <w:rFonts w:hint="eastAsia" w:cs="Arial" w:asciiTheme="minorEastAsia" w:hAnsiTheme="minorEastAsia" w:eastAsiaTheme="minorEastAsia"/>
          <w:szCs w:val="21"/>
        </w:rPr>
        <w:t>了需要补充或修改的</w:t>
      </w:r>
      <w:r>
        <w:rPr>
          <w:rFonts w:hint="eastAsia" w:cs="宋体" w:asciiTheme="minorEastAsia" w:hAnsiTheme="minorEastAsia" w:eastAsiaTheme="minorEastAsia"/>
          <w:szCs w:val="21"/>
        </w:rPr>
        <w:t>电子加密投标文件的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，可以</w:t>
      </w:r>
      <w:r>
        <w:rPr>
          <w:rFonts w:cs="Arial" w:asciiTheme="minorEastAsia" w:hAnsiTheme="minorEastAsia" w:eastAsiaTheme="minorEastAsia"/>
          <w:szCs w:val="21"/>
        </w:rPr>
        <w:t>重新</w:t>
      </w:r>
      <w:r>
        <w:rPr>
          <w:rFonts w:hint="eastAsia" w:cs="Arial" w:asciiTheme="minorEastAsia" w:hAnsiTheme="minorEastAsia" w:eastAsiaTheme="minorEastAsia"/>
          <w:szCs w:val="21"/>
        </w:rPr>
        <w:t>提交补充或修改后的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w:t>
      </w:r>
      <w:r>
        <w:rPr>
          <w:rFonts w:asciiTheme="minorEastAsia" w:hAnsiTheme="minorEastAsia" w:eastAsiaTheme="minorEastAsia"/>
          <w:szCs w:val="21"/>
        </w:rPr>
        <w:t>投标截止时间后</w:t>
      </w:r>
      <w:r>
        <w:rPr>
          <w:rFonts w:hint="eastAsia" w:asciiTheme="minorEastAsia" w:hAnsiTheme="minorEastAsia" w:eastAsiaTheme="minorEastAsia"/>
          <w:szCs w:val="21"/>
        </w:rPr>
        <w:t>，投标人不得对其投标文件进行补充、修改</w:t>
      </w:r>
      <w:r>
        <w:rPr>
          <w:rFonts w:asciiTheme="minorEastAsia" w:hAnsiTheme="minorEastAsia" w:eastAsiaTheme="minorEastAsia"/>
          <w:szCs w:val="21"/>
        </w:rPr>
        <w:t>。</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五、开标与评标</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32.开标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32.1采购代理机构按招标文件规定的时间通过电子交易平台组织公开开标，所有投标人均应当准时在线参加</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32.2开标时，采购代理机构依托电子交易平台发起开始解密指令，</w:t>
      </w:r>
      <w:r>
        <w:rPr>
          <w:rFonts w:asciiTheme="minorEastAsia" w:hAnsiTheme="minorEastAsia" w:eastAsiaTheme="minorEastAsia"/>
          <w:szCs w:val="21"/>
        </w:rPr>
        <w:t>各投标</w:t>
      </w:r>
      <w:r>
        <w:rPr>
          <w:rFonts w:hint="eastAsia" w:asciiTheme="minorEastAsia" w:hAnsiTheme="minorEastAsia" w:eastAsiaTheme="minorEastAsia"/>
          <w:szCs w:val="21"/>
        </w:rPr>
        <w:t>人</w:t>
      </w:r>
      <w:r>
        <w:rPr>
          <w:rFonts w:asciiTheme="minorEastAsia" w:hAnsiTheme="minorEastAsia" w:eastAsiaTheme="minorEastAsia"/>
          <w:szCs w:val="21"/>
        </w:rPr>
        <w:t>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）对本单位的投标文件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32.3</w:t>
      </w:r>
      <w:r>
        <w:rPr>
          <w:rFonts w:asciiTheme="minorEastAsia" w:hAnsiTheme="minorEastAsia" w:eastAsiaTheme="minorEastAsia"/>
          <w:szCs w:val="21"/>
        </w:rPr>
        <w:t>开标时，采购代理机构将通过网上开标系统公布</w:t>
      </w:r>
      <w:r>
        <w:rPr>
          <w:rFonts w:hint="eastAsia" w:asciiTheme="minorEastAsia" w:hAnsiTheme="minorEastAsia" w:eastAsiaTheme="minorEastAsia"/>
          <w:szCs w:val="21"/>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开标分为二个阶段。第一阶段为开启资格要求响应文件和商务技术文件进行评审，待资格及商务技术评审结束后，在政采云系统上公布第一阶段无效投标人名单及其他有效投标人的商务技术得分；第二阶段为开启所有有效投标人的报价要求响应文件，并公布投标人的投标报价等信息。</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经评标委员会评审后在政采云系统上公布投标人的最终得分。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kern w:val="0"/>
          <w:szCs w:val="21"/>
        </w:rPr>
        <w:t>未按规定提交备份投标文件的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视为撤回投标文件</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32.6</w:t>
      </w:r>
      <w:r>
        <w:rPr>
          <w:rFonts w:asciiTheme="minorEastAsia" w:hAnsiTheme="minorEastAsia" w:eastAsiaTheme="minorEastAsia"/>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投标人代表对开标过程和开标记录有疑义，以及认为</w:t>
      </w:r>
      <w:r>
        <w:rPr>
          <w:rFonts w:hint="eastAsia" w:asciiTheme="minorEastAsia" w:hAnsiTheme="minorEastAsia" w:eastAsiaTheme="minorEastAsia"/>
          <w:szCs w:val="21"/>
        </w:rPr>
        <w:t>采购人或采购代理机构</w:t>
      </w:r>
      <w:r>
        <w:rPr>
          <w:rFonts w:asciiTheme="minorEastAsia" w:hAnsiTheme="minorEastAsia" w:eastAsiaTheme="minorEastAsia"/>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33.3评标委员会由采购人代表和评审专家组成，成员为</w:t>
      </w:r>
      <w:r>
        <w:rPr>
          <w:rFonts w:asciiTheme="minorEastAsia" w:hAnsiTheme="minorEastAsia" w:eastAsiaTheme="minorEastAsia"/>
          <w:szCs w:val="21"/>
        </w:rPr>
        <w:t>5</w:t>
      </w:r>
      <w:r>
        <w:rPr>
          <w:rFonts w:hint="eastAsia" w:asciiTheme="minorEastAsia" w:hAnsiTheme="minorEastAsia" w:eastAsiaTheme="minorEastAsia"/>
          <w:szCs w:val="21"/>
        </w:rPr>
        <w:t>人及以上单数。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33.8报价修正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33.9</w:t>
      </w:r>
      <w:r>
        <w:rPr>
          <w:rFonts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33.10</w:t>
      </w:r>
      <w:r>
        <w:rPr>
          <w:rFonts w:asciiTheme="minorEastAsia" w:hAnsiTheme="minorEastAsia" w:eastAsia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33.11投标人存在下列情况之一的，投标无效: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（3）未对招标文件的实质性条款作出响应的；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（5）投标文件含有采购人不能接受的附加条件的；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（6）投标文件中含有虚假材料的；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（7）仅提交备份投标文件的；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（8）投标人违背诚实信用原则的；</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（10）法律、法规和招标文件规定的其他无效情形。</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33.12所有有关人员对评标情况以及在评标过程中获悉的国家秘密、商业秘密负有保密责任。</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34.废标的情形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在本项目招标采购中，出现下列情形之一的，应予废标：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（3）投标人的报价均超过了采购预算，采购人不能支付的；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（5）电子交易平台无法正常运行，无法保证电子交易的公平、公正和安全的情况。</w:t>
      </w:r>
    </w:p>
    <w:p>
      <w:pPr>
        <w:pStyle w:val="24"/>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35.中止电子交易活动的情形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出现前款规定情形，不影响采购公平、公正性的，采购组织机构可以待上述情形消除后继续组织电子交易活动；影响或可能影响采购公平、公正性的，将重新采购。</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六、授予合同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36.中标人的确定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36.1</w:t>
      </w:r>
      <w:r>
        <w:rPr>
          <w:rFonts w:asciiTheme="minorEastAsia" w:hAnsiTheme="minorEastAsia" w:eastAsiaTheme="minorEastAsia"/>
          <w:szCs w:val="21"/>
        </w:rPr>
        <w:t>本项目</w:t>
      </w:r>
      <w:r>
        <w:rPr>
          <w:rFonts w:hint="eastAsia" w:asciiTheme="minorEastAsia" w:hAnsiTheme="minorEastAsia" w:eastAsiaTheme="minorEastAsia"/>
          <w:szCs w:val="21"/>
        </w:rPr>
        <w:t>采购人按评标报告推荐的中标候选人顺序确定排名第一的中标候选人为中标人。</w:t>
      </w:r>
      <w:r>
        <w:rPr>
          <w:rFonts w:asciiTheme="minorEastAsia" w:hAnsiTheme="minorEastAsia" w:eastAsiaTheme="minorEastAsia"/>
          <w:szCs w:val="21"/>
          <w:shd w:val="clear" w:color="auto" w:fill="FFFFFF"/>
        </w:rPr>
        <w:t>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37.签订合同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Theme="minorEastAsia" w:hAnsiTheme="minorEastAsia" w:eastAsiaTheme="minorEastAsia"/>
          <w:szCs w:val="21"/>
        </w:rPr>
        <w:t>37.2采购人和中标人可以按照招标文件提供的合同文本签订合同，也可以由双方商议后重新拟定，但正式签订的合同应当包括招标文件提供的合同文本中已经确定的实质性条款。</w:t>
      </w:r>
    </w:p>
    <w:p>
      <w:pPr>
        <w:pStyle w:val="40"/>
        <w:spacing w:line="360" w:lineRule="auto"/>
        <w:rPr>
          <w:rFonts w:ascii="宋体" w:hAnsi="宋体" w:eastAsia="宋体"/>
          <w:sz w:val="32"/>
        </w:rPr>
      </w:pPr>
      <w:r>
        <w:rPr>
          <w:rFonts w:ascii="宋体" w:hAnsi="宋体" w:eastAsia="宋体"/>
          <w:sz w:val="21"/>
          <w:szCs w:val="21"/>
        </w:rPr>
        <w:br w:type="page"/>
      </w:r>
      <w:bookmarkStart w:id="42"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42"/>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szCs w:val="21"/>
        </w:rPr>
      </w:pPr>
      <w:r>
        <w:rPr>
          <w:rFonts w:hint="eastAsia" w:ascii="宋体" w:hAnsi="宋体"/>
          <w:szCs w:val="21"/>
        </w:rPr>
        <w:t>1.2评分均为小数点后四舍五入保留一位小数。</w:t>
      </w:r>
    </w:p>
    <w:p>
      <w:pPr>
        <w:spacing w:line="360" w:lineRule="auto"/>
        <w:ind w:firstLine="420" w:firstLineChars="200"/>
        <w:rPr>
          <w:rFonts w:ascii="宋体" w:hAnsi="宋体"/>
          <w:szCs w:val="21"/>
        </w:rPr>
      </w:pPr>
      <w:r>
        <w:rPr>
          <w:rFonts w:hint="eastAsia" w:ascii="宋体" w:hAnsi="宋体"/>
          <w:szCs w:val="21"/>
        </w:rPr>
        <w:t>1.3评委打分表中分值重复的上限不含本数,下限含本数。</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Theme="minorEastAsia" w:hAnsiTheme="minorEastAsia" w:eastAsiaTheme="minorEastAsia"/>
          <w:szCs w:val="21"/>
        </w:rPr>
        <w:t>对满足价格扣除条件且在投标文件中提交了</w:t>
      </w:r>
      <w:r>
        <w:rPr>
          <w:rFonts w:asciiTheme="minorEastAsia" w:hAnsiTheme="minorEastAsia" w:eastAsiaTheme="minorEastAsia"/>
          <w:szCs w:val="21"/>
        </w:rPr>
        <w:t>《中小企业声明函》《残疾人福利性单位声明函》</w: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r>
          <w:rFonts w:hint="eastAsia" w:asciiTheme="minorEastAsia" w:hAnsiTheme="minorEastAsia" w:eastAsiaTheme="minorEastAsia"/>
          <w:szCs w:val="21"/>
        </w:rPr>
        <w:t>其</w:t>
      </w:r>
      <w:r>
        <w:rPr>
          <w:rFonts w:hint="eastAsia" w:asciiTheme="minorEastAsia" w:hAnsiTheme="minorEastAsia" w:eastAsiaTheme="minorEastAsia"/>
          <w:szCs w:val="21"/>
          <w:lang w:val="en-US" w:eastAsia="zh-CN"/>
        </w:rPr>
        <w:t>投标</w:t>
      </w:r>
      <w:r>
        <w:rPr>
          <w:rFonts w:hint="eastAsia" w:asciiTheme="minorEastAsia" w:hAnsiTheme="minorEastAsia" w:eastAsiaTheme="minorEastAsia"/>
          <w:szCs w:val="21"/>
        </w:rPr>
        <w:t>报价给予</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20</w:t>
      </w:r>
      <w:r>
        <w:rPr>
          <w:rFonts w:hint="eastAsia" w:cs="Arial" w:asciiTheme="minorEastAsia" w:hAnsiTheme="minorEastAsia" w:eastAsiaTheme="minorEastAsia"/>
          <w:szCs w:val="21"/>
          <w:u w:val="single"/>
        </w:rPr>
        <w:t xml:space="preserve"> </w:t>
      </w:r>
      <w:r>
        <w:rPr>
          <w:rFonts w:hint="eastAsia" w:cs="Arial" w:asciiTheme="minorEastAsia" w:hAnsiTheme="minorEastAsia" w:eastAsiaTheme="minorEastAsia"/>
          <w:szCs w:val="21"/>
        </w:rPr>
        <w:t>%</w:t>
      </w:r>
      <w:r>
        <w:rPr>
          <w:rFonts w:asciiTheme="minorEastAsia" w:hAnsiTheme="minorEastAsia" w:eastAsiaTheme="minorEastAsia"/>
          <w:szCs w:val="21"/>
        </w:rPr>
        <w:t>的</w:t>
      </w:r>
      <w:r>
        <w:rPr>
          <w:rFonts w:hint="eastAsia" w:asciiTheme="minorEastAsia" w:hAnsiTheme="minorEastAsia" w:eastAsiaTheme="minorEastAsia"/>
          <w:szCs w:val="21"/>
        </w:rPr>
        <w:t>扣除。</w:t>
      </w:r>
      <w:r>
        <w:rPr>
          <w:rFonts w:asciiTheme="minorEastAsia" w:hAnsiTheme="minorEastAsia" w:eastAsiaTheme="minorEastAsia"/>
        </w:rPr>
        <w:t>对于联合协议或者分包意向协议约定小微企业的合同份额占到合同总金额30%以上的，对联合体或者大中型企业的报价给予</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6</w:t>
      </w:r>
      <w:r>
        <w:rPr>
          <w:rFonts w:hint="eastAsia" w:cs="Arial" w:asciiTheme="minorEastAsia" w:hAnsiTheme="minorEastAsia" w:eastAsiaTheme="minorEastAsia"/>
          <w:szCs w:val="21"/>
          <w:u w:val="single"/>
        </w:rPr>
        <w:t xml:space="preserve"> </w:t>
      </w:r>
      <w:r>
        <w:rPr>
          <w:rFonts w:hint="eastAsia" w:cs="Arial" w:asciiTheme="minorEastAsia" w:hAnsiTheme="minorEastAsia" w:eastAsiaTheme="minorEastAsia"/>
          <w:szCs w:val="21"/>
        </w:rPr>
        <w:t>%</w:t>
      </w:r>
      <w:r>
        <w:rPr>
          <w:rFonts w:asciiTheme="minorEastAsia" w:hAnsiTheme="minorEastAsia" w:eastAsiaTheme="minorEastAsia"/>
        </w:rPr>
        <w:t>的扣除。</w:t>
      </w:r>
    </w:p>
    <w:p>
      <w:pPr>
        <w:spacing w:line="360" w:lineRule="auto"/>
        <w:ind w:firstLine="422" w:firstLineChars="200"/>
        <w:rPr>
          <w:rFonts w:ascii="宋体" w:hAnsi="宋体"/>
          <w:b/>
          <w:szCs w:val="21"/>
        </w:rPr>
      </w:pPr>
      <w:r>
        <w:rPr>
          <w:rFonts w:hint="eastAsia" w:ascii="宋体" w:hAnsi="宋体"/>
          <w:b/>
          <w:szCs w:val="21"/>
        </w:rPr>
        <w:t>因落实政府采购政策进行价格调整的，以调整后的价格计算评标基准价和投标报价。</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r>
        <w:rPr>
          <w:rFonts w:hint="eastAsia" w:ascii="宋体" w:hAnsi="宋体"/>
          <w:iCs/>
          <w:u w:val="single"/>
          <w:lang w:eastAsia="zh-CN"/>
        </w:rPr>
        <w:t>饮用水水源地电子围栏数据采购项目（服务采购部分）</w:t>
      </w:r>
      <w:r>
        <w:rPr>
          <w:rFonts w:ascii="宋体" w:hAnsi="宋体"/>
          <w:iCs/>
          <w:u w:val="single"/>
        </w:rPr>
        <w:t xml:space="preserve"> </w:t>
      </w:r>
      <w:r>
        <w:rPr>
          <w:rFonts w:ascii="宋体" w:hAnsi="宋体"/>
        </w:rPr>
        <w:t>，属于</w:t>
      </w:r>
      <w:r>
        <w:rPr>
          <w:rFonts w:hint="eastAsia" w:ascii="宋体" w:hAnsi="宋体"/>
          <w:u w:val="single"/>
          <w:lang w:eastAsia="zh-CN"/>
        </w:rPr>
        <w:t>软件和信息技术服务业</w:t>
      </w:r>
      <w:r>
        <w:rPr>
          <w:rFonts w:ascii="宋体" w:hAnsi="宋体"/>
        </w:rPr>
        <w:t>；</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ascii="宋体" w:hAnsi="宋体"/>
          <w:b/>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szCs w:val="21"/>
        </w:rPr>
      </w:pPr>
      <w:r>
        <w:rPr>
          <w:rFonts w:hint="eastAsia" w:ascii="宋体" w:hAnsi="宋体"/>
          <w:b/>
          <w:szCs w:val="21"/>
        </w:rPr>
        <w:t>三、</w:t>
      </w:r>
      <w:r>
        <w:rPr>
          <w:rFonts w:hint="eastAsia" w:asciiTheme="minorEastAsia" w:hAnsiTheme="minorEastAsia" w:eastAsiaTheme="minorEastAsia"/>
          <w:b/>
          <w:szCs w:val="21"/>
        </w:rPr>
        <w:t>评审程序</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1.资格审查</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投标人进行资格审查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25" w:type="dxa"/>
            <w:tcBorders>
              <w:bottom w:val="single" w:color="auto" w:sz="4" w:space="0"/>
            </w:tcBorders>
            <w:vAlign w:val="center"/>
          </w:tcPr>
          <w:p>
            <w:pPr>
              <w:pStyle w:val="39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25"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3142" w:type="dxa"/>
            <w:vAlign w:val="center"/>
          </w:tcPr>
          <w:p>
            <w:pPr>
              <w:ind w:right="-10"/>
              <w:jc w:val="center"/>
              <w:rPr>
                <w:rFonts w:asciiTheme="minorEastAsia" w:hAnsiTheme="minorEastAsia" w:eastAsiaTheme="minorEastAsia"/>
                <w:szCs w:val="21"/>
              </w:rPr>
            </w:pPr>
            <w:r>
              <w:rPr>
                <w:rFonts w:hint="eastAsia" w:asciiTheme="minorEastAsia" w:hAnsiTheme="minorEastAsia" w:eastAsiaTheme="minorEastAsia"/>
                <w:szCs w:val="21"/>
              </w:rPr>
              <w:t>合法有效</w:t>
            </w:r>
          </w:p>
        </w:tc>
        <w:tc>
          <w:tcPr>
            <w:tcW w:w="3113"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提供有效的投标人营业执照复制件（包括拍照、复印、扫描等）并加盖公章（联合体投标的联合体各方均须提供）。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25"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详见投标人须知正文第12条要求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投标人资格声明函（联合体投标的，联合体各方均须符合）。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联合协议（允许联合体投标）</w:t>
            </w:r>
          </w:p>
        </w:tc>
        <w:tc>
          <w:tcPr>
            <w:tcW w:w="3142"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本项目接受联合体投标。</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若为联合体投标的，须提供。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符合申请人的资格要求</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宋体" w:hAnsi="宋体"/>
                <w:color w:val="auto"/>
                <w:szCs w:val="21"/>
              </w:rPr>
              <w:t>若为联合体投标的，组成联合体的成员数量不得超过2家</w:t>
            </w:r>
            <w:r>
              <w:rPr>
                <w:rFonts w:hint="eastAsia" w:ascii="宋体" w:hAnsi="宋体"/>
                <w:iCs/>
                <w:color w:val="auto"/>
                <w:szCs w:val="21"/>
              </w:rPr>
              <w:t>。</w:t>
            </w:r>
          </w:p>
        </w:tc>
      </w:tr>
    </w:tbl>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投标人必须通过资格审查表中的全部评审指标。</w:t>
      </w:r>
    </w:p>
    <w:p>
      <w:pPr>
        <w:spacing w:line="360" w:lineRule="auto"/>
        <w:ind w:firstLine="437"/>
        <w:rPr>
          <w:rFonts w:asciiTheme="minorEastAsia" w:hAnsiTheme="minorEastAsia" w:eastAsiaTheme="minorEastAsia"/>
          <w:b/>
          <w:szCs w:val="21"/>
        </w:rPr>
      </w:pPr>
      <w:r>
        <w:rPr>
          <w:rFonts w:hint="eastAsia" w:asciiTheme="minorEastAsia" w:hAnsiTheme="minorEastAsia" w:eastAsiaTheme="minorEastAsia"/>
          <w:b/>
          <w:szCs w:val="21"/>
        </w:rPr>
        <w:t>2.符合性审查</w:t>
      </w:r>
    </w:p>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szCs w:val="21"/>
        </w:rPr>
        <w:t>评标委员会对通过资格审查的投标人的投标文件进行符合性审查，以确定其是否满足招标文件的实质性要求。符合性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tbl>
      <w:tblPr>
        <w:tblStyle w:val="44"/>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6" w:type="dxa"/>
            <w:tcBorders>
              <w:bottom w:val="single" w:color="auto" w:sz="4" w:space="0"/>
            </w:tcBorders>
            <w:vAlign w:val="center"/>
          </w:tcPr>
          <w:p>
            <w:pPr>
              <w:pStyle w:val="39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00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71"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开标一览表</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投标函</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asciiTheme="minorEastAsia" w:hAnsiTheme="minorEastAsia" w:eastAsiaTheme="minorEastAsia"/>
                <w:szCs w:val="21"/>
              </w:rPr>
              <w:t>3</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法定代表人授权委托书及其附件</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rPr>
                <w:rFonts w:asciiTheme="minorEastAsia" w:hAnsiTheme="minorEastAsia" w:eastAsiaTheme="minorEastAsia"/>
                <w:szCs w:val="21"/>
              </w:rPr>
            </w:pPr>
            <w:r>
              <w:rPr>
                <w:rFonts w:hint="eastAsia" w:asciiTheme="minorEastAsia" w:hAnsiTheme="minorEastAsia" w:eastAsiaTheme="minorEastAsia"/>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商务要求响应情况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符合招标文件采购需求中明确的商务要求。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技术及服务要求响应情况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符合招标文件采购需求中明确的技术及服务要求。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符合法律、行政法规规定的其他条件或不存在招标文件列明的拒绝投标、不允许存在的其他要求</w:t>
            </w:r>
          </w:p>
        </w:tc>
        <w:tc>
          <w:tcPr>
            <w:tcW w:w="3171" w:type="dxa"/>
            <w:vAlign w:val="center"/>
          </w:tcPr>
          <w:p>
            <w:pPr>
              <w:adjustRightInd w:val="0"/>
              <w:snapToGrid w:val="0"/>
              <w:ind w:right="-1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投标报价未超过最高限价，且经评标委员会认定报价合理，不存在影响项目服务质量和合同履行的情形。</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r>
    </w:tbl>
    <w:p>
      <w:pPr>
        <w:spacing w:line="360" w:lineRule="auto"/>
        <w:ind w:firstLine="422" w:firstLineChars="200"/>
        <w:rPr>
          <w:rFonts w:ascii="宋体" w:hAnsi="宋体"/>
          <w:b/>
          <w:szCs w:val="21"/>
        </w:rPr>
      </w:pPr>
    </w:p>
    <w:tbl>
      <w:tblPr>
        <w:tblStyle w:val="44"/>
        <w:tblW w:w="9140" w:type="dxa"/>
        <w:tblInd w:w="0" w:type="dxa"/>
        <w:tblLayout w:type="autofit"/>
        <w:tblCellMar>
          <w:top w:w="0" w:type="dxa"/>
          <w:left w:w="108" w:type="dxa"/>
          <w:bottom w:w="0" w:type="dxa"/>
          <w:right w:w="108" w:type="dxa"/>
        </w:tblCellMar>
      </w:tblPr>
      <w:tblGrid>
        <w:gridCol w:w="1080"/>
        <w:gridCol w:w="6980"/>
        <w:gridCol w:w="1080"/>
      </w:tblGrid>
      <w:tr>
        <w:tblPrEx>
          <w:tblCellMar>
            <w:top w:w="0" w:type="dxa"/>
            <w:left w:w="108" w:type="dxa"/>
            <w:bottom w:w="0" w:type="dxa"/>
            <w:right w:w="108" w:type="dxa"/>
          </w:tblCellMar>
        </w:tblPrEx>
        <w:trPr>
          <w:trHeight w:val="292"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bookmarkStart w:id="43" w:name="_Hlk112944055"/>
            <w:r>
              <w:rPr>
                <w:rFonts w:hint="eastAsia" w:ascii="宋体" w:hAnsi="宋体" w:eastAsia="宋体" w:cs="宋体"/>
                <w:color w:val="000000"/>
                <w:kern w:val="0"/>
                <w:szCs w:val="21"/>
              </w:rPr>
              <w:t>评分项目</w:t>
            </w:r>
          </w:p>
        </w:tc>
        <w:tc>
          <w:tcPr>
            <w:tcW w:w="698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r>
              <w:rPr>
                <w:rFonts w:hint="eastAsia" w:ascii="宋体" w:hAnsi="宋体" w:eastAsia="宋体" w:cs="宋体"/>
                <w:color w:val="000000"/>
                <w:kern w:val="0"/>
                <w:szCs w:val="21"/>
              </w:rPr>
              <w:t>评分标准</w:t>
            </w:r>
          </w:p>
        </w:tc>
        <w:tc>
          <w:tcPr>
            <w:tcW w:w="108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得分</w:t>
            </w:r>
          </w:p>
        </w:tc>
      </w:tr>
      <w:tr>
        <w:tblPrEx>
          <w:tblCellMar>
            <w:top w:w="0" w:type="dxa"/>
            <w:left w:w="108" w:type="dxa"/>
            <w:bottom w:w="0" w:type="dxa"/>
            <w:right w:w="108" w:type="dxa"/>
          </w:tblCellMar>
        </w:tblPrEx>
        <w:trPr>
          <w:trHeight w:val="1929" w:hRule="atLeast"/>
        </w:trPr>
        <w:tc>
          <w:tcPr>
            <w:tcW w:w="1080"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r>
              <w:rPr>
                <w:rFonts w:hint="eastAsia" w:ascii="宋体" w:hAnsi="宋体" w:eastAsia="宋体" w:cs="宋体"/>
                <w:color w:val="000000"/>
                <w:kern w:val="0"/>
                <w:szCs w:val="21"/>
              </w:rPr>
              <w:t>技术商务分90分</w:t>
            </w: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根据供应商对“服务需求”中“主要技术参数及服务要求”的响应情况进行评议（24分）：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完全响应的得24分。标★的为重要功能要求，每负偏离一条扣2分，未带“★”技术参数每负偏离一条扣1分；本项得分低于12分的，视为不具备本项目的履约能力，无法达到本项目数据服务采购的标准，无法承担本项目的实施工作，作无效标处理。</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06"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根据供应商对本项目现状及需求的了解情况进行综合评议（</w:t>
            </w:r>
            <w:r>
              <w:rPr>
                <w:rFonts w:ascii="宋体" w:hAnsi="宋体" w:eastAsia="宋体" w:cs="宋体"/>
                <w:color w:val="000000"/>
                <w:kern w:val="0"/>
                <w:szCs w:val="21"/>
              </w:rPr>
              <w:t>7</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cs="宋体"/>
                <w:szCs w:val="21"/>
              </w:rPr>
              <w:t>项目现状和需求分析内容完整、透彻，详实、细致，符合项目实际情况的得7分；项目现状和需求分析和了解的情况较为完整、详实，无重大缺陷的得5分；项目现状和需求分析和了解的情况</w:t>
            </w:r>
            <w:r>
              <w:rPr>
                <w:rFonts w:hint="eastAsia" w:ascii="宋体" w:hAnsi="宋体"/>
                <w:szCs w:val="21"/>
              </w:rPr>
              <w:t>欠完整或详实性和细致性有欠缺，</w:t>
            </w:r>
            <w:r>
              <w:rPr>
                <w:rFonts w:hint="eastAsia" w:ascii="宋体" w:hAnsi="宋体"/>
              </w:rPr>
              <w:t>考虑不全面，</w:t>
            </w:r>
            <w:r>
              <w:rPr>
                <w:rFonts w:hint="eastAsia" w:ascii="宋体" w:hAnsi="宋体"/>
                <w:szCs w:val="21"/>
              </w:rPr>
              <w:t>与项目实际情况有偏离的得3</w:t>
            </w:r>
            <w:r>
              <w:rPr>
                <w:rFonts w:hint="eastAsia" w:ascii="宋体" w:hAnsi="宋体" w:eastAsia="宋体" w:cs="Times New Roman"/>
                <w:szCs w:val="21"/>
              </w:rPr>
              <w:t>分</w:t>
            </w:r>
            <w:r>
              <w:rPr>
                <w:rFonts w:hint="eastAsia" w:ascii="宋体" w:hAnsi="宋体" w:cs="Times New Roman"/>
                <w:szCs w:val="21"/>
              </w:rPr>
              <w:t>；</w:t>
            </w:r>
            <w:r>
              <w:rPr>
                <w:rFonts w:hint="eastAsia" w:ascii="宋体" w:hAnsi="宋体" w:eastAsia="宋体" w:cs="宋体"/>
                <w:kern w:val="0"/>
                <w:szCs w:val="21"/>
                <w:lang w:bidi="ar"/>
              </w:rPr>
              <w:t>项目现状及需求的了解情况</w:t>
            </w:r>
            <w:r>
              <w:rPr>
                <w:rFonts w:hint="eastAsia" w:ascii="宋体" w:hAnsi="宋体"/>
                <w:szCs w:val="21"/>
              </w:rPr>
              <w:t>内容有缺失，不能反映本项目的实际现状和需求，</w:t>
            </w:r>
            <w:r>
              <w:rPr>
                <w:rFonts w:hint="eastAsia" w:ascii="宋体" w:hAnsi="宋体" w:eastAsia="宋体" w:cs="Times New Roman"/>
                <w:szCs w:val="21"/>
              </w:rPr>
              <w:t>不符合</w:t>
            </w:r>
            <w:r>
              <w:rPr>
                <w:rFonts w:hint="eastAsia" w:ascii="宋体" w:hAnsi="宋体"/>
                <w:szCs w:val="21"/>
              </w:rPr>
              <w:t>项目实际情况</w:t>
            </w:r>
            <w:r>
              <w:rPr>
                <w:rFonts w:hint="eastAsia" w:ascii="宋体" w:hAnsi="宋体" w:eastAsia="宋体" w:cs="Times New Roman"/>
                <w:szCs w:val="21"/>
              </w:rPr>
              <w:t>的本项不得分</w:t>
            </w:r>
            <w:r>
              <w:rPr>
                <w:rFonts w:hint="eastAsia" w:ascii="宋体" w:hAnsi="宋体"/>
                <w:szCs w:val="21"/>
              </w:rPr>
              <w:t>。</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380"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根据供应商提供的技术方案情况进行综合评议（20分）：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lang w:bidi="ar"/>
              </w:rPr>
              <w:t>技术方案内容完整，设计合理，具有针对性，措施方法全面、具体，符合采购需求的得</w:t>
            </w:r>
            <w:r>
              <w:rPr>
                <w:rFonts w:hint="eastAsia" w:ascii="宋体" w:hAnsi="宋体" w:eastAsia="宋体" w:cs="宋体"/>
                <w:kern w:val="0"/>
                <w:szCs w:val="21"/>
                <w:lang w:bidi="ar"/>
              </w:rPr>
              <w:t>20分</w:t>
            </w:r>
            <w:r>
              <w:rPr>
                <w:rFonts w:hint="eastAsia" w:ascii="宋体" w:hAnsi="宋体" w:cs="宋体"/>
                <w:kern w:val="0"/>
                <w:szCs w:val="21"/>
                <w:lang w:bidi="ar"/>
              </w:rPr>
              <w:t>；技术</w:t>
            </w:r>
            <w:r>
              <w:rPr>
                <w:rFonts w:hint="eastAsia" w:ascii="宋体"/>
                <w:szCs w:val="21"/>
              </w:rPr>
              <w:t>方案</w:t>
            </w:r>
            <w:r>
              <w:rPr>
                <w:rFonts w:hint="eastAsia" w:ascii="宋体" w:hAnsi="宋体"/>
                <w:szCs w:val="21"/>
              </w:rPr>
              <w:t>内容较为完整，</w:t>
            </w:r>
            <w:r>
              <w:rPr>
                <w:rFonts w:hint="eastAsia" w:ascii="宋体" w:hAnsi="宋体" w:eastAsia="宋体" w:cs="宋体"/>
                <w:kern w:val="0"/>
                <w:szCs w:val="21"/>
                <w:lang w:bidi="ar"/>
              </w:rPr>
              <w:t>措施方法</w:t>
            </w:r>
            <w:r>
              <w:rPr>
                <w:rFonts w:hint="eastAsia" w:ascii="宋体" w:hAnsi="宋体" w:cs="宋体"/>
                <w:kern w:val="0"/>
                <w:szCs w:val="21"/>
                <w:lang w:bidi="ar"/>
              </w:rPr>
              <w:t>较为</w:t>
            </w:r>
            <w:r>
              <w:rPr>
                <w:rFonts w:hint="eastAsia" w:ascii="宋体" w:hAnsi="宋体" w:eastAsia="宋体" w:cs="宋体"/>
                <w:kern w:val="0"/>
                <w:szCs w:val="21"/>
                <w:lang w:bidi="ar"/>
              </w:rPr>
              <w:t>具体</w:t>
            </w:r>
            <w:r>
              <w:rPr>
                <w:rFonts w:hint="eastAsia" w:ascii="宋体" w:hAnsi="宋体" w:cs="宋体"/>
                <w:kern w:val="0"/>
                <w:szCs w:val="21"/>
                <w:lang w:bidi="ar"/>
              </w:rPr>
              <w:t>，</w:t>
            </w:r>
            <w:r>
              <w:rPr>
                <w:rFonts w:hint="eastAsia" w:ascii="宋体" w:hAnsi="宋体"/>
                <w:szCs w:val="21"/>
              </w:rPr>
              <w:t>无重大缺陷的得</w:t>
            </w:r>
            <w:r>
              <w:rPr>
                <w:rFonts w:hint="eastAsia" w:ascii="宋体" w:hAnsi="宋体" w:cs="Times New Roman"/>
                <w:szCs w:val="21"/>
              </w:rPr>
              <w:t>17</w:t>
            </w:r>
            <w:r>
              <w:rPr>
                <w:rFonts w:hint="eastAsia" w:ascii="宋体" w:hAnsi="宋体" w:eastAsia="宋体" w:cs="Times New Roman"/>
                <w:szCs w:val="21"/>
              </w:rPr>
              <w:t>分</w:t>
            </w:r>
            <w:r>
              <w:rPr>
                <w:rFonts w:hint="eastAsia" w:ascii="宋体" w:hAnsi="宋体" w:eastAsia="宋体"/>
                <w:szCs w:val="21"/>
              </w:rPr>
              <w:t>；</w:t>
            </w:r>
            <w:r>
              <w:rPr>
                <w:rFonts w:hint="eastAsia" w:ascii="宋体" w:hAnsi="宋体"/>
                <w:szCs w:val="21"/>
              </w:rPr>
              <w:t>技术</w:t>
            </w:r>
            <w:r>
              <w:rPr>
                <w:rFonts w:hint="eastAsia" w:ascii="宋体"/>
                <w:szCs w:val="21"/>
              </w:rPr>
              <w:t>方案</w:t>
            </w:r>
            <w:r>
              <w:rPr>
                <w:rFonts w:hint="eastAsia" w:ascii="宋体" w:hAnsi="宋体"/>
                <w:szCs w:val="21"/>
              </w:rPr>
              <w:t>内容欠完整或设计有欠缺，</w:t>
            </w:r>
            <w:r>
              <w:rPr>
                <w:rFonts w:hint="eastAsia" w:ascii="宋体" w:hAnsi="宋体"/>
              </w:rPr>
              <w:t>考虑不全面，对工作内容的响应存在一定的不足，</w:t>
            </w:r>
            <w:r>
              <w:rPr>
                <w:rFonts w:hint="eastAsia" w:ascii="宋体" w:hAnsi="宋体"/>
                <w:szCs w:val="21"/>
              </w:rPr>
              <w:t>与采购需求有偏离的得</w:t>
            </w:r>
            <w:r>
              <w:rPr>
                <w:rFonts w:hint="eastAsia" w:ascii="宋体" w:hAnsi="宋体" w:cs="Times New Roman"/>
                <w:szCs w:val="21"/>
              </w:rPr>
              <w:t>14</w:t>
            </w:r>
            <w:r>
              <w:rPr>
                <w:rFonts w:hint="eastAsia" w:ascii="宋体" w:hAnsi="宋体" w:eastAsia="宋体" w:cs="Times New Roman"/>
                <w:szCs w:val="21"/>
              </w:rPr>
              <w:t>分</w:t>
            </w:r>
            <w:r>
              <w:rPr>
                <w:rFonts w:hint="eastAsia" w:ascii="宋体" w:hAnsi="宋体"/>
                <w:szCs w:val="21"/>
              </w:rPr>
              <w:t>；技术方案涵盖的项目内容有缺项，内容不完整，</w:t>
            </w:r>
            <w:r>
              <w:rPr>
                <w:rFonts w:hint="eastAsia" w:ascii="宋体" w:hAnsi="宋体" w:eastAsia="宋体" w:cs="Times New Roman"/>
                <w:szCs w:val="21"/>
              </w:rPr>
              <w:t>不符合采购需求的本项不得分</w:t>
            </w:r>
            <w:r>
              <w:rPr>
                <w:rFonts w:hint="eastAsia" w:ascii="宋体" w:hAnsi="宋体"/>
                <w:szCs w:val="21"/>
              </w:rPr>
              <w:t>。</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06"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根据供应商的项目实施方案，包括施工方案设计、现场组织情况、现场管控措施等方面进行综合评议（</w:t>
            </w:r>
            <w:r>
              <w:rPr>
                <w:rFonts w:ascii="宋体" w:hAnsi="宋体" w:eastAsia="宋体" w:cs="宋体"/>
                <w:color w:val="000000"/>
                <w:kern w:val="0"/>
                <w:szCs w:val="21"/>
              </w:rPr>
              <w:t>10</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szCs w:val="21"/>
              </w:rPr>
              <w:t>实施方案中包含的内容完整、设计合理，具有针对性，符合采购需求的得10分；实施方案中包含的内容较为完整、较具有针对性，无重大缺陷的得8分；实施</w:t>
            </w:r>
            <w:r>
              <w:rPr>
                <w:rFonts w:hint="eastAsia" w:ascii="宋体"/>
                <w:szCs w:val="21"/>
              </w:rPr>
              <w:t>方案</w:t>
            </w:r>
            <w:r>
              <w:rPr>
                <w:rFonts w:hint="eastAsia" w:ascii="宋体" w:hAnsi="宋体"/>
                <w:szCs w:val="21"/>
              </w:rPr>
              <w:t>内容欠完整或设计有欠缺，</w:t>
            </w:r>
            <w:r>
              <w:rPr>
                <w:rFonts w:hint="eastAsia" w:ascii="宋体" w:hAnsi="宋体"/>
              </w:rPr>
              <w:t>考虑不全面，对工作内容的响应存在一定的不足，</w:t>
            </w:r>
            <w:r>
              <w:rPr>
                <w:rFonts w:hint="eastAsia" w:ascii="宋体" w:hAnsi="宋体"/>
                <w:szCs w:val="21"/>
              </w:rPr>
              <w:t>与采购需求有偏离的得</w:t>
            </w:r>
            <w:r>
              <w:rPr>
                <w:rFonts w:hint="eastAsia" w:ascii="宋体" w:hAnsi="宋体" w:cs="Times New Roman"/>
                <w:szCs w:val="21"/>
              </w:rPr>
              <w:t>6</w:t>
            </w:r>
            <w:r>
              <w:rPr>
                <w:rFonts w:hint="eastAsia" w:ascii="宋体" w:hAnsi="宋体" w:eastAsia="宋体" w:cs="Times New Roman"/>
                <w:szCs w:val="21"/>
              </w:rPr>
              <w:t>分</w:t>
            </w:r>
            <w:r>
              <w:rPr>
                <w:rFonts w:hint="eastAsia" w:ascii="宋体" w:hAnsi="宋体"/>
                <w:szCs w:val="21"/>
              </w:rPr>
              <w:t>；实施方案涵盖的项目内容有缺项，内容不完整，</w:t>
            </w:r>
            <w:r>
              <w:rPr>
                <w:rFonts w:hint="eastAsia" w:ascii="宋体" w:hAnsi="宋体" w:eastAsia="宋体" w:cs="Times New Roman"/>
                <w:szCs w:val="21"/>
              </w:rPr>
              <w:t>不</w:t>
            </w:r>
            <w:r>
              <w:rPr>
                <w:rFonts w:hint="eastAsia" w:ascii="宋体" w:hAnsi="宋体" w:cs="Times New Roman"/>
                <w:szCs w:val="21"/>
              </w:rPr>
              <w:t>能满足采购要求</w:t>
            </w:r>
            <w:r>
              <w:rPr>
                <w:rFonts w:hint="eastAsia" w:ascii="宋体" w:hAnsi="宋体" w:eastAsia="宋体" w:cs="Times New Roman"/>
                <w:szCs w:val="21"/>
              </w:rPr>
              <w:t>的本项不得分</w:t>
            </w:r>
            <w:r>
              <w:rPr>
                <w:rFonts w:hint="eastAsia" w:ascii="宋体" w:hAnsi="宋体"/>
                <w:szCs w:val="21"/>
              </w:rPr>
              <w:t>。</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106"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pPr>
            <w:r>
              <w:rPr>
                <w:rFonts w:hint="eastAsia"/>
              </w:rPr>
              <w:t>根据供应商的服务质量保障方案（服务质量控制、响应时间、服务承诺）进行综合评议：</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rPr>
              <w:t>服务质量保障方案内容完整，措施得当，响应时间及时，承诺切实可行，满足项目质量要求的得</w:t>
            </w:r>
            <w:r>
              <w:t>7</w:t>
            </w:r>
            <w:r>
              <w:rPr>
                <w:rFonts w:hint="eastAsia"/>
              </w:rPr>
              <w:t>分；服务质量保障方案内容较完整，响应时间较及时，</w:t>
            </w:r>
            <w:r>
              <w:rPr>
                <w:rFonts w:hint="eastAsia" w:ascii="宋体" w:hAnsi="宋体"/>
                <w:szCs w:val="21"/>
              </w:rPr>
              <w:t>无重大缺陷的</w:t>
            </w:r>
            <w:r>
              <w:rPr>
                <w:rFonts w:hint="eastAsia"/>
              </w:rPr>
              <w:t>得4分；服务质量保障方案内容欠完整，</w:t>
            </w:r>
            <w:r>
              <w:rPr>
                <w:rFonts w:hint="eastAsia" w:ascii="宋体" w:hAnsi="宋体"/>
              </w:rPr>
              <w:t>考虑不全面，对工作内容的响应存在一定的不足，</w:t>
            </w:r>
            <w:r>
              <w:rPr>
                <w:rFonts w:hint="eastAsia" w:ascii="宋体" w:hAnsi="宋体"/>
                <w:szCs w:val="21"/>
              </w:rPr>
              <w:t>与采购需求有偏离的得</w:t>
            </w:r>
            <w:r>
              <w:rPr>
                <w:rFonts w:hint="eastAsia" w:ascii="宋体" w:hAnsi="宋体" w:cs="Times New Roman"/>
                <w:szCs w:val="21"/>
              </w:rPr>
              <w:t>2</w:t>
            </w:r>
            <w:r>
              <w:rPr>
                <w:rFonts w:hint="eastAsia" w:ascii="宋体" w:hAnsi="宋体" w:eastAsia="宋体" w:cs="Times New Roman"/>
                <w:szCs w:val="21"/>
              </w:rPr>
              <w:t>分</w:t>
            </w:r>
            <w:r>
              <w:rPr>
                <w:rFonts w:hint="eastAsia" w:ascii="宋体" w:hAnsi="宋体" w:cs="Times New Roman"/>
                <w:szCs w:val="21"/>
              </w:rPr>
              <w:t>；</w:t>
            </w:r>
            <w:r>
              <w:rPr>
                <w:rFonts w:hint="eastAsia"/>
              </w:rPr>
              <w:t>服务质量保障方案</w:t>
            </w:r>
            <w:r>
              <w:rPr>
                <w:rFonts w:hint="eastAsia" w:ascii="宋体" w:hAnsi="宋体"/>
                <w:szCs w:val="21"/>
              </w:rPr>
              <w:t>涵盖的项目内容有缺项，内容不完整，</w:t>
            </w:r>
            <w:r>
              <w:rPr>
                <w:rFonts w:hint="eastAsia" w:ascii="宋体" w:hAnsi="宋体" w:eastAsia="宋体" w:cs="Times New Roman"/>
                <w:szCs w:val="21"/>
              </w:rPr>
              <w:t>不</w:t>
            </w:r>
            <w:r>
              <w:rPr>
                <w:rFonts w:hint="eastAsia" w:ascii="宋体" w:hAnsi="宋体" w:cs="Times New Roman"/>
                <w:szCs w:val="21"/>
              </w:rPr>
              <w:t>能满足采购需求</w:t>
            </w:r>
            <w:r>
              <w:rPr>
                <w:rFonts w:hint="eastAsia" w:ascii="宋体" w:hAnsi="宋体" w:eastAsia="宋体" w:cs="Times New Roman"/>
                <w:szCs w:val="21"/>
              </w:rPr>
              <w:t>的本项不得分</w:t>
            </w:r>
            <w:r>
              <w:rPr>
                <w:rFonts w:hint="eastAsia" w:ascii="宋体" w:hAnsi="宋体"/>
                <w:szCs w:val="21"/>
              </w:rPr>
              <w:t>。</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407"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服务功能演示：</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根据各供应商演示情况完整性、功能模块的符合度及操作性等进行综合评议（演示时间不超过10分钟）：</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备注：1.本项目不安排现场演示，投标人需事先录制好演示视频（录像或录屏）（格式要求：MP4）并在投标截止时间之前单独密封递交或提前邮寄，投标截止时间后递交的演示视频不予认可，视作未提供演示，本项不得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演示内容应至少包含以下演示内容：</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1、投标人需演示AI智算服务相关功能，包含任务调度，模型配置，后处理算法，AI识别能力，视频管理系统：</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（1）任务调度功能：支持任务列表管理功能，任务新增和编辑功能。</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（2）模型配置功能：支持多预置位配置功能、支持多模型配置功能、支持多预置位和多模型组合配置、支持数据推送配置。</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（3）后处理算法：支持复杂算法处理，包括但不限于多边形电子围栏内报警、多边形电子围栏内外报警、高宽比分析、报警判断过滤等后处理算法配置功能。</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（4）AI识别能力：如焚烧排烟识别、非运维人员违规进入识别、垂钓识别、洗衣识别、船只识别、下塘游玩识别、水位识别、特种车辆识别。</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（5）视频管理系统：支持服务器信息查看、视频分屏展示、国标设备级联、用户管理等功能。</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2、投标人需演示报警处理系统相关功能，包含站点一张图，智能告警，移动端应用的内容：</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（1）站点一张图：支持视频监控在一张图中展示和不同底图切换；支持站点搜索功能；支持站点基本信息查看；支持站点实时视频查看和云台控制功能。</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（2）智能告警：支持按时间筛选查看告警信息基本信息，包括事件发生时间，事件类型，发生地点经纬度等；支持告警事件闭环处理，实现包括事件从发生，到处理派发，到处理结果反馈的信息查看。</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（3）移动端应用：支持与浙政钉平台打通，实现浙政钉端预警信息接收处置功能。</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评审标准：演示内容完整，符合功能模块要求，可操作性强，模块布局合理，功能完善，满足采购需求的得10分，演示内容较完整，功能模块较完善，模块布局较为合理，基本能满足实际应用需求的得8分；演示内容欠完整，演示功能场景有缺失，与演示要求内容有偏离的得6分；演示内容不完整，演示功能场景有较多缺失，模块布局不合理，演示效果差的本项不得分。</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3575"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项目团队人员（7分）：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（1）供应商拟派项目负责人具有</w:t>
            </w:r>
            <w:r>
              <w:rPr>
                <w:rFonts w:hint="eastAsia" w:ascii="宋体" w:hAnsi="宋体" w:eastAsia="宋体" w:cs="宋体"/>
                <w:color w:val="000000"/>
                <w:kern w:val="0"/>
                <w:szCs w:val="21"/>
                <w:lang w:val="en-US" w:eastAsia="zh-CN"/>
              </w:rPr>
              <w:t>项目管理专业人员PMP</w:t>
            </w:r>
            <w:r>
              <w:rPr>
                <w:rFonts w:hint="eastAsia" w:ascii="宋体" w:hAnsi="宋体" w:eastAsia="宋体" w:cs="宋体"/>
                <w:color w:val="000000"/>
                <w:kern w:val="0"/>
                <w:szCs w:val="21"/>
              </w:rPr>
              <w:t>的得1分、信息系统项目管理师（高级）证书的得1分、系统规划与管理师（高级）的得1分，满分3分。</w:t>
            </w:r>
            <w:r>
              <w:rPr>
                <w:rFonts w:ascii="宋体" w:hAnsi="宋体" w:eastAsia="宋体" w:cs="宋体"/>
                <w:color w:val="000000"/>
                <w:kern w:val="0"/>
                <w:szCs w:val="21"/>
              </w:rPr>
              <w:t xml:space="preserve"> </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（2）供应商拟投入本项目的驻场运维人员（</w:t>
            </w:r>
            <w:r>
              <w:rPr>
                <w:rFonts w:ascii="宋体" w:hAnsi="宋体" w:eastAsia="宋体" w:cs="宋体"/>
                <w:color w:val="000000"/>
                <w:kern w:val="0"/>
                <w:szCs w:val="21"/>
              </w:rPr>
              <w:t>2</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供应商拟投入本项目的一名驻场运维人员具有相关环境科学专业高级及以上工程师职称或博士学位的得1分、具有生态环境监测与分析专业中级证书的得</w:t>
            </w:r>
            <w:r>
              <w:rPr>
                <w:rFonts w:ascii="宋体" w:hAnsi="宋体" w:eastAsia="宋体" w:cs="宋体"/>
                <w:color w:val="000000"/>
                <w:kern w:val="0"/>
                <w:szCs w:val="21"/>
              </w:rPr>
              <w:t>1</w:t>
            </w:r>
            <w:r>
              <w:rPr>
                <w:rFonts w:hint="eastAsia" w:ascii="宋体" w:hAnsi="宋体" w:eastAsia="宋体" w:cs="宋体"/>
                <w:color w:val="000000"/>
                <w:kern w:val="0"/>
                <w:szCs w:val="21"/>
              </w:rPr>
              <w:t>分。满分2分。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（3）供应商拟投入本项目的团队人员（除项目负责人）（</w:t>
            </w:r>
            <w:r>
              <w:rPr>
                <w:rFonts w:ascii="宋体" w:hAnsi="宋体" w:eastAsia="宋体" w:cs="宋体"/>
                <w:color w:val="000000"/>
                <w:kern w:val="0"/>
                <w:szCs w:val="21"/>
              </w:rPr>
              <w:t>2</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供应商拟投入本项目人员中（除项目负责人外），具有信息安全保障人员认证证书（即：CISAW证书）、高级工程师（环境保护）证书，每种证书得1分；满分</w:t>
            </w:r>
            <w:r>
              <w:rPr>
                <w:rFonts w:ascii="宋体" w:hAnsi="宋体" w:eastAsia="宋体" w:cs="宋体"/>
                <w:color w:val="000000"/>
                <w:kern w:val="0"/>
                <w:szCs w:val="21"/>
              </w:rPr>
              <w:t>2</w:t>
            </w:r>
            <w:r>
              <w:rPr>
                <w:rFonts w:hint="eastAsia" w:ascii="宋体" w:hAnsi="宋体" w:eastAsia="宋体" w:cs="宋体"/>
                <w:color w:val="000000"/>
                <w:kern w:val="0"/>
                <w:szCs w:val="21"/>
              </w:rPr>
              <w:t>分，同一人只计算一种证书；</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上述人员必须均为投标人在职员工，根据投标文件中提供以上人员近六个月任一一个月的社保缴纳证明、有关证书进行评分，未提供或不符合以上条件不得分。社保缴纳证明以社保机构出具的社保证明为准。所提供的证书等证明材料需在发标日期之前取得，否则视为无效。）</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929"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kern w:val="0"/>
                <w:szCs w:val="21"/>
              </w:rPr>
            </w:pPr>
            <w:r>
              <w:rPr>
                <w:rFonts w:hint="eastAsia" w:ascii="宋体" w:hAnsi="宋体" w:eastAsia="宋体" w:cs="宋体"/>
                <w:kern w:val="0"/>
                <w:szCs w:val="21"/>
              </w:rPr>
              <w:t>供应商资质（4分）：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1、具有GB/T31950-2015企业诚信管理体系认证证书的得 1 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2、具有ISO27701隐私安全管理体系认证证书的得 1 分；</w:t>
            </w:r>
          </w:p>
          <w:p>
            <w:pPr>
              <w:keepNext w:val="0"/>
              <w:keepLines w:val="0"/>
              <w:pageBreakBefore w:val="0"/>
              <w:widowControl/>
              <w:kinsoku/>
              <w:wordWrap/>
              <w:overflowPunct/>
              <w:topLinePunct w:val="0"/>
              <w:autoSpaceDE/>
              <w:autoSpaceDN/>
              <w:bidi w:val="0"/>
              <w:snapToGrid/>
              <w:rPr>
                <w:rFonts w:ascii="宋体" w:hAnsi="宋体" w:eastAsia="宋体" w:cs="宋体"/>
                <w:kern w:val="0"/>
                <w:szCs w:val="21"/>
              </w:rPr>
            </w:pPr>
            <w:r>
              <w:rPr>
                <w:rFonts w:hint="eastAsia" w:ascii="宋体" w:hAnsi="宋体" w:eastAsia="宋体" w:cs="宋体"/>
                <w:kern w:val="0"/>
                <w:szCs w:val="21"/>
              </w:rPr>
              <w:t>3、具有GB-T 29490-知识产权管理体系认证证书的得 1 分；</w:t>
            </w:r>
          </w:p>
          <w:p>
            <w:pPr>
              <w:keepNext w:val="0"/>
              <w:keepLines w:val="0"/>
              <w:pageBreakBefore w:val="0"/>
              <w:widowControl/>
              <w:kinsoku/>
              <w:wordWrap/>
              <w:overflowPunct/>
              <w:topLinePunct w:val="0"/>
              <w:autoSpaceDE/>
              <w:autoSpaceDN/>
              <w:bidi w:val="0"/>
              <w:snapToGrid/>
            </w:pPr>
            <w:r>
              <w:rPr>
                <w:rFonts w:hint="eastAsia" w:ascii="宋体" w:hAnsi="宋体" w:eastAsia="宋体" w:cs="宋体"/>
                <w:color w:val="000000"/>
                <w:kern w:val="0"/>
                <w:szCs w:val="21"/>
              </w:rPr>
              <w:t>4、</w:t>
            </w:r>
            <w:r>
              <w:rPr>
                <w:rFonts w:hint="eastAsia" w:ascii="宋体" w:hAnsi="宋体" w:eastAsia="宋体" w:cs="宋体"/>
                <w:kern w:val="0"/>
                <w:szCs w:val="21"/>
              </w:rPr>
              <w:t>具有环境污染防治工程专项设计服务能力评价证书的得1分；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满分4分，投标文件中提供证书复印件加盖公章</w:t>
            </w:r>
          </w:p>
          <w:p>
            <w:pPr>
              <w:keepNext w:val="0"/>
              <w:keepLines w:val="0"/>
              <w:pageBreakBefore w:val="0"/>
              <w:widowControl/>
              <w:kinsoku/>
              <w:wordWrap/>
              <w:overflowPunct/>
              <w:topLinePunct w:val="0"/>
              <w:autoSpaceDE/>
              <w:autoSpaceDN/>
              <w:bidi w:val="0"/>
              <w:snapToGrid/>
              <w:rPr>
                <w:rFonts w:ascii="宋体" w:hAnsi="宋体" w:eastAsia="宋体" w:cs="宋体"/>
                <w:kern w:val="0"/>
                <w:szCs w:val="21"/>
              </w:rPr>
            </w:pPr>
            <w:r>
              <w:rPr>
                <w:rFonts w:hint="eastAsia" w:ascii="宋体" w:hAnsi="宋体" w:eastAsia="宋体" w:cs="宋体"/>
                <w:color w:val="000000"/>
                <w:kern w:val="0"/>
                <w:szCs w:val="21"/>
              </w:rPr>
              <w:t>（响应文件中提供以上证书复印件加盖供应商公章。）</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380" w:hRule="atLeast"/>
        </w:trPr>
        <w:tc>
          <w:tcPr>
            <w:tcW w:w="1080"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left"/>
              <w:rPr>
                <w:rFonts w:ascii="宋体" w:hAnsi="宋体" w:eastAsia="宋体" w:cs="宋体"/>
                <w:color w:val="000000"/>
                <w:kern w:val="0"/>
                <w:szCs w:val="21"/>
              </w:rPr>
            </w:pPr>
          </w:p>
        </w:tc>
        <w:tc>
          <w:tcPr>
            <w:tcW w:w="69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业绩（</w:t>
            </w:r>
            <w:r>
              <w:rPr>
                <w:rFonts w:ascii="宋体" w:hAnsi="宋体" w:eastAsia="宋体" w:cs="宋体"/>
                <w:color w:val="000000"/>
                <w:kern w:val="0"/>
                <w:szCs w:val="21"/>
              </w:rPr>
              <w:t>1</w:t>
            </w:r>
            <w:r>
              <w:rPr>
                <w:rFonts w:hint="eastAsia" w:ascii="宋体" w:hAnsi="宋体" w:eastAsia="宋体" w:cs="宋体"/>
                <w:color w:val="000000"/>
                <w:kern w:val="0"/>
                <w:szCs w:val="21"/>
              </w:rPr>
              <w:t>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供应商自2020年1月1日以来承担过类似电子围栏监测项目的，每有1个业绩得0.5分，本项最多得1分。</w:t>
            </w:r>
          </w:p>
          <w:p>
            <w:pPr>
              <w:keepNext w:val="0"/>
              <w:keepLines w:val="0"/>
              <w:pageBreakBefore w:val="0"/>
              <w:widowControl/>
              <w:kinsoku/>
              <w:wordWrap/>
              <w:overflowPunct/>
              <w:topLinePunct w:val="0"/>
              <w:autoSpaceDE/>
              <w:autoSpaceDN/>
              <w:bidi w:val="0"/>
              <w:snapToGrid/>
              <w:rPr>
                <w:rFonts w:ascii="宋体" w:hAnsi="宋体" w:eastAsia="宋体" w:cs="宋体"/>
                <w:color w:val="000000"/>
                <w:kern w:val="0"/>
                <w:szCs w:val="21"/>
              </w:rPr>
            </w:pPr>
            <w:r>
              <w:rPr>
                <w:rFonts w:hint="eastAsia" w:ascii="宋体" w:hAnsi="宋体" w:eastAsia="宋体" w:cs="宋体"/>
                <w:color w:val="000000"/>
                <w:kern w:val="0"/>
                <w:szCs w:val="21"/>
              </w:rPr>
              <w:t>（响应文件中提供合同复印件和中标通知书加盖供应商公章，业绩时间以合同签订时间为准。）</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387" w:hRule="atLeast"/>
        </w:trPr>
        <w:tc>
          <w:tcPr>
            <w:tcW w:w="1080"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r>
              <w:rPr>
                <w:rFonts w:hint="eastAsia" w:ascii="宋体" w:hAnsi="宋体" w:eastAsia="宋体" w:cs="宋体"/>
                <w:color w:val="000000"/>
                <w:kern w:val="0"/>
                <w:szCs w:val="21"/>
              </w:rPr>
              <w:t>价格分10分</w:t>
            </w:r>
          </w:p>
        </w:tc>
        <w:tc>
          <w:tcPr>
            <w:tcW w:w="6980" w:type="dxa"/>
            <w:tcBorders>
              <w:top w:val="nil"/>
              <w:left w:val="nil"/>
              <w:bottom w:val="single" w:color="auto" w:sz="8" w:space="0"/>
              <w:right w:val="single" w:color="auto" w:sz="8" w:space="0"/>
            </w:tcBorders>
            <w:noWrap w:val="0"/>
            <w:vAlign w:val="center"/>
          </w:tcPr>
          <w:p>
            <w:pPr>
              <w:rPr>
                <w:rFonts w:ascii="Calibri" w:hAnsi="Calibri"/>
                <w:color w:val="auto"/>
                <w:szCs w:val="21"/>
              </w:rPr>
            </w:pPr>
            <w:r>
              <w:rPr>
                <w:rFonts w:hint="eastAsia" w:ascii="Calibri" w:hAnsi="Calibri"/>
                <w:color w:val="auto"/>
                <w:szCs w:val="21"/>
              </w:rPr>
              <w:t>参与评审的价格=满足</w:t>
            </w:r>
            <w:r>
              <w:rPr>
                <w:rFonts w:hint="eastAsia" w:ascii="Calibri" w:hAnsi="Calibri"/>
                <w:color w:val="auto"/>
                <w:szCs w:val="21"/>
                <w:lang w:val="en-US" w:eastAsia="zh-CN"/>
              </w:rPr>
              <w:t>磋商</w:t>
            </w:r>
            <w:r>
              <w:rPr>
                <w:rFonts w:hint="eastAsia" w:ascii="Calibri" w:hAnsi="Calibri"/>
                <w:color w:val="auto"/>
                <w:szCs w:val="21"/>
              </w:rPr>
              <w:t>文件要求的</w:t>
            </w:r>
            <w:r>
              <w:rPr>
                <w:rFonts w:hint="eastAsia" w:ascii="Calibri" w:hAnsi="Calibri"/>
                <w:color w:val="auto"/>
                <w:szCs w:val="21"/>
                <w:lang w:val="en-US" w:eastAsia="zh-CN"/>
              </w:rPr>
              <w:t>最终</w:t>
            </w:r>
            <w:r>
              <w:rPr>
                <w:rFonts w:hint="eastAsia" w:ascii="Calibri" w:hAnsi="Calibri"/>
                <w:color w:val="auto"/>
                <w:szCs w:val="21"/>
              </w:rPr>
              <w:t>磋商报价</w:t>
            </w:r>
          </w:p>
          <w:p>
            <w:pPr>
              <w:rPr>
                <w:rFonts w:ascii="Calibri" w:hAnsi="Calibri"/>
                <w:color w:val="auto"/>
                <w:szCs w:val="21"/>
              </w:rPr>
            </w:pPr>
            <w:r>
              <w:rPr>
                <w:rFonts w:hint="eastAsia" w:ascii="Calibri" w:hAnsi="Calibri"/>
                <w:color w:val="auto"/>
                <w:szCs w:val="21"/>
              </w:rPr>
              <w:t>基准价=</w:t>
            </w:r>
            <w:r>
              <w:rPr>
                <w:rFonts w:hint="eastAsia"/>
                <w:color w:val="auto"/>
              </w:rPr>
              <w:t>参与评审的价格中最低的报价</w:t>
            </w:r>
          </w:p>
          <w:p>
            <w:pPr>
              <w:rPr>
                <w:rFonts w:ascii="Calibri" w:hAnsi="Calibri"/>
                <w:color w:val="auto"/>
                <w:szCs w:val="21"/>
              </w:rPr>
            </w:pPr>
            <w:r>
              <w:rPr>
                <w:rFonts w:hint="eastAsia" w:ascii="Calibri" w:hAnsi="Calibri"/>
                <w:color w:val="auto"/>
                <w:szCs w:val="21"/>
              </w:rPr>
              <w:t>基准价的得分为10分</w:t>
            </w:r>
          </w:p>
          <w:p>
            <w:pPr>
              <w:spacing w:line="320" w:lineRule="exact"/>
              <w:jc w:val="left"/>
              <w:textAlignment w:val="baseline"/>
              <w:rPr>
                <w:rFonts w:ascii="宋体" w:hAnsi="宋体" w:eastAsia="宋体" w:cs="宋体"/>
                <w:color w:val="000000"/>
                <w:kern w:val="0"/>
                <w:szCs w:val="21"/>
              </w:rPr>
            </w:pPr>
            <w:r>
              <w:rPr>
                <w:rFonts w:hint="eastAsia" w:ascii="Calibri" w:hAnsi="Calibri"/>
                <w:color w:val="auto"/>
                <w:szCs w:val="21"/>
              </w:rPr>
              <w:t>报价得分=（基准价/参与评审的价格）×10</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92" w:hRule="atLeast"/>
        </w:trPr>
        <w:tc>
          <w:tcPr>
            <w:tcW w:w="806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r>
              <w:rPr>
                <w:rFonts w:hint="eastAsia" w:ascii="宋体" w:hAnsi="宋体" w:eastAsia="宋体" w:cs="宋体"/>
                <w:color w:val="000000"/>
                <w:kern w:val="0"/>
                <w:szCs w:val="21"/>
              </w:rPr>
              <w:t>综合评分</w:t>
            </w:r>
          </w:p>
        </w:tc>
        <w:tc>
          <w:tcPr>
            <w:tcW w:w="10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napToGrid/>
              <w:jc w:val="center"/>
              <w:rPr>
                <w:rFonts w:ascii="宋体" w:hAnsi="宋体" w:eastAsia="宋体" w:cs="宋体"/>
                <w:color w:val="000000"/>
                <w:kern w:val="0"/>
                <w:szCs w:val="21"/>
              </w:rPr>
            </w:pPr>
          </w:p>
        </w:tc>
      </w:tr>
      <w:bookmarkEnd w:id="43"/>
    </w:tbl>
    <w:p>
      <w:pPr>
        <w:spacing w:line="360" w:lineRule="auto"/>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评标标准（评委打分表）</w:t>
      </w:r>
    </w:p>
    <w:p>
      <w:pPr>
        <w:spacing w:before="120"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40"/>
        <w:spacing w:line="360" w:lineRule="auto"/>
        <w:rPr>
          <w:rFonts w:ascii="宋体" w:hAnsi="宋体" w:eastAsia="宋体"/>
          <w:sz w:val="32"/>
        </w:rPr>
      </w:pPr>
      <w:r>
        <w:rPr>
          <w:rFonts w:ascii="宋体" w:hAnsi="宋体" w:eastAsia="宋体"/>
          <w:sz w:val="28"/>
        </w:rPr>
        <w:br w:type="page"/>
      </w:r>
      <w:bookmarkStart w:id="44" w:name="_Toc34844745"/>
      <w:r>
        <w:rPr>
          <w:rFonts w:hint="eastAsia" w:ascii="宋体" w:hAnsi="宋体" w:eastAsia="宋体"/>
          <w:sz w:val="24"/>
        </w:rPr>
        <w:t>第五章  合同文本</w:t>
      </w:r>
      <w:bookmarkEnd w:id="44"/>
    </w:p>
    <w:p>
      <w:pPr>
        <w:spacing w:line="400" w:lineRule="exact"/>
        <w:rPr>
          <w:b/>
          <w:color w:val="000000"/>
          <w:szCs w:val="21"/>
        </w:rPr>
      </w:pPr>
      <w:r>
        <w:rPr>
          <w:rFonts w:hint="eastAsia"/>
          <w:b/>
          <w:color w:val="000000"/>
          <w:szCs w:val="21"/>
        </w:rPr>
        <w:t>甲</w:t>
      </w:r>
      <w:r>
        <w:rPr>
          <w:b/>
          <w:color w:val="000000"/>
          <w:szCs w:val="21"/>
        </w:rPr>
        <w:t xml:space="preserve">    </w:t>
      </w:r>
      <w:r>
        <w:rPr>
          <w:rFonts w:hint="eastAsia"/>
          <w:b/>
          <w:color w:val="000000"/>
          <w:szCs w:val="21"/>
        </w:rPr>
        <w:t>方</w:t>
      </w:r>
      <w:r>
        <w:rPr>
          <w:rFonts w:hint="eastAsia"/>
          <w:color w:val="000000"/>
          <w:szCs w:val="21"/>
        </w:rPr>
        <w:t>（采购人）</w:t>
      </w:r>
      <w:r>
        <w:rPr>
          <w:rFonts w:hint="eastAsia"/>
          <w:b/>
          <w:color w:val="000000"/>
          <w:szCs w:val="21"/>
        </w:rPr>
        <w:t>：</w:t>
      </w:r>
      <w:r>
        <w:rPr>
          <w:b/>
          <w:color w:val="000000"/>
          <w:szCs w:val="21"/>
          <w:u w:val="single"/>
        </w:rPr>
        <w:t xml:space="preserve"> </w:t>
      </w:r>
      <w:r>
        <w:rPr>
          <w:rFonts w:hint="eastAsia"/>
          <w:b/>
          <w:color w:val="000000"/>
          <w:szCs w:val="21"/>
          <w:u w:val="single"/>
        </w:rPr>
        <w:t xml:space="preserve">                  </w:t>
      </w:r>
    </w:p>
    <w:p>
      <w:pPr>
        <w:spacing w:line="400" w:lineRule="exact"/>
        <w:rPr>
          <w:color w:val="000000"/>
          <w:szCs w:val="21"/>
        </w:rPr>
      </w:pPr>
      <w:r>
        <w:rPr>
          <w:rFonts w:hint="eastAsia"/>
          <w:b/>
          <w:color w:val="000000"/>
          <w:szCs w:val="21"/>
        </w:rPr>
        <w:t>乙</w:t>
      </w:r>
      <w:r>
        <w:rPr>
          <w:b/>
          <w:color w:val="000000"/>
          <w:szCs w:val="21"/>
        </w:rPr>
        <w:t xml:space="preserve">    </w:t>
      </w:r>
      <w:r>
        <w:rPr>
          <w:rFonts w:hint="eastAsia"/>
          <w:b/>
          <w:color w:val="000000"/>
          <w:szCs w:val="21"/>
        </w:rPr>
        <w:t>方</w:t>
      </w:r>
      <w:r>
        <w:rPr>
          <w:rFonts w:hint="eastAsia"/>
          <w:color w:val="000000"/>
          <w:szCs w:val="21"/>
        </w:rPr>
        <w:t>（中标人）</w:t>
      </w:r>
      <w:r>
        <w:rPr>
          <w:rFonts w:hint="eastAsia"/>
          <w:b/>
          <w:color w:val="000000"/>
          <w:szCs w:val="21"/>
        </w:rPr>
        <w:t>：</w:t>
      </w:r>
      <w:r>
        <w:rPr>
          <w:b/>
          <w:color w:val="000000"/>
          <w:szCs w:val="21"/>
          <w:u w:val="single"/>
        </w:rPr>
        <w:t xml:space="preserve">                   </w:t>
      </w:r>
      <w:r>
        <w:rPr>
          <w:b/>
          <w:color w:val="000000"/>
          <w:szCs w:val="21"/>
        </w:rPr>
        <w:br w:type="textWrapping"/>
      </w:r>
    </w:p>
    <w:p>
      <w:pPr>
        <w:spacing w:line="400" w:lineRule="exact"/>
        <w:rPr>
          <w:color w:val="000000"/>
          <w:szCs w:val="21"/>
        </w:rPr>
      </w:pPr>
    </w:p>
    <w:p>
      <w:pPr>
        <w:spacing w:line="360" w:lineRule="exact"/>
        <w:ind w:firstLine="315" w:firstLineChars="150"/>
        <w:rPr>
          <w:rFonts w:hAnsi="宋体"/>
          <w:color w:val="000000"/>
          <w:szCs w:val="21"/>
        </w:rPr>
      </w:pPr>
      <w:r>
        <w:rPr>
          <w:rFonts w:hint="eastAsia" w:hAnsi="宋体"/>
          <w:color w:val="000000"/>
          <w:szCs w:val="21"/>
        </w:rPr>
        <w:t>根据</w:t>
      </w:r>
      <w:r>
        <w:rPr>
          <w:rFonts w:hint="eastAsia" w:hAnsi="宋体"/>
          <w:color w:val="000000"/>
          <w:szCs w:val="21"/>
          <w:u w:val="single"/>
        </w:rPr>
        <w:t xml:space="preserve"> </w:t>
      </w:r>
      <w:r>
        <w:rPr>
          <w:rFonts w:hAnsi="宋体"/>
          <w:color w:val="000000"/>
          <w:szCs w:val="21"/>
          <w:u w:val="single"/>
        </w:rPr>
        <w:t xml:space="preserve">                                     </w:t>
      </w:r>
      <w:r>
        <w:rPr>
          <w:rFonts w:hint="eastAsia" w:hAnsi="宋体"/>
          <w:color w:val="000000"/>
          <w:szCs w:val="21"/>
          <w:u w:val="single"/>
        </w:rPr>
        <w:t>项目</w:t>
      </w:r>
      <w:r>
        <w:rPr>
          <w:rFonts w:hint="eastAsia" w:hAnsi="宋体"/>
          <w:color w:val="000000"/>
          <w:szCs w:val="21"/>
        </w:rPr>
        <w:t>（项目编号：</w:t>
      </w:r>
      <w:r>
        <w:rPr>
          <w:bCs/>
          <w:color w:val="000000"/>
          <w:szCs w:val="21"/>
          <w:u w:val="single"/>
        </w:rPr>
        <w:t xml:space="preserve">               </w:t>
      </w:r>
      <w:r>
        <w:rPr>
          <w:rFonts w:hint="eastAsia"/>
          <w:bCs/>
          <w:color w:val="000000"/>
          <w:szCs w:val="21"/>
          <w:u w:val="single"/>
        </w:rPr>
        <w:t xml:space="preserve"> </w:t>
      </w:r>
      <w:r>
        <w:rPr>
          <w:rFonts w:hint="eastAsia" w:hAnsi="宋体"/>
          <w:color w:val="000000"/>
          <w:szCs w:val="21"/>
        </w:rPr>
        <w:t>）的采购结果，按照《中华人民共和国政府采购法》及其实施条例、</w:t>
      </w:r>
      <w:r>
        <w:rPr>
          <w:color w:val="000000"/>
          <w:szCs w:val="21"/>
        </w:rPr>
        <w:t>87</w:t>
      </w:r>
      <w:r>
        <w:rPr>
          <w:rFonts w:hint="eastAsia" w:hAnsi="宋体"/>
          <w:color w:val="000000"/>
          <w:szCs w:val="21"/>
        </w:rPr>
        <w:t>号令、《中华人民共和国民法典》的规定，</w:t>
      </w:r>
      <w:r>
        <w:rPr>
          <w:rFonts w:hint="eastAsia" w:hAnsi="宋体"/>
          <w:color w:val="000000"/>
          <w:kern w:val="28"/>
          <w:szCs w:val="21"/>
        </w:rPr>
        <w:t>经双方协商，</w:t>
      </w:r>
      <w:r>
        <w:rPr>
          <w:rFonts w:hint="eastAsia" w:hAnsi="宋体"/>
          <w:color w:val="000000"/>
          <w:szCs w:val="21"/>
        </w:rPr>
        <w:t>本着平等互利和诚实信用的原则，</w:t>
      </w:r>
      <w:r>
        <w:rPr>
          <w:rFonts w:hint="eastAsia" w:hAnsi="宋体"/>
          <w:color w:val="000000"/>
          <w:kern w:val="28"/>
          <w:szCs w:val="21"/>
        </w:rPr>
        <w:t>一致同意签订本合同如下</w:t>
      </w:r>
      <w:r>
        <w:rPr>
          <w:rFonts w:hint="eastAsia" w:hAnsi="宋体"/>
          <w:color w:val="000000"/>
          <w:szCs w:val="21"/>
        </w:rPr>
        <w:t>。</w:t>
      </w:r>
    </w:p>
    <w:p>
      <w:pPr>
        <w:spacing w:line="400" w:lineRule="exact"/>
        <w:ind w:firstLine="420" w:firstLineChars="200"/>
        <w:rPr>
          <w:color w:val="000000"/>
          <w:szCs w:val="21"/>
        </w:rPr>
      </w:pPr>
    </w:p>
    <w:p>
      <w:pPr>
        <w:spacing w:line="400" w:lineRule="exact"/>
        <w:rPr>
          <w:color w:val="000000"/>
          <w:szCs w:val="21"/>
        </w:rPr>
      </w:pPr>
      <w:r>
        <w:rPr>
          <w:rFonts w:hint="eastAsia"/>
          <w:color w:val="000000"/>
          <w:szCs w:val="21"/>
        </w:rPr>
        <w:t>一、</w:t>
      </w:r>
      <w:bookmarkStart w:id="45" w:name="_Toc435540759"/>
      <w:r>
        <w:rPr>
          <w:rFonts w:hint="eastAsia"/>
          <w:color w:val="000000"/>
          <w:szCs w:val="21"/>
        </w:rPr>
        <w:t>合同金额</w:t>
      </w:r>
      <w:bookmarkEnd w:id="45"/>
    </w:p>
    <w:p>
      <w:pPr>
        <w:pStyle w:val="24"/>
        <w:spacing w:beforeLines="0" w:afterLines="0"/>
        <w:ind w:firstLine="420" w:firstLineChars="200"/>
        <w:rPr>
          <w:rFonts w:ascii="Times New Roman" w:hAnsi="Times New Roman"/>
          <w:color w:val="000000"/>
          <w:sz w:val="21"/>
          <w:szCs w:val="21"/>
        </w:rPr>
      </w:pPr>
      <w:r>
        <w:rPr>
          <w:rFonts w:hint="eastAsia" w:ascii="Times New Roman" w:hAnsi="宋体"/>
          <w:color w:val="000000"/>
          <w:sz w:val="21"/>
          <w:szCs w:val="21"/>
        </w:rPr>
        <w:t>合同金额为（大写）：</w:t>
      </w:r>
      <w:r>
        <w:rPr>
          <w:rFonts w:ascii="Times New Roman" w:hAnsi="Times New Roman"/>
          <w:color w:val="000000"/>
          <w:sz w:val="21"/>
          <w:szCs w:val="21"/>
        </w:rPr>
        <w:t>_________________</w:t>
      </w:r>
      <w:r>
        <w:rPr>
          <w:rFonts w:hint="eastAsia" w:ascii="Times New Roman" w:hAnsi="宋体"/>
          <w:color w:val="000000"/>
          <w:sz w:val="21"/>
          <w:szCs w:val="21"/>
        </w:rPr>
        <w:t>元（小写</w:t>
      </w:r>
      <w:r>
        <w:rPr>
          <w:rFonts w:ascii="Times New Roman" w:hAnsi="Times New Roman"/>
          <w:color w:val="000000"/>
          <w:sz w:val="21"/>
          <w:szCs w:val="21"/>
        </w:rPr>
        <w:t>_______________</w:t>
      </w:r>
      <w:r>
        <w:rPr>
          <w:rFonts w:hint="eastAsia" w:ascii="Times New Roman" w:hAnsi="宋体"/>
          <w:color w:val="000000"/>
          <w:sz w:val="21"/>
          <w:szCs w:val="21"/>
        </w:rPr>
        <w:t>元），已包含人工、材料、交通、通讯、差旅、材料审查、成果编制等乙方为履行本合同所需的所有费用。</w:t>
      </w:r>
    </w:p>
    <w:p>
      <w:pPr>
        <w:spacing w:line="400" w:lineRule="exact"/>
        <w:rPr>
          <w:color w:val="000000"/>
          <w:szCs w:val="21"/>
        </w:rPr>
      </w:pPr>
      <w:bookmarkStart w:id="46" w:name="_Toc435540760"/>
      <w:r>
        <w:rPr>
          <w:rFonts w:hint="eastAsia"/>
          <w:color w:val="000000"/>
          <w:szCs w:val="21"/>
        </w:rPr>
        <w:t>二、服务范围</w:t>
      </w:r>
      <w:bookmarkEnd w:id="46"/>
    </w:p>
    <w:p>
      <w:pPr>
        <w:spacing w:line="360" w:lineRule="exact"/>
        <w:rPr>
          <w:color w:val="000000"/>
          <w:szCs w:val="21"/>
          <w:u w:val="single"/>
        </w:rPr>
      </w:pPr>
      <w:r>
        <w:rPr>
          <w:rFonts w:hint="eastAsia" w:hAnsi="宋体"/>
          <w:color w:val="000000"/>
          <w:szCs w:val="21"/>
        </w:rPr>
        <w:t>　　</w:t>
      </w:r>
      <w:r>
        <w:rPr>
          <w:color w:val="000000"/>
          <w:szCs w:val="21"/>
        </w:rPr>
        <w:t>1</w:t>
      </w:r>
      <w:r>
        <w:rPr>
          <w:rFonts w:hint="eastAsia" w:hAnsi="宋体"/>
          <w:color w:val="000000"/>
          <w:szCs w:val="21"/>
        </w:rPr>
        <w:t>．本合同项下的服务指</w:t>
      </w:r>
      <w:r>
        <w:rPr>
          <w:rFonts w:hint="eastAsia" w:ascii="Arial" w:hAnsi="宋体" w:cs="Arial"/>
          <w:color w:val="000000"/>
          <w:szCs w:val="21"/>
          <w:u w:val="single"/>
        </w:rPr>
        <w:t xml:space="preserve">                </w:t>
      </w:r>
      <w:r>
        <w:rPr>
          <w:color w:val="000000"/>
          <w:szCs w:val="21"/>
          <w:u w:val="single"/>
        </w:rPr>
        <w:t xml:space="preserve"> </w:t>
      </w:r>
    </w:p>
    <w:p>
      <w:pPr>
        <w:spacing w:line="400" w:lineRule="exact"/>
        <w:rPr>
          <w:color w:val="000000"/>
          <w:szCs w:val="21"/>
        </w:rPr>
      </w:pPr>
      <w:r>
        <w:rPr>
          <w:rFonts w:hint="eastAsia" w:hAnsi="宋体"/>
          <w:color w:val="000000"/>
          <w:szCs w:val="21"/>
        </w:rPr>
        <w:t>　　</w:t>
      </w:r>
      <w:r>
        <w:rPr>
          <w:color w:val="000000"/>
          <w:szCs w:val="21"/>
        </w:rPr>
        <w:t>2</w:t>
      </w:r>
      <w:r>
        <w:rPr>
          <w:rFonts w:hint="eastAsia" w:hAnsi="宋体"/>
          <w:color w:val="000000"/>
          <w:szCs w:val="21"/>
        </w:rPr>
        <w:t>．服务范围：</w:t>
      </w:r>
      <w:r>
        <w:rPr>
          <w:rFonts w:hint="eastAsia" w:ascii="Arial" w:cs="Arial"/>
          <w:color w:val="000000"/>
          <w:szCs w:val="21"/>
          <w:u w:val="single"/>
        </w:rPr>
        <w:t xml:space="preserve"> </w:t>
      </w:r>
      <w:r>
        <w:rPr>
          <w:rFonts w:ascii="Arial" w:cs="Arial"/>
          <w:color w:val="000000"/>
          <w:szCs w:val="21"/>
          <w:u w:val="single"/>
        </w:rPr>
        <w:t xml:space="preserve">                                    </w:t>
      </w:r>
      <w:r>
        <w:rPr>
          <w:rFonts w:ascii="Arial" w:hAnsi="Arial" w:cs="Arial"/>
          <w:color w:val="000000"/>
          <w:szCs w:val="21"/>
          <w:u w:val="single"/>
        </w:rPr>
        <w:t xml:space="preserve">   </w:t>
      </w:r>
    </w:p>
    <w:p>
      <w:pPr>
        <w:spacing w:line="400" w:lineRule="exact"/>
        <w:rPr>
          <w:color w:val="000000"/>
          <w:szCs w:val="21"/>
        </w:rPr>
      </w:pPr>
      <w:bookmarkStart w:id="47" w:name="_Toc435540761"/>
      <w:r>
        <w:rPr>
          <w:rFonts w:hint="eastAsia"/>
          <w:color w:val="000000"/>
          <w:szCs w:val="21"/>
        </w:rPr>
        <w:t>三、甲方乙方的权利和义务</w:t>
      </w:r>
      <w:bookmarkEnd w:id="47"/>
    </w:p>
    <w:p>
      <w:pPr>
        <w:spacing w:line="400" w:lineRule="exact"/>
        <w:rPr>
          <w:color w:val="000000"/>
          <w:szCs w:val="21"/>
        </w:rPr>
      </w:pPr>
      <w:r>
        <w:rPr>
          <w:rFonts w:hint="eastAsia" w:hAnsi="宋体"/>
          <w:color w:val="000000"/>
          <w:szCs w:val="21"/>
        </w:rPr>
        <w:t>　　（一）甲方的义务：按合同约定支付合同款项。</w:t>
      </w:r>
    </w:p>
    <w:p>
      <w:pPr>
        <w:spacing w:line="400" w:lineRule="exact"/>
        <w:ind w:left="405"/>
        <w:rPr>
          <w:rFonts w:hAnsi="宋体"/>
          <w:color w:val="000000"/>
          <w:szCs w:val="21"/>
        </w:rPr>
      </w:pPr>
      <w:r>
        <w:rPr>
          <w:rFonts w:hint="eastAsia" w:hAnsi="宋体"/>
          <w:color w:val="000000"/>
          <w:szCs w:val="21"/>
        </w:rPr>
        <w:t>（二）乙方的义务：</w:t>
      </w:r>
    </w:p>
    <w:p>
      <w:pPr>
        <w:spacing w:line="400" w:lineRule="exact"/>
        <w:ind w:left="405" w:firstLine="210" w:firstLineChars="100"/>
        <w:rPr>
          <w:rFonts w:hAnsi="宋体"/>
          <w:color w:val="000000"/>
          <w:szCs w:val="21"/>
        </w:rPr>
      </w:pPr>
      <w:r>
        <w:rPr>
          <w:rFonts w:hint="eastAsia" w:hAnsi="宋体"/>
          <w:color w:val="000000"/>
          <w:szCs w:val="21"/>
        </w:rPr>
        <w:t>1、按合同约定完成本项目全部服务内容并提交给甲方通过甲方审查验收。</w:t>
      </w:r>
    </w:p>
    <w:p>
      <w:pPr>
        <w:spacing w:line="400" w:lineRule="exact"/>
        <w:ind w:left="405" w:firstLine="210" w:firstLineChars="100"/>
        <w:rPr>
          <w:rFonts w:hAnsi="宋体"/>
          <w:color w:val="000000"/>
          <w:szCs w:val="21"/>
        </w:rPr>
      </w:pPr>
      <w:r>
        <w:rPr>
          <w:rFonts w:hint="eastAsia" w:hAnsi="宋体"/>
          <w:color w:val="000000"/>
          <w:szCs w:val="21"/>
        </w:rPr>
        <w:t>2、保证其提供服务的合法性及项目成果的真实性、准确性和完整性，且此责任不因合同终止、解除等情况免除或减轻。</w:t>
      </w:r>
    </w:p>
    <w:p>
      <w:pPr>
        <w:spacing w:line="400" w:lineRule="exact"/>
        <w:rPr>
          <w:color w:val="000000"/>
          <w:szCs w:val="21"/>
        </w:rPr>
      </w:pPr>
      <w:bookmarkStart w:id="48" w:name="_Toc435540762"/>
      <w:r>
        <w:rPr>
          <w:rFonts w:hint="eastAsia"/>
          <w:color w:val="000000"/>
          <w:szCs w:val="21"/>
        </w:rPr>
        <w:t>五、</w:t>
      </w:r>
      <w:bookmarkEnd w:id="48"/>
      <w:r>
        <w:rPr>
          <w:rFonts w:hint="eastAsia"/>
          <w:color w:val="000000"/>
          <w:szCs w:val="21"/>
        </w:rPr>
        <w:t>服务时间：</w:t>
      </w:r>
      <w:r>
        <w:rPr>
          <w:color w:val="000000"/>
          <w:szCs w:val="21"/>
        </w:rPr>
        <w:t xml:space="preserve"> </w:t>
      </w:r>
    </w:p>
    <w:p>
      <w:pPr>
        <w:spacing w:line="400" w:lineRule="exact"/>
        <w:ind w:firstLine="435"/>
        <w:rPr>
          <w:rFonts w:ascii="Arial" w:hAnsi="宋体" w:cs="Arial"/>
          <w:szCs w:val="21"/>
        </w:rPr>
      </w:pPr>
    </w:p>
    <w:p>
      <w:pPr>
        <w:spacing w:line="400" w:lineRule="exact"/>
        <w:rPr>
          <w:rFonts w:hAnsi="宋体"/>
          <w:szCs w:val="21"/>
        </w:rPr>
      </w:pPr>
      <w:r>
        <w:rPr>
          <w:rFonts w:hint="eastAsia"/>
        </w:rPr>
        <w:t>六、履约保证金：</w:t>
      </w:r>
    </w:p>
    <w:p/>
    <w:p>
      <w:pPr>
        <w:spacing w:line="400" w:lineRule="exact"/>
        <w:rPr>
          <w:szCs w:val="21"/>
        </w:rPr>
      </w:pPr>
      <w:r>
        <w:rPr>
          <w:rFonts w:hint="eastAsia"/>
          <w:szCs w:val="21"/>
        </w:rPr>
        <w:t>六、</w:t>
      </w:r>
      <w:bookmarkStart w:id="49" w:name="_Toc435540763"/>
      <w:r>
        <w:rPr>
          <w:rFonts w:hint="eastAsia"/>
          <w:szCs w:val="21"/>
        </w:rPr>
        <w:t>付款</w:t>
      </w:r>
      <w:bookmarkEnd w:id="49"/>
      <w:r>
        <w:rPr>
          <w:rFonts w:hint="eastAsia"/>
          <w:szCs w:val="21"/>
        </w:rPr>
        <w:t>方法</w:t>
      </w:r>
    </w:p>
    <w:p>
      <w:pPr>
        <w:spacing w:line="400" w:lineRule="exact"/>
        <w:ind w:firstLine="435"/>
        <w:rPr>
          <w:rFonts w:ascii="Arial" w:hAnsi="宋体" w:cs="Arial"/>
          <w:szCs w:val="21"/>
        </w:rPr>
      </w:pPr>
      <w:bookmarkStart w:id="50" w:name="_Toc435540764"/>
    </w:p>
    <w:p>
      <w:pPr>
        <w:spacing w:line="400" w:lineRule="exact"/>
        <w:rPr>
          <w:szCs w:val="21"/>
        </w:rPr>
      </w:pPr>
      <w:r>
        <w:rPr>
          <w:rFonts w:hint="eastAsia"/>
          <w:szCs w:val="21"/>
        </w:rPr>
        <w:t>七、知识产权产权归属</w:t>
      </w:r>
      <w:bookmarkEnd w:id="50"/>
    </w:p>
    <w:p>
      <w:pPr>
        <w:spacing w:line="400" w:lineRule="exact"/>
        <w:ind w:firstLine="420" w:firstLineChars="200"/>
        <w:rPr>
          <w:rFonts w:hAnsi="宋体"/>
          <w:color w:val="000000"/>
          <w:szCs w:val="21"/>
        </w:rPr>
      </w:pPr>
      <w:r>
        <w:rPr>
          <w:rFonts w:hint="eastAsia" w:hAnsi="宋体"/>
          <w:color w:val="000000"/>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1" w:name="_Toc435540765"/>
    </w:p>
    <w:p>
      <w:pPr>
        <w:spacing w:line="400" w:lineRule="exact"/>
        <w:ind w:firstLine="420" w:firstLineChars="200"/>
        <w:rPr>
          <w:rFonts w:hAnsi="宋体"/>
          <w:color w:val="000000"/>
          <w:szCs w:val="21"/>
        </w:rPr>
      </w:pPr>
      <w:r>
        <w:rPr>
          <w:rFonts w:hint="eastAsia" w:hAnsi="宋体"/>
          <w:color w:val="000000"/>
          <w:szCs w:val="21"/>
        </w:rPr>
        <w:t>乙方在项目实施过程中所形成的所有原始资料、中间及最终成果及其所涉知识产权归甲方所有。</w:t>
      </w:r>
    </w:p>
    <w:p>
      <w:pPr>
        <w:spacing w:line="400" w:lineRule="exact"/>
        <w:rPr>
          <w:color w:val="000000"/>
          <w:szCs w:val="21"/>
        </w:rPr>
      </w:pPr>
      <w:r>
        <w:rPr>
          <w:rFonts w:hint="eastAsia"/>
          <w:color w:val="000000"/>
          <w:szCs w:val="21"/>
        </w:rPr>
        <w:t>八、保密</w:t>
      </w:r>
      <w:bookmarkEnd w:id="51"/>
    </w:p>
    <w:p>
      <w:pPr>
        <w:spacing w:line="400" w:lineRule="exact"/>
        <w:ind w:firstLine="420" w:firstLineChars="200"/>
        <w:rPr>
          <w:color w:val="000000"/>
          <w:szCs w:val="21"/>
        </w:rPr>
      </w:pPr>
      <w:r>
        <w:rPr>
          <w:rFonts w:hint="eastAsia" w:hAnsi="宋体"/>
          <w:color w:val="000000"/>
          <w:szCs w:val="21"/>
        </w:rPr>
        <w:t>乙方必须采取措施对本项目实施过程中的技术资料保密，否则，由于乙方过错导致的上述资料泄密的，乙方必须承担一切责任。项目完成后，乙方有责任对本项目的技术保密承担责任。</w:t>
      </w:r>
    </w:p>
    <w:p>
      <w:pPr>
        <w:tabs>
          <w:tab w:val="left" w:pos="900"/>
        </w:tabs>
        <w:spacing w:line="400" w:lineRule="exact"/>
        <w:ind w:firstLine="420" w:firstLineChars="200"/>
        <w:rPr>
          <w:color w:val="000000"/>
          <w:szCs w:val="21"/>
        </w:rPr>
      </w:pPr>
      <w:r>
        <w:rPr>
          <w:color w:val="000000"/>
          <w:szCs w:val="21"/>
        </w:rPr>
        <w:t>1</w:t>
      </w:r>
      <w:r>
        <w:rPr>
          <w:rFonts w:hint="eastAsia" w:hAnsi="宋体"/>
          <w:color w:val="000000"/>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color w:val="000000"/>
          <w:szCs w:val="21"/>
        </w:rPr>
      </w:pPr>
      <w:r>
        <w:rPr>
          <w:color w:val="000000"/>
          <w:szCs w:val="21"/>
        </w:rPr>
        <w:t>2</w:t>
      </w:r>
      <w:r>
        <w:rPr>
          <w:rFonts w:hint="eastAsia" w:hAnsi="宋体"/>
          <w:color w:val="000000"/>
          <w:szCs w:val="21"/>
        </w:rPr>
        <w:t>）如果甲方有要求，乙方在完成合同后应将有关资料还给甲方。</w:t>
      </w:r>
    </w:p>
    <w:p>
      <w:pPr>
        <w:spacing w:line="400" w:lineRule="exact"/>
        <w:rPr>
          <w:color w:val="000000"/>
          <w:szCs w:val="21"/>
        </w:rPr>
      </w:pPr>
      <w:bookmarkStart w:id="52" w:name="_Toc435540766"/>
      <w:bookmarkStart w:id="53" w:name="_Toc435540767"/>
      <w:r>
        <w:rPr>
          <w:rFonts w:hint="eastAsia"/>
          <w:color w:val="000000"/>
          <w:szCs w:val="21"/>
        </w:rPr>
        <w:t>九、违约责任与赔偿损失</w:t>
      </w:r>
      <w:bookmarkEnd w:id="52"/>
    </w:p>
    <w:p>
      <w:pPr>
        <w:spacing w:line="400" w:lineRule="exact"/>
        <w:ind w:firstLine="420" w:firstLineChars="200"/>
        <w:rPr>
          <w:color w:val="000000"/>
          <w:szCs w:val="21"/>
        </w:rPr>
      </w:pPr>
      <w:r>
        <w:rPr>
          <w:color w:val="000000"/>
          <w:szCs w:val="21"/>
        </w:rPr>
        <w:t>1</w:t>
      </w:r>
      <w:r>
        <w:rPr>
          <w:rFonts w:hint="eastAsia"/>
          <w:color w:val="000000"/>
          <w:szCs w:val="21"/>
        </w:rPr>
        <w:t>）乙方提供的服务不符合采购文件、投标文件或本合同规定的，甲方有权拒收，并且乙方须向甲方支付本合同总价10%的违约金。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color w:val="000000"/>
          <w:szCs w:val="21"/>
        </w:rPr>
      </w:pPr>
      <w:r>
        <w:rPr>
          <w:color w:val="000000"/>
          <w:szCs w:val="21"/>
        </w:rPr>
        <w:t>2</w:t>
      </w:r>
      <w:r>
        <w:rPr>
          <w:rFonts w:hint="eastAsia" w:hAnsi="宋体"/>
          <w:color w:val="000000"/>
          <w:szCs w:val="21"/>
        </w:rPr>
        <w:t>）乙方未能按本合同规定的交货时间交付货物的</w:t>
      </w:r>
      <w:r>
        <w:rPr>
          <w:color w:val="000000"/>
          <w:szCs w:val="21"/>
        </w:rPr>
        <w:t>/</w:t>
      </w:r>
      <w:r>
        <w:rPr>
          <w:rFonts w:hint="eastAsia" w:hAnsi="宋体"/>
          <w:color w:val="000000"/>
          <w:szCs w:val="21"/>
        </w:rPr>
        <w:t>提供服务的，从逾期之日起每日按本合同总价</w:t>
      </w:r>
      <w:r>
        <w:rPr>
          <w:rFonts w:hint="eastAsia"/>
          <w:color w:val="000000"/>
          <w:szCs w:val="21"/>
        </w:rPr>
        <w:t>的</w:t>
      </w:r>
      <w:r>
        <w:rPr>
          <w:rFonts w:hint="eastAsia" w:hAnsi="宋体"/>
          <w:color w:val="000000"/>
          <w:szCs w:val="21"/>
        </w:rPr>
        <w:t>万分之五向甲方偿付违约金；逾期</w:t>
      </w:r>
      <w:r>
        <w:rPr>
          <w:color w:val="000000"/>
          <w:szCs w:val="21"/>
        </w:rPr>
        <w:t>15</w:t>
      </w:r>
      <w:r>
        <w:rPr>
          <w:rFonts w:hint="eastAsia" w:hAnsi="宋体"/>
          <w:color w:val="000000"/>
          <w:szCs w:val="21"/>
        </w:rPr>
        <w:t>天以上（含</w:t>
      </w:r>
      <w:r>
        <w:rPr>
          <w:color w:val="000000"/>
          <w:szCs w:val="21"/>
        </w:rPr>
        <w:t>15</w:t>
      </w:r>
      <w:r>
        <w:rPr>
          <w:rFonts w:hint="eastAsia" w:hAnsi="宋体"/>
          <w:color w:val="000000"/>
          <w:szCs w:val="21"/>
        </w:rPr>
        <w:t>天）的，甲方有权终止合同，并要求乙方按合同总价的20%支付违约金，并且给甲方造成的经济损失由乙方承担赔偿责任。</w:t>
      </w:r>
    </w:p>
    <w:p>
      <w:pPr>
        <w:spacing w:line="400" w:lineRule="exact"/>
        <w:ind w:firstLine="420" w:firstLineChars="200"/>
        <w:rPr>
          <w:bCs/>
          <w:color w:val="000000"/>
          <w:szCs w:val="21"/>
        </w:rPr>
      </w:pPr>
      <w:r>
        <w:rPr>
          <w:rFonts w:hint="eastAsia"/>
          <w:bCs/>
          <w:color w:val="000000"/>
          <w:szCs w:val="21"/>
        </w:rPr>
        <w:t>3</w:t>
      </w:r>
      <w:r>
        <w:rPr>
          <w:rFonts w:hint="eastAsia" w:hAnsi="宋体"/>
          <w:bCs/>
          <w:color w:val="000000"/>
          <w:szCs w:val="21"/>
        </w:rPr>
        <w:t>）其它违约责任按《中华人民共和国民法典》处理。</w:t>
      </w:r>
    </w:p>
    <w:p>
      <w:pPr>
        <w:spacing w:line="400" w:lineRule="exact"/>
        <w:rPr>
          <w:color w:val="000000"/>
          <w:szCs w:val="21"/>
        </w:rPr>
      </w:pPr>
      <w:r>
        <w:rPr>
          <w:rFonts w:hint="eastAsia"/>
          <w:color w:val="000000"/>
          <w:szCs w:val="21"/>
        </w:rPr>
        <w:t>十、争端的解决</w:t>
      </w:r>
      <w:bookmarkEnd w:id="53"/>
    </w:p>
    <w:p>
      <w:pPr>
        <w:spacing w:line="400" w:lineRule="exact"/>
        <w:ind w:firstLine="420" w:firstLineChars="200"/>
        <w:rPr>
          <w:color w:val="000000"/>
          <w:szCs w:val="21"/>
        </w:rPr>
      </w:pPr>
      <w:r>
        <w:rPr>
          <w:rFonts w:hint="eastAsia" w:hAnsi="宋体"/>
          <w:color w:val="000000"/>
          <w:szCs w:val="21"/>
        </w:rPr>
        <w:t>合同执行过程中发生的任何争议，如双方不能通过友好协商解决，甲、乙双方一致同意向甲方所在地人民法院提起诉讼。</w:t>
      </w:r>
    </w:p>
    <w:p>
      <w:pPr>
        <w:spacing w:line="400" w:lineRule="exact"/>
        <w:rPr>
          <w:color w:val="000000"/>
          <w:szCs w:val="21"/>
        </w:rPr>
      </w:pPr>
      <w:bookmarkStart w:id="54" w:name="_Toc435540768"/>
      <w:r>
        <w:rPr>
          <w:rFonts w:hint="eastAsia"/>
          <w:color w:val="000000"/>
          <w:szCs w:val="21"/>
        </w:rPr>
        <w:t>十一、不可抗力</w:t>
      </w:r>
      <w:bookmarkEnd w:id="54"/>
    </w:p>
    <w:p>
      <w:pPr>
        <w:spacing w:line="400" w:lineRule="exact"/>
        <w:ind w:firstLine="420" w:firstLineChars="200"/>
        <w:rPr>
          <w:color w:val="000000"/>
          <w:szCs w:val="21"/>
        </w:rPr>
      </w:pPr>
      <w:r>
        <w:rPr>
          <w:rFonts w:hint="eastAsia" w:hAnsi="宋体"/>
          <w:color w:val="000000"/>
          <w:szCs w:val="21"/>
        </w:rPr>
        <w:t>任何一方由于不可抗力原因不能履行合同时，应在不可抗力事件结束后</w:t>
      </w:r>
      <w:r>
        <w:rPr>
          <w:color w:val="000000"/>
          <w:szCs w:val="21"/>
        </w:rPr>
        <w:t>1</w:t>
      </w:r>
      <w:r>
        <w:rPr>
          <w:rFonts w:hint="eastAsia" w:hAnsi="宋体"/>
          <w:color w:val="000000"/>
          <w:szCs w:val="21"/>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color w:val="000000"/>
          <w:szCs w:val="21"/>
        </w:rPr>
      </w:pPr>
      <w:bookmarkStart w:id="55" w:name="_Toc435540769"/>
      <w:r>
        <w:rPr>
          <w:rFonts w:hint="eastAsia"/>
          <w:color w:val="000000"/>
          <w:szCs w:val="21"/>
        </w:rPr>
        <w:t>十二、税费</w:t>
      </w:r>
      <w:bookmarkEnd w:id="55"/>
    </w:p>
    <w:p>
      <w:pPr>
        <w:spacing w:line="400" w:lineRule="exact"/>
        <w:ind w:firstLine="420" w:firstLineChars="200"/>
        <w:rPr>
          <w:color w:val="000000"/>
          <w:szCs w:val="21"/>
        </w:rPr>
      </w:pPr>
      <w:r>
        <w:rPr>
          <w:rFonts w:hint="eastAsia" w:hAnsi="宋体"/>
          <w:color w:val="000000"/>
          <w:szCs w:val="21"/>
        </w:rPr>
        <w:t>在中国境内、外发生的与本合同执行有关的一切税费均由乙方负担。</w:t>
      </w:r>
    </w:p>
    <w:p>
      <w:pPr>
        <w:spacing w:line="400" w:lineRule="exact"/>
        <w:rPr>
          <w:color w:val="000000"/>
          <w:szCs w:val="21"/>
        </w:rPr>
      </w:pPr>
      <w:bookmarkStart w:id="56" w:name="_Toc435540770"/>
      <w:r>
        <w:rPr>
          <w:rFonts w:hint="eastAsia"/>
          <w:color w:val="000000"/>
          <w:szCs w:val="21"/>
        </w:rPr>
        <w:t>十三、其它</w:t>
      </w:r>
      <w:bookmarkEnd w:id="56"/>
    </w:p>
    <w:p>
      <w:pPr>
        <w:spacing w:line="400" w:lineRule="exact"/>
        <w:ind w:firstLine="420" w:firstLineChars="200"/>
        <w:rPr>
          <w:b/>
          <w:color w:val="000000"/>
          <w:szCs w:val="21"/>
        </w:rPr>
      </w:pPr>
      <w:r>
        <w:rPr>
          <w:color w:val="000000"/>
          <w:szCs w:val="21"/>
        </w:rPr>
        <w:t>1</w:t>
      </w:r>
      <w:r>
        <w:rPr>
          <w:rFonts w:hint="eastAsia" w:hAnsi="宋体"/>
          <w:color w:val="000000"/>
          <w:szCs w:val="21"/>
        </w:rPr>
        <w:t>）本合同所有附件、采购文件、投标文件、中标通知书均为合同的有效组成部分，与本合同具有同等法律效力。</w:t>
      </w:r>
    </w:p>
    <w:p>
      <w:pPr>
        <w:spacing w:line="400" w:lineRule="exact"/>
        <w:ind w:firstLine="420" w:firstLineChars="200"/>
        <w:rPr>
          <w:color w:val="000000"/>
          <w:szCs w:val="21"/>
        </w:rPr>
      </w:pPr>
      <w:r>
        <w:rPr>
          <w:bCs/>
          <w:color w:val="000000"/>
          <w:szCs w:val="21"/>
        </w:rPr>
        <w:t>2</w:t>
      </w:r>
      <w:r>
        <w:rPr>
          <w:rFonts w:hint="eastAsia" w:hAnsi="宋体"/>
          <w:color w:val="000000"/>
          <w:szCs w:val="21"/>
        </w:rPr>
        <w:t>）在执行本合同的过程中，所有经双方签署确认的文件（包括会议纪要、补充协议、往来信函）即成为本合同的有效组成部分。</w:t>
      </w:r>
    </w:p>
    <w:p>
      <w:pPr>
        <w:spacing w:line="400" w:lineRule="exact"/>
        <w:ind w:firstLine="420" w:firstLineChars="200"/>
        <w:rPr>
          <w:color w:val="000000"/>
          <w:szCs w:val="21"/>
        </w:rPr>
      </w:pPr>
      <w:r>
        <w:rPr>
          <w:color w:val="000000"/>
          <w:szCs w:val="21"/>
        </w:rPr>
        <w:t>3</w:t>
      </w:r>
      <w:r>
        <w:rPr>
          <w:rFonts w:hint="eastAsia" w:hAnsi="宋体"/>
          <w:color w:val="000000"/>
          <w:szCs w:val="21"/>
        </w:rPr>
        <w:t>）如一方地址、电话、传真号码有变更，应在变更当日内书面通知对方，否则，应承担相应责任。</w:t>
      </w:r>
      <w:r>
        <w:rPr>
          <w:color w:val="000000"/>
          <w:szCs w:val="21"/>
        </w:rPr>
        <w:t xml:space="preserve"> </w:t>
      </w:r>
    </w:p>
    <w:p>
      <w:pPr>
        <w:spacing w:line="400" w:lineRule="exact"/>
        <w:ind w:firstLine="420" w:firstLineChars="200"/>
        <w:rPr>
          <w:color w:val="000000"/>
          <w:szCs w:val="21"/>
        </w:rPr>
      </w:pPr>
      <w:r>
        <w:rPr>
          <w:color w:val="000000"/>
          <w:szCs w:val="21"/>
        </w:rPr>
        <w:t>4</w:t>
      </w:r>
      <w:r>
        <w:rPr>
          <w:rFonts w:hint="eastAsia" w:hAnsi="宋体"/>
          <w:color w:val="000000"/>
          <w:szCs w:val="21"/>
        </w:rPr>
        <w:t>）除甲方事先书面同意外，乙方不得部分或全部转让其应履行的合同项下的义务。</w:t>
      </w:r>
    </w:p>
    <w:p>
      <w:pPr>
        <w:spacing w:line="400" w:lineRule="exact"/>
        <w:rPr>
          <w:color w:val="000000"/>
          <w:szCs w:val="21"/>
        </w:rPr>
      </w:pPr>
      <w:bookmarkStart w:id="57" w:name="_Toc435540771"/>
      <w:r>
        <w:rPr>
          <w:rFonts w:hint="eastAsia"/>
          <w:color w:val="000000"/>
          <w:szCs w:val="21"/>
        </w:rPr>
        <w:t>十四、合同生效</w:t>
      </w:r>
      <w:bookmarkEnd w:id="57"/>
    </w:p>
    <w:p>
      <w:pPr>
        <w:spacing w:line="400" w:lineRule="exact"/>
        <w:ind w:firstLine="420" w:firstLineChars="200"/>
        <w:rPr>
          <w:color w:val="000000"/>
          <w:szCs w:val="21"/>
        </w:rPr>
      </w:pPr>
      <w:r>
        <w:rPr>
          <w:color w:val="000000"/>
          <w:szCs w:val="21"/>
        </w:rPr>
        <w:t>1</w:t>
      </w:r>
      <w:r>
        <w:rPr>
          <w:rFonts w:hint="eastAsia" w:hAnsi="宋体"/>
          <w:color w:val="000000"/>
          <w:szCs w:val="21"/>
        </w:rPr>
        <w:t>）合同自甲乙双方</w:t>
      </w:r>
      <w:r>
        <w:rPr>
          <w:rFonts w:hint="eastAsia" w:ascii="Arial" w:cs="Arial"/>
          <w:color w:val="000000"/>
          <w:szCs w:val="21"/>
        </w:rPr>
        <w:t>法定代表人</w:t>
      </w:r>
      <w:r>
        <w:rPr>
          <w:rFonts w:hint="eastAsia" w:hAnsi="宋体"/>
          <w:color w:val="000000"/>
          <w:szCs w:val="21"/>
        </w:rPr>
        <w:t>或其</w:t>
      </w:r>
      <w:r>
        <w:rPr>
          <w:rFonts w:hint="eastAsia" w:ascii="Arial" w:cs="Arial"/>
          <w:color w:val="000000"/>
          <w:szCs w:val="21"/>
        </w:rPr>
        <w:t>授权代表人</w:t>
      </w:r>
      <w:r>
        <w:rPr>
          <w:rFonts w:hint="eastAsia" w:hAnsi="宋体"/>
          <w:color w:val="000000"/>
          <w:szCs w:val="21"/>
        </w:rPr>
        <w:t>签字盖章，甲方收到履约保证金后生效。</w:t>
      </w:r>
    </w:p>
    <w:p>
      <w:pPr>
        <w:spacing w:line="400" w:lineRule="exact"/>
        <w:ind w:firstLine="420" w:firstLineChars="200"/>
        <w:rPr>
          <w:color w:val="000000"/>
          <w:szCs w:val="21"/>
        </w:rPr>
      </w:pPr>
      <w:r>
        <w:rPr>
          <w:color w:val="000000"/>
          <w:szCs w:val="21"/>
        </w:rPr>
        <w:t>2</w:t>
      </w:r>
      <w:r>
        <w:rPr>
          <w:rFonts w:hint="eastAsia" w:hAnsi="宋体"/>
          <w:color w:val="000000"/>
          <w:szCs w:val="21"/>
        </w:rPr>
        <w:t>）合同壹式</w:t>
      </w:r>
      <w:r>
        <w:rPr>
          <w:color w:val="000000"/>
          <w:szCs w:val="21"/>
          <w:u w:val="single"/>
        </w:rPr>
        <w:t xml:space="preserve"> </w:t>
      </w:r>
      <w:r>
        <w:rPr>
          <w:rFonts w:hint="eastAsia"/>
          <w:color w:val="000000"/>
          <w:szCs w:val="21"/>
          <w:u w:val="single"/>
        </w:rPr>
        <w:t>伍</w:t>
      </w:r>
      <w:r>
        <w:rPr>
          <w:color w:val="000000"/>
          <w:szCs w:val="21"/>
          <w:u w:val="single"/>
        </w:rPr>
        <w:t xml:space="preserve"> </w:t>
      </w:r>
      <w:r>
        <w:rPr>
          <w:rFonts w:hint="eastAsia" w:hAnsi="宋体"/>
          <w:color w:val="000000"/>
          <w:szCs w:val="21"/>
        </w:rPr>
        <w:t>份，其中甲乙双方各执</w:t>
      </w:r>
      <w:r>
        <w:rPr>
          <w:color w:val="000000"/>
          <w:szCs w:val="21"/>
          <w:u w:val="single"/>
        </w:rPr>
        <w:t xml:space="preserve"> </w:t>
      </w:r>
      <w:r>
        <w:rPr>
          <w:rFonts w:hint="eastAsia"/>
          <w:color w:val="000000"/>
          <w:szCs w:val="21"/>
          <w:u w:val="single"/>
        </w:rPr>
        <w:t>贰</w:t>
      </w:r>
      <w:r>
        <w:rPr>
          <w:color w:val="000000"/>
          <w:szCs w:val="21"/>
          <w:u w:val="single"/>
        </w:rPr>
        <w:t xml:space="preserve"> </w:t>
      </w:r>
      <w:r>
        <w:rPr>
          <w:rFonts w:hint="eastAsia" w:hAnsi="宋体"/>
          <w:color w:val="000000"/>
          <w:szCs w:val="21"/>
        </w:rPr>
        <w:t>份，采购代理机构执壹份。</w:t>
      </w:r>
    </w:p>
    <w:p>
      <w:pPr>
        <w:tabs>
          <w:tab w:val="left" w:pos="720"/>
        </w:tabs>
        <w:spacing w:line="400" w:lineRule="exact"/>
        <w:rPr>
          <w:color w:val="000000"/>
          <w:szCs w:val="21"/>
        </w:rPr>
      </w:pP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甲方：</w:t>
      </w:r>
      <w:r>
        <w:rPr>
          <w:rFonts w:ascii="Arial" w:hAnsi="Arial" w:cs="Arial"/>
          <w:color w:val="000000"/>
          <w:szCs w:val="21"/>
        </w:rPr>
        <w:t xml:space="preserve">                                   </w:t>
      </w:r>
      <w:r>
        <w:rPr>
          <w:rFonts w:hint="eastAsia" w:ascii="Arial" w:cs="Arial"/>
          <w:color w:val="000000"/>
          <w:szCs w:val="21"/>
        </w:rPr>
        <w:t>乙方：</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法定代表人（或授权代表人）：</w:t>
      </w:r>
      <w:r>
        <w:rPr>
          <w:rFonts w:ascii="Arial" w:hAnsi="Arial" w:cs="Arial"/>
          <w:color w:val="000000"/>
          <w:szCs w:val="21"/>
        </w:rPr>
        <w:t xml:space="preserve">                </w:t>
      </w:r>
      <w:r>
        <w:rPr>
          <w:rFonts w:hint="eastAsia" w:ascii="Arial" w:cs="Arial"/>
          <w:color w:val="000000"/>
          <w:szCs w:val="21"/>
        </w:rPr>
        <w:t>法定代表人（或授权代表人）：</w:t>
      </w:r>
    </w:p>
    <w:p>
      <w:pPr>
        <w:pStyle w:val="384"/>
        <w:spacing w:line="360" w:lineRule="auto"/>
        <w:ind w:left="0" w:leftChars="0" w:firstLine="210" w:firstLineChars="100"/>
        <w:rPr>
          <w:rFonts w:asciiTheme="minorEastAsia" w:hAnsiTheme="minorEastAsia" w:eastAsiaTheme="minorEastAsia"/>
          <w:u w:val="single"/>
        </w:rPr>
      </w:pPr>
      <w:r>
        <w:rPr>
          <w:rFonts w:hint="eastAsia" w:ascii="Arial" w:cs="Arial"/>
          <w:color w:val="000000"/>
        </w:rPr>
        <w:t>签字日期：</w:t>
      </w:r>
      <w:r>
        <w:rPr>
          <w:rFonts w:ascii="Arial" w:hAnsi="Arial" w:cs="Arial"/>
          <w:color w:val="000000"/>
        </w:rPr>
        <w:t xml:space="preserve">      </w:t>
      </w:r>
      <w:r>
        <w:rPr>
          <w:rFonts w:hint="eastAsia" w:ascii="Arial" w:cs="Arial"/>
          <w:color w:val="000000"/>
        </w:rPr>
        <w:t>年</w:t>
      </w:r>
      <w:r>
        <w:rPr>
          <w:rFonts w:ascii="Arial" w:hAnsi="Arial" w:cs="Arial"/>
          <w:color w:val="000000"/>
        </w:rPr>
        <w:t xml:space="preserve">  </w:t>
      </w:r>
      <w:r>
        <w:rPr>
          <w:rFonts w:hint="eastAsia" w:ascii="Arial" w:cs="Arial"/>
          <w:color w:val="000000"/>
        </w:rPr>
        <w:t>月</w:t>
      </w:r>
      <w:r>
        <w:rPr>
          <w:rFonts w:ascii="Arial" w:hAnsi="Arial" w:cs="Arial"/>
          <w:color w:val="000000"/>
        </w:rPr>
        <w:t xml:space="preserve">  </w:t>
      </w:r>
      <w:r>
        <w:rPr>
          <w:rFonts w:hint="eastAsia" w:ascii="Arial" w:hAnsi="Arial" w:cs="Arial"/>
          <w:color w:val="000000"/>
        </w:rPr>
        <w:t>日</w:t>
      </w:r>
      <w:r>
        <w:rPr>
          <w:rFonts w:ascii="Arial" w:hAnsi="Arial" w:cs="Arial"/>
          <w:color w:val="000000"/>
        </w:rPr>
        <w:t xml:space="preserve">                 </w:t>
      </w:r>
      <w:r>
        <w:rPr>
          <w:rFonts w:hint="eastAsia" w:ascii="Arial" w:hAnsi="Arial" w:cs="Arial"/>
          <w:color w:val="000000"/>
        </w:rPr>
        <w:t>签字日期：</w:t>
      </w:r>
      <w:r>
        <w:rPr>
          <w:rFonts w:ascii="Arial" w:hAnsi="Arial" w:cs="Arial"/>
          <w:color w:val="000000"/>
        </w:rPr>
        <w:t xml:space="preserve">      </w:t>
      </w:r>
      <w:r>
        <w:rPr>
          <w:rFonts w:hint="eastAsia" w:ascii="Arial" w:hAnsi="Arial" w:cs="Arial"/>
          <w:color w:val="000000"/>
        </w:rPr>
        <w:t>年</w:t>
      </w:r>
      <w:r>
        <w:rPr>
          <w:rFonts w:ascii="Arial" w:hAnsi="Arial" w:cs="Arial"/>
          <w:color w:val="000000"/>
        </w:rPr>
        <w:t xml:space="preserve">  </w:t>
      </w:r>
      <w:r>
        <w:rPr>
          <w:rFonts w:hint="eastAsia" w:ascii="Arial" w:hAnsi="Arial" w:cs="Arial"/>
          <w:color w:val="000000"/>
        </w:rPr>
        <w:t>月</w:t>
      </w:r>
      <w:r>
        <w:rPr>
          <w:rFonts w:ascii="Arial" w:hAnsi="Arial" w:cs="Arial"/>
          <w:color w:val="000000"/>
        </w:rPr>
        <w:t xml:space="preserve">  </w:t>
      </w:r>
      <w:r>
        <w:rPr>
          <w:rFonts w:hint="eastAsia" w:ascii="Arial" w:hAnsi="Arial" w:cs="Arial"/>
          <w:color w:val="000000"/>
        </w:rPr>
        <w:t>日</w:t>
      </w:r>
    </w:p>
    <w:p>
      <w:pPr>
        <w:pStyle w:val="384"/>
        <w:spacing w:line="360" w:lineRule="auto"/>
        <w:ind w:left="0" w:leftChars="0" w:firstLine="0"/>
        <w:jc w:val="center"/>
        <w:rPr>
          <w:rFonts w:ascii="宋体" w:hAnsi="宋体"/>
          <w:b/>
          <w:sz w:val="28"/>
        </w:rPr>
      </w:pPr>
      <w:r>
        <w:rPr>
          <w:rFonts w:ascii="宋体" w:hAnsi="宋体"/>
        </w:rPr>
        <w:br w:type="page"/>
      </w:r>
      <w:bookmarkStart w:id="58" w:name="_Toc34844746"/>
      <w:r>
        <w:rPr>
          <w:rFonts w:hint="eastAsia" w:ascii="宋体" w:hAnsi="宋体"/>
          <w:b/>
          <w:sz w:val="24"/>
        </w:rPr>
        <w:t>第六章  投标文件格式</w:t>
      </w:r>
      <w:bookmarkEnd w:id="58"/>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rPr>
        <w:t>宁波市生态环境局、宁波名诚招标代理有限公司</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根据贵方的招标公告和投标邀请，我方自愿</w:t>
      </w:r>
      <w:r>
        <w:rPr>
          <w:rFonts w:cs="Arial" w:asciiTheme="minorEastAsia" w:hAnsiTheme="minorEastAsia" w:eastAsiaTheme="minorEastAsia"/>
          <w:szCs w:val="21"/>
        </w:rPr>
        <w:t>参加投标并声明</w:t>
      </w:r>
      <w:r>
        <w:rPr>
          <w:rFonts w:hint="eastAsia" w:cs="Arial" w:asciiTheme="minorEastAsia" w:hAnsiTheme="minorEastAsia" w:eastAsiaTheme="minorEastAsia"/>
          <w:szCs w:val="21"/>
        </w:rPr>
        <w:t>：</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color w:val="FF0000"/>
          <w:szCs w:val="21"/>
        </w:rPr>
      </w:pPr>
      <w:r>
        <w:rPr>
          <w:rFonts w:hint="eastAsia" w:cs="Arial" w:asciiTheme="minorEastAsia" w:hAnsiTheme="minorEastAsia" w:eastAsiaTheme="minorEastAsia"/>
          <w:szCs w:val="21"/>
        </w:rPr>
        <w:t>7.具有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w:t>
      </w:r>
      <w:r>
        <w:rPr>
          <w:rFonts w:ascii="宋体" w:hAnsi="宋体"/>
          <w:color w:val="000000"/>
          <w:szCs w:val="21"/>
          <w:u w:val="single"/>
        </w:rPr>
        <w:t xml:space="preserve"> ___</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rPr>
          <w:rFonts w:ascii="宋体" w:hAnsi="宋体"/>
          <w:color w:val="000000"/>
          <w:szCs w:val="21"/>
        </w:rPr>
      </w:pPr>
      <w:r>
        <w:rPr>
          <w:rFonts w:hint="eastAsia" w:ascii="宋体" w:hAnsi="宋体"/>
          <w:color w:val="000000"/>
          <w:szCs w:val="21"/>
        </w:rPr>
        <w:br w:type="page"/>
      </w:r>
    </w:p>
    <w:p>
      <w:pPr>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联合体协议书</w:t>
      </w:r>
    </w:p>
    <w:p>
      <w:pPr>
        <w:pStyle w:val="39"/>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（允许联合体投标且投标人为联合体投标的，请编制此件加盖公章后作为资格要求响应文件的组成部分）</w:t>
      </w:r>
    </w:p>
    <w:p>
      <w:pPr>
        <w:spacing w:line="360" w:lineRule="auto"/>
        <w:ind w:firstLine="435"/>
        <w:rPr>
          <w:rFonts w:asciiTheme="minorEastAsia" w:hAnsiTheme="minorEastAsia" w:eastAsiaTheme="minorEastAsia"/>
          <w:szCs w:val="21"/>
        </w:rPr>
      </w:pPr>
    </w:p>
    <w:p>
      <w:pPr>
        <w:spacing w:line="360" w:lineRule="auto"/>
        <w:ind w:firstLine="435"/>
        <w:rPr>
          <w:rFonts w:asciiTheme="minorEastAsia" w:hAnsiTheme="minorEastAsia" w:eastAsiaTheme="minorEastAsia"/>
          <w:szCs w:val="21"/>
          <w:u w:val="single"/>
        </w:rPr>
      </w:pPr>
      <w:r>
        <w:rPr>
          <w:rFonts w:hint="eastAsia" w:asciiTheme="minorEastAsia" w:hAnsiTheme="minorEastAsia" w:eastAsiaTheme="minorEastAsia"/>
          <w:szCs w:val="21"/>
        </w:rPr>
        <w:t>联合体成员一名称：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u w:val="single"/>
        </w:rPr>
      </w:pPr>
      <w:r>
        <w:rPr>
          <w:rFonts w:hint="eastAsia" w:asciiTheme="minorEastAsia" w:hAnsiTheme="minorEastAsia" w:eastAsiaTheme="minorEastAsia"/>
          <w:szCs w:val="21"/>
        </w:rPr>
        <w:t>联合体成员二名称：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上述各成员单位经过友好协商，自愿组成</w:t>
      </w:r>
      <w:r>
        <w:rPr>
          <w:rFonts w:asciiTheme="minorEastAsia" w:hAnsiTheme="minorEastAsia" w:eastAsiaTheme="minorEastAsia"/>
          <w:szCs w:val="21"/>
        </w:rPr>
        <w:t>联合体，共同参加</w:t>
      </w:r>
      <w:r>
        <w:rPr>
          <w:rFonts w:hint="eastAsia" w:asciiTheme="minorEastAsia" w:hAnsiTheme="minorEastAsia" w:eastAsiaTheme="minorEastAsia"/>
          <w:szCs w:val="21"/>
        </w:rPr>
        <w:t>本项目的投标，</w:t>
      </w:r>
      <w:r>
        <w:rPr>
          <w:rFonts w:asciiTheme="minorEastAsia" w:hAnsiTheme="minorEastAsia" w:eastAsiaTheme="minorEastAsia"/>
          <w:szCs w:val="21"/>
        </w:rPr>
        <w:t>现就联合体投标事宜订立如下协议：</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（某成员单位名称）为联合体牵头人。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.联合体各成员单位内部的职责分工</w:t>
      </w:r>
      <w:r>
        <w:rPr>
          <w:rFonts w:hint="eastAsia" w:asciiTheme="minorEastAsia" w:hAnsiTheme="minorEastAsia" w:eastAsiaTheme="minorEastAsia"/>
          <w:szCs w:val="21"/>
        </w:rPr>
        <w:t>及各方负责内容的合同金额占总合同金额的百分比</w:t>
      </w:r>
      <w:r>
        <w:rPr>
          <w:rFonts w:asciiTheme="minorEastAsia" w:hAnsiTheme="minorEastAsia" w:eastAsiaTheme="minorEastAsia"/>
          <w:szCs w:val="21"/>
        </w:rPr>
        <w:t>如下：</w:t>
      </w:r>
    </w:p>
    <w:p>
      <w:pPr>
        <w:spacing w:line="360" w:lineRule="auto"/>
        <w:ind w:firstLine="435"/>
        <w:rPr>
          <w:rFonts w:asciiTheme="minorEastAsia" w:hAnsiTheme="minorEastAsia" w:eastAsiaTheme="minorEastAsia"/>
          <w:szCs w:val="21"/>
          <w:u w:val="single"/>
        </w:rPr>
      </w:pPr>
      <w:r>
        <w:rPr>
          <w:rFonts w:hint="eastAsia" w:asciiTheme="minorEastAsia" w:hAnsiTheme="minorEastAsia" w:eastAsiaTheme="minorEastAsia"/>
          <w:szCs w:val="21"/>
        </w:rPr>
        <w:t>联合体成员一名称：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，承担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工作，负责内容的合同金额占总合同金额的百分比：</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u w:val="single"/>
        </w:rPr>
      </w:pPr>
      <w:r>
        <w:rPr>
          <w:rFonts w:hint="eastAsia" w:asciiTheme="minorEastAsia" w:hAnsiTheme="minorEastAsia" w:eastAsiaTheme="minorEastAsia"/>
          <w:szCs w:val="21"/>
        </w:rPr>
        <w:t>联合体成员二名称：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，承担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工作，负责内容的合同金额占总合同金额的百分比：</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u w:val="single"/>
        </w:rPr>
      </w:pP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4．投标工作和联合体在中标后</w:t>
      </w:r>
      <w:r>
        <w:rPr>
          <w:rFonts w:hint="eastAsia" w:asciiTheme="minorEastAsia" w:hAnsiTheme="minorEastAsia" w:eastAsiaTheme="minorEastAsia"/>
          <w:szCs w:val="21"/>
        </w:rPr>
        <w:t>项目</w:t>
      </w:r>
      <w:r>
        <w:rPr>
          <w:rFonts w:asciiTheme="minorEastAsia" w:hAnsiTheme="minorEastAsia" w:eastAsiaTheme="minorEastAsia"/>
          <w:szCs w:val="21"/>
        </w:rPr>
        <w:t>实施过程中的有关费用按各自承担的工作量分摊。</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5．联合体中标后，本联合协议是合同的附件，对联合体各成员单位有合同约束力。</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6．本协议书自签署之日起生效，联合体未中标或者合同履行完毕后自动失效。</w:t>
      </w:r>
    </w:p>
    <w:p>
      <w:pPr>
        <w:spacing w:line="360" w:lineRule="auto"/>
        <w:ind w:firstLine="435"/>
        <w:rPr>
          <w:rFonts w:asciiTheme="minorEastAsia" w:hAnsiTheme="minorEastAsia" w:eastAsiaTheme="minorEastAsia"/>
          <w:szCs w:val="21"/>
        </w:rPr>
      </w:pP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联合体成员一：</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（签字或盖章）</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联合体成员二：</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（签字或盖章）</w:t>
      </w:r>
    </w:p>
    <w:p>
      <w:pPr>
        <w:pStyle w:val="39"/>
        <w:spacing w:line="360" w:lineRule="auto"/>
        <w:ind w:firstLine="420"/>
        <w:rPr>
          <w:rFonts w:asciiTheme="minorEastAsia" w:hAnsiTheme="minorEastAsia" w:eastAsiaTheme="minorEastAsia"/>
          <w:sz w:val="21"/>
          <w:szCs w:val="21"/>
        </w:rPr>
      </w:pPr>
    </w:p>
    <w:p>
      <w:pPr>
        <w:pStyle w:val="53"/>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napToGrid w:val="0"/>
        <w:spacing w:line="360" w:lineRule="auto"/>
        <w:ind w:left="-23" w:leftChars="-11" w:right="-214" w:rightChars="-102" w:firstLine="21" w:firstLineChars="10"/>
        <w:jc w:val="left"/>
        <w:rPr>
          <w:rFonts w:ascii="宋体" w:hAnsi="宋体" w:cs="宋体"/>
          <w:b/>
          <w:szCs w:val="21"/>
        </w:rPr>
      </w:pPr>
      <w:r>
        <w:rPr>
          <w:rFonts w:ascii="宋体" w:hAnsi="宋体" w:cs="宋体"/>
          <w:b/>
          <w:szCs w:val="21"/>
        </w:rPr>
        <w:br w:type="page"/>
      </w: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根据贵方的招标公告和投标邀请，我方兹宣布同意如下：</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1.按招标文件规定提供的服务（包括安装调试等工作）的最终投标报价见开标一览表。</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2.我方将根据招标文件的规定，严格履行合同的责任和义务。</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4.我方的投标文件在招标文件规定的投标有效期之前均对我方具有约束力。</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6.我方完全理解最低报价并不是中标的唯一标准。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.如我方获得中标</w:t>
      </w:r>
      <w:r>
        <w:rPr>
          <w:rFonts w:asciiTheme="minorEastAsia" w:hAnsiTheme="minorEastAsia" w:eastAsiaTheme="minorEastAsia"/>
          <w:szCs w:val="21"/>
        </w:rPr>
        <w:t>，承诺按照招标文件规定的金额、时间和方式支付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color w:val="000000"/>
          <w:szCs w:val="21"/>
        </w:rPr>
      </w:pPr>
    </w:p>
    <w:p>
      <w:pPr>
        <w:snapToGrid w:val="0"/>
        <w:spacing w:line="360" w:lineRule="auto"/>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lang w:eastAsia="zh-CN"/>
        </w:rPr>
        <w:t>饮用水水源地电子围栏数据采购项目（服务采购部分）</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Theme="minorEastAsia" w:hAnsiTheme="minorEastAsia" w:eastAsiaTheme="minorEastAsia"/>
          <w:b/>
          <w:szCs w:val="21"/>
        </w:rPr>
        <w:t>注：本项目只允许有唯一的投标人授权代表，附授权代表</w:t>
      </w:r>
      <w:r>
        <w:rPr>
          <w:rFonts w:hint="eastAsia" w:asciiTheme="minorEastAsia" w:hAnsiTheme="minorEastAsia" w:eastAsiaTheme="minorEastAsia"/>
          <w:b/>
          <w:szCs w:val="21"/>
          <w:u w:val="single"/>
        </w:rPr>
        <w:t>身份证正反面</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近六个月任意一个月的社保证明或提供劳动人事部门出示的相关在册人员的证明材料</w:t>
      </w:r>
      <w:r>
        <w:rPr>
          <w:rFonts w:hint="eastAsia" w:asciiTheme="minorEastAsia" w:hAnsiTheme="minorEastAsia" w:eastAsiaTheme="minorEastAsia"/>
          <w:b/>
          <w:szCs w:val="21"/>
        </w:rPr>
        <w:t>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color w:val="000000"/>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3742" w:type="dxa"/>
            <w:vAlign w:val="center"/>
          </w:tcPr>
          <w:p>
            <w:pPr>
              <w:spacing w:line="300" w:lineRule="exact"/>
              <w:jc w:val="center"/>
              <w:rPr>
                <w:rFonts w:ascii="宋体" w:hAnsi="宋体"/>
                <w:szCs w:val="21"/>
              </w:rPr>
            </w:pPr>
            <w:r>
              <w:rPr>
                <w:rFonts w:hint="eastAsia" w:ascii="宋体" w:hAnsi="宋体"/>
                <w:szCs w:val="21"/>
              </w:rPr>
              <w:t>评分项目</w:t>
            </w:r>
          </w:p>
        </w:tc>
        <w:tc>
          <w:tcPr>
            <w:tcW w:w="1701"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268"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1</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2</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3</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4</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5</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szCs w:val="21"/>
              </w:rPr>
            </w:pPr>
            <w:r>
              <w:rPr>
                <w:rFonts w:hint="eastAsia" w:ascii="宋体" w:hAnsi="宋体"/>
                <w:szCs w:val="21"/>
              </w:rPr>
              <w:t>...</w:t>
            </w:r>
          </w:p>
        </w:tc>
        <w:tc>
          <w:tcPr>
            <w:tcW w:w="3742" w:type="dxa"/>
            <w:vAlign w:val="center"/>
          </w:tcPr>
          <w:p>
            <w:pPr>
              <w:spacing w:line="300" w:lineRule="exact"/>
              <w:jc w:val="center"/>
              <w:rPr>
                <w:rFonts w:ascii="宋体" w:hAnsi="宋体"/>
                <w:szCs w:val="21"/>
              </w:rPr>
            </w:pPr>
          </w:p>
        </w:tc>
        <w:tc>
          <w:tcPr>
            <w:tcW w:w="1701" w:type="dxa"/>
            <w:vAlign w:val="center"/>
          </w:tcPr>
          <w:p>
            <w:pPr>
              <w:spacing w:line="300" w:lineRule="exact"/>
              <w:jc w:val="center"/>
              <w:rPr>
                <w:rFonts w:ascii="宋体" w:hAnsi="宋体"/>
                <w:szCs w:val="21"/>
              </w:rPr>
            </w:pPr>
          </w:p>
        </w:tc>
        <w:tc>
          <w:tcPr>
            <w:tcW w:w="2268" w:type="dxa"/>
            <w:vAlign w:val="center"/>
          </w:tcPr>
          <w:p>
            <w:pPr>
              <w:spacing w:line="300" w:lineRule="exact"/>
              <w:jc w:val="center"/>
              <w:rPr>
                <w:rFonts w:ascii="宋体" w:hAnsi="宋体"/>
                <w:szCs w:val="21"/>
              </w:rPr>
            </w:pPr>
          </w:p>
        </w:tc>
      </w:tr>
    </w:tbl>
    <w:p>
      <w:pPr>
        <w:pStyle w:val="20"/>
        <w:spacing w:before="120"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_</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cs="宋体"/>
          <w:b/>
          <w:sz w:val="21"/>
          <w:szCs w:val="21"/>
        </w:rPr>
      </w:pPr>
      <w:r>
        <w:rPr>
          <w:rFonts w:ascii="宋体" w:hAnsi="宋体"/>
          <w:color w:val="000000"/>
          <w:szCs w:val="21"/>
        </w:rPr>
        <w:br w:type="page"/>
      </w:r>
      <w:r>
        <w:rPr>
          <w:rFonts w:hint="eastAsia" w:ascii="宋体" w:hAnsi="宋体" w:cs="宋体"/>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firstLine="3685" w:firstLineChars="1755"/>
        <w:rPr>
          <w:rFonts w:ascii="宋体" w:hAnsi="宋体"/>
          <w:color w:val="000000"/>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项目负责人等与评审因素相关的人员列入本表并明确</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w:t>
      </w:r>
      <w:r>
        <w:rPr>
          <w:rFonts w:hint="eastAsia" w:ascii="宋体" w:hAnsi="宋体"/>
          <w:bCs/>
          <w:szCs w:val="21"/>
          <w:lang w:eastAsia="zh-CN"/>
        </w:rPr>
        <w:t>、</w:t>
      </w:r>
      <w:r>
        <w:rPr>
          <w:rFonts w:hint="eastAsia" w:ascii="宋体" w:hAnsi="宋体"/>
          <w:bCs/>
          <w:szCs w:val="21"/>
          <w:lang w:val="en-US" w:eastAsia="zh-CN"/>
        </w:rPr>
        <w:t>社保证明</w:t>
      </w:r>
      <w:r>
        <w:rPr>
          <w:rFonts w:hint="eastAsia" w:ascii="宋体" w:hAnsi="宋体"/>
          <w:bCs/>
          <w:szCs w:val="21"/>
        </w:rPr>
        <w:t>等</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 xml:space="preserve">_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2835"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hint="eastAsia" w:ascii="宋体" w:hAnsi="宋体" w:eastAsia="宋体"/>
                <w:kern w:val="2"/>
                <w:sz w:val="21"/>
                <w:szCs w:val="21"/>
                <w:lang w:eastAsia="zh-CN"/>
              </w:rPr>
            </w:pPr>
            <w:r>
              <w:rPr>
                <w:rFonts w:hint="eastAsia" w:ascii="宋体" w:hAnsi="宋体"/>
                <w:kern w:val="2"/>
                <w:sz w:val="21"/>
                <w:szCs w:val="21"/>
                <w:lang w:eastAsia="zh-CN"/>
              </w:rPr>
              <w:t>饮用水水源地电子围栏数据采购项目（服务采购部分）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ascii="宋体" w:hAnsi="宋体"/>
                <w:kern w:val="2"/>
                <w:sz w:val="21"/>
                <w:szCs w:val="21"/>
              </w:rPr>
              <w:t>NBMC-</w:t>
            </w:r>
            <w:r>
              <w:rPr>
                <w:rFonts w:hint="eastAsia" w:ascii="宋体" w:hAnsi="宋体"/>
                <w:kern w:val="2"/>
                <w:sz w:val="21"/>
                <w:szCs w:val="21"/>
              </w:rPr>
              <w:t>20229022</w:t>
            </w:r>
            <w:r>
              <w:rPr>
                <w:rFonts w:ascii="宋体" w:hAnsi="宋体"/>
                <w:kern w:val="2"/>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宋体" w:hAnsi="宋体"/>
                <w:sz w:val="21"/>
                <w:szCs w:val="21"/>
              </w:rPr>
            </w:pPr>
            <w:r>
              <w:rPr>
                <w:rFonts w:hint="eastAsia" w:ascii="宋体" w:hAnsi="宋体"/>
                <w:kern w:val="2"/>
                <w:sz w:val="21"/>
                <w:szCs w:val="21"/>
              </w:rPr>
              <w:t>小写：</w:t>
            </w:r>
          </w:p>
          <w:p>
            <w:pPr>
              <w:pStyle w:val="20"/>
              <w:spacing w:after="0"/>
              <w:ind w:left="457" w:leftChars="0" w:hanging="457" w:hangingChars="218"/>
              <w:jc w:val="left"/>
              <w:rPr>
                <w:rFonts w:ascii="宋体" w:hAnsi="宋体"/>
                <w:kern w:val="2"/>
                <w:sz w:val="21"/>
                <w:szCs w:val="21"/>
              </w:rPr>
            </w:pPr>
            <w:r>
              <w:rPr>
                <w:rFonts w:hint="eastAsia" w:ascii="宋体" w:hAnsi="宋体"/>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）投标报价组成明细表</w:t>
      </w:r>
    </w:p>
    <w:tbl>
      <w:tblPr>
        <w:tblStyle w:val="4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GB"/>
              </w:rPr>
              <w:t>费用名称</w:t>
            </w:r>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992" w:type="dxa"/>
            <w:vAlign w:val="center"/>
          </w:tcPr>
          <w:p>
            <w:pPr>
              <w:spacing w:line="300" w:lineRule="exact"/>
              <w:jc w:val="center"/>
              <w:rPr>
                <w:rFonts w:ascii="宋体" w:hAnsi="宋体"/>
                <w:bCs/>
                <w:szCs w:val="21"/>
              </w:rPr>
            </w:pPr>
            <w:r>
              <w:rPr>
                <w:rFonts w:ascii="宋体" w:hAnsi="宋体"/>
                <w:bCs/>
                <w:szCs w:val="21"/>
              </w:rPr>
              <w:t>数量</w:t>
            </w:r>
          </w:p>
        </w:tc>
        <w:tc>
          <w:tcPr>
            <w:tcW w:w="1703" w:type="dxa"/>
            <w:vAlign w:val="center"/>
          </w:tcPr>
          <w:p>
            <w:pPr>
              <w:spacing w:line="300" w:lineRule="exact"/>
              <w:jc w:val="center"/>
              <w:rPr>
                <w:rFonts w:ascii="宋体" w:hAnsi="宋体"/>
                <w:bCs/>
                <w:szCs w:val="21"/>
              </w:rPr>
            </w:pPr>
            <w:r>
              <w:rPr>
                <w:rFonts w:ascii="宋体" w:hAnsi="宋体"/>
                <w:bCs/>
                <w:szCs w:val="21"/>
              </w:rPr>
              <w:t>单价（元）</w:t>
            </w:r>
          </w:p>
        </w:tc>
        <w:tc>
          <w:tcPr>
            <w:tcW w:w="1751"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szCs w:val="21"/>
              </w:rPr>
            </w:pPr>
            <w:r>
              <w:rPr>
                <w:rFonts w:ascii="宋体" w:hAnsi="宋体"/>
                <w:caps/>
                <w:szCs w:val="21"/>
              </w:rPr>
              <w:t>1</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2</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3</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4</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5</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pPr>
              <w:spacing w:line="300" w:lineRule="exact"/>
              <w:jc w:val="center"/>
              <w:rPr>
                <w:rFonts w:ascii="宋体" w:hAnsi="宋体"/>
                <w:szCs w:val="21"/>
              </w:rPr>
            </w:pPr>
            <w:r>
              <w:rPr>
                <w:rFonts w:hint="eastAsia" w:ascii="宋体" w:hAnsi="宋体"/>
                <w:szCs w:val="21"/>
              </w:rPr>
              <w:t>投标报价（元）</w:t>
            </w:r>
          </w:p>
        </w:tc>
        <w:tc>
          <w:tcPr>
            <w:tcW w:w="3454" w:type="dxa"/>
            <w:gridSpan w:val="2"/>
            <w:vAlign w:val="center"/>
          </w:tcPr>
          <w:p>
            <w:pPr>
              <w:spacing w:line="300" w:lineRule="exact"/>
              <w:jc w:val="left"/>
              <w:rPr>
                <w:rFonts w:ascii="宋体" w:hAnsi="宋体"/>
                <w:szCs w:val="21"/>
              </w:rPr>
            </w:pPr>
            <w:r>
              <w:rPr>
                <w:rFonts w:hint="eastAsia" w:ascii="宋体" w:hAnsi="宋体"/>
                <w:szCs w:val="21"/>
              </w:rPr>
              <w:t>小写：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注：上述各项的详细分项报价及具体内容，可另页描述。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ascii="宋体" w:hAnsi="宋体"/>
          <w:color w:val="000000"/>
          <w:szCs w:val="21"/>
          <w:u w:val="single"/>
        </w:rPr>
        <w:t>___</w:t>
      </w:r>
      <w:r>
        <w:rPr>
          <w:rFonts w:hint="eastAsia" w:ascii="宋体" w:hAnsi="宋体"/>
          <w:color w:val="000000"/>
          <w:szCs w:val="21"/>
          <w:u w:val="single"/>
        </w:rPr>
        <w:t xml:space="preserve">    （填写全称并加盖公章)</w:t>
      </w:r>
      <w:r>
        <w:rPr>
          <w:rFonts w:ascii="宋体" w:hAnsi="宋体"/>
          <w:color w:val="000000"/>
          <w:szCs w:val="21"/>
          <w:u w:val="single"/>
        </w:rPr>
        <w:t>___________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ascii="宋体" w:hAnsi="宋体"/>
          <w:color w:val="000000"/>
          <w:szCs w:val="21"/>
          <w:u w:val="single"/>
        </w:rPr>
        <w:t>_____</w:t>
      </w:r>
      <w:r>
        <w:rPr>
          <w:rFonts w:ascii="宋体" w:hAnsi="宋体"/>
          <w:color w:val="000000"/>
          <w:szCs w:val="21"/>
        </w:rPr>
        <w:t>_</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rPr>
      </w:pPr>
      <w:r>
        <w:rPr>
          <w:rFonts w:ascii="宋体" w:hAnsi="宋体"/>
          <w:szCs w:val="21"/>
        </w:rPr>
        <w:br w:type="page"/>
      </w:r>
      <w:r>
        <w:rPr>
          <w:rFonts w:hint="eastAsia" w:ascii="宋体" w:hAnsi="宋体" w:cs="宋体"/>
          <w:b/>
          <w:sz w:val="21"/>
          <w:szCs w:val="21"/>
        </w:rPr>
        <w:t>3）</w:t>
      </w:r>
      <w:r>
        <w:rPr>
          <w:rFonts w:ascii="宋体" w:hAnsi="宋体" w:cs="宋体"/>
          <w:b/>
          <w:sz w:val="21"/>
          <w:szCs w:val="21"/>
        </w:rPr>
        <w:t>中小企业声明函</w:t>
      </w:r>
    </w:p>
    <w:p>
      <w:pPr>
        <w:spacing w:line="360" w:lineRule="auto"/>
        <w:ind w:firstLine="420" w:firstLineChars="200"/>
        <w:jc w:val="left"/>
        <w:rPr>
          <w:rFonts w:ascii="宋体" w:hAnsi="宋体"/>
          <w:b w:val="0"/>
          <w:bCs w:val="0"/>
        </w:rPr>
      </w:pPr>
      <w:r>
        <w:rPr>
          <w:rFonts w:ascii="宋体" w:hAnsi="宋体"/>
        </w:rPr>
        <w:t>本公司（联合体）郑重声明，根据《政府采购促进中小企业发展管理办法》（财库﹝2020﹞46号）的规定，本公司（联合体）参加</w:t>
      </w:r>
      <w:r>
        <w:rPr>
          <w:rFonts w:hint="eastAsia" w:ascii="宋体" w:hAnsi="宋体"/>
          <w:u w:val="single"/>
        </w:rPr>
        <w:t>宁波市生态环境局</w:t>
      </w:r>
      <w:r>
        <w:rPr>
          <w:rFonts w:ascii="宋体" w:hAnsi="宋体"/>
        </w:rPr>
        <w:t>的</w:t>
      </w:r>
      <w:r>
        <w:rPr>
          <w:rFonts w:hint="eastAsia" w:ascii="宋体" w:hAnsi="宋体"/>
          <w:szCs w:val="28"/>
          <w:u w:val="single"/>
          <w:lang w:eastAsia="zh-CN"/>
        </w:rPr>
        <w:t>饮用水水源地电子围栏数据采购项目（服务采购部分）</w:t>
      </w:r>
      <w:r>
        <w:rPr>
          <w:rFonts w:ascii="宋体" w:hAnsi="宋体"/>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b w:val="0"/>
          <w:bCs w:val="0"/>
        </w:rPr>
      </w:pPr>
      <w:r>
        <w:rPr>
          <w:rFonts w:ascii="宋体" w:hAnsi="宋体"/>
          <w:b w:val="0"/>
          <w:bCs w:val="0"/>
        </w:rPr>
        <w:t xml:space="preserve">1. </w:t>
      </w:r>
      <w:r>
        <w:rPr>
          <w:rFonts w:hint="eastAsia" w:ascii="宋体" w:hAnsi="宋体"/>
          <w:b w:val="0"/>
          <w:bCs w:val="0"/>
          <w:iCs/>
          <w:u w:val="single"/>
          <w:lang w:eastAsia="zh-CN"/>
        </w:rPr>
        <w:t>饮用水水源地电子围栏数据采购项目（服务采购部分）</w:t>
      </w:r>
      <w:r>
        <w:rPr>
          <w:rFonts w:ascii="宋体" w:hAnsi="宋体"/>
          <w:b w:val="0"/>
          <w:bCs w:val="0"/>
        </w:rPr>
        <w:t>，属于</w:t>
      </w:r>
      <w:r>
        <w:rPr>
          <w:rFonts w:hint="eastAsia" w:ascii="宋体" w:hAnsi="宋体"/>
          <w:b w:val="0"/>
          <w:bCs w:val="0"/>
          <w:iCs/>
          <w:u w:val="none"/>
          <w:lang w:eastAsia="zh-CN"/>
        </w:rPr>
        <w:t>软件和信息技术服务业</w:t>
      </w:r>
      <w:r>
        <w:rPr>
          <w:rFonts w:ascii="宋体" w:hAnsi="宋体"/>
          <w:b w:val="0"/>
          <w:bCs w:val="0"/>
        </w:rPr>
        <w:t>；承接企业为</w:t>
      </w:r>
      <w:r>
        <w:rPr>
          <w:rFonts w:ascii="宋体" w:hAnsi="宋体"/>
          <w:b w:val="0"/>
          <w:bCs w:val="0"/>
          <w:u w:val="single"/>
        </w:rPr>
        <w:t>（</w:t>
      </w:r>
      <w:r>
        <w:rPr>
          <w:rFonts w:ascii="宋体" w:hAnsi="宋体"/>
          <w:b w:val="0"/>
          <w:bCs w:val="0"/>
          <w:i/>
          <w:u w:val="single"/>
        </w:rPr>
        <w:t>企业名称</w:t>
      </w:r>
      <w:r>
        <w:rPr>
          <w:rFonts w:ascii="宋体" w:hAnsi="宋体"/>
          <w:b w:val="0"/>
          <w:bCs w:val="0"/>
          <w:u w:val="single"/>
        </w:rPr>
        <w:t>）</w:t>
      </w:r>
      <w:r>
        <w:rPr>
          <w:rFonts w:ascii="宋体" w:hAnsi="宋体"/>
          <w:b w:val="0"/>
          <w:bCs w:val="0"/>
        </w:rPr>
        <w:t>，从业人员</w:t>
      </w:r>
      <w:r>
        <w:rPr>
          <w:rFonts w:hint="eastAsia" w:ascii="宋体" w:hAnsi="宋体"/>
          <w:b w:val="0"/>
          <w:bCs w:val="0"/>
          <w:u w:val="single"/>
        </w:rPr>
        <w:t xml:space="preserve">   </w:t>
      </w:r>
      <w:r>
        <w:rPr>
          <w:rFonts w:ascii="宋体" w:hAnsi="宋体"/>
          <w:b w:val="0"/>
          <w:bCs w:val="0"/>
        </w:rPr>
        <w:t>人，营业收入为</w:t>
      </w:r>
      <w:r>
        <w:rPr>
          <w:rFonts w:hint="eastAsia" w:ascii="宋体" w:hAnsi="宋体"/>
          <w:b w:val="0"/>
          <w:bCs w:val="0"/>
          <w:u w:val="single"/>
        </w:rPr>
        <w:t xml:space="preserve">   </w:t>
      </w:r>
      <w:r>
        <w:rPr>
          <w:rFonts w:ascii="宋体" w:hAnsi="宋体"/>
          <w:b w:val="0"/>
          <w:bCs w:val="0"/>
        </w:rPr>
        <w:t>万元，资产总额为</w:t>
      </w:r>
      <w:r>
        <w:rPr>
          <w:rFonts w:hint="eastAsia" w:ascii="宋体" w:hAnsi="宋体"/>
          <w:b w:val="0"/>
          <w:bCs w:val="0"/>
          <w:u w:val="single"/>
        </w:rPr>
        <w:t xml:space="preserve">   </w:t>
      </w:r>
      <w:r>
        <w:rPr>
          <w:rFonts w:ascii="宋体" w:hAnsi="宋体"/>
          <w:b w:val="0"/>
          <w:bCs w:val="0"/>
        </w:rPr>
        <w:t>万元，属于</w:t>
      </w:r>
      <w:r>
        <w:rPr>
          <w:rFonts w:ascii="宋体" w:hAnsi="宋体"/>
          <w:b w:val="0"/>
          <w:bCs w:val="0"/>
          <w:i/>
          <w:u w:val="single"/>
        </w:rPr>
        <w:t>（中型企业、小型企业、微型企业）</w:t>
      </w:r>
      <w:r>
        <w:rPr>
          <w:rFonts w:ascii="宋体" w:hAnsi="宋体"/>
          <w:b w:val="0"/>
          <w:bCs w:val="0"/>
        </w:rPr>
        <w:t>；</w:t>
      </w:r>
    </w:p>
    <w:p>
      <w:pPr>
        <w:spacing w:line="360" w:lineRule="auto"/>
        <w:ind w:firstLine="420" w:firstLineChars="200"/>
        <w:jc w:val="left"/>
        <w:rPr>
          <w:rFonts w:ascii="宋体" w:hAnsi="宋体"/>
        </w:rPr>
      </w:pPr>
      <w:r>
        <w:rPr>
          <w:rFonts w:ascii="宋体" w:hAnsi="宋体"/>
          <w:b w:val="0"/>
          <w:bCs w:val="0"/>
        </w:rPr>
        <w:t xml:space="preserve">2. </w:t>
      </w:r>
      <w:r>
        <w:rPr>
          <w:rFonts w:hint="eastAsia" w:ascii="宋体" w:hAnsi="宋体"/>
          <w:b w:val="0"/>
          <w:bCs w:val="0"/>
          <w:iCs/>
          <w:u w:val="single"/>
          <w:lang w:eastAsia="zh-CN"/>
        </w:rPr>
        <w:t>饮用水水源地电子围栏数据采购项目（服务采购部分）</w:t>
      </w:r>
      <w:r>
        <w:rPr>
          <w:rFonts w:ascii="宋体" w:hAnsi="宋体"/>
          <w:b w:val="0"/>
          <w:bCs w:val="0"/>
        </w:rPr>
        <w:t>，属于</w:t>
      </w:r>
      <w:r>
        <w:rPr>
          <w:rFonts w:hint="eastAsia" w:ascii="宋体" w:hAnsi="宋体"/>
          <w:b w:val="0"/>
          <w:bCs w:val="0"/>
          <w:iCs/>
          <w:u w:val="none"/>
          <w:lang w:eastAsia="zh-CN"/>
        </w:rPr>
        <w:t>软件和信息技术服务业</w:t>
      </w:r>
      <w:r>
        <w:rPr>
          <w:rFonts w:ascii="宋体" w:hAnsi="宋体"/>
          <w:b w:val="0"/>
          <w:bCs w:val="0"/>
          <w:u w:val="none"/>
        </w:rPr>
        <w:t>；</w:t>
      </w:r>
      <w:r>
        <w:rPr>
          <w:rFonts w:ascii="宋体" w:hAnsi="宋体"/>
          <w:b w:val="0"/>
          <w:bCs w:val="0"/>
        </w:rPr>
        <w:t>承</w:t>
      </w:r>
      <w:r>
        <w:rPr>
          <w:rFonts w:ascii="宋体" w:hAnsi="宋体"/>
        </w:rPr>
        <w:t>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 小型企业、微型企业）</w:t>
      </w:r>
      <w:r>
        <w:rPr>
          <w:rFonts w:ascii="宋体" w:hAnsi="宋体"/>
        </w:rPr>
        <w:t>；</w:t>
      </w:r>
    </w:p>
    <w:p>
      <w:pPr>
        <w:spacing w:line="360" w:lineRule="auto"/>
        <w:ind w:firstLine="420" w:firstLineChars="200"/>
        <w:jc w:val="left"/>
        <w:rPr>
          <w:rFonts w:ascii="宋体" w:hAnsi="宋体"/>
        </w:rPr>
      </w:pPr>
      <w:r>
        <w:rPr>
          <w:rFonts w:ascii="宋体" w:hAnsi="宋体"/>
        </w:rPr>
        <w:t>……</w:t>
      </w: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0"/>
        <w:spacing w:line="360" w:lineRule="auto"/>
        <w:jc w:val="center"/>
        <w:rPr>
          <w:rFonts w:ascii="宋体" w:hAnsi="宋体"/>
        </w:rPr>
      </w:pPr>
    </w:p>
    <w:p>
      <w:pPr>
        <w:snapToGrid w:val="0"/>
        <w:spacing w:before="50" w:after="50" w:line="360" w:lineRule="auto"/>
        <w:ind w:left="-23" w:leftChars="-11" w:right="-214" w:rightChars="-102"/>
        <w:jc w:val="left"/>
        <w:rPr>
          <w:rFonts w:asciiTheme="minorEastAsia" w:hAnsiTheme="minorEastAsia" w:eastAsiaTheme="minorEastAsia"/>
          <w:b/>
          <w:color w:val="000000" w:themeColor="text1"/>
          <w14:textFill>
            <w14:solidFill>
              <w14:schemeClr w14:val="tx1"/>
            </w14:solidFill>
          </w14:textFill>
        </w:rPr>
      </w:pPr>
    </w:p>
    <w:p>
      <w:pPr>
        <w:snapToGrid w:val="0"/>
        <w:spacing w:before="50" w:after="50" w:line="360" w:lineRule="auto"/>
        <w:ind w:left="-23" w:leftChars="-11" w:right="-214" w:rightChars="-102"/>
        <w:jc w:val="left"/>
        <w:rPr>
          <w:rFonts w:hint="eastAsia" w:ascii="宋体" w:hAnsi="宋体" w:eastAsia="宋体"/>
          <w:lang w:eastAsia="zh-CN"/>
        </w:rPr>
      </w:pPr>
      <w:r>
        <w:rPr>
          <w:rFonts w:hint="eastAsia" w:asciiTheme="minorEastAsia" w:hAnsiTheme="minorEastAsia" w:eastAsiaTheme="minorEastAsia"/>
          <w:b/>
          <w:color w:val="000000" w:themeColor="text1"/>
          <w14:textFill>
            <w14:solidFill>
              <w14:schemeClr w14:val="tx1"/>
            </w14:solidFill>
          </w14:textFill>
        </w:rPr>
        <w:t>说明：</w:t>
      </w:r>
      <w:r>
        <w:rPr>
          <w:rFonts w:hint="eastAsia" w:ascii="宋体" w:hAnsi="宋体" w:eastAsiaTheme="minorEastAsia"/>
          <w:b/>
          <w:color w:val="000000" w:themeColor="text1"/>
          <w:lang w:eastAsia="zh-CN"/>
          <w14:textFill>
            <w14:solidFill>
              <w14:schemeClr w14:val="tx1"/>
            </w14:solidFill>
          </w14:textFill>
        </w:rPr>
        <w:t>软件和信息技术服务业</w:t>
      </w:r>
      <w:r>
        <w:rPr>
          <w:rFonts w:hint="eastAsia" w:ascii="宋体" w:hAnsi="宋体"/>
          <w:b/>
          <w:color w:val="000000" w:themeColor="text1"/>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b/>
          <w:color w:val="000000" w:themeColor="text1"/>
          <w:lang w:eastAsia="zh-CN"/>
          <w14:textFill>
            <w14:solidFill>
              <w14:schemeClr w14:val="tx1"/>
            </w14:solidFill>
          </w14:textFill>
        </w:rPr>
        <w:t>。</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59" w:name="OLE_LINK14"/>
      <w:bookmarkStart w:id="60" w:name="OLE_LINK13"/>
      <w:r>
        <w:rPr>
          <w:rFonts w:ascii="宋体" w:hAnsi="宋体"/>
          <w:szCs w:val="21"/>
        </w:rPr>
        <w:br w:type="page"/>
      </w:r>
      <w:r>
        <w:rPr>
          <w:rFonts w:hint="eastAsia" w:ascii="宋体" w:hAnsi="宋体" w:cs="宋体"/>
          <w:b/>
          <w:sz w:val="21"/>
          <w:szCs w:val="21"/>
        </w:rPr>
        <w:t>4）残疾人福利性单位声明函</w:t>
      </w:r>
      <w:bookmarkEnd w:id="59"/>
      <w:bookmarkEnd w:id="60"/>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sectPr>
      <w:headerReference r:id="rId8" w:type="default"/>
      <w:footerReference r:id="rId9"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C8042"/>
    <w:multiLevelType w:val="singleLevel"/>
    <w:tmpl w:val="9B2C8042"/>
    <w:lvl w:ilvl="0" w:tentative="0">
      <w:start w:val="1"/>
      <w:numFmt w:val="decimal"/>
      <w:lvlText w:val="(%1)"/>
      <w:lvlJc w:val="left"/>
      <w:pPr>
        <w:tabs>
          <w:tab w:val="left" w:pos="420"/>
        </w:tabs>
        <w:ind w:left="845" w:hanging="425"/>
      </w:pPr>
      <w:rPr>
        <w:rFonts w:hint="default"/>
      </w:rPr>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340E"/>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3C2"/>
    <w:rsid w:val="002A37C1"/>
    <w:rsid w:val="002A4A1C"/>
    <w:rsid w:val="002A521C"/>
    <w:rsid w:val="002B0E6C"/>
    <w:rsid w:val="002B20C5"/>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327E"/>
    <w:rsid w:val="00563776"/>
    <w:rsid w:val="00563785"/>
    <w:rsid w:val="00564A7F"/>
    <w:rsid w:val="0056673C"/>
    <w:rsid w:val="005673B1"/>
    <w:rsid w:val="00567832"/>
    <w:rsid w:val="0057005D"/>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E5D3B"/>
    <w:rsid w:val="006F3353"/>
    <w:rsid w:val="006F4249"/>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41467"/>
    <w:rsid w:val="007422AB"/>
    <w:rsid w:val="007428D8"/>
    <w:rsid w:val="00744620"/>
    <w:rsid w:val="00746507"/>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B5F"/>
    <w:rsid w:val="007B6CAC"/>
    <w:rsid w:val="007B774B"/>
    <w:rsid w:val="007B7A5C"/>
    <w:rsid w:val="007C0944"/>
    <w:rsid w:val="007C11EC"/>
    <w:rsid w:val="007C217A"/>
    <w:rsid w:val="007C42F8"/>
    <w:rsid w:val="007C462D"/>
    <w:rsid w:val="007C50D6"/>
    <w:rsid w:val="007C720F"/>
    <w:rsid w:val="007D0996"/>
    <w:rsid w:val="007D0A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3B5"/>
    <w:rsid w:val="00940E87"/>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71FF"/>
    <w:rsid w:val="00AF72F7"/>
    <w:rsid w:val="00AF7922"/>
    <w:rsid w:val="00AF7F5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2D40"/>
    <w:rsid w:val="00B43223"/>
    <w:rsid w:val="00B445FE"/>
    <w:rsid w:val="00B45238"/>
    <w:rsid w:val="00B47B48"/>
    <w:rsid w:val="00B5174F"/>
    <w:rsid w:val="00B52029"/>
    <w:rsid w:val="00B528C3"/>
    <w:rsid w:val="00B52E48"/>
    <w:rsid w:val="00B53359"/>
    <w:rsid w:val="00B533D2"/>
    <w:rsid w:val="00B53793"/>
    <w:rsid w:val="00B53F5A"/>
    <w:rsid w:val="00B554AD"/>
    <w:rsid w:val="00B626EC"/>
    <w:rsid w:val="00B63C1E"/>
    <w:rsid w:val="00B6525F"/>
    <w:rsid w:val="00B6539B"/>
    <w:rsid w:val="00B65569"/>
    <w:rsid w:val="00B655E7"/>
    <w:rsid w:val="00B656EB"/>
    <w:rsid w:val="00B65729"/>
    <w:rsid w:val="00B659D0"/>
    <w:rsid w:val="00B66285"/>
    <w:rsid w:val="00B66760"/>
    <w:rsid w:val="00B66797"/>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594B"/>
    <w:rsid w:val="00B95E5B"/>
    <w:rsid w:val="00B97CCF"/>
    <w:rsid w:val="00BA0511"/>
    <w:rsid w:val="00BA2186"/>
    <w:rsid w:val="00BA3154"/>
    <w:rsid w:val="00BA36E2"/>
    <w:rsid w:val="00BA428D"/>
    <w:rsid w:val="00BA46FC"/>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5526"/>
    <w:rsid w:val="00CB5D54"/>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4AF"/>
    <w:rsid w:val="00CF6FCB"/>
    <w:rsid w:val="00CF7D0D"/>
    <w:rsid w:val="00D00E9D"/>
    <w:rsid w:val="00D01EA0"/>
    <w:rsid w:val="00D02AB8"/>
    <w:rsid w:val="00D02BF2"/>
    <w:rsid w:val="00D03640"/>
    <w:rsid w:val="00D04A38"/>
    <w:rsid w:val="00D05EF4"/>
    <w:rsid w:val="00D065AB"/>
    <w:rsid w:val="00D066EB"/>
    <w:rsid w:val="00D11C72"/>
    <w:rsid w:val="00D11E9B"/>
    <w:rsid w:val="00D11F16"/>
    <w:rsid w:val="00D131B2"/>
    <w:rsid w:val="00D13531"/>
    <w:rsid w:val="00D136C2"/>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84980"/>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E3C"/>
    <w:rsid w:val="00FF2C45"/>
    <w:rsid w:val="00FF3560"/>
    <w:rsid w:val="00FF3BD0"/>
    <w:rsid w:val="00FF48AE"/>
    <w:rsid w:val="00FF504A"/>
    <w:rsid w:val="00FF56AE"/>
    <w:rsid w:val="00FF5887"/>
    <w:rsid w:val="00FF6AB3"/>
    <w:rsid w:val="02A93B2F"/>
    <w:rsid w:val="033E4BBF"/>
    <w:rsid w:val="03C2759E"/>
    <w:rsid w:val="05E94240"/>
    <w:rsid w:val="063C1B1A"/>
    <w:rsid w:val="08234384"/>
    <w:rsid w:val="09A6405C"/>
    <w:rsid w:val="09AB2883"/>
    <w:rsid w:val="0B2B4625"/>
    <w:rsid w:val="0B426827"/>
    <w:rsid w:val="0BC2386E"/>
    <w:rsid w:val="0C774C9E"/>
    <w:rsid w:val="0CC76B18"/>
    <w:rsid w:val="0DE92646"/>
    <w:rsid w:val="0F5B21EB"/>
    <w:rsid w:val="0F854B4D"/>
    <w:rsid w:val="107B6716"/>
    <w:rsid w:val="10A5515D"/>
    <w:rsid w:val="11EA1A6B"/>
    <w:rsid w:val="145A737F"/>
    <w:rsid w:val="14932B9F"/>
    <w:rsid w:val="151D7C9E"/>
    <w:rsid w:val="160027CF"/>
    <w:rsid w:val="176C3B22"/>
    <w:rsid w:val="19FA24E6"/>
    <w:rsid w:val="1A330456"/>
    <w:rsid w:val="1B8743E8"/>
    <w:rsid w:val="1B877B80"/>
    <w:rsid w:val="1BE85270"/>
    <w:rsid w:val="1CD34B02"/>
    <w:rsid w:val="1E4B43F9"/>
    <w:rsid w:val="1E7A6B3F"/>
    <w:rsid w:val="1EE67810"/>
    <w:rsid w:val="1F527273"/>
    <w:rsid w:val="20D12777"/>
    <w:rsid w:val="21364B43"/>
    <w:rsid w:val="213A031C"/>
    <w:rsid w:val="22C257E0"/>
    <w:rsid w:val="23005595"/>
    <w:rsid w:val="24E3525A"/>
    <w:rsid w:val="24F15BCE"/>
    <w:rsid w:val="25230953"/>
    <w:rsid w:val="258C4EBE"/>
    <w:rsid w:val="26881B2A"/>
    <w:rsid w:val="27336EA3"/>
    <w:rsid w:val="276010B8"/>
    <w:rsid w:val="28EE4A43"/>
    <w:rsid w:val="2A2C6C70"/>
    <w:rsid w:val="2AF3311B"/>
    <w:rsid w:val="2B2E5E2F"/>
    <w:rsid w:val="2B471579"/>
    <w:rsid w:val="2D9F04D0"/>
    <w:rsid w:val="2EBF4B49"/>
    <w:rsid w:val="32C00185"/>
    <w:rsid w:val="333D462E"/>
    <w:rsid w:val="344D447F"/>
    <w:rsid w:val="34AE437F"/>
    <w:rsid w:val="34BD5492"/>
    <w:rsid w:val="36873BAC"/>
    <w:rsid w:val="368C11C2"/>
    <w:rsid w:val="37180CA8"/>
    <w:rsid w:val="37B944C8"/>
    <w:rsid w:val="37C11451"/>
    <w:rsid w:val="39A364DE"/>
    <w:rsid w:val="3BF35840"/>
    <w:rsid w:val="3D6C4D19"/>
    <w:rsid w:val="3ED437FA"/>
    <w:rsid w:val="3F6A65BA"/>
    <w:rsid w:val="41586BF6"/>
    <w:rsid w:val="42220C2D"/>
    <w:rsid w:val="44E17603"/>
    <w:rsid w:val="461F3BB2"/>
    <w:rsid w:val="464A4ED7"/>
    <w:rsid w:val="467D0C55"/>
    <w:rsid w:val="46DA4DD9"/>
    <w:rsid w:val="46DD5122"/>
    <w:rsid w:val="489D2798"/>
    <w:rsid w:val="49F41101"/>
    <w:rsid w:val="4A4A19B3"/>
    <w:rsid w:val="4A7F6DC7"/>
    <w:rsid w:val="4DD252B5"/>
    <w:rsid w:val="4E216020"/>
    <w:rsid w:val="4F512B51"/>
    <w:rsid w:val="50CA2BBB"/>
    <w:rsid w:val="513444D8"/>
    <w:rsid w:val="51CE2237"/>
    <w:rsid w:val="52F953D7"/>
    <w:rsid w:val="54471DE8"/>
    <w:rsid w:val="54AF3AB7"/>
    <w:rsid w:val="54F82FF4"/>
    <w:rsid w:val="59A41257"/>
    <w:rsid w:val="5AEC60DA"/>
    <w:rsid w:val="5B7006AF"/>
    <w:rsid w:val="5C473312"/>
    <w:rsid w:val="5C605C82"/>
    <w:rsid w:val="5DA00CD0"/>
    <w:rsid w:val="5DE73612"/>
    <w:rsid w:val="5E2558D5"/>
    <w:rsid w:val="5F1F2324"/>
    <w:rsid w:val="61C24E40"/>
    <w:rsid w:val="624119BB"/>
    <w:rsid w:val="65B71508"/>
    <w:rsid w:val="6703252B"/>
    <w:rsid w:val="68C205EB"/>
    <w:rsid w:val="694F10D7"/>
    <w:rsid w:val="6AB378FF"/>
    <w:rsid w:val="6B092642"/>
    <w:rsid w:val="6E097927"/>
    <w:rsid w:val="6E98699D"/>
    <w:rsid w:val="6ED7516C"/>
    <w:rsid w:val="6F395503"/>
    <w:rsid w:val="6F655B31"/>
    <w:rsid w:val="70702E41"/>
    <w:rsid w:val="70AB7EBB"/>
    <w:rsid w:val="70C95159"/>
    <w:rsid w:val="7120362B"/>
    <w:rsid w:val="71AA0173"/>
    <w:rsid w:val="723316CF"/>
    <w:rsid w:val="7285561F"/>
    <w:rsid w:val="744E6674"/>
    <w:rsid w:val="74C06CC5"/>
    <w:rsid w:val="75B73FDD"/>
    <w:rsid w:val="75FC15FF"/>
    <w:rsid w:val="769D788B"/>
    <w:rsid w:val="76E314EB"/>
    <w:rsid w:val="77477A5C"/>
    <w:rsid w:val="77C11C4A"/>
    <w:rsid w:val="78EA7678"/>
    <w:rsid w:val="799E38A7"/>
    <w:rsid w:val="7B136D2E"/>
    <w:rsid w:val="7B2345AB"/>
    <w:rsid w:val="7BAA111C"/>
    <w:rsid w:val="7CEFDACB"/>
    <w:rsid w:val="7DC51E91"/>
    <w:rsid w:val="7E340975"/>
    <w:rsid w:val="7E5D785B"/>
    <w:rsid w:val="7EF16DC7"/>
    <w:rsid w:val="7F4B6E66"/>
    <w:rsid w:val="7F8474BB"/>
    <w:rsid w:val="7F952B2F"/>
    <w:rsid w:val="EBFB781D"/>
    <w:rsid w:val="FFFF6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8"/>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59"/>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0"/>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1"/>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2"/>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3"/>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4"/>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Lines="25" w:afterLines="25"/>
      <w:jc w:val="left"/>
    </w:pPr>
    <w:rPr>
      <w:spacing w:val="10"/>
      <w:sz w:val="24"/>
    </w:rPr>
  </w:style>
  <w:style w:type="paragraph" w:styleId="3">
    <w:name w:val="Body Text"/>
    <w:basedOn w:val="1"/>
    <w:next w:val="1"/>
    <w:link w:val="94"/>
    <w:qFormat/>
    <w:uiPriority w:val="99"/>
    <w:pPr>
      <w:spacing w:after="120"/>
    </w:pPr>
    <w:rPr>
      <w:rFonts w:ascii="Calibri" w:hAnsi="Calibri"/>
      <w:kern w:val="0"/>
      <w:sz w:val="28"/>
    </w:rPr>
  </w:style>
  <w:style w:type="paragraph" w:customStyle="1" w:styleId="11">
    <w:name w:val="文档正文"/>
    <w:basedOn w:val="1"/>
    <w:qFormat/>
    <w:uiPriority w:val="0"/>
    <w:pPr>
      <w:adjustRightInd w:val="0"/>
      <w:spacing w:before="60" w:line="360" w:lineRule="atLeast"/>
      <w:ind w:firstLine="482"/>
      <w:textAlignment w:val="baseline"/>
    </w:pPr>
    <w:rPr>
      <w:sz w:val="24"/>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99"/>
    <w:qFormat/>
    <w:uiPriority w:val="0"/>
    <w:pPr>
      <w:ind w:firstLine="420"/>
    </w:pPr>
    <w:rPr>
      <w:rFonts w:ascii="Calibri" w:hAnsi="Calibri"/>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52"/>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19"/>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49"/>
    <w:qFormat/>
    <w:uiPriority w:val="0"/>
    <w:pPr>
      <w:snapToGrid w:val="0"/>
      <w:spacing w:before="50" w:after="50"/>
    </w:pPr>
    <w:rPr>
      <w:rFonts w:ascii="Calibri" w:hAnsi="宋体" w:eastAsia="仿宋_GB2312"/>
      <w:b/>
      <w:bCs/>
      <w:kern w:val="0"/>
      <w:sz w:val="24"/>
      <w:szCs w:val="20"/>
    </w:rPr>
  </w:style>
  <w:style w:type="paragraph" w:styleId="20">
    <w:name w:val="Body Text Indent"/>
    <w:basedOn w:val="1"/>
    <w:link w:val="70"/>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46"/>
    <w:qFormat/>
    <w:uiPriority w:val="0"/>
    <w:pPr>
      <w:spacing w:beforeLines="50" w:afterLines="50" w:line="400" w:lineRule="exact"/>
    </w:pPr>
    <w:rPr>
      <w:rFonts w:ascii="宋体" w:hAnsi="Courier New"/>
      <w:kern w:val="0"/>
      <w:sz w:val="24"/>
    </w:rPr>
  </w:style>
  <w:style w:type="paragraph" w:styleId="25">
    <w:name w:val="Date"/>
    <w:basedOn w:val="1"/>
    <w:next w:val="1"/>
    <w:link w:val="130"/>
    <w:qFormat/>
    <w:uiPriority w:val="0"/>
    <w:pPr>
      <w:ind w:left="2500" w:leftChars="2500"/>
    </w:pPr>
    <w:rPr>
      <w:rFonts w:ascii="Calibri" w:hAnsi="Calibri" w:eastAsia="楷体_GB2312"/>
      <w:kern w:val="0"/>
      <w:sz w:val="32"/>
      <w:szCs w:val="20"/>
    </w:rPr>
  </w:style>
  <w:style w:type="paragraph" w:styleId="26">
    <w:name w:val="Body Text Indent 2"/>
    <w:basedOn w:val="1"/>
    <w:link w:val="124"/>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67"/>
    <w:unhideWhenUsed/>
    <w:qFormat/>
    <w:uiPriority w:val="0"/>
    <w:rPr>
      <w:rFonts w:ascii="Calibri" w:hAnsi="Calibri"/>
      <w:kern w:val="0"/>
      <w:sz w:val="16"/>
      <w:szCs w:val="16"/>
    </w:rPr>
  </w:style>
  <w:style w:type="paragraph" w:styleId="28">
    <w:name w:val="footer"/>
    <w:basedOn w:val="1"/>
    <w:link w:val="55"/>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5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1"/>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77"/>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121"/>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unhideWhenUsed/>
    <w:qFormat/>
    <w:uiPriority w:val="39"/>
    <w:pPr>
      <w:ind w:left="420" w:leftChars="200"/>
    </w:pPr>
  </w:style>
  <w:style w:type="paragraph" w:styleId="36">
    <w:name w:val="Body Text 2"/>
    <w:basedOn w:val="1"/>
    <w:link w:val="126"/>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134"/>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162"/>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qFormat/>
    <w:uiPriority w:val="0"/>
    <w:pPr>
      <w:jc w:val="center"/>
    </w:pPr>
    <w:rPr>
      <w:rFonts w:ascii="Arial" w:hAnsi="Arial" w:eastAsia="Arial" w:cs="Arial"/>
      <w:b/>
      <w:bCs/>
      <w:sz w:val="28"/>
      <w:szCs w:val="20"/>
    </w:rPr>
  </w:style>
  <w:style w:type="paragraph" w:styleId="40">
    <w:name w:val="Title"/>
    <w:basedOn w:val="1"/>
    <w:link w:val="369"/>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8"/>
    <w:next w:val="18"/>
    <w:link w:val="157"/>
    <w:qFormat/>
    <w:uiPriority w:val="0"/>
    <w:rPr>
      <w:b/>
      <w:bCs/>
    </w:rPr>
  </w:style>
  <w:style w:type="paragraph" w:styleId="42">
    <w:name w:val="Body Text First Indent"/>
    <w:basedOn w:val="3"/>
    <w:link w:val="93"/>
    <w:unhideWhenUsed/>
    <w:qFormat/>
    <w:uiPriority w:val="0"/>
    <w:pPr>
      <w:ind w:firstLine="420" w:firstLineChars="100"/>
    </w:pPr>
  </w:style>
  <w:style w:type="paragraph" w:styleId="43">
    <w:name w:val="Body Text First Indent 2"/>
    <w:basedOn w:val="20"/>
    <w:link w:val="69"/>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首行缩进"/>
    <w:basedOn w:val="1"/>
    <w:qFormat/>
    <w:uiPriority w:val="0"/>
    <w:pPr>
      <w:spacing w:line="360" w:lineRule="auto"/>
      <w:ind w:firstLine="480" w:firstLineChars="200"/>
    </w:pPr>
    <w:rPr>
      <w:rFonts w:hAnsi="宋体" w:cs="宋体"/>
      <w:sz w:val="24"/>
    </w:rPr>
  </w:style>
  <w:style w:type="character" w:customStyle="1" w:styleId="54">
    <w:name w:val="页眉 字符"/>
    <w:link w:val="29"/>
    <w:qFormat/>
    <w:uiPriority w:val="99"/>
    <w:rPr>
      <w:sz w:val="18"/>
      <w:szCs w:val="18"/>
    </w:rPr>
  </w:style>
  <w:style w:type="character" w:customStyle="1" w:styleId="55">
    <w:name w:val="页脚 字符1"/>
    <w:link w:val="28"/>
    <w:qFormat/>
    <w:uiPriority w:val="99"/>
    <w:rPr>
      <w:sz w:val="18"/>
      <w:szCs w:val="18"/>
    </w:rPr>
  </w:style>
  <w:style w:type="character" w:customStyle="1" w:styleId="56">
    <w:name w:val="标题 1 字符"/>
    <w:link w:val="4"/>
    <w:qFormat/>
    <w:uiPriority w:val="0"/>
    <w:rPr>
      <w:rFonts w:ascii="Times New Roman" w:hAnsi="Times New Roman" w:eastAsia="宋体" w:cs="Times New Roman"/>
      <w:b/>
      <w:bCs/>
      <w:kern w:val="44"/>
      <w:sz w:val="44"/>
      <w:szCs w:val="44"/>
    </w:rPr>
  </w:style>
  <w:style w:type="character" w:customStyle="1" w:styleId="57">
    <w:name w:val="标题 2 字符"/>
    <w:link w:val="5"/>
    <w:qFormat/>
    <w:uiPriority w:val="0"/>
    <w:rPr>
      <w:rFonts w:ascii="Arial" w:hAnsi="Arial" w:eastAsia="黑体" w:cs="Times New Roman"/>
      <w:b/>
      <w:bCs/>
      <w:sz w:val="32"/>
      <w:szCs w:val="32"/>
    </w:rPr>
  </w:style>
  <w:style w:type="character" w:customStyle="1" w:styleId="58">
    <w:name w:val="标题 3 字符"/>
    <w:link w:val="6"/>
    <w:qFormat/>
    <w:uiPriority w:val="0"/>
    <w:rPr>
      <w:rFonts w:ascii="Times New Roman" w:hAnsi="Times New Roman" w:eastAsia="宋体" w:cs="Times New Roman"/>
      <w:b/>
      <w:bCs/>
      <w:sz w:val="32"/>
      <w:szCs w:val="32"/>
    </w:rPr>
  </w:style>
  <w:style w:type="character" w:customStyle="1" w:styleId="59">
    <w:name w:val="标题 4 字符"/>
    <w:link w:val="7"/>
    <w:qFormat/>
    <w:uiPriority w:val="0"/>
    <w:rPr>
      <w:rFonts w:ascii="Cambria" w:hAnsi="Cambria" w:eastAsia="宋体" w:cs="Times New Roman"/>
      <w:b/>
      <w:bCs/>
      <w:sz w:val="28"/>
      <w:szCs w:val="28"/>
    </w:rPr>
  </w:style>
  <w:style w:type="character" w:customStyle="1" w:styleId="60">
    <w:name w:val="标题 5 字符"/>
    <w:link w:val="8"/>
    <w:qFormat/>
    <w:uiPriority w:val="0"/>
    <w:rPr>
      <w:rFonts w:ascii="Times New Roman" w:hAnsi="Times New Roman" w:eastAsia="宋体" w:cs="Times New Roman"/>
      <w:b/>
      <w:bCs/>
      <w:sz w:val="28"/>
      <w:szCs w:val="28"/>
    </w:rPr>
  </w:style>
  <w:style w:type="character" w:customStyle="1" w:styleId="61">
    <w:name w:val="标题 6 字符"/>
    <w:link w:val="9"/>
    <w:qFormat/>
    <w:uiPriority w:val="0"/>
    <w:rPr>
      <w:rFonts w:ascii="Arial" w:hAnsi="Arial" w:eastAsia="黑体" w:cs="Times New Roman"/>
      <w:b/>
      <w:bCs/>
      <w:sz w:val="24"/>
      <w:szCs w:val="24"/>
    </w:rPr>
  </w:style>
  <w:style w:type="character" w:customStyle="1" w:styleId="62">
    <w:name w:val="标题 7 字符"/>
    <w:link w:val="10"/>
    <w:qFormat/>
    <w:uiPriority w:val="0"/>
    <w:rPr>
      <w:rFonts w:ascii="Times New Roman" w:hAnsi="Times New Roman" w:eastAsia="宋体" w:cs="Times New Roman"/>
      <w:b/>
      <w:bCs/>
      <w:sz w:val="24"/>
      <w:szCs w:val="24"/>
    </w:rPr>
  </w:style>
  <w:style w:type="character" w:customStyle="1" w:styleId="63">
    <w:name w:val="标题 8 字符"/>
    <w:link w:val="12"/>
    <w:qFormat/>
    <w:uiPriority w:val="0"/>
    <w:rPr>
      <w:rFonts w:ascii="Arial" w:hAnsi="Arial" w:eastAsia="黑体" w:cs="Times New Roman"/>
      <w:sz w:val="24"/>
      <w:szCs w:val="24"/>
    </w:rPr>
  </w:style>
  <w:style w:type="character" w:customStyle="1" w:styleId="64">
    <w:name w:val="标题 9 字符"/>
    <w:link w:val="13"/>
    <w:qFormat/>
    <w:uiPriority w:val="0"/>
    <w:rPr>
      <w:rFonts w:ascii="Arial" w:hAnsi="Arial" w:eastAsia="黑体" w:cs="Times New Roman"/>
      <w:szCs w:val="21"/>
    </w:rPr>
  </w:style>
  <w:style w:type="paragraph" w:customStyle="1" w:styleId="6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Char Char4"/>
    <w:qFormat/>
    <w:uiPriority w:val="0"/>
    <w:rPr>
      <w:rFonts w:eastAsia="宋体"/>
      <w:kern w:val="2"/>
      <w:sz w:val="24"/>
      <w:lang w:val="en-US" w:eastAsia="zh-CN" w:bidi="ar-SA"/>
    </w:rPr>
  </w:style>
  <w:style w:type="character" w:customStyle="1" w:styleId="67">
    <w:name w:val="批注框文本 字符"/>
    <w:link w:val="27"/>
    <w:qFormat/>
    <w:uiPriority w:val="0"/>
    <w:rPr>
      <w:sz w:val="16"/>
      <w:szCs w:val="16"/>
    </w:rPr>
  </w:style>
  <w:style w:type="character" w:customStyle="1" w:styleId="68">
    <w:name w:val="批注框文本 Char1"/>
    <w:semiHidden/>
    <w:qFormat/>
    <w:uiPriority w:val="99"/>
    <w:rPr>
      <w:rFonts w:ascii="Times New Roman" w:hAnsi="Times New Roman" w:eastAsia="宋体" w:cs="Times New Roman"/>
      <w:sz w:val="18"/>
      <w:szCs w:val="18"/>
    </w:rPr>
  </w:style>
  <w:style w:type="character" w:customStyle="1" w:styleId="69">
    <w:name w:val="正文文本首行缩进 2 字符"/>
    <w:link w:val="43"/>
    <w:semiHidden/>
    <w:qFormat/>
    <w:uiPriority w:val="0"/>
    <w:rPr>
      <w:rFonts w:ascii="宋体" w:hAnsi="Courier New"/>
      <w:spacing w:val="-4"/>
      <w:sz w:val="24"/>
      <w:szCs w:val="24"/>
    </w:rPr>
  </w:style>
  <w:style w:type="character" w:customStyle="1" w:styleId="70">
    <w:name w:val="正文文本缩进 字符"/>
    <w:link w:val="20"/>
    <w:qFormat/>
    <w:uiPriority w:val="0"/>
    <w:rPr>
      <w:rFonts w:ascii="Times New Roman" w:hAnsi="Times New Roman" w:eastAsia="宋体" w:cs="Times New Roman"/>
      <w:szCs w:val="24"/>
    </w:rPr>
  </w:style>
  <w:style w:type="character" w:customStyle="1" w:styleId="71">
    <w:name w:val="正文首行缩进 2 Char1"/>
    <w:semiHidden/>
    <w:qFormat/>
    <w:uiPriority w:val="99"/>
    <w:rPr>
      <w:rFonts w:ascii="Times New Roman" w:hAnsi="Times New Roman" w:eastAsia="宋体" w:cs="Times New Roman"/>
      <w:szCs w:val="24"/>
    </w:rPr>
  </w:style>
  <w:style w:type="character" w:customStyle="1" w:styleId="72">
    <w:name w:val="投标文件 正文首行缩进 Char"/>
    <w:qFormat/>
    <w:uiPriority w:val="0"/>
    <w:rPr>
      <w:rFonts w:ascii="Arial" w:hAnsi="Arial" w:eastAsia="宋体"/>
      <w:kern w:val="2"/>
      <w:sz w:val="21"/>
      <w:szCs w:val="24"/>
      <w:lang w:val="en-US" w:eastAsia="zh-CN" w:bidi="ar-SA"/>
    </w:rPr>
  </w:style>
  <w:style w:type="character" w:customStyle="1" w:styleId="73">
    <w:name w:val="_正文段落 Char"/>
    <w:qFormat/>
    <w:uiPriority w:val="0"/>
    <w:rPr>
      <w:rFonts w:eastAsia="宋体"/>
      <w:kern w:val="2"/>
      <w:sz w:val="21"/>
      <w:szCs w:val="24"/>
      <w:lang w:val="en-US" w:eastAsia="zh-CN" w:bidi="ar-SA"/>
    </w:rPr>
  </w:style>
  <w:style w:type="character" w:customStyle="1" w:styleId="74">
    <w:name w:val="Char Char17"/>
    <w:qFormat/>
    <w:uiPriority w:val="0"/>
    <w:rPr>
      <w:rFonts w:ascii="Arial" w:hAnsi="Arial" w:eastAsia="黑体"/>
      <w:b/>
      <w:bCs/>
      <w:kern w:val="2"/>
      <w:sz w:val="32"/>
      <w:szCs w:val="32"/>
      <w:lang w:val="en-US" w:eastAsia="zh-CN" w:bidi="ar-SA"/>
    </w:rPr>
  </w:style>
  <w:style w:type="character" w:customStyle="1" w:styleId="75">
    <w:name w:val="Char Char14"/>
    <w:qFormat/>
    <w:uiPriority w:val="0"/>
    <w:rPr>
      <w:rFonts w:eastAsia="宋体"/>
      <w:b/>
      <w:bCs/>
      <w:kern w:val="2"/>
      <w:sz w:val="28"/>
      <w:szCs w:val="28"/>
      <w:lang w:val="en-US" w:eastAsia="zh-CN" w:bidi="ar-SA"/>
    </w:rPr>
  </w:style>
  <w:style w:type="character" w:customStyle="1" w:styleId="76">
    <w:name w:val="ptt1"/>
    <w:qFormat/>
    <w:uiPriority w:val="0"/>
    <w:rPr>
      <w:rFonts w:hint="eastAsia" w:ascii="宋体" w:hAnsi="宋体" w:eastAsia="宋体"/>
      <w:sz w:val="18"/>
      <w:szCs w:val="18"/>
    </w:rPr>
  </w:style>
  <w:style w:type="character" w:customStyle="1" w:styleId="77">
    <w:name w:val="脚注文本 字符"/>
    <w:link w:val="33"/>
    <w:semiHidden/>
    <w:qFormat/>
    <w:uiPriority w:val="0"/>
    <w:rPr>
      <w:sz w:val="18"/>
      <w:szCs w:val="24"/>
    </w:rPr>
  </w:style>
  <w:style w:type="character" w:customStyle="1" w:styleId="78">
    <w:name w:val="脚注文本 Char1"/>
    <w:semiHidden/>
    <w:qFormat/>
    <w:uiPriority w:val="99"/>
    <w:rPr>
      <w:rFonts w:ascii="Times New Roman" w:hAnsi="Times New Roman" w:eastAsia="宋体" w:cs="Times New Roman"/>
      <w:sz w:val="18"/>
      <w:szCs w:val="18"/>
    </w:rPr>
  </w:style>
  <w:style w:type="character" w:customStyle="1" w:styleId="79">
    <w:name w:val="Char Char18"/>
    <w:qFormat/>
    <w:uiPriority w:val="0"/>
    <w:rPr>
      <w:rFonts w:eastAsia="宋体"/>
      <w:b/>
      <w:bCs/>
      <w:kern w:val="44"/>
      <w:sz w:val="44"/>
      <w:szCs w:val="44"/>
      <w:lang w:val="en-US" w:eastAsia="zh-CN" w:bidi="ar-SA"/>
    </w:rPr>
  </w:style>
  <w:style w:type="character" w:customStyle="1" w:styleId="80">
    <w:name w:val="font2"/>
    <w:qFormat/>
    <w:uiPriority w:val="0"/>
  </w:style>
  <w:style w:type="character" w:customStyle="1" w:styleId="81">
    <w:name w:val="缺省文本 Char"/>
    <w:qFormat/>
    <w:uiPriority w:val="0"/>
    <w:rPr>
      <w:rFonts w:eastAsia="宋体"/>
      <w:sz w:val="24"/>
      <w:lang w:val="en-US" w:eastAsia="zh-CN" w:bidi="ar-SA"/>
    </w:rPr>
  </w:style>
  <w:style w:type="character" w:customStyle="1" w:styleId="82">
    <w:name w:val="HTML 预设格式 Char1"/>
    <w:semiHidden/>
    <w:qFormat/>
    <w:uiPriority w:val="99"/>
    <w:rPr>
      <w:rFonts w:ascii="Courier New" w:hAnsi="Courier New"/>
      <w:kern w:val="2"/>
    </w:rPr>
  </w:style>
  <w:style w:type="character" w:customStyle="1" w:styleId="83">
    <w:name w:val="Char Char8"/>
    <w:qFormat/>
    <w:uiPriority w:val="0"/>
    <w:rPr>
      <w:sz w:val="24"/>
    </w:rPr>
  </w:style>
  <w:style w:type="character" w:customStyle="1" w:styleId="84">
    <w:name w:val="Char Char9"/>
    <w:qFormat/>
    <w:uiPriority w:val="0"/>
    <w:rPr>
      <w:rFonts w:ascii="Arial" w:hAnsi="Arial" w:cs="Arial"/>
      <w:vanish/>
      <w:sz w:val="16"/>
      <w:szCs w:val="16"/>
    </w:rPr>
  </w:style>
  <w:style w:type="character" w:customStyle="1" w:styleId="85">
    <w:name w:val="font31"/>
    <w:qFormat/>
    <w:uiPriority w:val="0"/>
    <w:rPr>
      <w:rFonts w:hint="default" w:ascii="Times New Roman" w:hAnsi="Times New Roman" w:cs="Times New Roman"/>
      <w:color w:val="FF0000"/>
      <w:sz w:val="24"/>
      <w:szCs w:val="24"/>
      <w:u w:val="none"/>
    </w:rPr>
  </w:style>
  <w:style w:type="character" w:customStyle="1" w:styleId="86">
    <w:name w:val="列表段落 字符"/>
    <w:link w:val="87"/>
    <w:qFormat/>
    <w:uiPriority w:val="0"/>
    <w:rPr>
      <w:rFonts w:ascii="Calibri" w:hAnsi="Calibri"/>
    </w:rPr>
  </w:style>
  <w:style w:type="paragraph" w:styleId="87">
    <w:name w:val="List Paragraph"/>
    <w:basedOn w:val="1"/>
    <w:link w:val="86"/>
    <w:qFormat/>
    <w:uiPriority w:val="0"/>
    <w:pPr>
      <w:ind w:left="420" w:firstLine="420" w:firstLineChars="200"/>
    </w:pPr>
    <w:rPr>
      <w:rFonts w:ascii="Calibri" w:hAnsi="Calibri"/>
      <w:kern w:val="0"/>
      <w:sz w:val="20"/>
      <w:szCs w:val="20"/>
    </w:rPr>
  </w:style>
  <w:style w:type="character" w:customStyle="1" w:styleId="88">
    <w:name w:val="_标题3 Char"/>
    <w:qFormat/>
    <w:uiPriority w:val="0"/>
    <w:rPr>
      <w:rFonts w:ascii="Arial" w:hAnsi="Arial" w:eastAsia="黑体"/>
      <w:bCs/>
      <w:kern w:val="2"/>
      <w:sz w:val="30"/>
      <w:szCs w:val="32"/>
      <w:lang w:val="en-US" w:eastAsia="zh-CN" w:bidi="ar-SA"/>
    </w:rPr>
  </w:style>
  <w:style w:type="character" w:customStyle="1" w:styleId="89">
    <w:name w:val="_正文段落加粗 Char"/>
    <w:qFormat/>
    <w:uiPriority w:val="0"/>
    <w:rPr>
      <w:rFonts w:eastAsia="宋体"/>
      <w:b/>
      <w:kern w:val="2"/>
      <w:sz w:val="21"/>
      <w:szCs w:val="24"/>
      <w:lang w:val="en-US" w:eastAsia="zh-CN" w:bidi="ar-SA"/>
    </w:rPr>
  </w:style>
  <w:style w:type="character" w:customStyle="1" w:styleId="90">
    <w:name w:val="Char Char"/>
    <w:qFormat/>
    <w:uiPriority w:val="0"/>
    <w:rPr>
      <w:rFonts w:ascii="宋体" w:hAnsi="Courier New"/>
      <w:kern w:val="2"/>
      <w:sz w:val="21"/>
    </w:rPr>
  </w:style>
  <w:style w:type="character" w:customStyle="1" w:styleId="91">
    <w:name w:val="p2"/>
    <w:qFormat/>
    <w:uiPriority w:val="0"/>
  </w:style>
  <w:style w:type="character" w:customStyle="1" w:styleId="92">
    <w:name w:val="_题注 Char"/>
    <w:qFormat/>
    <w:uiPriority w:val="0"/>
    <w:rPr>
      <w:rFonts w:ascii="Arial" w:hAnsi="Arial" w:eastAsia="黑体" w:cs="Arial"/>
      <w:kern w:val="2"/>
      <w:sz w:val="21"/>
      <w:lang w:val="en-US" w:eastAsia="zh-CN" w:bidi="ar-SA"/>
    </w:rPr>
  </w:style>
  <w:style w:type="character" w:customStyle="1" w:styleId="93">
    <w:name w:val="正文文本首行缩进 字符"/>
    <w:link w:val="42"/>
    <w:qFormat/>
    <w:uiPriority w:val="0"/>
    <w:rPr>
      <w:sz w:val="28"/>
      <w:szCs w:val="24"/>
    </w:rPr>
  </w:style>
  <w:style w:type="character" w:customStyle="1" w:styleId="94">
    <w:name w:val="正文文本 字符"/>
    <w:link w:val="3"/>
    <w:qFormat/>
    <w:uiPriority w:val="99"/>
    <w:rPr>
      <w:sz w:val="28"/>
      <w:szCs w:val="24"/>
    </w:rPr>
  </w:style>
  <w:style w:type="character" w:customStyle="1" w:styleId="95">
    <w:name w:val="正文文本 Char1"/>
    <w:semiHidden/>
    <w:qFormat/>
    <w:uiPriority w:val="99"/>
    <w:rPr>
      <w:rFonts w:ascii="Times New Roman" w:hAnsi="Times New Roman" w:eastAsia="宋体" w:cs="Times New Roman"/>
      <w:szCs w:val="24"/>
    </w:rPr>
  </w:style>
  <w:style w:type="character" w:customStyle="1" w:styleId="96">
    <w:name w:val="正文首行缩进 Char1"/>
    <w:semiHidden/>
    <w:qFormat/>
    <w:uiPriority w:val="99"/>
    <w:rPr>
      <w:rFonts w:ascii="Times New Roman" w:hAnsi="Times New Roman" w:eastAsia="宋体" w:cs="Times New Roman"/>
      <w:szCs w:val="24"/>
    </w:rPr>
  </w:style>
  <w:style w:type="character" w:customStyle="1" w:styleId="97">
    <w:name w:val="样式1 Char Char"/>
    <w:link w:val="98"/>
    <w:qFormat/>
    <w:uiPriority w:val="0"/>
    <w:rPr>
      <w:rFonts w:ascii="Arial" w:hAnsi="Arial"/>
      <w:szCs w:val="24"/>
    </w:rPr>
  </w:style>
  <w:style w:type="paragraph" w:customStyle="1" w:styleId="98">
    <w:name w:val="样式1"/>
    <w:basedOn w:val="1"/>
    <w:link w:val="97"/>
    <w:qFormat/>
    <w:uiPriority w:val="0"/>
    <w:pPr>
      <w:spacing w:line="360" w:lineRule="exact"/>
      <w:ind w:firstLine="200" w:firstLineChars="200"/>
    </w:pPr>
    <w:rPr>
      <w:rFonts w:ascii="Arial" w:hAnsi="Arial"/>
      <w:kern w:val="0"/>
      <w:sz w:val="20"/>
    </w:rPr>
  </w:style>
  <w:style w:type="character" w:customStyle="1" w:styleId="99">
    <w:name w:val="正文缩进 字符"/>
    <w:link w:val="15"/>
    <w:qFormat/>
    <w:uiPriority w:val="0"/>
  </w:style>
  <w:style w:type="character" w:customStyle="1" w:styleId="100">
    <w:name w:val="z-窗体顶端 字符"/>
    <w:link w:val="101"/>
    <w:qFormat/>
    <w:uiPriority w:val="0"/>
    <w:rPr>
      <w:rFonts w:ascii="Arial" w:hAnsi="Arial" w:cs="Arial"/>
      <w:vanish/>
      <w:sz w:val="16"/>
      <w:szCs w:val="16"/>
    </w:rPr>
  </w:style>
  <w:style w:type="paragraph" w:customStyle="1" w:styleId="101">
    <w:name w:val="z-窗体顶端1"/>
    <w:basedOn w:val="1"/>
    <w:next w:val="1"/>
    <w:link w:val="100"/>
    <w:qFormat/>
    <w:uiPriority w:val="0"/>
    <w:pPr>
      <w:widowControl/>
      <w:pBdr>
        <w:bottom w:val="single" w:color="auto" w:sz="6" w:space="1"/>
      </w:pBdr>
      <w:jc w:val="center"/>
    </w:pPr>
    <w:rPr>
      <w:rFonts w:ascii="Arial" w:hAnsi="Arial"/>
      <w:vanish/>
      <w:kern w:val="0"/>
      <w:sz w:val="16"/>
      <w:szCs w:val="16"/>
    </w:rPr>
  </w:style>
  <w:style w:type="character" w:customStyle="1" w:styleId="102">
    <w:name w:val="z-窗体顶端 Char1"/>
    <w:semiHidden/>
    <w:qFormat/>
    <w:uiPriority w:val="99"/>
    <w:rPr>
      <w:rFonts w:ascii="Arial" w:hAnsi="Arial" w:eastAsia="宋体" w:cs="Arial"/>
      <w:vanish/>
      <w:sz w:val="16"/>
      <w:szCs w:val="16"/>
    </w:rPr>
  </w:style>
  <w:style w:type="character" w:customStyle="1" w:styleId="103">
    <w:name w:val="z-窗体底端 字符"/>
    <w:link w:val="104"/>
    <w:qFormat/>
    <w:uiPriority w:val="0"/>
    <w:rPr>
      <w:rFonts w:ascii="Arial" w:hAnsi="Arial" w:cs="Arial"/>
      <w:vanish/>
      <w:sz w:val="16"/>
      <w:szCs w:val="16"/>
    </w:rPr>
  </w:style>
  <w:style w:type="paragraph" w:customStyle="1" w:styleId="104">
    <w:name w:val="z-窗体底端1"/>
    <w:basedOn w:val="1"/>
    <w:next w:val="1"/>
    <w:link w:val="103"/>
    <w:qFormat/>
    <w:uiPriority w:val="0"/>
    <w:pPr>
      <w:widowControl/>
      <w:pBdr>
        <w:top w:val="single" w:color="auto" w:sz="6" w:space="1"/>
      </w:pBdr>
      <w:jc w:val="center"/>
    </w:pPr>
    <w:rPr>
      <w:rFonts w:ascii="Arial" w:hAnsi="Arial"/>
      <w:vanish/>
      <w:kern w:val="0"/>
      <w:sz w:val="16"/>
      <w:szCs w:val="16"/>
    </w:rPr>
  </w:style>
  <w:style w:type="character" w:customStyle="1" w:styleId="105">
    <w:name w:val="z-窗体底端 Char1"/>
    <w:semiHidden/>
    <w:qFormat/>
    <w:uiPriority w:val="99"/>
    <w:rPr>
      <w:rFonts w:ascii="Arial" w:hAnsi="Arial" w:eastAsia="宋体" w:cs="Arial"/>
      <w:vanish/>
      <w:sz w:val="16"/>
      <w:szCs w:val="16"/>
    </w:rPr>
  </w:style>
  <w:style w:type="character" w:customStyle="1" w:styleId="106">
    <w:name w:val="正文首行缩进两字符 Char"/>
    <w:qFormat/>
    <w:uiPriority w:val="0"/>
    <w:rPr>
      <w:rFonts w:ascii="Arial" w:hAnsi="Arial"/>
      <w:kern w:val="2"/>
      <w:sz w:val="24"/>
      <w:szCs w:val="24"/>
    </w:rPr>
  </w:style>
  <w:style w:type="character" w:customStyle="1" w:styleId="107">
    <w:name w:val="msonormal"/>
    <w:qFormat/>
    <w:uiPriority w:val="0"/>
  </w:style>
  <w:style w:type="character" w:customStyle="1" w:styleId="108">
    <w:name w:val="Char Char2"/>
    <w:qFormat/>
    <w:uiPriority w:val="0"/>
    <w:rPr>
      <w:sz w:val="24"/>
    </w:rPr>
  </w:style>
  <w:style w:type="character" w:customStyle="1" w:styleId="109">
    <w:name w:val="Char Char3"/>
    <w:qFormat/>
    <w:uiPriority w:val="0"/>
    <w:rPr>
      <w:rFonts w:ascii="宋体" w:hAnsi="宋体" w:cs="宋体"/>
      <w:sz w:val="24"/>
      <w:szCs w:val="24"/>
    </w:rPr>
  </w:style>
  <w:style w:type="character" w:customStyle="1" w:styleId="110">
    <w:name w:val="Char Char5"/>
    <w:qFormat/>
    <w:uiPriority w:val="0"/>
    <w:rPr>
      <w:rFonts w:ascii="Arial" w:hAnsi="Arial" w:eastAsia="黑体" w:cs="Arial"/>
    </w:rPr>
  </w:style>
  <w:style w:type="character" w:customStyle="1" w:styleId="111">
    <w:name w:val="副标题 字符"/>
    <w:link w:val="31"/>
    <w:qFormat/>
    <w:uiPriority w:val="11"/>
    <w:rPr>
      <w:rFonts w:ascii="Cambria" w:hAnsi="Cambria"/>
      <w:b/>
      <w:bCs/>
      <w:kern w:val="28"/>
      <w:sz w:val="32"/>
      <w:szCs w:val="32"/>
    </w:rPr>
  </w:style>
  <w:style w:type="character" w:customStyle="1" w:styleId="112">
    <w:name w:val="副标题 Char1"/>
    <w:qFormat/>
    <w:uiPriority w:val="11"/>
    <w:rPr>
      <w:rFonts w:ascii="Cambria" w:hAnsi="Cambria" w:eastAsia="宋体" w:cs="Times New Roman"/>
      <w:b/>
      <w:bCs/>
      <w:kern w:val="28"/>
      <w:sz w:val="32"/>
      <w:szCs w:val="32"/>
    </w:rPr>
  </w:style>
  <w:style w:type="character" w:customStyle="1" w:styleId="113">
    <w:name w:val="_标题2 Char"/>
    <w:qFormat/>
    <w:uiPriority w:val="0"/>
    <w:rPr>
      <w:rFonts w:ascii="Tahoma" w:hAnsi="Tahoma" w:eastAsia="黑体"/>
      <w:bCs/>
      <w:kern w:val="2"/>
      <w:sz w:val="32"/>
      <w:szCs w:val="32"/>
      <w:lang w:val="en-US" w:eastAsia="zh-CN" w:bidi="ar-SA"/>
    </w:rPr>
  </w:style>
  <w:style w:type="character" w:customStyle="1" w:styleId="114">
    <w:name w:val="f14b1"/>
    <w:qFormat/>
    <w:uiPriority w:val="0"/>
    <w:rPr>
      <w:rFonts w:hint="default" w:ascii="??" w:hAnsi="??"/>
      <w:b/>
      <w:bCs/>
      <w:color w:val="333333"/>
      <w:sz w:val="21"/>
      <w:szCs w:val="21"/>
    </w:rPr>
  </w:style>
  <w:style w:type="character" w:customStyle="1" w:styleId="115">
    <w:name w:val="首行缩进2字符 Char"/>
    <w:qFormat/>
    <w:uiPriority w:val="0"/>
    <w:rPr>
      <w:rFonts w:eastAsia="宋体"/>
      <w:snapToGrid w:val="0"/>
      <w:sz w:val="21"/>
      <w:szCs w:val="21"/>
      <w:lang w:val="en-US" w:eastAsia="zh-CN" w:bidi="ar-SA"/>
    </w:rPr>
  </w:style>
  <w:style w:type="character" w:customStyle="1" w:styleId="116">
    <w:name w:val="Char Char6"/>
    <w:qFormat/>
    <w:uiPriority w:val="0"/>
    <w:rPr>
      <w:rFonts w:ascii="Arial" w:hAnsi="Arial" w:cs="Arial"/>
      <w:vanish/>
      <w:sz w:val="16"/>
      <w:szCs w:val="16"/>
    </w:rPr>
  </w:style>
  <w:style w:type="character" w:customStyle="1" w:styleId="117">
    <w:name w:val="文档正文 Char"/>
    <w:qFormat/>
    <w:uiPriority w:val="0"/>
    <w:rPr>
      <w:rFonts w:eastAsia="宋体"/>
      <w:sz w:val="24"/>
      <w:lang w:val="en-US" w:eastAsia="zh-CN" w:bidi="ar-SA"/>
    </w:rPr>
  </w:style>
  <w:style w:type="character" w:customStyle="1" w:styleId="118">
    <w:name w:val="Char Char11"/>
    <w:qFormat/>
    <w:uiPriority w:val="0"/>
    <w:rPr>
      <w:rFonts w:ascii="Arial" w:hAnsi="Arial" w:eastAsia="黑体"/>
      <w:sz w:val="24"/>
      <w:szCs w:val="24"/>
      <w:lang w:val="en-US" w:eastAsia="zh-CN" w:bidi="ar-SA"/>
    </w:rPr>
  </w:style>
  <w:style w:type="character" w:customStyle="1" w:styleId="119">
    <w:name w:val="批注文字 字符"/>
    <w:link w:val="18"/>
    <w:qFormat/>
    <w:uiPriority w:val="0"/>
    <w:rPr>
      <w:sz w:val="24"/>
      <w:szCs w:val="24"/>
    </w:rPr>
  </w:style>
  <w:style w:type="character" w:customStyle="1" w:styleId="120">
    <w:name w:val="批注文字 Char1"/>
    <w:semiHidden/>
    <w:qFormat/>
    <w:uiPriority w:val="99"/>
    <w:rPr>
      <w:rFonts w:ascii="Times New Roman" w:hAnsi="Times New Roman" w:eastAsia="宋体" w:cs="Times New Roman"/>
      <w:szCs w:val="24"/>
    </w:rPr>
  </w:style>
  <w:style w:type="character" w:customStyle="1" w:styleId="121">
    <w:name w:val="正文文本缩进 3 字符"/>
    <w:link w:val="34"/>
    <w:qFormat/>
    <w:uiPriority w:val="0"/>
    <w:rPr>
      <w:rFonts w:ascii="仿宋_GB2312" w:hAnsi="宋体" w:eastAsia="仿宋_GB2312"/>
      <w:color w:val="000000"/>
      <w:sz w:val="24"/>
      <w:szCs w:val="24"/>
    </w:rPr>
  </w:style>
  <w:style w:type="character" w:customStyle="1" w:styleId="122">
    <w:name w:val="正文文本缩进 3 Char1"/>
    <w:semiHidden/>
    <w:qFormat/>
    <w:uiPriority w:val="99"/>
    <w:rPr>
      <w:rFonts w:ascii="Times New Roman" w:hAnsi="Times New Roman" w:eastAsia="宋体" w:cs="Times New Roman"/>
      <w:sz w:val="16"/>
      <w:szCs w:val="16"/>
    </w:rPr>
  </w:style>
  <w:style w:type="character" w:customStyle="1" w:styleId="123">
    <w:name w:val="_表格文字 Char"/>
    <w:qFormat/>
    <w:uiPriority w:val="0"/>
    <w:rPr>
      <w:rFonts w:eastAsia="宋体"/>
      <w:kern w:val="2"/>
      <w:sz w:val="21"/>
      <w:szCs w:val="24"/>
      <w:lang w:val="en-US" w:eastAsia="zh-CN" w:bidi="ar-SA"/>
    </w:rPr>
  </w:style>
  <w:style w:type="character" w:customStyle="1" w:styleId="124">
    <w:name w:val="正文文本缩进 2 字符"/>
    <w:link w:val="26"/>
    <w:qFormat/>
    <w:uiPriority w:val="0"/>
    <w:rPr>
      <w:rFonts w:ascii="仿宋_GB2312" w:hAnsi="宋体" w:cs="Arial"/>
      <w:b/>
      <w:bCs/>
      <w:color w:val="000000"/>
      <w:sz w:val="24"/>
      <w:szCs w:val="24"/>
    </w:rPr>
  </w:style>
  <w:style w:type="character" w:customStyle="1" w:styleId="125">
    <w:name w:val="正文文本缩进 2 Char1"/>
    <w:semiHidden/>
    <w:qFormat/>
    <w:uiPriority w:val="99"/>
    <w:rPr>
      <w:rFonts w:ascii="Times New Roman" w:hAnsi="Times New Roman" w:eastAsia="宋体" w:cs="Times New Roman"/>
      <w:szCs w:val="24"/>
    </w:rPr>
  </w:style>
  <w:style w:type="character" w:customStyle="1" w:styleId="126">
    <w:name w:val="正文文本 2 字符"/>
    <w:link w:val="36"/>
    <w:qFormat/>
    <w:uiPriority w:val="0"/>
    <w:rPr>
      <w:rFonts w:ascii="宋体" w:hAnsi="宋体"/>
      <w:color w:val="000000"/>
      <w:sz w:val="24"/>
      <w:szCs w:val="24"/>
    </w:rPr>
  </w:style>
  <w:style w:type="character" w:customStyle="1" w:styleId="127">
    <w:name w:val="正文文本 2 Char1"/>
    <w:semiHidden/>
    <w:qFormat/>
    <w:uiPriority w:val="99"/>
    <w:rPr>
      <w:rFonts w:ascii="Times New Roman" w:hAnsi="Times New Roman" w:eastAsia="宋体" w:cs="Times New Roman"/>
      <w:szCs w:val="24"/>
    </w:rPr>
  </w:style>
  <w:style w:type="character" w:customStyle="1" w:styleId="128">
    <w:name w:val="图 Char Char"/>
    <w:qFormat/>
    <w:uiPriority w:val="0"/>
    <w:rPr>
      <w:rFonts w:eastAsia="黑体"/>
      <w:b/>
      <w:sz w:val="24"/>
    </w:rPr>
  </w:style>
  <w:style w:type="character" w:customStyle="1" w:styleId="129">
    <w:name w:val="普通文字1 Char"/>
    <w:qFormat/>
    <w:uiPriority w:val="0"/>
    <w:rPr>
      <w:rFonts w:ascii="宋体" w:hAnsi="Courier New" w:eastAsia="宋体" w:cs="Courier New"/>
      <w:kern w:val="2"/>
      <w:sz w:val="21"/>
      <w:szCs w:val="21"/>
      <w:lang w:val="en-US" w:eastAsia="zh-CN" w:bidi="ar-SA"/>
    </w:rPr>
  </w:style>
  <w:style w:type="character" w:customStyle="1" w:styleId="130">
    <w:name w:val="日期 字符"/>
    <w:link w:val="25"/>
    <w:qFormat/>
    <w:uiPriority w:val="0"/>
    <w:rPr>
      <w:rFonts w:eastAsia="楷体_GB2312"/>
      <w:sz w:val="32"/>
    </w:rPr>
  </w:style>
  <w:style w:type="character" w:customStyle="1" w:styleId="131">
    <w:name w:val="日期 Char1"/>
    <w:semiHidden/>
    <w:qFormat/>
    <w:uiPriority w:val="99"/>
    <w:rPr>
      <w:rFonts w:ascii="Times New Roman" w:hAnsi="Times New Roman" w:eastAsia="宋体" w:cs="Times New Roman"/>
      <w:szCs w:val="24"/>
    </w:rPr>
  </w:style>
  <w:style w:type="character" w:customStyle="1" w:styleId="132">
    <w:name w:val="mark13"/>
    <w:basedOn w:val="46"/>
    <w:qFormat/>
    <w:uiPriority w:val="0"/>
  </w:style>
  <w:style w:type="character" w:customStyle="1" w:styleId="133">
    <w:name w:val="st1"/>
    <w:qFormat/>
    <w:uiPriority w:val="0"/>
    <w:rPr>
      <w:spacing w:val="240"/>
    </w:rPr>
  </w:style>
  <w:style w:type="character" w:customStyle="1" w:styleId="134">
    <w:name w:val="HTML 预设格式 字符"/>
    <w:link w:val="37"/>
    <w:semiHidden/>
    <w:qFormat/>
    <w:uiPriority w:val="0"/>
    <w:rPr>
      <w:rFonts w:ascii="宋体" w:hAnsi="宋体" w:cs="宋体"/>
      <w:sz w:val="24"/>
      <w:szCs w:val="24"/>
    </w:rPr>
  </w:style>
  <w:style w:type="character" w:customStyle="1" w:styleId="135">
    <w:name w:val="HTML 预设格式 Char2"/>
    <w:semiHidden/>
    <w:qFormat/>
    <w:uiPriority w:val="99"/>
    <w:rPr>
      <w:rFonts w:ascii="Courier New" w:hAnsi="Courier New" w:eastAsia="宋体" w:cs="Courier New"/>
      <w:sz w:val="20"/>
      <w:szCs w:val="20"/>
    </w:rPr>
  </w:style>
  <w:style w:type="character" w:customStyle="1" w:styleId="136">
    <w:name w:val="Char Char1"/>
    <w:qFormat/>
    <w:uiPriority w:val="0"/>
    <w:rPr>
      <w:sz w:val="24"/>
    </w:rPr>
  </w:style>
  <w:style w:type="character" w:customStyle="1" w:styleId="137">
    <w:name w:val="图 Char"/>
    <w:qFormat/>
    <w:uiPriority w:val="0"/>
    <w:rPr>
      <w:rFonts w:eastAsia="黑体"/>
      <w:b/>
      <w:sz w:val="24"/>
      <w:lang w:val="en-US" w:eastAsia="zh-CN" w:bidi="ar-SA"/>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a4red1"/>
    <w:qFormat/>
    <w:uiPriority w:val="0"/>
    <w:rPr>
      <w:rFonts w:hint="default" w:ascii="Tahoma" w:hAnsi="Tahoma" w:cs="Tahoma"/>
      <w:color w:val="FF3300"/>
      <w:sz w:val="18"/>
      <w:szCs w:val="18"/>
      <w:u w:val="single"/>
    </w:rPr>
  </w:style>
  <w:style w:type="character" w:customStyle="1" w:styleId="140">
    <w:name w:val="Char Char12"/>
    <w:qFormat/>
    <w:uiPriority w:val="0"/>
    <w:rPr>
      <w:rFonts w:eastAsia="宋体"/>
      <w:b/>
      <w:bCs/>
      <w:sz w:val="24"/>
      <w:szCs w:val="24"/>
      <w:lang w:val="en-US" w:eastAsia="zh-CN" w:bidi="ar-SA"/>
    </w:rPr>
  </w:style>
  <w:style w:type="character" w:customStyle="1" w:styleId="141">
    <w:name w:val="orange"/>
    <w:basedOn w:val="46"/>
    <w:qFormat/>
    <w:uiPriority w:val="0"/>
  </w:style>
  <w:style w:type="character" w:customStyle="1" w:styleId="142">
    <w:name w:val="font01"/>
    <w:qFormat/>
    <w:uiPriority w:val="0"/>
    <w:rPr>
      <w:rFonts w:hint="eastAsia" w:ascii="宋体" w:hAnsi="宋体" w:eastAsia="宋体" w:cs="宋体"/>
      <w:color w:val="FF0000"/>
      <w:sz w:val="24"/>
      <w:szCs w:val="24"/>
      <w:u w:val="none"/>
    </w:rPr>
  </w:style>
  <w:style w:type="character" w:customStyle="1" w:styleId="143">
    <w:name w:val="jianju1"/>
    <w:qFormat/>
    <w:uiPriority w:val="0"/>
    <w:rPr>
      <w:color w:val="000000"/>
      <w:sz w:val="21"/>
      <w:szCs w:val="21"/>
      <w:u w:val="none"/>
    </w:rPr>
  </w:style>
  <w:style w:type="character" w:customStyle="1" w:styleId="144">
    <w:name w:val="fontb5"/>
    <w:basedOn w:val="46"/>
    <w:qFormat/>
    <w:uiPriority w:val="0"/>
  </w:style>
  <w:style w:type="character" w:customStyle="1" w:styleId="145">
    <w:name w:val="_列表 Char"/>
    <w:qFormat/>
    <w:uiPriority w:val="0"/>
    <w:rPr>
      <w:kern w:val="2"/>
      <w:sz w:val="24"/>
      <w:szCs w:val="24"/>
    </w:rPr>
  </w:style>
  <w:style w:type="character" w:customStyle="1" w:styleId="146">
    <w:name w:val="纯文本 字符"/>
    <w:link w:val="24"/>
    <w:qFormat/>
    <w:uiPriority w:val="0"/>
    <w:rPr>
      <w:rFonts w:ascii="宋体" w:hAnsi="Courier New"/>
      <w:sz w:val="24"/>
      <w:szCs w:val="24"/>
    </w:rPr>
  </w:style>
  <w:style w:type="character" w:customStyle="1" w:styleId="147">
    <w:name w:val="纯文本 Char1"/>
    <w:semiHidden/>
    <w:qFormat/>
    <w:uiPriority w:val="99"/>
    <w:rPr>
      <w:rFonts w:ascii="宋体" w:hAnsi="Courier New" w:eastAsia="宋体" w:cs="Courier New"/>
      <w:szCs w:val="21"/>
    </w:rPr>
  </w:style>
  <w:style w:type="character" w:customStyle="1" w:styleId="148">
    <w:name w:val="Char Char15"/>
    <w:qFormat/>
    <w:uiPriority w:val="0"/>
    <w:rPr>
      <w:rFonts w:ascii="Arial" w:hAnsi="Arial" w:eastAsia="黑体"/>
      <w:b/>
      <w:bCs/>
      <w:kern w:val="2"/>
      <w:sz w:val="28"/>
      <w:szCs w:val="28"/>
      <w:lang w:val="en-US" w:eastAsia="zh-CN" w:bidi="ar-SA"/>
    </w:rPr>
  </w:style>
  <w:style w:type="character" w:customStyle="1" w:styleId="149">
    <w:name w:val="正文文本 3 字符"/>
    <w:link w:val="19"/>
    <w:qFormat/>
    <w:uiPriority w:val="0"/>
    <w:rPr>
      <w:rFonts w:hAnsi="宋体" w:eastAsia="仿宋_GB2312"/>
      <w:b/>
      <w:bCs/>
      <w:sz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font11"/>
    <w:qFormat/>
    <w:uiPriority w:val="0"/>
    <w:rPr>
      <w:rFonts w:hint="default" w:ascii="Times New Roman" w:hAnsi="Times New Roman" w:cs="Times New Roman"/>
      <w:color w:val="000000"/>
      <w:sz w:val="24"/>
      <w:szCs w:val="24"/>
      <w:u w:val="none"/>
    </w:rPr>
  </w:style>
  <w:style w:type="character" w:customStyle="1" w:styleId="152">
    <w:name w:val="文档结构图 字符"/>
    <w:link w:val="17"/>
    <w:semiHidden/>
    <w:qFormat/>
    <w:uiPriority w:val="0"/>
    <w:rPr>
      <w:sz w:val="24"/>
      <w:szCs w:val="24"/>
      <w:shd w:val="clear" w:color="auto" w:fill="000080"/>
    </w:rPr>
  </w:style>
  <w:style w:type="character" w:customStyle="1" w:styleId="153">
    <w:name w:val="文档结构图 Char1"/>
    <w:semiHidden/>
    <w:qFormat/>
    <w:uiPriority w:val="99"/>
    <w:rPr>
      <w:rFonts w:ascii="宋体" w:hAnsi="Times New Roman" w:eastAsia="宋体" w:cs="Times New Roman"/>
      <w:sz w:val="18"/>
      <w:szCs w:val="18"/>
    </w:rPr>
  </w:style>
  <w:style w:type="character" w:customStyle="1" w:styleId="154">
    <w:name w:val="Char Char13"/>
    <w:qFormat/>
    <w:uiPriority w:val="0"/>
    <w:rPr>
      <w:rFonts w:ascii="Arial" w:hAnsi="Arial" w:eastAsia="黑体"/>
      <w:b/>
      <w:bCs/>
      <w:kern w:val="2"/>
      <w:sz w:val="24"/>
      <w:szCs w:val="24"/>
      <w:lang w:val="en-US" w:eastAsia="zh-CN" w:bidi="ar-SA"/>
    </w:rPr>
  </w:style>
  <w:style w:type="character" w:customStyle="1" w:styleId="155">
    <w:name w:val="_标题4 Char"/>
    <w:qFormat/>
    <w:uiPriority w:val="0"/>
    <w:rPr>
      <w:rFonts w:ascii="Tahoma" w:hAnsi="Tahoma" w:eastAsia="黑体"/>
      <w:bCs/>
      <w:kern w:val="2"/>
      <w:sz w:val="28"/>
      <w:szCs w:val="28"/>
      <w:lang w:val="en-US" w:eastAsia="zh-CN" w:bidi="ar-SA"/>
    </w:rPr>
  </w:style>
  <w:style w:type="character" w:customStyle="1" w:styleId="156">
    <w:name w:val="_表格标题 Char"/>
    <w:qFormat/>
    <w:uiPriority w:val="0"/>
    <w:rPr>
      <w:rFonts w:eastAsia="宋体"/>
      <w:b/>
      <w:kern w:val="2"/>
      <w:sz w:val="24"/>
      <w:szCs w:val="24"/>
      <w:lang w:val="en-US" w:eastAsia="zh-CN" w:bidi="ar-SA"/>
    </w:rPr>
  </w:style>
  <w:style w:type="character" w:customStyle="1" w:styleId="157">
    <w:name w:val="批注主题 字符"/>
    <w:link w:val="41"/>
    <w:qFormat/>
    <w:uiPriority w:val="0"/>
    <w:rPr>
      <w:b/>
      <w:bCs/>
      <w:sz w:val="24"/>
      <w:szCs w:val="24"/>
    </w:rPr>
  </w:style>
  <w:style w:type="character" w:customStyle="1" w:styleId="158">
    <w:name w:val="批注主题 Char1"/>
    <w:semiHidden/>
    <w:qFormat/>
    <w:uiPriority w:val="99"/>
    <w:rPr>
      <w:rFonts w:ascii="Times New Roman" w:hAnsi="Times New Roman" w:eastAsia="宋体" w:cs="Times New Roman"/>
      <w:b/>
      <w:bCs/>
      <w:szCs w:val="24"/>
    </w:rPr>
  </w:style>
  <w:style w:type="character" w:customStyle="1" w:styleId="159">
    <w:name w:val="普通正文 Char"/>
    <w:qFormat/>
    <w:uiPriority w:val="0"/>
    <w:rPr>
      <w:rFonts w:ascii="Arial" w:hAnsi="Arial" w:eastAsia="宋体"/>
      <w:sz w:val="24"/>
      <w:lang w:val="en-US" w:eastAsia="zh-CN" w:bidi="ar-SA"/>
    </w:rPr>
  </w:style>
  <w:style w:type="character" w:customStyle="1" w:styleId="160">
    <w:name w:val="Char Char7"/>
    <w:qFormat/>
    <w:uiPriority w:val="0"/>
    <w:rPr>
      <w:sz w:val="18"/>
    </w:rPr>
  </w:style>
  <w:style w:type="character" w:customStyle="1" w:styleId="161">
    <w:name w:val="tw4winMark"/>
    <w:qFormat/>
    <w:uiPriority w:val="0"/>
    <w:rPr>
      <w:rFonts w:ascii="Courier New" w:hAnsi="Courier New" w:cs="Courier New"/>
      <w:vanish/>
      <w:color w:val="800080"/>
      <w:vertAlign w:val="subscript"/>
    </w:rPr>
  </w:style>
  <w:style w:type="character" w:customStyle="1" w:styleId="162">
    <w:name w:val="普通(网站) 字符"/>
    <w:link w:val="38"/>
    <w:qFormat/>
    <w:locked/>
    <w:uiPriority w:val="99"/>
    <w:rPr>
      <w:sz w:val="24"/>
      <w:szCs w:val="24"/>
    </w:rPr>
  </w:style>
  <w:style w:type="character" w:customStyle="1" w:styleId="163">
    <w:name w:val="Char Char16"/>
    <w:qFormat/>
    <w:uiPriority w:val="0"/>
    <w:rPr>
      <w:rFonts w:eastAsia="宋体"/>
      <w:b/>
      <w:bCs/>
      <w:kern w:val="2"/>
      <w:sz w:val="32"/>
      <w:szCs w:val="32"/>
      <w:lang w:val="en-US" w:eastAsia="zh-CN" w:bidi="ar-SA"/>
    </w:rPr>
  </w:style>
  <w:style w:type="paragraph" w:customStyle="1" w:styleId="164">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5">
    <w:name w:val="缺省文本"/>
    <w:basedOn w:val="1"/>
    <w:qFormat/>
    <w:uiPriority w:val="0"/>
    <w:pPr>
      <w:autoSpaceDE w:val="0"/>
      <w:autoSpaceDN w:val="0"/>
      <w:adjustRightInd w:val="0"/>
      <w:ind w:firstLine="454"/>
    </w:pPr>
    <w:rPr>
      <w:sz w:val="24"/>
    </w:rPr>
  </w:style>
  <w:style w:type="paragraph" w:customStyle="1" w:styleId="166">
    <w:name w:val="默认段落字体 Para Char Char Char Char Char Char Char Char Char1 Char Char Char Char"/>
    <w:basedOn w:val="1"/>
    <w:qFormat/>
    <w:uiPriority w:val="0"/>
    <w:rPr>
      <w:rFonts w:ascii="Tahoma" w:hAnsi="Tahoma"/>
      <w:sz w:val="24"/>
      <w:szCs w:val="20"/>
    </w:rPr>
  </w:style>
  <w:style w:type="paragraph" w:customStyle="1" w:styleId="167">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6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9">
    <w:name w:val="五级条标题"/>
    <w:basedOn w:val="170"/>
    <w:next w:val="1"/>
    <w:qFormat/>
    <w:uiPriority w:val="0"/>
    <w:pPr>
      <w:tabs>
        <w:tab w:val="left" w:pos="360"/>
      </w:tabs>
      <w:outlineLvl w:val="6"/>
    </w:pPr>
  </w:style>
  <w:style w:type="paragraph" w:customStyle="1" w:styleId="170">
    <w:name w:val="四级条标题"/>
    <w:basedOn w:val="171"/>
    <w:next w:val="1"/>
    <w:qFormat/>
    <w:uiPriority w:val="0"/>
    <w:pPr>
      <w:tabs>
        <w:tab w:val="left" w:pos="360"/>
      </w:tabs>
      <w:outlineLvl w:val="5"/>
    </w:pPr>
  </w:style>
  <w:style w:type="paragraph" w:customStyle="1" w:styleId="171">
    <w:name w:val="三级条标题"/>
    <w:basedOn w:val="172"/>
    <w:next w:val="1"/>
    <w:qFormat/>
    <w:uiPriority w:val="0"/>
    <w:pPr>
      <w:tabs>
        <w:tab w:val="left" w:pos="360"/>
      </w:tabs>
      <w:outlineLvl w:val="4"/>
    </w:pPr>
  </w:style>
  <w:style w:type="paragraph" w:customStyle="1" w:styleId="172">
    <w:name w:val="二级条标题"/>
    <w:basedOn w:val="173"/>
    <w:next w:val="1"/>
    <w:qFormat/>
    <w:uiPriority w:val="0"/>
    <w:pPr>
      <w:tabs>
        <w:tab w:val="left" w:pos="360"/>
      </w:tabs>
      <w:outlineLvl w:val="3"/>
    </w:pPr>
  </w:style>
  <w:style w:type="paragraph" w:customStyle="1" w:styleId="173">
    <w:name w:val="一级条标题"/>
    <w:basedOn w:val="174"/>
    <w:next w:val="1"/>
    <w:qFormat/>
    <w:uiPriority w:val="0"/>
    <w:pPr>
      <w:tabs>
        <w:tab w:val="left" w:pos="360"/>
      </w:tabs>
      <w:spacing w:beforeLines="0" w:afterLines="0"/>
      <w:outlineLvl w:val="2"/>
    </w:pPr>
  </w:style>
  <w:style w:type="paragraph" w:customStyle="1" w:styleId="174">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6">
    <w:name w:val="Char Char Char"/>
    <w:basedOn w:val="1"/>
    <w:qFormat/>
    <w:uiPriority w:val="0"/>
  </w:style>
  <w:style w:type="paragraph" w:customStyle="1" w:styleId="177">
    <w:name w:val="Char Char Char Char Char Char Char Char Char Char Char Char1 Char"/>
    <w:basedOn w:val="17"/>
    <w:qFormat/>
    <w:uiPriority w:val="0"/>
    <w:pPr>
      <w:spacing w:afterLines="0" w:line="240" w:lineRule="auto"/>
      <w:ind w:firstLine="0" w:firstLineChars="0"/>
    </w:pPr>
    <w:rPr>
      <w:rFonts w:ascii="Tahoma" w:hAnsi="Tahoma"/>
    </w:rPr>
  </w:style>
  <w:style w:type="paragraph" w:customStyle="1" w:styleId="178">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9">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0">
    <w:name w:val="_标题6"/>
    <w:basedOn w:val="9"/>
    <w:next w:val="181"/>
    <w:qFormat/>
    <w:uiPriority w:val="0"/>
    <w:pPr>
      <w:ind w:left="4820" w:hanging="4820" w:firstLineChars="0"/>
    </w:pPr>
    <w:rPr>
      <w:rFonts w:ascii="Tahoma" w:hAnsi="Tahoma"/>
      <w:b w:val="0"/>
    </w:rPr>
  </w:style>
  <w:style w:type="paragraph" w:customStyle="1" w:styleId="181">
    <w:name w:val="_正文段落"/>
    <w:basedOn w:val="1"/>
    <w:qFormat/>
    <w:uiPriority w:val="0"/>
    <w:pPr>
      <w:spacing w:beforeLines="15" w:afterLines="15" w:line="360" w:lineRule="auto"/>
      <w:ind w:firstLine="200" w:firstLineChars="200"/>
    </w:pPr>
  </w:style>
  <w:style w:type="paragraph" w:customStyle="1" w:styleId="182">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5">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6">
    <w:name w:val="CM37"/>
    <w:basedOn w:val="187"/>
    <w:next w:val="187"/>
    <w:qFormat/>
    <w:uiPriority w:val="0"/>
    <w:pPr>
      <w:spacing w:after="533"/>
    </w:pPr>
    <w:rPr>
      <w:rFonts w:ascii="宋体" w:hAnsi="Times New Roman"/>
      <w:color w:val="auto"/>
    </w:rPr>
  </w:style>
  <w:style w:type="paragraph" w:customStyle="1" w:styleId="187">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88">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9">
    <w:name w:val="_标题3"/>
    <w:basedOn w:val="6"/>
    <w:next w:val="1"/>
    <w:qFormat/>
    <w:uiPriority w:val="0"/>
    <w:pPr>
      <w:tabs>
        <w:tab w:val="left" w:pos="720"/>
      </w:tabs>
      <w:spacing w:beforeLines="50" w:afterLines="50"/>
      <w:ind w:left="720"/>
    </w:pPr>
    <w:rPr>
      <w:rFonts w:ascii="Arial" w:hAnsi="Arial" w:eastAsia="黑体"/>
      <w:sz w:val="30"/>
    </w:rPr>
  </w:style>
  <w:style w:type="paragraph" w:customStyle="1" w:styleId="190">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1">
    <w:name w:val="Main Title"/>
    <w:basedOn w:val="1"/>
    <w:qFormat/>
    <w:uiPriority w:val="0"/>
    <w:pPr>
      <w:spacing w:before="480" w:afterLines="50"/>
      <w:jc w:val="center"/>
    </w:pPr>
    <w:rPr>
      <w:rFonts w:ascii="Arial" w:hAnsi="Arial"/>
      <w:b/>
      <w:kern w:val="28"/>
      <w:sz w:val="32"/>
      <w:szCs w:val="20"/>
      <w:lang w:eastAsia="en-US"/>
    </w:rPr>
  </w:style>
  <w:style w:type="paragraph" w:customStyle="1" w:styleId="192">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3">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4">
    <w:name w:val="Char Char Char Char Char Char"/>
    <w:basedOn w:val="1"/>
    <w:qFormat/>
    <w:uiPriority w:val="0"/>
    <w:rPr>
      <w:rFonts w:ascii="Tahoma" w:hAnsi="Tahoma"/>
      <w:sz w:val="24"/>
      <w:szCs w:val="20"/>
    </w:rPr>
  </w:style>
  <w:style w:type="paragraph" w:customStyle="1" w:styleId="195">
    <w:name w:val="列出段落1"/>
    <w:basedOn w:val="1"/>
    <w:qFormat/>
    <w:uiPriority w:val="0"/>
    <w:pPr>
      <w:ind w:firstLine="420" w:firstLineChars="200"/>
    </w:pPr>
    <w:rPr>
      <w:rFonts w:ascii="Calibri" w:hAnsi="Calibri"/>
      <w:szCs w:val="22"/>
    </w:rPr>
  </w:style>
  <w:style w:type="paragraph" w:customStyle="1" w:styleId="19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7">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8">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9">
    <w:name w:val="图名"/>
    <w:basedOn w:val="1"/>
    <w:qFormat/>
    <w:uiPriority w:val="0"/>
    <w:pPr>
      <w:spacing w:line="360" w:lineRule="auto"/>
      <w:jc w:val="center"/>
    </w:pPr>
    <w:rPr>
      <w:rFonts w:ascii="黑体" w:eastAsia="黑体"/>
      <w:b/>
      <w:sz w:val="32"/>
      <w:szCs w:val="32"/>
    </w:rPr>
  </w:style>
  <w:style w:type="paragraph" w:customStyle="1" w:styleId="200">
    <w:name w:val="_标题5"/>
    <w:basedOn w:val="8"/>
    <w:next w:val="181"/>
    <w:qFormat/>
    <w:uiPriority w:val="0"/>
    <w:pPr>
      <w:ind w:left="4253" w:hanging="4253"/>
    </w:pPr>
    <w:rPr>
      <w:rFonts w:ascii="Arial" w:hAnsi="Arial" w:eastAsia="黑体"/>
      <w:b w:val="0"/>
      <w:sz w:val="24"/>
    </w:rPr>
  </w:style>
  <w:style w:type="paragraph" w:customStyle="1" w:styleId="201">
    <w:name w:val="标题 21"/>
    <w:basedOn w:val="1"/>
    <w:qFormat/>
    <w:uiPriority w:val="0"/>
    <w:pPr>
      <w:spacing w:afterLines="100" w:line="360" w:lineRule="auto"/>
    </w:pPr>
    <w:rPr>
      <w:sz w:val="24"/>
    </w:rPr>
  </w:style>
  <w:style w:type="paragraph" w:customStyle="1" w:styleId="202">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3">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9">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0">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1">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2">
    <w:name w:val="标题 12"/>
    <w:basedOn w:val="1"/>
    <w:qFormat/>
    <w:uiPriority w:val="0"/>
    <w:pPr>
      <w:spacing w:afterLines="100" w:line="360" w:lineRule="auto"/>
    </w:pPr>
    <w:rPr>
      <w:sz w:val="24"/>
    </w:rPr>
  </w:style>
  <w:style w:type="paragraph" w:customStyle="1" w:styleId="213">
    <w:name w:val="font9"/>
    <w:basedOn w:val="1"/>
    <w:qFormat/>
    <w:uiPriority w:val="0"/>
    <w:pPr>
      <w:widowControl/>
      <w:spacing w:before="100" w:beforeAutospacing="1" w:afterAutospacing="1"/>
      <w:jc w:val="left"/>
    </w:pPr>
    <w:rPr>
      <w:kern w:val="0"/>
      <w:sz w:val="20"/>
      <w:szCs w:val="20"/>
    </w:rPr>
  </w:style>
  <w:style w:type="paragraph" w:customStyle="1" w:styleId="2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5">
    <w:name w:val="p15"/>
    <w:basedOn w:val="1"/>
    <w:qFormat/>
    <w:uiPriority w:val="0"/>
    <w:pPr>
      <w:widowControl/>
    </w:pPr>
    <w:rPr>
      <w:kern w:val="0"/>
      <w:sz w:val="24"/>
    </w:rPr>
  </w:style>
  <w:style w:type="paragraph" w:customStyle="1" w:styleId="216">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8">
    <w:name w:val="Char1"/>
    <w:basedOn w:val="1"/>
    <w:qFormat/>
    <w:uiPriority w:val="0"/>
    <w:pPr>
      <w:widowControl/>
      <w:spacing w:line="240" w:lineRule="exact"/>
      <w:jc w:val="left"/>
    </w:pPr>
    <w:rPr>
      <w:rFonts w:ascii="Verdana" w:hAnsi="Verdana"/>
      <w:kern w:val="0"/>
      <w:szCs w:val="20"/>
      <w:lang w:eastAsia="en-US"/>
    </w:rPr>
  </w:style>
  <w:style w:type="paragraph" w:customStyle="1" w:styleId="219">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0">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1">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2">
    <w:name w:val="默认段落字体 Para Char"/>
    <w:basedOn w:val="1"/>
    <w:qFormat/>
    <w:uiPriority w:val="0"/>
    <w:rPr>
      <w:rFonts w:ascii="Tahoma" w:hAnsi="Tahoma"/>
      <w:sz w:val="24"/>
      <w:szCs w:val="20"/>
    </w:rPr>
  </w:style>
  <w:style w:type="paragraph" w:customStyle="1" w:styleId="223">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5">
    <w:name w:val="样式 标题 5口H5PIM 5h5Level 3 - iheading 51.1.1.1.1标题 5标ghfhg..."/>
    <w:basedOn w:val="8"/>
    <w:qFormat/>
    <w:uiPriority w:val="0"/>
    <w:pPr>
      <w:adjustRightInd w:val="0"/>
      <w:spacing w:line="376" w:lineRule="atLeast"/>
      <w:ind w:left="992" w:hanging="420"/>
      <w:textAlignment w:val="baseline"/>
    </w:pPr>
    <w:rPr>
      <w:color w:val="000000"/>
      <w:sz w:val="24"/>
      <w:szCs w:val="20"/>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9">
    <w:name w:val="标题 31"/>
    <w:basedOn w:val="1"/>
    <w:qFormat/>
    <w:uiPriority w:val="0"/>
    <w:pPr>
      <w:spacing w:afterLines="100" w:line="360" w:lineRule="auto"/>
    </w:pPr>
    <w:rPr>
      <w:sz w:val="24"/>
    </w:rPr>
  </w:style>
  <w:style w:type="paragraph" w:customStyle="1" w:styleId="230">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1">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2">
    <w:name w:val="项目"/>
    <w:basedOn w:val="181"/>
    <w:qFormat/>
    <w:uiPriority w:val="0"/>
    <w:pPr>
      <w:spacing w:beforeLines="0" w:afterLines="0"/>
      <w:ind w:firstLine="0" w:firstLineChars="0"/>
    </w:pPr>
    <w:rPr>
      <w:rFonts w:ascii="宋体" w:hAnsi="宋体"/>
      <w:sz w:val="24"/>
    </w:rPr>
  </w:style>
  <w:style w:type="paragraph" w:customStyle="1" w:styleId="233">
    <w:name w:val="_表格文字"/>
    <w:basedOn w:val="1"/>
    <w:qFormat/>
    <w:uiPriority w:val="0"/>
    <w:pPr>
      <w:spacing w:beforeLines="10" w:afterLines="10"/>
    </w:pPr>
  </w:style>
  <w:style w:type="paragraph" w:customStyle="1" w:styleId="234">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5">
    <w:name w:val="Char"/>
    <w:basedOn w:val="1"/>
    <w:qFormat/>
    <w:uiPriority w:val="0"/>
    <w:rPr>
      <w:sz w:val="24"/>
    </w:rPr>
  </w:style>
  <w:style w:type="paragraph" w:customStyle="1" w:styleId="236">
    <w:name w:val="样式 标题 5 + 右侧:  -0.18 字符"/>
    <w:basedOn w:val="1"/>
    <w:qFormat/>
    <w:uiPriority w:val="0"/>
    <w:pPr>
      <w:tabs>
        <w:tab w:val="left" w:pos="1008"/>
      </w:tabs>
      <w:ind w:left="1008" w:hanging="1008"/>
    </w:pPr>
  </w:style>
  <w:style w:type="paragraph" w:customStyle="1" w:styleId="237">
    <w:name w:val="Char Char1 Char"/>
    <w:basedOn w:val="1"/>
    <w:qFormat/>
    <w:uiPriority w:val="0"/>
    <w:pPr>
      <w:spacing w:line="360" w:lineRule="auto"/>
    </w:pPr>
    <w:rPr>
      <w:rFonts w:ascii="Tahoma" w:hAnsi="Tahoma"/>
      <w:sz w:val="24"/>
      <w:szCs w:val="20"/>
    </w:rPr>
  </w:style>
  <w:style w:type="paragraph" w:customStyle="1" w:styleId="238">
    <w:name w:val="_正文段落加粗"/>
    <w:basedOn w:val="181"/>
    <w:qFormat/>
    <w:uiPriority w:val="0"/>
    <w:pPr>
      <w:spacing w:beforeLines="0" w:afterLines="0"/>
      <w:ind w:firstLine="480"/>
    </w:pPr>
    <w:rPr>
      <w:b/>
    </w:rPr>
  </w:style>
  <w:style w:type="paragraph" w:customStyle="1" w:styleId="239">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0">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1">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2">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5">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8">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4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0">
    <w:name w:val="Char2"/>
    <w:basedOn w:val="1"/>
    <w:qFormat/>
    <w:uiPriority w:val="0"/>
    <w:rPr>
      <w:rFonts w:ascii="Tahoma" w:hAnsi="Tahoma"/>
      <w:sz w:val="24"/>
      <w:szCs w:val="20"/>
    </w:rPr>
  </w:style>
  <w:style w:type="paragraph" w:customStyle="1" w:styleId="251">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3">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4">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5">
    <w:name w:val="_标题4"/>
    <w:basedOn w:val="7"/>
    <w:next w:val="1"/>
    <w:qFormat/>
    <w:uiPriority w:val="0"/>
    <w:pPr>
      <w:tabs>
        <w:tab w:val="left" w:pos="2160"/>
      </w:tabs>
      <w:spacing w:after="0" w:line="372" w:lineRule="auto"/>
      <w:ind w:left="3402" w:hanging="3402"/>
    </w:pPr>
    <w:rPr>
      <w:rFonts w:ascii="Tahoma" w:hAnsi="Tahoma" w:eastAsia="黑体"/>
    </w:rPr>
  </w:style>
  <w:style w:type="paragraph" w:customStyle="1" w:styleId="25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7">
    <w:name w:val="表"/>
    <w:basedOn w:val="1"/>
    <w:next w:val="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8">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9">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1">
    <w:name w:val="公文行文"/>
    <w:basedOn w:val="1"/>
    <w:qFormat/>
    <w:uiPriority w:val="0"/>
    <w:pPr>
      <w:spacing w:line="360" w:lineRule="auto"/>
      <w:ind w:firstLine="200" w:firstLineChars="200"/>
    </w:pPr>
    <w:rPr>
      <w:rFonts w:eastAsia="仿宋_GB2312"/>
      <w:sz w:val="28"/>
    </w:rPr>
  </w:style>
  <w:style w:type="paragraph" w:customStyle="1" w:styleId="262">
    <w:name w:val="正文首行缩进两字符"/>
    <w:basedOn w:val="1"/>
    <w:qFormat/>
    <w:uiPriority w:val="0"/>
    <w:pPr>
      <w:spacing w:line="300" w:lineRule="auto"/>
      <w:ind w:firstLine="200" w:firstLineChars="200"/>
    </w:pPr>
    <w:rPr>
      <w:rFonts w:ascii="Arial" w:hAnsi="Arial"/>
      <w:sz w:val="24"/>
    </w:rPr>
  </w:style>
  <w:style w:type="paragraph" w:customStyle="1" w:styleId="2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4">
    <w:name w:val="_题注"/>
    <w:basedOn w:val="16"/>
    <w:qFormat/>
    <w:uiPriority w:val="0"/>
    <w:pPr>
      <w:spacing w:before="0" w:afterLines="100"/>
      <w:jc w:val="center"/>
    </w:pPr>
    <w:rPr>
      <w:sz w:val="21"/>
      <w:szCs w:val="24"/>
    </w:rPr>
  </w:style>
  <w:style w:type="paragraph" w:customStyle="1" w:styleId="26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6">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7">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8">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69">
    <w:name w:val="_列表"/>
    <w:basedOn w:val="181"/>
    <w:qFormat/>
    <w:uiPriority w:val="0"/>
    <w:pPr>
      <w:spacing w:beforeLines="0" w:afterLines="0"/>
    </w:pPr>
    <w:rPr>
      <w:sz w:val="24"/>
    </w:rPr>
  </w:style>
  <w:style w:type="paragraph" w:customStyle="1" w:styleId="270">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1">
    <w:name w:val="标题 11"/>
    <w:basedOn w:val="1"/>
    <w:qFormat/>
    <w:uiPriority w:val="0"/>
    <w:pPr>
      <w:spacing w:afterLines="100" w:line="360" w:lineRule="auto"/>
    </w:pPr>
    <w:rPr>
      <w:sz w:val="24"/>
    </w:rPr>
  </w:style>
  <w:style w:type="paragraph" w:customStyle="1" w:styleId="272">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3">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4">
    <w:name w:val="_标题1"/>
    <w:basedOn w:val="4"/>
    <w:next w:val="181"/>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7">
    <w:name w:val="TOC 标题1"/>
    <w:basedOn w:val="4"/>
    <w:next w:val="1"/>
    <w:qFormat/>
    <w:uiPriority w:val="39"/>
    <w:pPr>
      <w:outlineLvl w:val="9"/>
    </w:pPr>
  </w:style>
  <w:style w:type="paragraph" w:customStyle="1" w:styleId="278">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9">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3">
    <w:name w:val="_标题2"/>
    <w:basedOn w:val="5"/>
    <w:next w:val="1"/>
    <w:qFormat/>
    <w:uiPriority w:val="0"/>
    <w:pPr>
      <w:tabs>
        <w:tab w:val="left" w:pos="860"/>
      </w:tabs>
      <w:spacing w:beforeLines="50" w:afterLines="50" w:line="413" w:lineRule="auto"/>
      <w:ind w:left="1418" w:hanging="1418"/>
    </w:pPr>
    <w:rPr>
      <w:rFonts w:ascii="Tahoma" w:hAnsi="Tahoma"/>
    </w:rPr>
  </w:style>
  <w:style w:type="paragraph" w:customStyle="1" w:styleId="284">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5">
    <w:name w:val="_图片"/>
    <w:basedOn w:val="1"/>
    <w:next w:val="181"/>
    <w:qFormat/>
    <w:uiPriority w:val="0"/>
    <w:pPr>
      <w:spacing w:before="46" w:line="360" w:lineRule="auto"/>
      <w:jc w:val="center"/>
    </w:pPr>
    <w:rPr>
      <w:sz w:val="18"/>
    </w:rPr>
  </w:style>
  <w:style w:type="paragraph" w:customStyle="1" w:styleId="286">
    <w:name w:val="投标文件 正文首行缩进"/>
    <w:basedOn w:val="43"/>
    <w:qFormat/>
    <w:uiPriority w:val="0"/>
    <w:pPr>
      <w:spacing w:after="220"/>
      <w:ind w:left="0" w:leftChars="0" w:firstLine="200"/>
    </w:pPr>
    <w:rPr>
      <w:rFonts w:ascii="Arial" w:hAnsi="Arial"/>
      <w:sz w:val="21"/>
    </w:rPr>
  </w:style>
  <w:style w:type="paragraph" w:customStyle="1" w:styleId="287">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8">
    <w:name w:val="图"/>
    <w:basedOn w:val="1"/>
    <w:next w:val="11"/>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9">
    <w:name w:val="indent"/>
    <w:basedOn w:val="1"/>
    <w:qFormat/>
    <w:uiPriority w:val="0"/>
    <w:pPr>
      <w:widowControl/>
      <w:spacing w:before="60"/>
      <w:jc w:val="left"/>
    </w:pPr>
    <w:rPr>
      <w:rFonts w:ascii="Verdana" w:hAnsi="Verdana" w:cs="宋体"/>
      <w:color w:val="000000"/>
      <w:kern w:val="0"/>
      <w:sz w:val="18"/>
      <w:szCs w:val="18"/>
    </w:rPr>
  </w:style>
  <w:style w:type="paragraph" w:customStyle="1" w:styleId="290">
    <w:name w:val="正文段"/>
    <w:basedOn w:val="1"/>
    <w:qFormat/>
    <w:uiPriority w:val="0"/>
    <w:pPr>
      <w:widowControl/>
      <w:snapToGrid w:val="0"/>
      <w:spacing w:afterLines="50"/>
      <w:ind w:firstLine="200" w:firstLineChars="200"/>
    </w:pPr>
    <w:rPr>
      <w:kern w:val="0"/>
      <w:sz w:val="24"/>
      <w:szCs w:val="20"/>
    </w:rPr>
  </w:style>
  <w:style w:type="paragraph" w:customStyle="1" w:styleId="291">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2">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4">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5">
    <w:name w:val="标题 22"/>
    <w:basedOn w:val="1"/>
    <w:qFormat/>
    <w:uiPriority w:val="0"/>
    <w:pPr>
      <w:spacing w:afterLines="100" w:line="360" w:lineRule="auto"/>
    </w:pPr>
    <w:rPr>
      <w:sz w:val="24"/>
    </w:rPr>
  </w:style>
  <w:style w:type="paragraph" w:customStyle="1" w:styleId="296">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_表格标题"/>
    <w:basedOn w:val="233"/>
    <w:qFormat/>
    <w:uiPriority w:val="0"/>
    <w:pPr>
      <w:spacing w:beforeLines="30" w:afterLines="30"/>
      <w:jc w:val="center"/>
    </w:pPr>
    <w:rPr>
      <w:b/>
      <w:sz w:val="24"/>
    </w:rPr>
  </w:style>
  <w:style w:type="paragraph" w:customStyle="1" w:styleId="298">
    <w:name w:val="Char Char Char Char Char Char Char Char Char Char Char Char Char Char Char Char"/>
    <w:basedOn w:val="1"/>
    <w:qFormat/>
    <w:uiPriority w:val="0"/>
    <w:rPr>
      <w:sz w:val="24"/>
    </w:rPr>
  </w:style>
  <w:style w:type="paragraph" w:customStyle="1" w:styleId="299">
    <w:name w:val="xl26"/>
    <w:basedOn w:val="1"/>
    <w:qFormat/>
    <w:uiPriority w:val="0"/>
    <w:pPr>
      <w:widowControl/>
      <w:spacing w:before="100" w:beforeAutospacing="1" w:afterAutospacing="1"/>
      <w:jc w:val="center"/>
    </w:pPr>
    <w:rPr>
      <w:rFonts w:ascii="宋体" w:hAnsi="宋体"/>
      <w:kern w:val="0"/>
      <w:sz w:val="24"/>
    </w:rPr>
  </w:style>
  <w:style w:type="paragraph" w:customStyle="1" w:styleId="300">
    <w:name w:val="CM13"/>
    <w:basedOn w:val="187"/>
    <w:next w:val="187"/>
    <w:qFormat/>
    <w:uiPriority w:val="0"/>
    <w:pPr>
      <w:spacing w:line="468" w:lineRule="atLeast"/>
    </w:pPr>
    <w:rPr>
      <w:rFonts w:ascii="宋体" w:hAnsi="Times New Roman"/>
      <w:color w:val="auto"/>
    </w:rPr>
  </w:style>
  <w:style w:type="paragraph" w:customStyle="1" w:styleId="301">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2">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3">
    <w:name w:val="标题 32"/>
    <w:basedOn w:val="1"/>
    <w:qFormat/>
    <w:uiPriority w:val="0"/>
    <w:pPr>
      <w:spacing w:afterLines="100" w:line="360" w:lineRule="auto"/>
    </w:pPr>
    <w:rPr>
      <w:sz w:val="24"/>
    </w:rPr>
  </w:style>
  <w:style w:type="paragraph" w:customStyle="1" w:styleId="304">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6">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7">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0">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1">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2">
    <w:name w:val="插图"/>
    <w:basedOn w:val="24"/>
    <w:qFormat/>
    <w:uiPriority w:val="0"/>
    <w:pPr>
      <w:tabs>
        <w:tab w:val="left" w:pos="425"/>
      </w:tabs>
      <w:spacing w:beforeLines="0" w:afterLines="0" w:line="240" w:lineRule="auto"/>
      <w:jc w:val="center"/>
    </w:pPr>
    <w:rPr>
      <w:sz w:val="21"/>
      <w:szCs w:val="21"/>
    </w:rPr>
  </w:style>
  <w:style w:type="paragraph" w:customStyle="1" w:styleId="313">
    <w:name w:val="模板普通正文"/>
    <w:basedOn w:val="20"/>
    <w:qFormat/>
    <w:uiPriority w:val="0"/>
    <w:pPr>
      <w:spacing w:beforeLines="50" w:line="360" w:lineRule="auto"/>
      <w:ind w:left="0" w:leftChars="0" w:firstLine="490" w:firstLineChars="175"/>
      <w:jc w:val="left"/>
    </w:pPr>
    <w:rPr>
      <w:sz w:val="24"/>
    </w:rPr>
  </w:style>
  <w:style w:type="paragraph" w:customStyle="1" w:styleId="314">
    <w:name w:val="p0"/>
    <w:basedOn w:val="1"/>
    <w:qFormat/>
    <w:uiPriority w:val="0"/>
    <w:pPr>
      <w:widowControl/>
    </w:pPr>
    <w:rPr>
      <w:rFonts w:ascii="華康辦公用具篇" w:hAnsi="華康辦公用具篇" w:cs="宋体"/>
      <w:kern w:val="0"/>
      <w:szCs w:val="21"/>
    </w:rPr>
  </w:style>
  <w:style w:type="paragraph" w:customStyle="1" w:styleId="3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6">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7">
    <w:name w:val="Char Char1 Char Char Char Char"/>
    <w:basedOn w:val="17"/>
    <w:qFormat/>
    <w:uiPriority w:val="0"/>
    <w:pPr>
      <w:spacing w:afterLines="0"/>
      <w:ind w:firstLine="540" w:firstLineChars="0"/>
    </w:pPr>
    <w:rPr>
      <w:rFonts w:eastAsia="仿宋_GB2312"/>
      <w:b/>
      <w:sz w:val="36"/>
      <w:szCs w:val="36"/>
    </w:rPr>
  </w:style>
  <w:style w:type="paragraph" w:customStyle="1" w:styleId="31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9">
    <w:name w:val="程序段"/>
    <w:basedOn w:val="1"/>
    <w:qFormat/>
    <w:uiPriority w:val="0"/>
    <w:pPr>
      <w:ind w:firstLine="420" w:firstLineChars="200"/>
    </w:pPr>
    <w:rPr>
      <w:rFonts w:ascii="Courier" w:hAnsi="Courier"/>
    </w:rPr>
  </w:style>
  <w:style w:type="paragraph" w:customStyle="1" w:styleId="32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1">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2">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5">
    <w:name w:val="font12"/>
    <w:basedOn w:val="1"/>
    <w:qFormat/>
    <w:uiPriority w:val="0"/>
    <w:pPr>
      <w:widowControl/>
      <w:spacing w:before="100" w:beforeAutospacing="1" w:afterAutospacing="1"/>
      <w:jc w:val="left"/>
    </w:pPr>
    <w:rPr>
      <w:color w:val="000000"/>
      <w:kern w:val="0"/>
      <w:sz w:val="28"/>
      <w:szCs w:val="28"/>
    </w:rPr>
  </w:style>
  <w:style w:type="paragraph" w:customStyle="1" w:styleId="326">
    <w:name w:val="列出段落3"/>
    <w:basedOn w:val="1"/>
    <w:qFormat/>
    <w:uiPriority w:val="0"/>
    <w:pPr>
      <w:ind w:firstLine="420" w:firstLineChars="200"/>
    </w:pPr>
    <w:rPr>
      <w:rFonts w:ascii="Calibri" w:hAnsi="Calibri"/>
      <w:szCs w:val="22"/>
    </w:rPr>
  </w:style>
  <w:style w:type="paragraph" w:customStyle="1" w:styleId="3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9">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0">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4">
    <w:name w:val="xl24"/>
    <w:basedOn w:val="1"/>
    <w:qFormat/>
    <w:uiPriority w:val="0"/>
    <w:pPr>
      <w:widowControl/>
      <w:spacing w:before="100" w:beforeAutospacing="1" w:afterAutospacing="1"/>
      <w:jc w:val="center"/>
    </w:pPr>
    <w:rPr>
      <w:rFonts w:ascii="宋体" w:hAnsi="宋体"/>
      <w:kern w:val="0"/>
      <w:sz w:val="24"/>
    </w:rPr>
  </w:style>
  <w:style w:type="paragraph" w:customStyle="1" w:styleId="3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8">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9">
    <w:name w:val="xl27"/>
    <w:basedOn w:val="1"/>
    <w:qFormat/>
    <w:uiPriority w:val="0"/>
    <w:pPr>
      <w:widowControl/>
      <w:spacing w:before="100" w:beforeAutospacing="1" w:afterAutospacing="1"/>
      <w:jc w:val="center"/>
    </w:pPr>
    <w:rPr>
      <w:rFonts w:ascii="宋体" w:hAnsi="宋体"/>
      <w:kern w:val="0"/>
      <w:sz w:val="24"/>
    </w:rPr>
  </w:style>
  <w:style w:type="paragraph" w:customStyle="1" w:styleId="340">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9">
    <w:name w:val="xl28"/>
    <w:basedOn w:val="1"/>
    <w:qFormat/>
    <w:uiPriority w:val="0"/>
    <w:pPr>
      <w:widowControl/>
      <w:spacing w:before="100" w:beforeAutospacing="1" w:afterAutospacing="1"/>
      <w:jc w:val="center"/>
    </w:pPr>
    <w:rPr>
      <w:kern w:val="0"/>
      <w:sz w:val="28"/>
      <w:szCs w:val="28"/>
    </w:rPr>
  </w:style>
  <w:style w:type="paragraph" w:customStyle="1" w:styleId="3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2">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3">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5">
    <w:name w:val="table_lines"/>
    <w:basedOn w:val="1"/>
    <w:qFormat/>
    <w:uiPriority w:val="0"/>
    <w:pPr>
      <w:widowControl/>
      <w:jc w:val="left"/>
    </w:pPr>
    <w:rPr>
      <w:rFonts w:eastAsia="MS Mincho"/>
      <w:kern w:val="0"/>
      <w:sz w:val="20"/>
      <w:szCs w:val="20"/>
      <w:lang w:val="de-DE" w:eastAsia="de-DE"/>
    </w:rPr>
  </w:style>
  <w:style w:type="character" w:customStyle="1" w:styleId="366">
    <w:name w:val="3zw1"/>
    <w:qFormat/>
    <w:uiPriority w:val="0"/>
    <w:rPr>
      <w:color w:val="000000"/>
      <w:sz w:val="21"/>
      <w:szCs w:val="21"/>
    </w:rPr>
  </w:style>
  <w:style w:type="character" w:customStyle="1" w:styleId="367">
    <w:name w:val="正文2 Char Char"/>
    <w:link w:val="368"/>
    <w:qFormat/>
    <w:uiPriority w:val="0"/>
    <w:rPr>
      <w:sz w:val="24"/>
    </w:rPr>
  </w:style>
  <w:style w:type="paragraph" w:customStyle="1" w:styleId="368">
    <w:name w:val="正文2"/>
    <w:basedOn w:val="1"/>
    <w:link w:val="367"/>
    <w:qFormat/>
    <w:uiPriority w:val="0"/>
    <w:pPr>
      <w:spacing w:before="156" w:line="360" w:lineRule="auto"/>
      <w:ind w:firstLine="510" w:firstLineChars="200"/>
    </w:pPr>
    <w:rPr>
      <w:rFonts w:ascii="Calibri" w:hAnsi="Calibri"/>
      <w:kern w:val="0"/>
      <w:sz w:val="24"/>
      <w:szCs w:val="20"/>
    </w:rPr>
  </w:style>
  <w:style w:type="character" w:customStyle="1" w:styleId="369">
    <w:name w:val="标题 字符"/>
    <w:link w:val="40"/>
    <w:qFormat/>
    <w:uiPriority w:val="0"/>
    <w:rPr>
      <w:rFonts w:ascii="Arial" w:hAnsi="Arial" w:eastAsia="仿宋_GB2312"/>
      <w:b/>
      <w:bCs/>
      <w:sz w:val="36"/>
      <w:szCs w:val="32"/>
    </w:rPr>
  </w:style>
  <w:style w:type="character" w:customStyle="1" w:styleId="370">
    <w:name w:val="标题 Char1"/>
    <w:qFormat/>
    <w:uiPriority w:val="10"/>
    <w:rPr>
      <w:rFonts w:ascii="Cambria" w:hAnsi="Cambria" w:eastAsia="宋体" w:cs="Times New Roman"/>
      <w:b/>
      <w:bCs/>
      <w:sz w:val="32"/>
      <w:szCs w:val="32"/>
    </w:rPr>
  </w:style>
  <w:style w:type="character" w:customStyle="1" w:styleId="371">
    <w:name w:val="font101"/>
    <w:qFormat/>
    <w:uiPriority w:val="0"/>
    <w:rPr>
      <w:rFonts w:hint="default" w:ascii="Times New Roman" w:hAnsi="Times New Roman" w:cs="Times New Roman"/>
      <w:color w:val="000000"/>
      <w:sz w:val="21"/>
      <w:szCs w:val="21"/>
      <w:u w:val="none"/>
    </w:rPr>
  </w:style>
  <w:style w:type="character" w:customStyle="1" w:styleId="372">
    <w:name w:val="页脚 字符"/>
    <w:qFormat/>
    <w:uiPriority w:val="99"/>
  </w:style>
  <w:style w:type="character" w:customStyle="1" w:styleId="373">
    <w:name w:val="param-name1"/>
    <w:qFormat/>
    <w:uiPriority w:val="0"/>
    <w:rPr>
      <w:rFonts w:cs="Times New Roman"/>
      <w:b/>
    </w:rPr>
  </w:style>
  <w:style w:type="character" w:customStyle="1" w:styleId="374">
    <w:name w:val="font91"/>
    <w:qFormat/>
    <w:uiPriority w:val="0"/>
    <w:rPr>
      <w:rFonts w:hint="eastAsia" w:ascii="宋体" w:hAnsi="宋体" w:eastAsia="宋体" w:cs="宋体"/>
      <w:color w:val="000000"/>
      <w:sz w:val="21"/>
      <w:szCs w:val="21"/>
      <w:u w:val="none"/>
    </w:rPr>
  </w:style>
  <w:style w:type="character" w:customStyle="1" w:styleId="375">
    <w:name w:val="font71"/>
    <w:qFormat/>
    <w:uiPriority w:val="0"/>
    <w:rPr>
      <w:rFonts w:hint="eastAsia" w:ascii="宋体" w:hAnsi="宋体" w:eastAsia="宋体" w:cs="宋体"/>
      <w:color w:val="000000"/>
      <w:sz w:val="21"/>
      <w:szCs w:val="21"/>
      <w:u w:val="none"/>
    </w:rPr>
  </w:style>
  <w:style w:type="character" w:customStyle="1" w:styleId="376">
    <w:name w:val="15"/>
    <w:qFormat/>
    <w:uiPriority w:val="0"/>
    <w:rPr>
      <w:rFonts w:hint="eastAsia" w:ascii="宋体" w:hAnsi="宋体" w:eastAsia="宋体" w:cs="宋体"/>
      <w:color w:val="000000"/>
      <w:sz w:val="22"/>
      <w:szCs w:val="22"/>
    </w:rPr>
  </w:style>
  <w:style w:type="character" w:customStyle="1" w:styleId="377">
    <w:name w:val="font21"/>
    <w:qFormat/>
    <w:uiPriority w:val="0"/>
    <w:rPr>
      <w:rFonts w:ascii="Arial" w:hAnsi="Arial" w:cs="Arial"/>
      <w:color w:val="000000"/>
      <w:sz w:val="21"/>
      <w:szCs w:val="21"/>
      <w:u w:val="none"/>
    </w:rPr>
  </w:style>
  <w:style w:type="character" w:customStyle="1" w:styleId="378">
    <w:name w:val="font161"/>
    <w:qFormat/>
    <w:uiPriority w:val="0"/>
    <w:rPr>
      <w:rFonts w:hint="default" w:ascii="Times New Roman" w:hAnsi="Times New Roman" w:cs="Times New Roman"/>
      <w:color w:val="000000"/>
      <w:sz w:val="18"/>
      <w:szCs w:val="18"/>
      <w:u w:val="none"/>
    </w:rPr>
  </w:style>
  <w:style w:type="character" w:customStyle="1" w:styleId="379">
    <w:name w:val="font41"/>
    <w:qFormat/>
    <w:uiPriority w:val="0"/>
    <w:rPr>
      <w:rFonts w:hint="eastAsia" w:ascii="宋体" w:hAnsi="宋体" w:eastAsia="宋体" w:cs="宋体"/>
      <w:color w:val="FF0000"/>
      <w:sz w:val="28"/>
      <w:szCs w:val="28"/>
      <w:u w:val="none"/>
    </w:rPr>
  </w:style>
  <w:style w:type="character" w:customStyle="1" w:styleId="380">
    <w:name w:val="apple-converted-space"/>
    <w:basedOn w:val="46"/>
    <w:qFormat/>
    <w:uiPriority w:val="0"/>
  </w:style>
  <w:style w:type="character" w:customStyle="1" w:styleId="381">
    <w:name w:val="font151"/>
    <w:qFormat/>
    <w:uiPriority w:val="0"/>
    <w:rPr>
      <w:rFonts w:hint="default" w:ascii="Times New Roman" w:hAnsi="Times New Roman" w:cs="Times New Roman"/>
      <w:color w:val="000000"/>
      <w:sz w:val="21"/>
      <w:szCs w:val="21"/>
      <w:u w:val="none"/>
    </w:rPr>
  </w:style>
  <w:style w:type="paragraph" w:customStyle="1" w:styleId="38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Fließtext"/>
    <w:basedOn w:val="1"/>
    <w:qFormat/>
    <w:uiPriority w:val="0"/>
    <w:pPr>
      <w:overflowPunct w:val="0"/>
      <w:autoSpaceDE w:val="0"/>
      <w:autoSpaceDN w:val="0"/>
      <w:adjustRightInd w:val="0"/>
      <w:textAlignment w:val="baseline"/>
    </w:pPr>
    <w:rPr>
      <w:kern w:val="28"/>
      <w:szCs w:val="20"/>
    </w:rPr>
  </w:style>
  <w:style w:type="paragraph" w:customStyle="1" w:styleId="384">
    <w:name w:val="Body Text First Indent 21"/>
    <w:basedOn w:val="1"/>
    <w:qFormat/>
    <w:uiPriority w:val="0"/>
    <w:pPr>
      <w:ind w:left="420" w:leftChars="200" w:firstLine="420"/>
    </w:pPr>
    <w:rPr>
      <w:szCs w:val="21"/>
    </w:rPr>
  </w:style>
  <w:style w:type="paragraph" w:customStyle="1" w:styleId="385">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6">
    <w:name w:val="fontstyle01"/>
    <w:qFormat/>
    <w:uiPriority w:val="0"/>
    <w:rPr>
      <w:rFonts w:hint="eastAsia" w:ascii="宋体" w:hAnsi="宋体" w:eastAsia="宋体"/>
      <w:color w:val="000000"/>
      <w:sz w:val="22"/>
      <w:szCs w:val="22"/>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8">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89">
    <w:name w:val="未处理的提及1"/>
    <w:basedOn w:val="46"/>
    <w:semiHidden/>
    <w:unhideWhenUsed/>
    <w:qFormat/>
    <w:uiPriority w:val="99"/>
    <w:rPr>
      <w:color w:val="605E5C"/>
      <w:shd w:val="clear" w:color="auto" w:fill="E1DFDD"/>
    </w:rPr>
  </w:style>
  <w:style w:type="paragraph" w:customStyle="1" w:styleId="390">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1">
    <w:name w:val="**正文"/>
    <w:basedOn w:val="1"/>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392">
    <w:name w:val="6报告表格文字（大表新）"/>
    <w:basedOn w:val="1"/>
    <w:qFormat/>
    <w:uiPriority w:val="0"/>
    <w:pPr>
      <w:spacing w:before="100" w:beforeAutospacing="1" w:after="100" w:afterAutospacing="1"/>
      <w:jc w:val="center"/>
    </w:pPr>
    <w:rPr>
      <w:kern w:val="0"/>
      <w:sz w:val="18"/>
    </w:rPr>
  </w:style>
  <w:style w:type="paragraph" w:customStyle="1" w:styleId="393">
    <w:name w:val="投标正文"/>
    <w:basedOn w:val="1"/>
    <w:qFormat/>
    <w:uiPriority w:val="0"/>
    <w:pPr>
      <w:spacing w:line="360" w:lineRule="auto"/>
      <w:ind w:left="102" w:firstLine="20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37549</Words>
  <Characters>40495</Characters>
  <Lines>315</Lines>
  <Paragraphs>88</Paragraphs>
  <TotalTime>3</TotalTime>
  <ScaleCrop>false</ScaleCrop>
  <LinksUpToDate>false</LinksUpToDate>
  <CharactersWithSpaces>41499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2021-03-30T09:58:00Z</dcterms:created>
  <dc:creator>Administrator</dc:creator>
  <cp:lastModifiedBy>a</cp:lastModifiedBy>
  <cp:lastPrinted>2022-09-09T10:44:00Z</cp:lastPrinted>
  <dcterms:modified xsi:type="dcterms:W3CDTF">2022-09-23T08:07:34Z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7FC3CED3949C446CADAF25CE86E19357</vt:lpwstr>
  </property>
</Properties>
</file>