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cs="宋体"/>
          <w:b/>
          <w:color w:val="auto"/>
          <w:sz w:val="72"/>
          <w:szCs w:val="72"/>
        </w:rPr>
      </w:pPr>
    </w:p>
    <w:p>
      <w:pPr>
        <w:spacing w:before="120" w:beforeLines="50"/>
        <w:jc w:val="center"/>
        <w:rPr>
          <w:rFonts w:hint="eastAsia" w:ascii="宋体" w:hAnsi="宋体" w:cs="宋体"/>
          <w:b/>
          <w:color w:val="auto"/>
          <w:sz w:val="72"/>
          <w:szCs w:val="72"/>
        </w:rPr>
      </w:pPr>
      <w:r>
        <w:rPr>
          <w:rFonts w:hint="eastAsia" w:ascii="宋体" w:hAnsi="宋体" w:cs="宋体"/>
          <w:b/>
          <w:color w:val="auto"/>
          <w:sz w:val="72"/>
          <w:szCs w:val="72"/>
        </w:rPr>
        <w:t>公 开 招 标 文 件</w:t>
      </w:r>
    </w:p>
    <w:p>
      <w:pPr>
        <w:pStyle w:val="73"/>
        <w:rPr>
          <w:rFonts w:hint="eastAsia" w:ascii="宋体" w:hAnsi="宋体" w:cs="宋体"/>
          <w:color w:val="auto"/>
        </w:rPr>
      </w:pPr>
    </w:p>
    <w:p>
      <w:pPr>
        <w:widowControl/>
        <w:jc w:val="center"/>
        <w:rPr>
          <w:rFonts w:hint="eastAsia" w:ascii="宋体" w:hAnsi="宋体" w:cs="宋体"/>
          <w:color w:val="auto"/>
          <w:kern w:val="0"/>
          <w:sz w:val="31"/>
          <w:szCs w:val="31"/>
          <w:lang w:bidi="ar"/>
        </w:rPr>
      </w:pPr>
    </w:p>
    <w:p>
      <w:pPr>
        <w:widowControl/>
        <w:jc w:val="center"/>
        <w:rPr>
          <w:rFonts w:hint="eastAsia" w:ascii="宋体" w:hAnsi="宋体" w:cs="宋体"/>
          <w:color w:val="auto"/>
        </w:rPr>
      </w:pPr>
      <w:r>
        <w:rPr>
          <w:rFonts w:hint="eastAsia" w:ascii="宋体" w:hAnsi="宋体" w:cs="宋体"/>
          <w:color w:val="auto"/>
          <w:kern w:val="0"/>
          <w:sz w:val="31"/>
          <w:szCs w:val="31"/>
          <w:lang w:bidi="ar"/>
        </w:rPr>
        <w:t>（政府采购电子交易项目）</w:t>
      </w:r>
    </w:p>
    <w:p>
      <w:pPr>
        <w:snapToGrid w:val="0"/>
        <w:spacing w:before="120" w:beforeLines="50" w:line="360" w:lineRule="auto"/>
        <w:rPr>
          <w:rFonts w:hint="eastAsia" w:ascii="宋体" w:hAnsi="宋体" w:cs="宋体"/>
          <w:color w:val="auto"/>
          <w:sz w:val="30"/>
          <w:szCs w:val="72"/>
        </w:rPr>
      </w:pPr>
    </w:p>
    <w:p>
      <w:pPr>
        <w:snapToGrid w:val="0"/>
        <w:spacing w:before="120" w:beforeLines="50" w:line="360" w:lineRule="auto"/>
        <w:rPr>
          <w:rFonts w:hint="eastAsia" w:ascii="宋体" w:hAnsi="宋体" w:cs="宋体"/>
          <w:color w:val="auto"/>
          <w:sz w:val="30"/>
          <w:szCs w:val="72"/>
        </w:rPr>
      </w:pPr>
    </w:p>
    <w:p>
      <w:pPr>
        <w:snapToGrid w:val="0"/>
        <w:spacing w:before="120" w:beforeLines="50" w:line="360" w:lineRule="auto"/>
        <w:rPr>
          <w:rFonts w:hint="eastAsia" w:ascii="宋体" w:hAnsi="宋体" w:cs="宋体"/>
          <w:color w:val="auto"/>
          <w:sz w:val="30"/>
          <w:szCs w:val="72"/>
        </w:rPr>
      </w:pPr>
    </w:p>
    <w:p>
      <w:pPr>
        <w:snapToGrid w:val="0"/>
        <w:spacing w:before="120" w:beforeLines="50" w:line="360" w:lineRule="auto"/>
        <w:rPr>
          <w:rFonts w:hint="eastAsia" w:ascii="宋体" w:hAnsi="宋体" w:cs="宋体"/>
          <w:color w:val="auto"/>
          <w:sz w:val="30"/>
          <w:szCs w:val="72"/>
        </w:rPr>
      </w:pPr>
    </w:p>
    <w:tbl>
      <w:tblPr>
        <w:tblStyle w:val="39"/>
        <w:tblW w:w="8360" w:type="dxa"/>
        <w:jc w:val="center"/>
        <w:tblLayout w:type="fixed"/>
        <w:tblCellMar>
          <w:top w:w="0" w:type="dxa"/>
          <w:left w:w="108" w:type="dxa"/>
          <w:bottom w:w="0" w:type="dxa"/>
          <w:right w:w="108" w:type="dxa"/>
        </w:tblCellMar>
      </w:tblPr>
      <w:tblGrid>
        <w:gridCol w:w="1800"/>
        <w:gridCol w:w="6560"/>
      </w:tblGrid>
      <w:tr>
        <w:tblPrEx>
          <w:tblCellMar>
            <w:top w:w="0" w:type="dxa"/>
            <w:left w:w="108" w:type="dxa"/>
            <w:bottom w:w="0" w:type="dxa"/>
            <w:right w:w="108" w:type="dxa"/>
          </w:tblCellMar>
        </w:tblPrEx>
        <w:trPr>
          <w:trHeight w:val="1143" w:hRule="atLeast"/>
          <w:jc w:val="center"/>
        </w:trPr>
        <w:tc>
          <w:tcPr>
            <w:tcW w:w="1800" w:type="dxa"/>
            <w:tcBorders>
              <w:top w:val="nil"/>
              <w:left w:val="nil"/>
              <w:bottom w:val="nil"/>
              <w:right w:val="nil"/>
            </w:tcBorders>
            <w:noWrap w:val="0"/>
            <w:vAlign w:val="center"/>
          </w:tcPr>
          <w:p>
            <w:pPr>
              <w:snapToGrid w:val="0"/>
              <w:jc w:val="center"/>
              <w:rPr>
                <w:rFonts w:hint="eastAsia" w:ascii="宋体" w:hAnsi="宋体" w:cs="宋体"/>
                <w:b/>
                <w:color w:val="auto"/>
                <w:sz w:val="34"/>
                <w:szCs w:val="32"/>
              </w:rPr>
            </w:pPr>
            <w:r>
              <w:rPr>
                <w:rFonts w:hint="eastAsia" w:ascii="宋体" w:hAnsi="宋体" w:cs="宋体"/>
                <w:b/>
                <w:color w:val="auto"/>
                <w:sz w:val="34"/>
                <w:szCs w:val="32"/>
              </w:rPr>
              <w:t>项目编号：</w:t>
            </w:r>
          </w:p>
        </w:tc>
        <w:tc>
          <w:tcPr>
            <w:tcW w:w="6560" w:type="dxa"/>
            <w:tcBorders>
              <w:top w:val="nil"/>
              <w:left w:val="nil"/>
              <w:bottom w:val="nil"/>
              <w:right w:val="nil"/>
            </w:tcBorders>
            <w:noWrap w:val="0"/>
            <w:vAlign w:val="center"/>
          </w:tcPr>
          <w:p>
            <w:pPr>
              <w:pStyle w:val="19"/>
              <w:snapToGrid w:val="0"/>
              <w:spacing w:beforeLines="0" w:afterLines="0" w:line="240" w:lineRule="auto"/>
              <w:rPr>
                <w:rFonts w:hint="eastAsia" w:hAnsi="宋体" w:eastAsia="宋体" w:cs="宋体"/>
                <w:b/>
                <w:color w:val="auto"/>
                <w:kern w:val="2"/>
                <w:sz w:val="28"/>
                <w:szCs w:val="28"/>
                <w:u w:val="single"/>
                <w:lang w:eastAsia="zh-CN"/>
              </w:rPr>
            </w:pPr>
            <w:r>
              <w:rPr>
                <w:rFonts w:hint="eastAsia" w:hAnsi="宋体" w:cs="宋体"/>
                <w:b/>
                <w:color w:val="auto"/>
                <w:kern w:val="2"/>
                <w:sz w:val="34"/>
                <w:szCs w:val="32"/>
                <w:lang w:eastAsia="zh-CN"/>
              </w:rPr>
              <w:t>NBZS-202204279G</w:t>
            </w:r>
          </w:p>
        </w:tc>
      </w:tr>
      <w:tr>
        <w:tblPrEx>
          <w:tblCellMar>
            <w:top w:w="0" w:type="dxa"/>
            <w:left w:w="108" w:type="dxa"/>
            <w:bottom w:w="0" w:type="dxa"/>
            <w:right w:w="108" w:type="dxa"/>
          </w:tblCellMar>
        </w:tblPrEx>
        <w:trPr>
          <w:trHeight w:val="1435" w:hRule="atLeast"/>
          <w:jc w:val="center"/>
        </w:trPr>
        <w:tc>
          <w:tcPr>
            <w:tcW w:w="1800" w:type="dxa"/>
            <w:tcBorders>
              <w:top w:val="nil"/>
              <w:left w:val="nil"/>
              <w:bottom w:val="nil"/>
              <w:right w:val="nil"/>
            </w:tcBorders>
            <w:noWrap w:val="0"/>
            <w:vAlign w:val="center"/>
          </w:tcPr>
          <w:p>
            <w:pPr>
              <w:snapToGrid w:val="0"/>
              <w:jc w:val="center"/>
              <w:rPr>
                <w:rFonts w:hint="eastAsia" w:ascii="宋体" w:hAnsi="宋体" w:cs="宋体"/>
                <w:b/>
                <w:color w:val="auto"/>
                <w:sz w:val="34"/>
                <w:szCs w:val="32"/>
              </w:rPr>
            </w:pPr>
            <w:r>
              <w:rPr>
                <w:rFonts w:hint="eastAsia" w:ascii="宋体" w:hAnsi="宋体" w:cs="宋体"/>
                <w:b/>
                <w:color w:val="auto"/>
                <w:sz w:val="34"/>
                <w:szCs w:val="32"/>
              </w:rPr>
              <w:t>项目名称：</w:t>
            </w:r>
          </w:p>
        </w:tc>
        <w:tc>
          <w:tcPr>
            <w:tcW w:w="6560" w:type="dxa"/>
            <w:tcBorders>
              <w:top w:val="nil"/>
              <w:left w:val="nil"/>
              <w:bottom w:val="nil"/>
              <w:right w:val="nil"/>
            </w:tcBorders>
            <w:noWrap w:val="0"/>
            <w:vAlign w:val="center"/>
          </w:tcPr>
          <w:p>
            <w:pPr>
              <w:snapToGrid w:val="0"/>
              <w:jc w:val="left"/>
              <w:rPr>
                <w:rFonts w:hint="default" w:ascii="宋体" w:hAnsi="宋体" w:cs="宋体"/>
                <w:b/>
                <w:color w:val="auto"/>
                <w:sz w:val="28"/>
                <w:szCs w:val="28"/>
                <w:u w:val="single"/>
                <w:lang w:val="en-US"/>
              </w:rPr>
            </w:pPr>
            <w:r>
              <w:rPr>
                <w:rFonts w:hint="eastAsia" w:ascii="宋体" w:hAnsi="宋体" w:eastAsia="宋体" w:cs="宋体"/>
                <w:b/>
                <w:color w:val="auto"/>
                <w:kern w:val="2"/>
                <w:sz w:val="34"/>
                <w:szCs w:val="32"/>
                <w:lang w:val="en-US" w:eastAsia="zh-CN" w:bidi="ar-SA"/>
              </w:rPr>
              <w:t>宁波市“插卡式AIS”</w:t>
            </w:r>
          </w:p>
        </w:tc>
      </w:tr>
      <w:tr>
        <w:tblPrEx>
          <w:tblCellMar>
            <w:top w:w="0" w:type="dxa"/>
            <w:left w:w="108" w:type="dxa"/>
            <w:bottom w:w="0" w:type="dxa"/>
            <w:right w:w="108" w:type="dxa"/>
          </w:tblCellMar>
        </w:tblPrEx>
        <w:trPr>
          <w:trHeight w:val="1215" w:hRule="atLeast"/>
          <w:jc w:val="center"/>
        </w:trPr>
        <w:tc>
          <w:tcPr>
            <w:tcW w:w="1800" w:type="dxa"/>
            <w:tcBorders>
              <w:top w:val="nil"/>
              <w:left w:val="nil"/>
              <w:bottom w:val="nil"/>
              <w:right w:val="nil"/>
            </w:tcBorders>
            <w:noWrap w:val="0"/>
            <w:vAlign w:val="center"/>
          </w:tcPr>
          <w:p>
            <w:pPr>
              <w:snapToGrid w:val="0"/>
              <w:jc w:val="center"/>
              <w:rPr>
                <w:rFonts w:hint="eastAsia" w:ascii="宋体" w:hAnsi="宋体" w:cs="宋体"/>
                <w:b/>
                <w:color w:val="auto"/>
                <w:sz w:val="34"/>
                <w:szCs w:val="32"/>
              </w:rPr>
            </w:pPr>
            <w:r>
              <w:rPr>
                <w:rFonts w:hint="eastAsia" w:ascii="宋体" w:hAnsi="宋体" w:cs="宋体"/>
                <w:b/>
                <w:color w:val="auto"/>
                <w:sz w:val="34"/>
                <w:szCs w:val="32"/>
              </w:rPr>
              <w:t>采 购 人：</w:t>
            </w:r>
          </w:p>
        </w:tc>
        <w:tc>
          <w:tcPr>
            <w:tcW w:w="6560" w:type="dxa"/>
            <w:tcBorders>
              <w:top w:val="nil"/>
              <w:left w:val="nil"/>
              <w:bottom w:val="nil"/>
              <w:right w:val="nil"/>
            </w:tcBorders>
            <w:noWrap w:val="0"/>
            <w:vAlign w:val="center"/>
          </w:tcPr>
          <w:p>
            <w:pPr>
              <w:pStyle w:val="19"/>
              <w:snapToGrid w:val="0"/>
              <w:spacing w:beforeLines="0" w:afterLines="0" w:line="360" w:lineRule="auto"/>
              <w:rPr>
                <w:rFonts w:hint="eastAsia" w:hAnsi="宋体" w:cs="宋体"/>
                <w:b/>
                <w:color w:val="auto"/>
                <w:sz w:val="34"/>
                <w:szCs w:val="32"/>
                <w:u w:val="single"/>
              </w:rPr>
            </w:pPr>
            <w:r>
              <w:rPr>
                <w:rFonts w:hint="eastAsia" w:hAnsi="宋体" w:cs="宋体"/>
                <w:b/>
                <w:color w:val="auto"/>
                <w:kern w:val="2"/>
                <w:sz w:val="34"/>
                <w:szCs w:val="32"/>
              </w:rPr>
              <w:t>宁波市农业农村大数据发展中心</w:t>
            </w:r>
          </w:p>
        </w:tc>
      </w:tr>
    </w:tbl>
    <w:p>
      <w:pPr>
        <w:spacing w:before="120" w:beforeLines="50"/>
        <w:rPr>
          <w:rFonts w:hint="eastAsia" w:ascii="宋体" w:hAnsi="宋体" w:cs="宋体"/>
          <w:b/>
          <w:color w:val="auto"/>
          <w:sz w:val="30"/>
          <w:szCs w:val="72"/>
        </w:rPr>
      </w:pPr>
    </w:p>
    <w:p>
      <w:pPr>
        <w:pStyle w:val="19"/>
        <w:snapToGrid w:val="0"/>
        <w:spacing w:beforeLines="0" w:afterLines="0" w:line="360" w:lineRule="auto"/>
        <w:rPr>
          <w:rFonts w:hint="eastAsia" w:hAnsi="宋体" w:cs="宋体"/>
          <w:b/>
          <w:color w:val="auto"/>
          <w:sz w:val="30"/>
          <w:szCs w:val="72"/>
        </w:rPr>
      </w:pPr>
    </w:p>
    <w:p>
      <w:pPr>
        <w:pStyle w:val="19"/>
        <w:snapToGrid w:val="0"/>
        <w:spacing w:beforeLines="0" w:afterLines="0" w:line="360" w:lineRule="auto"/>
        <w:rPr>
          <w:rFonts w:hint="eastAsia" w:hAnsi="宋体" w:cs="宋体"/>
          <w:b/>
          <w:color w:val="auto"/>
          <w:sz w:val="30"/>
          <w:szCs w:val="72"/>
        </w:rPr>
      </w:pPr>
    </w:p>
    <w:p>
      <w:pPr>
        <w:snapToGrid w:val="0"/>
        <w:spacing w:before="120" w:beforeLines="50" w:line="360" w:lineRule="auto"/>
        <w:jc w:val="center"/>
        <w:rPr>
          <w:rFonts w:hint="eastAsia" w:ascii="宋体" w:hAnsi="宋体" w:cs="宋体"/>
          <w:b/>
          <w:color w:val="auto"/>
          <w:sz w:val="34"/>
          <w:szCs w:val="32"/>
        </w:rPr>
      </w:pPr>
    </w:p>
    <w:p>
      <w:pPr>
        <w:jc w:val="center"/>
        <w:rPr>
          <w:rFonts w:hint="eastAsia" w:ascii="宋体" w:hAnsi="宋体" w:cs="宋体"/>
          <w:b/>
          <w:color w:val="auto"/>
          <w:sz w:val="34"/>
          <w:szCs w:val="32"/>
        </w:rPr>
      </w:pPr>
      <w:bookmarkStart w:id="0" w:name="_Toc23073"/>
      <w:r>
        <w:rPr>
          <w:rFonts w:hint="eastAsia" w:ascii="宋体" w:hAnsi="宋体" w:cs="宋体"/>
          <w:b/>
          <w:color w:val="auto"/>
          <w:sz w:val="34"/>
          <w:szCs w:val="32"/>
        </w:rPr>
        <w:t>宁波中穗招标有限公司</w:t>
      </w:r>
      <w:bookmarkEnd w:id="0"/>
    </w:p>
    <w:p>
      <w:pPr>
        <w:snapToGrid w:val="0"/>
        <w:spacing w:before="120" w:beforeLines="50" w:line="360" w:lineRule="auto"/>
        <w:jc w:val="center"/>
        <w:rPr>
          <w:rFonts w:hint="eastAsia" w:ascii="宋体" w:hAnsi="宋体" w:cs="宋体"/>
          <w:b/>
          <w:bCs/>
          <w:color w:val="auto"/>
          <w:sz w:val="30"/>
          <w:szCs w:val="30"/>
        </w:rPr>
        <w:sectPr>
          <w:footerReference r:id="rId5" w:type="first"/>
          <w:headerReference r:id="rId3" w:type="default"/>
          <w:footerReference r:id="rId4" w:type="default"/>
          <w:pgSz w:w="11907" w:h="16840"/>
          <w:pgMar w:top="1276" w:right="1474" w:bottom="1276" w:left="1474" w:header="720" w:footer="720" w:gutter="0"/>
          <w:pgBorders>
            <w:top w:val="none" w:sz="0" w:space="0"/>
            <w:left w:val="none" w:sz="0" w:space="0"/>
            <w:bottom w:val="none" w:sz="0" w:space="0"/>
            <w:right w:val="none" w:sz="0" w:space="0"/>
          </w:pgBorders>
          <w:cols w:space="720" w:num="1"/>
          <w:docGrid w:linePitch="285" w:charSpace="0"/>
        </w:sectPr>
      </w:pPr>
      <w:r>
        <w:rPr>
          <w:rFonts w:hint="eastAsia" w:ascii="宋体" w:hAnsi="宋体" w:cs="宋体"/>
          <w:b/>
          <w:bCs/>
          <w:color w:val="auto"/>
          <w:sz w:val="30"/>
          <w:szCs w:val="30"/>
        </w:rPr>
        <w:t>二〇二二年</w:t>
      </w:r>
      <w:r>
        <w:rPr>
          <w:rFonts w:hint="eastAsia" w:ascii="宋体" w:hAnsi="宋体" w:cs="宋体"/>
          <w:b/>
          <w:bCs/>
          <w:color w:val="auto"/>
          <w:sz w:val="30"/>
          <w:szCs w:val="30"/>
          <w:lang w:val="en-US" w:eastAsia="zh-CN"/>
        </w:rPr>
        <w:t>十</w:t>
      </w:r>
      <w:r>
        <w:rPr>
          <w:rFonts w:hint="eastAsia" w:ascii="宋体" w:hAnsi="宋体" w:cs="宋体"/>
          <w:b/>
          <w:bCs/>
          <w:color w:val="auto"/>
          <w:sz w:val="30"/>
          <w:szCs w:val="30"/>
        </w:rPr>
        <w:t>月</w:t>
      </w:r>
    </w:p>
    <w:p>
      <w:pPr>
        <w:pStyle w:val="26"/>
        <w:tabs>
          <w:tab w:val="right" w:leader="dot" w:pos="8311"/>
        </w:tabs>
        <w:spacing w:line="700" w:lineRule="exact"/>
        <w:jc w:val="center"/>
        <w:rPr>
          <w:rFonts w:hint="eastAsia"/>
          <w:b/>
          <w:bCs/>
          <w:color w:val="auto"/>
          <w:sz w:val="36"/>
          <w:szCs w:val="36"/>
        </w:rPr>
      </w:pPr>
      <w:bookmarkStart w:id="1" w:name="_Toc32597"/>
      <w:bookmarkStart w:id="2" w:name="_Toc20590"/>
      <w:bookmarkStart w:id="3" w:name="_Toc3692"/>
    </w:p>
    <w:p>
      <w:pPr>
        <w:pStyle w:val="26"/>
        <w:tabs>
          <w:tab w:val="right" w:leader="dot" w:pos="8311"/>
        </w:tabs>
        <w:spacing w:line="700" w:lineRule="exact"/>
        <w:jc w:val="center"/>
        <w:rPr>
          <w:rFonts w:hint="eastAsia"/>
          <w:b/>
          <w:bCs/>
          <w:color w:val="auto"/>
          <w:sz w:val="36"/>
          <w:szCs w:val="36"/>
        </w:rPr>
      </w:pPr>
      <w:r>
        <w:rPr>
          <w:rFonts w:hint="eastAsia"/>
          <w:b/>
          <w:bCs/>
          <w:color w:val="auto"/>
          <w:sz w:val="36"/>
          <w:szCs w:val="36"/>
        </w:rPr>
        <w:t>目  录</w:t>
      </w:r>
      <w:bookmarkEnd w:id="1"/>
      <w:bookmarkEnd w:id="2"/>
      <w:bookmarkEnd w:id="3"/>
    </w:p>
    <w:p>
      <w:pPr>
        <w:pStyle w:val="26"/>
        <w:tabs>
          <w:tab w:val="right" w:leader="dot" w:pos="8311"/>
        </w:tabs>
        <w:spacing w:line="700" w:lineRule="exact"/>
        <w:jc w:val="center"/>
        <w:rPr>
          <w:rFonts w:hint="eastAsia" w:ascii="宋体" w:hAnsi="宋体" w:cs="宋体"/>
          <w:color w:val="auto"/>
          <w:kern w:val="2"/>
          <w:sz w:val="28"/>
          <w:szCs w:val="28"/>
          <w:lang w:val="en-US" w:eastAsia="zh-CN" w:bidi="ar-SA"/>
        </w:rPr>
      </w:pPr>
      <w:r>
        <w:rPr>
          <w:rFonts w:hint="eastAsia" w:ascii="宋体" w:hAnsi="宋体" w:cs="宋体"/>
          <w:b/>
          <w:color w:val="auto"/>
          <w:sz w:val="28"/>
          <w:szCs w:val="28"/>
        </w:rPr>
        <w:fldChar w:fldCharType="begin"/>
      </w:r>
      <w:r>
        <w:rPr>
          <w:rFonts w:hint="eastAsia" w:ascii="宋体" w:hAnsi="宋体" w:cs="宋体"/>
          <w:b/>
          <w:color w:val="auto"/>
          <w:sz w:val="28"/>
          <w:szCs w:val="28"/>
        </w:rPr>
        <w:instrText xml:space="preserve">TOC \o "1-2" \h \u </w:instrText>
      </w:r>
      <w:r>
        <w:rPr>
          <w:rFonts w:hint="eastAsia" w:ascii="宋体" w:hAnsi="宋体" w:cs="宋体"/>
          <w:b/>
          <w:color w:val="auto"/>
          <w:sz w:val="28"/>
          <w:szCs w:val="28"/>
        </w:rPr>
        <w:fldChar w:fldCharType="separate"/>
      </w:r>
    </w:p>
    <w:p>
      <w:pPr>
        <w:pStyle w:val="26"/>
        <w:keepNext w:val="0"/>
        <w:keepLines w:val="0"/>
        <w:pageBreakBefore w:val="0"/>
        <w:widowControl w:val="0"/>
        <w:tabs>
          <w:tab w:val="right" w:leader="dot" w:pos="8307"/>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_Toc23093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第一章  公开招标采购公告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_Toc23093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6"/>
        <w:keepNext w:val="0"/>
        <w:keepLines w:val="0"/>
        <w:pageBreakBefore w:val="0"/>
        <w:widowControl w:val="0"/>
        <w:tabs>
          <w:tab w:val="right" w:leader="dot" w:pos="8307"/>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_Toc29820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第二章  采购需求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_Toc29820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6"/>
        <w:keepNext w:val="0"/>
        <w:keepLines w:val="0"/>
        <w:pageBreakBefore w:val="0"/>
        <w:widowControl w:val="0"/>
        <w:tabs>
          <w:tab w:val="right" w:leader="dot" w:pos="8307"/>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_Toc21555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第三章  投标人须知</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2</w:t>
      </w:r>
    </w:p>
    <w:p>
      <w:pPr>
        <w:pStyle w:val="26"/>
        <w:keepNext w:val="0"/>
        <w:keepLines w:val="0"/>
        <w:pageBreakBefore w:val="0"/>
        <w:widowControl w:val="0"/>
        <w:tabs>
          <w:tab w:val="right" w:leader="dot" w:pos="8307"/>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_Toc25563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第四章  评标办法及评分标准</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_Toc25563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6"/>
        <w:keepNext w:val="0"/>
        <w:keepLines w:val="0"/>
        <w:pageBreakBefore w:val="0"/>
        <w:widowControl w:val="0"/>
        <w:tabs>
          <w:tab w:val="right" w:leader="dot" w:pos="8307"/>
        </w:tabs>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_Toc14636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第五章  采购合同主要条款</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_Toc14636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6"/>
        <w:keepNext w:val="0"/>
        <w:keepLines w:val="0"/>
        <w:pageBreakBefore w:val="0"/>
        <w:widowControl w:val="0"/>
        <w:tabs>
          <w:tab w:val="right" w:leader="dot" w:pos="8307"/>
        </w:tabs>
        <w:kinsoku/>
        <w:wordWrap/>
        <w:overflowPunct/>
        <w:topLinePunct w:val="0"/>
        <w:autoSpaceDE/>
        <w:autoSpaceDN/>
        <w:bidi w:val="0"/>
        <w:adjustRightInd/>
        <w:snapToGrid/>
        <w:spacing w:line="600" w:lineRule="exact"/>
        <w:textAlignment w:val="auto"/>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_Toc14922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第六章 投标文件格式及附件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_Toc14922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8311"/>
        </w:tabs>
        <w:spacing w:line="700" w:lineRule="exact"/>
        <w:rPr>
          <w:rFonts w:hint="eastAsia" w:ascii="宋体" w:hAnsi="宋体" w:cs="宋体"/>
          <w:b/>
          <w:color w:val="auto"/>
          <w:szCs w:val="21"/>
        </w:rPr>
      </w:pPr>
      <w:r>
        <w:rPr>
          <w:rFonts w:hint="eastAsia" w:ascii="宋体" w:hAnsi="宋体" w:cs="宋体"/>
          <w:color w:val="auto"/>
          <w:sz w:val="28"/>
          <w:szCs w:val="28"/>
        </w:rPr>
        <w:fldChar w:fldCharType="end"/>
      </w:r>
    </w:p>
    <w:p>
      <w:pPr>
        <w:pStyle w:val="3"/>
        <w:spacing w:before="0" w:after="0" w:line="480" w:lineRule="auto"/>
        <w:jc w:val="center"/>
        <w:rPr>
          <w:rFonts w:hint="eastAsia" w:ascii="宋体" w:hAnsi="宋体" w:cs="宋体"/>
          <w:color w:val="auto"/>
          <w:sz w:val="30"/>
        </w:rPr>
        <w:sectPr>
          <w:footerReference r:id="rId6" w:type="default"/>
          <w:pgSz w:w="11907" w:h="16840"/>
          <w:pgMar w:top="1440" w:right="1800" w:bottom="1440" w:left="1800" w:header="720" w:footer="720" w:gutter="0"/>
          <w:pgBorders>
            <w:top w:val="none" w:sz="0" w:space="0"/>
            <w:left w:val="none" w:sz="0" w:space="0"/>
            <w:bottom w:val="none" w:sz="0" w:space="0"/>
            <w:right w:val="none" w:sz="0" w:space="0"/>
          </w:pgBorders>
          <w:pgNumType w:start="1"/>
          <w:cols w:space="720" w:num="1"/>
          <w:docGrid w:linePitch="285" w:charSpace="0"/>
        </w:sectPr>
      </w:pPr>
      <w:bookmarkStart w:id="4" w:name="_Toc17057"/>
      <w:bookmarkStart w:id="5" w:name="_Toc460857890"/>
      <w:bookmarkStart w:id="6" w:name="_Toc79395432"/>
      <w:bookmarkStart w:id="7" w:name="_Toc13450"/>
      <w:bookmarkStart w:id="8" w:name="_Toc573"/>
    </w:p>
    <w:p>
      <w:pPr>
        <w:pStyle w:val="3"/>
        <w:spacing w:before="0" w:after="0" w:line="360" w:lineRule="auto"/>
        <w:jc w:val="center"/>
        <w:rPr>
          <w:rFonts w:hint="eastAsia" w:ascii="宋体" w:hAnsi="宋体" w:cs="宋体"/>
          <w:color w:val="auto"/>
          <w:sz w:val="30"/>
        </w:rPr>
      </w:pPr>
      <w:bookmarkStart w:id="9" w:name="_Toc23235"/>
      <w:bookmarkStart w:id="10" w:name="_Toc23093"/>
      <w:bookmarkStart w:id="11" w:name="_Toc4485"/>
      <w:r>
        <w:rPr>
          <w:rFonts w:hint="eastAsia" w:ascii="宋体" w:hAnsi="宋体" w:cs="宋体"/>
          <w:color w:val="auto"/>
          <w:sz w:val="30"/>
        </w:rPr>
        <w:t>第一章  公开招标采购公告</w:t>
      </w:r>
      <w:bookmarkEnd w:id="4"/>
      <w:bookmarkEnd w:id="5"/>
      <w:bookmarkEnd w:id="6"/>
      <w:bookmarkEnd w:id="7"/>
      <w:bookmarkEnd w:id="8"/>
      <w:bookmarkEnd w:id="9"/>
      <w:bookmarkEnd w:id="10"/>
      <w:bookmarkEnd w:id="11"/>
    </w:p>
    <w:p>
      <w:pPr>
        <w:widowControl/>
        <w:pBdr>
          <w:top w:val="single" w:color="auto" w:sz="4" w:space="1"/>
          <w:left w:val="single" w:color="auto" w:sz="4" w:space="4"/>
          <w:bottom w:val="single" w:color="auto" w:sz="4" w:space="1"/>
          <w:right w:val="single" w:color="auto" w:sz="4" w:space="4"/>
        </w:pBdr>
        <w:spacing w:before="75" w:after="75"/>
        <w:jc w:val="left"/>
        <w:rPr>
          <w:rFonts w:hint="eastAsia" w:ascii="宋体" w:hAnsi="宋体" w:cs="宋体"/>
          <w:color w:val="auto"/>
          <w:kern w:val="0"/>
          <w:szCs w:val="21"/>
        </w:rPr>
      </w:pPr>
      <w:r>
        <w:rPr>
          <w:rFonts w:hint="eastAsia" w:ascii="宋体" w:hAnsi="宋体" w:cs="宋体"/>
          <w:color w:val="auto"/>
          <w:kern w:val="0"/>
          <w:szCs w:val="21"/>
        </w:rPr>
        <w:t>项目概况</w:t>
      </w:r>
    </w:p>
    <w:p>
      <w:pPr>
        <w:widowControl/>
        <w:pBdr>
          <w:top w:val="single" w:color="auto" w:sz="4" w:space="1"/>
          <w:left w:val="single" w:color="auto" w:sz="4" w:space="4"/>
          <w:bottom w:val="single" w:color="auto" w:sz="4" w:space="1"/>
          <w:right w:val="single" w:color="auto" w:sz="4" w:space="4"/>
        </w:pBdr>
        <w:spacing w:before="75" w:after="75"/>
        <w:ind w:firstLine="420" w:firstLineChars="200"/>
        <w:jc w:val="left"/>
        <w:rPr>
          <w:rFonts w:hint="eastAsia" w:ascii="宋体" w:hAnsi="宋体" w:cs="宋体"/>
          <w:color w:val="auto"/>
          <w:szCs w:val="21"/>
        </w:rPr>
      </w:pPr>
      <w:r>
        <w:rPr>
          <w:rFonts w:hint="eastAsia" w:ascii="宋体" w:hAnsi="宋体" w:cs="宋体"/>
          <w:color w:val="auto"/>
          <w:kern w:val="0"/>
          <w:szCs w:val="21"/>
          <w:lang w:eastAsia="zh-CN"/>
        </w:rPr>
        <w:t>宁波市“插卡式AIS”</w:t>
      </w:r>
      <w:r>
        <w:rPr>
          <w:rFonts w:hint="eastAsia" w:ascii="宋体" w:hAnsi="宋体" w:cs="宋体"/>
          <w:color w:val="auto"/>
          <w:kern w:val="0"/>
          <w:szCs w:val="21"/>
          <w:lang w:val="en-US" w:eastAsia="zh-CN"/>
        </w:rPr>
        <w:t>项目</w:t>
      </w:r>
      <w:r>
        <w:rPr>
          <w:rFonts w:hint="eastAsia" w:ascii="宋体" w:hAnsi="宋体" w:cs="宋体"/>
          <w:color w:val="auto"/>
          <w:kern w:val="0"/>
          <w:szCs w:val="21"/>
        </w:rPr>
        <w:t>的潜在供应商应在浙江政府采购网政采云平台注册登记（http://zfcg.czt.zj.gov.cn），获取（下载）招标文件，</w:t>
      </w:r>
      <w:r>
        <w:rPr>
          <w:rFonts w:hint="eastAsia" w:ascii="宋体" w:hAnsi="宋体" w:cs="宋体"/>
          <w:color w:val="auto"/>
          <w:szCs w:val="21"/>
        </w:rPr>
        <w:t>并于2022年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w:t>
      </w:r>
      <w:r>
        <w:rPr>
          <w:rFonts w:hint="eastAsia" w:ascii="宋体" w:hAnsi="宋体" w:cs="宋体"/>
          <w:color w:val="auto"/>
          <w:szCs w:val="21"/>
        </w:rPr>
        <w:t>日</w:t>
      </w:r>
      <w:r>
        <w:rPr>
          <w:rFonts w:hint="eastAsia" w:ascii="宋体" w:hAnsi="宋体" w:cs="宋体"/>
          <w:color w:val="auto"/>
          <w:szCs w:val="21"/>
          <w:lang w:val="en-US" w:eastAsia="zh-CN"/>
        </w:rPr>
        <w:t>14</w:t>
      </w:r>
      <w:r>
        <w:rPr>
          <w:rFonts w:hint="eastAsia" w:ascii="宋体" w:hAnsi="宋体" w:cs="宋体"/>
          <w:color w:val="auto"/>
          <w:szCs w:val="21"/>
        </w:rPr>
        <w:t>:00（北京时间）前递交（上传）投标文件。</w:t>
      </w:r>
    </w:p>
    <w:p>
      <w:pPr>
        <w:widowControl/>
        <w:numPr>
          <w:ilvl w:val="0"/>
          <w:numId w:val="10"/>
        </w:numPr>
        <w:spacing w:before="255" w:after="255" w:line="300" w:lineRule="atLeast"/>
        <w:rPr>
          <w:rFonts w:hint="eastAsia" w:ascii="宋体" w:hAnsi="宋体" w:cs="宋体"/>
          <w:color w:val="auto"/>
          <w:kern w:val="0"/>
          <w:szCs w:val="21"/>
        </w:rPr>
      </w:pPr>
      <w:r>
        <w:rPr>
          <w:rFonts w:hint="eastAsia" w:ascii="宋体" w:hAnsi="宋体" w:cs="宋体"/>
          <w:b/>
          <w:bCs/>
          <w:color w:val="auto"/>
          <w:kern w:val="0"/>
          <w:szCs w:val="21"/>
        </w:rPr>
        <w:t>项目基本情况</w:t>
      </w:r>
    </w:p>
    <w:p>
      <w:pPr>
        <w:widowControl/>
        <w:numPr>
          <w:ilvl w:val="0"/>
          <w:numId w:val="11"/>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项目编号：</w:t>
      </w:r>
      <w:r>
        <w:rPr>
          <w:rFonts w:hint="eastAsia" w:ascii="宋体" w:hAnsi="宋体" w:cs="宋体"/>
          <w:color w:val="auto"/>
          <w:kern w:val="0"/>
          <w:szCs w:val="21"/>
          <w:lang w:eastAsia="zh-CN"/>
        </w:rPr>
        <w:t>NBZS-202204279G</w:t>
      </w:r>
    </w:p>
    <w:p>
      <w:pPr>
        <w:widowControl/>
        <w:numPr>
          <w:ilvl w:val="0"/>
          <w:numId w:val="11"/>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项目名称：</w:t>
      </w:r>
      <w:r>
        <w:rPr>
          <w:rFonts w:hint="eastAsia" w:ascii="宋体" w:hAnsi="宋体" w:cs="宋体"/>
          <w:color w:val="auto"/>
          <w:kern w:val="0"/>
          <w:szCs w:val="21"/>
          <w:lang w:val="en-US" w:eastAsia="zh-CN"/>
        </w:rPr>
        <w:t>宁波市“插卡式AIS”</w:t>
      </w:r>
    </w:p>
    <w:p>
      <w:pPr>
        <w:widowControl/>
        <w:numPr>
          <w:ilvl w:val="0"/>
          <w:numId w:val="11"/>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预算金额：</w:t>
      </w:r>
      <w:r>
        <w:rPr>
          <w:rFonts w:hint="eastAsia" w:ascii="宋体" w:hAnsi="宋体" w:cs="宋体"/>
          <w:color w:val="auto"/>
          <w:kern w:val="0"/>
          <w:szCs w:val="21"/>
          <w:lang w:val="en-US" w:eastAsia="zh-CN"/>
        </w:rPr>
        <w:t>1000</w:t>
      </w:r>
      <w:r>
        <w:rPr>
          <w:rFonts w:hint="eastAsia" w:ascii="宋体" w:hAnsi="宋体" w:cs="宋体"/>
          <w:color w:val="auto"/>
          <w:kern w:val="0"/>
          <w:szCs w:val="21"/>
        </w:rPr>
        <w:t>万元</w:t>
      </w:r>
    </w:p>
    <w:p>
      <w:pPr>
        <w:numPr>
          <w:ilvl w:val="0"/>
          <w:numId w:val="11"/>
        </w:numPr>
        <w:spacing w:line="360" w:lineRule="auto"/>
        <w:jc w:val="left"/>
        <w:rPr>
          <w:rFonts w:hint="eastAsia" w:ascii="宋体" w:hAnsi="宋体" w:cs="宋体"/>
          <w:color w:val="auto"/>
          <w:kern w:val="0"/>
          <w:szCs w:val="21"/>
        </w:rPr>
      </w:pPr>
      <w:r>
        <w:rPr>
          <w:rFonts w:hint="eastAsia" w:ascii="宋体" w:hAnsi="宋体" w:cs="宋体"/>
          <w:color w:val="auto"/>
          <w:kern w:val="0"/>
          <w:szCs w:val="21"/>
        </w:rPr>
        <w:t>最高限价：</w:t>
      </w:r>
      <w:r>
        <w:rPr>
          <w:rFonts w:hint="eastAsia" w:ascii="宋体" w:hAnsi="宋体" w:cs="宋体"/>
          <w:b w:val="0"/>
          <w:bCs w:val="0"/>
          <w:color w:val="auto"/>
          <w:kern w:val="0"/>
          <w:szCs w:val="21"/>
          <w:lang w:val="en-US" w:eastAsia="zh-CN"/>
        </w:rPr>
        <w:t>1000</w:t>
      </w:r>
      <w:r>
        <w:rPr>
          <w:rFonts w:hint="eastAsia" w:ascii="宋体" w:hAnsi="宋体" w:cs="宋体"/>
          <w:b w:val="0"/>
          <w:bCs w:val="0"/>
          <w:color w:val="auto"/>
          <w:kern w:val="0"/>
          <w:szCs w:val="21"/>
        </w:rPr>
        <w:t>万元</w:t>
      </w:r>
    </w:p>
    <w:p>
      <w:pPr>
        <w:numPr>
          <w:ilvl w:val="0"/>
          <w:numId w:val="11"/>
        </w:numPr>
        <w:spacing w:line="360" w:lineRule="auto"/>
        <w:rPr>
          <w:rFonts w:ascii="仿宋" w:hAnsi="仿宋" w:cs="宋体"/>
          <w:color w:val="auto"/>
          <w:kern w:val="0"/>
          <w:szCs w:val="21"/>
        </w:rPr>
      </w:pPr>
      <w:r>
        <w:rPr>
          <w:rFonts w:ascii="仿宋" w:hAnsi="仿宋" w:cs="宋体"/>
          <w:color w:val="auto"/>
          <w:kern w:val="0"/>
          <w:szCs w:val="21"/>
        </w:rPr>
        <w:t>采购需求：</w:t>
      </w:r>
    </w:p>
    <w:p>
      <w:pPr>
        <w:spacing w:line="360" w:lineRule="auto"/>
        <w:ind w:left="1260" w:leftChars="200" w:hanging="840" w:hangingChars="400"/>
        <w:rPr>
          <w:rFonts w:hint="eastAsia" w:ascii="宋体" w:hAnsi="宋体" w:eastAsia="宋体" w:cs="宋体"/>
          <w:color w:val="auto"/>
          <w:kern w:val="0"/>
          <w:szCs w:val="21"/>
          <w:lang w:eastAsia="zh-CN"/>
        </w:rPr>
      </w:pPr>
      <w:r>
        <w:rPr>
          <w:rFonts w:hint="eastAsia" w:ascii="宋体" w:hAnsi="宋体" w:cs="宋体"/>
          <w:color w:val="auto"/>
          <w:kern w:val="0"/>
          <w:szCs w:val="21"/>
        </w:rPr>
        <w:t>标项名称:</w:t>
      </w:r>
      <w:r>
        <w:rPr>
          <w:rFonts w:hint="eastAsia" w:ascii="宋体" w:hAnsi="宋体" w:cs="宋体"/>
          <w:color w:val="auto"/>
          <w:kern w:val="0"/>
          <w:szCs w:val="21"/>
          <w:lang w:eastAsia="zh-CN"/>
        </w:rPr>
        <w:t>宁波市“插卡式AIS”</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数量:1项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项目基本概况介绍：</w:t>
      </w:r>
      <w:r>
        <w:rPr>
          <w:rFonts w:hint="eastAsia" w:ascii="宋体" w:hAnsi="宋体" w:cs="宋体"/>
          <w:color w:val="0000FF"/>
          <w:kern w:val="0"/>
          <w:szCs w:val="21"/>
          <w:highlight w:val="none"/>
          <w:lang w:val="en-US" w:eastAsia="zh-CN"/>
        </w:rPr>
        <w:t>本项目采购内容为海洋渔船"插卡式AIS"更新改造。更新是指为所有海洋渔船新装一台独立式“插卡式AIS”(以下简称新机），改造是指为对原12米以上渔船配备的福建飞通FT-8700B型AIS（以下简称旧机）进行与新机的适配改造（必须消除MMSI模组），通过电缆线与新机连接，为新机外接一个显示、操控终端，以充分利旧并方便渔民使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具体内容见采购需求。</w:t>
      </w:r>
    </w:p>
    <w:p>
      <w:pPr>
        <w:pStyle w:val="15"/>
        <w:spacing w:after="0" w:line="360" w:lineRule="exact"/>
        <w:ind w:left="0" w:leftChars="0" w:firstLine="404"/>
        <w:rPr>
          <w:rFonts w:hint="eastAsia" w:ascii="仿宋" w:hAnsi="仿宋" w:cs="宋体"/>
          <w:color w:val="auto"/>
          <w:kern w:val="0"/>
          <w:szCs w:val="21"/>
        </w:rPr>
      </w:pPr>
      <w:r>
        <w:rPr>
          <w:rFonts w:hint="eastAsia" w:ascii="宋体" w:hAnsi="宋体" w:eastAsia="宋体" w:cs="宋体"/>
          <w:color w:val="auto"/>
          <w:spacing w:val="0"/>
          <w:kern w:val="0"/>
          <w:sz w:val="21"/>
          <w:szCs w:val="21"/>
          <w:highlight w:val="none"/>
          <w:lang w:val="en-US" w:eastAsia="zh-CN" w:bidi="ar-SA"/>
        </w:rPr>
        <w:t>合同履约期限：</w:t>
      </w:r>
      <w:r>
        <w:rPr>
          <w:rFonts w:hint="eastAsia" w:ascii="宋体" w:hAnsi="宋体" w:eastAsia="宋体" w:cs="Times New Roman"/>
          <w:color w:val="auto"/>
          <w:spacing w:val="0"/>
          <w:kern w:val="2"/>
          <w:sz w:val="21"/>
          <w:szCs w:val="21"/>
          <w:lang w:val="en-US" w:eastAsia="zh-CN" w:bidi="ar-SA"/>
        </w:rPr>
        <w:t>合同签订后90天内</w:t>
      </w:r>
      <w:r>
        <w:rPr>
          <w:rFonts w:hint="eastAsia" w:hAnsi="宋体" w:cs="Times New Roman"/>
          <w:color w:val="auto"/>
          <w:spacing w:val="0"/>
          <w:kern w:val="2"/>
          <w:sz w:val="21"/>
          <w:szCs w:val="21"/>
          <w:lang w:val="en-US" w:eastAsia="zh-CN" w:bidi="ar-SA"/>
        </w:rPr>
        <w:t>完成备</w:t>
      </w:r>
      <w:r>
        <w:rPr>
          <w:rFonts w:hint="eastAsia" w:ascii="宋体" w:hAnsi="宋体" w:eastAsia="宋体" w:cs="Times New Roman"/>
          <w:color w:val="auto"/>
          <w:spacing w:val="0"/>
          <w:kern w:val="2"/>
          <w:sz w:val="21"/>
          <w:szCs w:val="21"/>
          <w:lang w:val="en-US" w:eastAsia="zh-CN" w:bidi="ar-SA"/>
        </w:rPr>
        <w:t>货</w:t>
      </w:r>
      <w:r>
        <w:rPr>
          <w:rFonts w:hint="eastAsia" w:hAnsi="宋体" w:cs="Times New Roman"/>
          <w:color w:val="auto"/>
          <w:spacing w:val="0"/>
          <w:kern w:val="2"/>
          <w:sz w:val="21"/>
          <w:szCs w:val="21"/>
          <w:lang w:val="en-US" w:eastAsia="zh-CN" w:bidi="ar-SA"/>
        </w:rPr>
        <w:t>，2023年8月底前完成</w:t>
      </w:r>
      <w:r>
        <w:rPr>
          <w:rFonts w:hint="eastAsia" w:ascii="宋体" w:hAnsi="宋体" w:eastAsia="宋体" w:cs="Times New Roman"/>
          <w:color w:val="auto"/>
          <w:spacing w:val="0"/>
          <w:kern w:val="2"/>
          <w:sz w:val="21"/>
          <w:szCs w:val="21"/>
          <w:lang w:val="en-US" w:eastAsia="zh-CN" w:bidi="ar-SA"/>
        </w:rPr>
        <w:t>安装调试。</w:t>
      </w:r>
    </w:p>
    <w:p>
      <w:pPr>
        <w:widowControl/>
        <w:numPr>
          <w:ilvl w:val="0"/>
          <w:numId w:val="10"/>
        </w:numPr>
        <w:spacing w:before="225" w:after="225" w:line="300" w:lineRule="atLeast"/>
        <w:jc w:val="left"/>
        <w:rPr>
          <w:rFonts w:hint="eastAsia" w:ascii="宋体" w:hAnsi="宋体" w:cs="宋体"/>
          <w:color w:val="auto"/>
          <w:kern w:val="0"/>
          <w:szCs w:val="21"/>
        </w:rPr>
      </w:pPr>
      <w:r>
        <w:rPr>
          <w:rFonts w:hint="eastAsia" w:ascii="宋体" w:hAnsi="宋体" w:cs="宋体"/>
          <w:b/>
          <w:bCs/>
          <w:color w:val="auto"/>
          <w:kern w:val="0"/>
          <w:szCs w:val="21"/>
        </w:rPr>
        <w:t>申请人的资格要求</w:t>
      </w:r>
    </w:p>
    <w:p>
      <w:pPr>
        <w:widowControl/>
        <w:numPr>
          <w:ilvl w:val="0"/>
          <w:numId w:val="12"/>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满足《中华人民共和国政府采购法》第二十二条规定；未被（www.creditchina.gov.cn)“信用中国”、（www.ccgp.gov.cn）中国政府采购网列入失信被执行人、重大税收违法案件当事人名单、政府采购严重违法失信行为记录名单。</w:t>
      </w:r>
    </w:p>
    <w:p>
      <w:pPr>
        <w:widowControl/>
        <w:numPr>
          <w:ilvl w:val="0"/>
          <w:numId w:val="12"/>
        </w:numPr>
        <w:spacing w:before="75" w:after="75" w:line="300" w:lineRule="atLeast"/>
        <w:jc w:val="left"/>
        <w:rPr>
          <w:rFonts w:hint="eastAsia" w:ascii="宋体" w:hAnsi="宋体" w:cs="宋体"/>
          <w:color w:val="auto"/>
          <w:kern w:val="0"/>
          <w:szCs w:val="21"/>
          <w:lang w:val="en-US" w:eastAsia="zh-CN"/>
        </w:rPr>
      </w:pPr>
      <w:r>
        <w:rPr>
          <w:rFonts w:hint="eastAsia" w:ascii="宋体" w:hAnsi="宋体" w:cs="宋体"/>
          <w:color w:val="auto"/>
          <w:kern w:val="0"/>
          <w:szCs w:val="21"/>
        </w:rPr>
        <w:t>落实政府采购政策需满足的资格要求：</w:t>
      </w:r>
      <w:r>
        <w:rPr>
          <w:rFonts w:hint="eastAsia" w:ascii="宋体" w:hAnsi="宋体" w:cs="宋体"/>
          <w:color w:val="auto"/>
          <w:kern w:val="0"/>
          <w:szCs w:val="21"/>
          <w:lang w:val="en-US" w:eastAsia="zh-CN"/>
        </w:rPr>
        <w:t xml:space="preserve"> 本项目为专门面向中小企业采购的项目，货物全部由符合政策要求的中小企业制造，提供中小企业声明函。（货物制造商为监狱企业或残疾人福利性单位视同小型、微型企业）</w:t>
      </w:r>
    </w:p>
    <w:p>
      <w:pPr>
        <w:widowControl/>
        <w:numPr>
          <w:ilvl w:val="0"/>
          <w:numId w:val="12"/>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本项目的特定资格要求：无</w:t>
      </w:r>
    </w:p>
    <w:p>
      <w:pPr>
        <w:widowControl/>
        <w:numPr>
          <w:ilvl w:val="0"/>
          <w:numId w:val="12"/>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本项目</w:t>
      </w:r>
      <w:r>
        <w:rPr>
          <w:rFonts w:hint="eastAsia" w:ascii="宋体" w:hAnsi="宋体" w:cs="宋体"/>
          <w:color w:val="auto"/>
          <w:kern w:val="0"/>
          <w:szCs w:val="21"/>
          <w:u w:val="single"/>
        </w:rPr>
        <w:t>不接受</w:t>
      </w:r>
      <w:r>
        <w:rPr>
          <w:rFonts w:hint="eastAsia" w:ascii="宋体" w:hAnsi="宋体" w:cs="宋体"/>
          <w:color w:val="auto"/>
          <w:kern w:val="0"/>
          <w:szCs w:val="21"/>
        </w:rPr>
        <w:t>联合体投标。</w:t>
      </w:r>
    </w:p>
    <w:p>
      <w:pPr>
        <w:widowControl/>
        <w:numPr>
          <w:ilvl w:val="0"/>
          <w:numId w:val="10"/>
        </w:numPr>
        <w:spacing w:before="225" w:after="225" w:line="300" w:lineRule="atLeast"/>
        <w:jc w:val="left"/>
        <w:rPr>
          <w:rFonts w:hint="eastAsia" w:ascii="宋体" w:hAnsi="宋体" w:cs="宋体"/>
          <w:b/>
          <w:bCs/>
          <w:color w:val="auto"/>
          <w:kern w:val="0"/>
          <w:szCs w:val="21"/>
        </w:rPr>
      </w:pPr>
      <w:r>
        <w:rPr>
          <w:rFonts w:hint="eastAsia" w:ascii="宋体" w:hAnsi="宋体" w:cs="宋体"/>
          <w:b/>
          <w:bCs/>
          <w:color w:val="auto"/>
          <w:kern w:val="0"/>
          <w:szCs w:val="21"/>
        </w:rPr>
        <w:t>获取招标文件</w:t>
      </w:r>
    </w:p>
    <w:p>
      <w:pPr>
        <w:widowControl/>
        <w:numPr>
          <w:ilvl w:val="0"/>
          <w:numId w:val="13"/>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时间：公告发布之日起至2022年</w:t>
      </w:r>
      <w:r>
        <w:rPr>
          <w:rFonts w:hint="eastAsia" w:ascii="宋体" w:hAnsi="宋体" w:cs="宋体"/>
          <w:color w:val="auto"/>
          <w:kern w:val="0"/>
          <w:szCs w:val="21"/>
          <w:lang w:val="en-US" w:eastAsia="zh-CN"/>
        </w:rPr>
        <w:t>11</w:t>
      </w:r>
      <w:r>
        <w:rPr>
          <w:rFonts w:hint="eastAsia" w:ascii="宋体" w:hAnsi="宋体" w:cs="宋体"/>
          <w:color w:val="auto"/>
          <w:kern w:val="0"/>
          <w:szCs w:val="21"/>
        </w:rPr>
        <w:t>月</w:t>
      </w:r>
      <w:r>
        <w:rPr>
          <w:rFonts w:hint="eastAsia" w:ascii="宋体" w:hAnsi="宋体" w:cs="宋体"/>
          <w:color w:val="auto"/>
          <w:kern w:val="0"/>
          <w:szCs w:val="21"/>
          <w:lang w:val="en-US" w:eastAsia="zh-CN"/>
        </w:rPr>
        <w:t>11</w:t>
      </w:r>
      <w:r>
        <w:rPr>
          <w:rFonts w:hint="eastAsia" w:ascii="宋体" w:hAnsi="宋体" w:cs="宋体"/>
          <w:color w:val="auto"/>
          <w:kern w:val="0"/>
          <w:szCs w:val="21"/>
        </w:rPr>
        <w:t>日，每天上午00:00至12:00，下午12:00至23:59（北京时间，线上获取法定节假日均可，线下获取文件法定节假日除外）。</w:t>
      </w:r>
    </w:p>
    <w:p>
      <w:pPr>
        <w:widowControl/>
        <w:numPr>
          <w:ilvl w:val="0"/>
          <w:numId w:val="13"/>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地点（网址）：浙江政府采购云平台（www.zcygov.cn）。</w:t>
      </w:r>
    </w:p>
    <w:p>
      <w:pPr>
        <w:widowControl/>
        <w:numPr>
          <w:ilvl w:val="0"/>
          <w:numId w:val="13"/>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方式：潜在供应商需在政采云平台注册登记，登录政采云平台www.zcygov.cn/在线申请获取采购文件（进入“项目采购”应用，在获取采购文件菜单中选择项目，申请获取采购文件）。</w:t>
      </w:r>
    </w:p>
    <w:p>
      <w:pPr>
        <w:widowControl/>
        <w:numPr>
          <w:ilvl w:val="0"/>
          <w:numId w:val="13"/>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售价（元）：0</w:t>
      </w:r>
    </w:p>
    <w:p>
      <w:pPr>
        <w:widowControl/>
        <w:numPr>
          <w:ilvl w:val="0"/>
          <w:numId w:val="10"/>
        </w:numPr>
        <w:spacing w:before="225" w:after="225" w:line="300" w:lineRule="atLeast"/>
        <w:jc w:val="left"/>
        <w:rPr>
          <w:rFonts w:hint="eastAsia" w:ascii="宋体" w:hAnsi="宋体" w:cs="宋体"/>
          <w:b/>
          <w:bCs/>
          <w:color w:val="auto"/>
          <w:kern w:val="0"/>
          <w:szCs w:val="21"/>
        </w:rPr>
      </w:pPr>
      <w:r>
        <w:rPr>
          <w:rFonts w:hint="eastAsia" w:ascii="宋体" w:hAnsi="宋体" w:cs="宋体"/>
          <w:b/>
          <w:bCs/>
          <w:color w:val="auto"/>
          <w:kern w:val="0"/>
          <w:szCs w:val="21"/>
        </w:rPr>
        <w:t>提交投标文件截止时间、开标时间和地点</w:t>
      </w:r>
    </w:p>
    <w:p>
      <w:pPr>
        <w:widowControl/>
        <w:numPr>
          <w:ilvl w:val="0"/>
          <w:numId w:val="14"/>
        </w:numPr>
        <w:spacing w:before="75" w:after="75" w:line="300" w:lineRule="atLeast"/>
        <w:jc w:val="left"/>
        <w:rPr>
          <w:rFonts w:hint="eastAsia" w:ascii="宋体" w:hAnsi="宋体" w:cs="宋体"/>
          <w:color w:val="0000FF"/>
          <w:kern w:val="0"/>
          <w:szCs w:val="21"/>
        </w:rPr>
      </w:pPr>
      <w:r>
        <w:rPr>
          <w:rFonts w:hint="eastAsia" w:ascii="宋体" w:hAnsi="宋体" w:cs="宋体"/>
          <w:color w:val="auto"/>
          <w:kern w:val="0"/>
          <w:szCs w:val="21"/>
        </w:rPr>
        <w:t>提交投标文件截止时间：</w:t>
      </w:r>
      <w:r>
        <w:rPr>
          <w:rFonts w:hint="eastAsia" w:ascii="宋体" w:hAnsi="宋体" w:cs="宋体"/>
          <w:color w:val="0000FF"/>
          <w:kern w:val="0"/>
          <w:szCs w:val="21"/>
        </w:rPr>
        <w:t>2022年</w:t>
      </w:r>
      <w:r>
        <w:rPr>
          <w:rFonts w:hint="eastAsia" w:ascii="宋体" w:hAnsi="宋体" w:cs="宋体"/>
          <w:color w:val="0000FF"/>
          <w:kern w:val="0"/>
          <w:szCs w:val="21"/>
          <w:lang w:val="en-US" w:eastAsia="zh-CN"/>
        </w:rPr>
        <w:t>12月2日14</w:t>
      </w:r>
      <w:r>
        <w:rPr>
          <w:rFonts w:hint="eastAsia" w:ascii="宋体" w:hAnsi="宋体" w:cs="宋体"/>
          <w:color w:val="0000FF"/>
          <w:kern w:val="0"/>
          <w:szCs w:val="21"/>
        </w:rPr>
        <w:t>:00（北京时间）。</w:t>
      </w:r>
    </w:p>
    <w:p>
      <w:pPr>
        <w:widowControl/>
        <w:numPr>
          <w:ilvl w:val="0"/>
          <w:numId w:val="14"/>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投标地点（网址）：</w:t>
      </w:r>
      <w:r>
        <w:rPr>
          <w:rFonts w:hint="eastAsia" w:ascii="宋体" w:hAnsi="宋体" w:cs="宋体"/>
          <w:color w:val="auto"/>
          <w:szCs w:val="21"/>
        </w:rPr>
        <w:t>登录政府采购云平台（www.zcygov.cn）在线投标，并进行解密（解密时间为提交投标文件截止时间后30分钟内）。</w:t>
      </w:r>
    </w:p>
    <w:p>
      <w:pPr>
        <w:widowControl/>
        <w:numPr>
          <w:ilvl w:val="0"/>
          <w:numId w:val="14"/>
        </w:numPr>
        <w:spacing w:before="75" w:after="75" w:line="300" w:lineRule="atLeast"/>
        <w:jc w:val="left"/>
        <w:rPr>
          <w:rFonts w:hint="eastAsia" w:ascii="宋体" w:hAnsi="宋体" w:cs="宋体"/>
          <w:color w:val="auto"/>
          <w:kern w:val="0"/>
          <w:szCs w:val="21"/>
        </w:rPr>
      </w:pPr>
      <w:r>
        <w:rPr>
          <w:rFonts w:hint="eastAsia" w:ascii="宋体" w:hAnsi="宋体" w:cs="宋体"/>
          <w:color w:val="auto"/>
          <w:kern w:val="0"/>
          <w:szCs w:val="21"/>
        </w:rPr>
        <w:t>开标时间：</w:t>
      </w:r>
      <w:r>
        <w:rPr>
          <w:rFonts w:hint="eastAsia" w:ascii="宋体" w:hAnsi="宋体" w:cs="宋体"/>
          <w:color w:val="0000FF"/>
          <w:kern w:val="0"/>
          <w:szCs w:val="21"/>
        </w:rPr>
        <w:t>2022年</w:t>
      </w:r>
      <w:r>
        <w:rPr>
          <w:rFonts w:hint="eastAsia" w:ascii="宋体" w:hAnsi="宋体" w:cs="宋体"/>
          <w:color w:val="0000FF"/>
          <w:kern w:val="0"/>
          <w:szCs w:val="21"/>
          <w:lang w:val="en-US" w:eastAsia="zh-CN"/>
        </w:rPr>
        <w:t>12月2日14</w:t>
      </w:r>
      <w:r>
        <w:rPr>
          <w:rFonts w:hint="eastAsia" w:ascii="宋体" w:hAnsi="宋体" w:cs="宋体"/>
          <w:color w:val="0000FF"/>
          <w:kern w:val="0"/>
          <w:szCs w:val="21"/>
        </w:rPr>
        <w:t>:00（北京时间）。</w:t>
      </w:r>
    </w:p>
    <w:p>
      <w:pPr>
        <w:numPr>
          <w:ilvl w:val="0"/>
          <w:numId w:val="14"/>
        </w:numPr>
        <w:spacing w:line="360" w:lineRule="auto"/>
        <w:rPr>
          <w:rFonts w:hint="eastAsia" w:ascii="宋体" w:hAnsi="宋体" w:cs="宋体"/>
          <w:color w:val="auto"/>
          <w:szCs w:val="21"/>
        </w:rPr>
      </w:pPr>
      <w:r>
        <w:rPr>
          <w:rFonts w:hint="eastAsia" w:ascii="宋体" w:hAnsi="宋体" w:cs="宋体"/>
          <w:color w:val="auto"/>
          <w:kern w:val="0"/>
          <w:szCs w:val="21"/>
        </w:rPr>
        <w:t>开标地点（网址）：</w:t>
      </w:r>
      <w:r>
        <w:rPr>
          <w:rFonts w:hint="eastAsia" w:ascii="宋体" w:hAnsi="宋体" w:cs="宋体"/>
          <w:color w:val="auto"/>
          <w:szCs w:val="21"/>
        </w:rPr>
        <w:t>本项目通过“政府采购云平台”实行在线电子投标，供应商应在线参加开标。</w:t>
      </w:r>
    </w:p>
    <w:p>
      <w:pPr>
        <w:widowControl/>
        <w:numPr>
          <w:ilvl w:val="0"/>
          <w:numId w:val="10"/>
        </w:numPr>
        <w:spacing w:before="225" w:after="225" w:line="300" w:lineRule="atLeast"/>
        <w:jc w:val="left"/>
        <w:rPr>
          <w:rFonts w:hint="eastAsia" w:ascii="宋体" w:hAnsi="宋体" w:cs="宋体"/>
          <w:b/>
          <w:bCs/>
          <w:color w:val="auto"/>
          <w:kern w:val="0"/>
          <w:szCs w:val="21"/>
        </w:rPr>
      </w:pPr>
      <w:r>
        <w:rPr>
          <w:rFonts w:hint="eastAsia" w:ascii="宋体" w:hAnsi="宋体" w:cs="宋体"/>
          <w:b/>
          <w:bCs/>
          <w:color w:val="auto"/>
          <w:kern w:val="0"/>
          <w:szCs w:val="21"/>
        </w:rPr>
        <w:t>公告期限</w:t>
      </w:r>
    </w:p>
    <w:p>
      <w:pPr>
        <w:widowControl/>
        <w:spacing w:before="75" w:after="75"/>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自本公告发布之日起5个工作日。</w:t>
      </w:r>
    </w:p>
    <w:p>
      <w:pPr>
        <w:widowControl/>
        <w:numPr>
          <w:ilvl w:val="0"/>
          <w:numId w:val="10"/>
        </w:numPr>
        <w:spacing w:before="225" w:after="225" w:line="300" w:lineRule="atLeast"/>
        <w:jc w:val="left"/>
        <w:rPr>
          <w:rFonts w:hint="eastAsia" w:ascii="宋体" w:hAnsi="宋体" w:cs="宋体"/>
          <w:b/>
          <w:bCs/>
          <w:color w:val="auto"/>
          <w:kern w:val="0"/>
          <w:szCs w:val="21"/>
        </w:rPr>
      </w:pPr>
      <w:r>
        <w:rPr>
          <w:rFonts w:hint="eastAsia" w:ascii="宋体" w:hAnsi="宋体" w:cs="宋体"/>
          <w:b/>
          <w:bCs/>
          <w:color w:val="auto"/>
          <w:kern w:val="0"/>
          <w:szCs w:val="21"/>
        </w:rPr>
        <w:t>其他补充事宜</w:t>
      </w:r>
    </w:p>
    <w:p>
      <w:pPr>
        <w:widowControl/>
        <w:numPr>
          <w:ilvl w:val="0"/>
          <w:numId w:val="15"/>
        </w:numPr>
        <w:spacing w:before="75" w:after="75" w:line="360" w:lineRule="atLeast"/>
        <w:jc w:val="left"/>
        <w:rPr>
          <w:rFonts w:hint="eastAsia" w:ascii="宋体" w:hAnsi="宋体" w:cs="宋体"/>
          <w:color w:val="auto"/>
          <w:kern w:val="0"/>
          <w:szCs w:val="21"/>
        </w:rPr>
      </w:pPr>
      <w:r>
        <w:rPr>
          <w:rFonts w:hint="eastAsia" w:ascii="宋体" w:hAnsi="宋体" w:cs="宋体"/>
          <w:color w:val="auto"/>
          <w:kern w:val="0"/>
          <w:szCs w:val="21"/>
        </w:rPr>
        <w:t>供应商认为采购文件使自己的权益受到损害的，可以自获取采购文件之日或者采购文件公告期限届满之日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numPr>
          <w:ilvl w:val="0"/>
          <w:numId w:val="15"/>
        </w:numPr>
        <w:spacing w:before="75" w:after="75" w:line="360" w:lineRule="atLeast"/>
        <w:jc w:val="left"/>
        <w:rPr>
          <w:rFonts w:hint="eastAsia" w:ascii="宋体" w:hAnsi="宋体" w:cs="宋体"/>
          <w:color w:val="auto"/>
          <w:kern w:val="0"/>
          <w:szCs w:val="21"/>
        </w:rPr>
      </w:pPr>
      <w:r>
        <w:rPr>
          <w:rFonts w:hint="eastAsia" w:ascii="宋体" w:hAnsi="宋体" w:cs="宋体"/>
          <w:color w:val="auto"/>
          <w:kern w:val="0"/>
          <w:szCs w:val="21"/>
        </w:rPr>
        <w:t>落实的政策：《关于促进残疾人就业政府采购政策的通知》（财库[2017]141号）、《政府采购促进中小企业发展管理办法》（财库〔2020〕46号）、《关于政府采购支持监狱企业发展有关问题的通知》(财库[2014]68号)</w:t>
      </w:r>
      <w:r>
        <w:rPr>
          <w:rFonts w:hint="eastAsia" w:ascii="宋体" w:hAnsi="宋体" w:cs="宋体"/>
          <w:color w:val="auto"/>
          <w:kern w:val="0"/>
          <w:szCs w:val="21"/>
          <w:lang w:eastAsia="zh-CN"/>
        </w:rPr>
        <w:t>、</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rPr>
        <w:t>浙江省财政厅关于进一步加大政府采购支持中小企业力度助力扎实稳住经济的通知</w:t>
      </w:r>
      <w:r>
        <w:rPr>
          <w:rFonts w:hint="eastAsia" w:ascii="宋体" w:hAnsi="宋体" w:eastAsia="宋体" w:cs="宋体"/>
          <w:color w:val="auto"/>
          <w:kern w:val="0"/>
          <w:szCs w:val="21"/>
          <w:lang w:eastAsia="zh-CN"/>
        </w:rPr>
        <w:t>》（浙财采监〔2022〕8号）。</w:t>
      </w:r>
    </w:p>
    <w:p>
      <w:pPr>
        <w:widowControl/>
        <w:numPr>
          <w:ilvl w:val="0"/>
          <w:numId w:val="15"/>
        </w:numPr>
        <w:spacing w:line="336" w:lineRule="auto"/>
        <w:rPr>
          <w:rFonts w:hint="eastAsia" w:ascii="宋体" w:hAnsi="宋体" w:cs="宋体"/>
          <w:color w:val="auto"/>
          <w:kern w:val="0"/>
          <w:szCs w:val="21"/>
        </w:rPr>
      </w:pPr>
      <w:r>
        <w:rPr>
          <w:rFonts w:hint="eastAsia" w:ascii="宋体" w:hAnsi="宋体" w:cs="宋体"/>
          <w:color w:val="auto"/>
          <w:kern w:val="0"/>
          <w:szCs w:val="21"/>
        </w:rPr>
        <w:t>投标与开标注意事项：</w:t>
      </w:r>
    </w:p>
    <w:p>
      <w:pPr>
        <w:numPr>
          <w:ilvl w:val="0"/>
          <w:numId w:val="16"/>
        </w:numPr>
        <w:spacing w:line="360" w:lineRule="auto"/>
        <w:rPr>
          <w:rFonts w:hint="eastAsia" w:ascii="宋体" w:hAnsi="宋体" w:cs="宋体"/>
          <w:color w:val="auto"/>
          <w:kern w:val="0"/>
          <w:szCs w:val="21"/>
        </w:rPr>
      </w:pPr>
      <w:r>
        <w:rPr>
          <w:rFonts w:hint="eastAsia" w:ascii="宋体" w:hAnsi="宋体" w:cs="宋体"/>
          <w:color w:val="auto"/>
          <w:kern w:val="0"/>
          <w:szCs w:val="21"/>
        </w:rPr>
        <w:t>供应商需按照《浙江省政府采购供应商注册及诚信管理暂行办法》（浙财采监字{2009}28号）的规定在“浙江政府采购网”政采云平台注册登记的，成为浙江省政府采购注册供应商。并完成CA数字证书办理。因未注册入库、未办理CA数字证书等原因造成无法投标或投标失败等后果由供应商自行承担。</w:t>
      </w:r>
    </w:p>
    <w:p>
      <w:pPr>
        <w:numPr>
          <w:ilvl w:val="0"/>
          <w:numId w:val="16"/>
        </w:numPr>
        <w:spacing w:line="360" w:lineRule="auto"/>
        <w:rPr>
          <w:rFonts w:hint="eastAsia" w:ascii="宋体" w:hAnsi="宋体" w:cs="宋体"/>
          <w:color w:val="auto"/>
          <w:szCs w:val="21"/>
        </w:rPr>
      </w:pPr>
      <w:r>
        <w:rPr>
          <w:rFonts w:hint="eastAsia" w:ascii="宋体" w:hAnsi="宋体" w:cs="宋体"/>
          <w:color w:val="auto"/>
          <w:szCs w:val="21"/>
        </w:rPr>
        <w:t>单位负责人为同一人或者存在直接控股、管理关系的不同供应商，不得参加同一标项的投标。除单一来源采购项目外，为本项目提供整体设计、规范编制或者项目管理、监理、检测等服务的供应商，不得再参加本项目的投标；供应商不得为该整体项目或其中分项目前期工作提供过设计、编制、管理等服务的法人及附属单位。</w:t>
      </w:r>
    </w:p>
    <w:p>
      <w:pPr>
        <w:widowControl/>
        <w:numPr>
          <w:ilvl w:val="0"/>
          <w:numId w:val="16"/>
        </w:numPr>
        <w:spacing w:line="336" w:lineRule="auto"/>
        <w:rPr>
          <w:rFonts w:hint="eastAsia" w:ascii="宋体" w:hAnsi="宋体" w:cs="宋体"/>
          <w:color w:val="auto"/>
          <w:kern w:val="0"/>
          <w:szCs w:val="21"/>
        </w:rPr>
      </w:pPr>
      <w:r>
        <w:rPr>
          <w:rFonts w:hint="eastAsia" w:ascii="宋体" w:hAnsi="宋体" w:cs="宋体"/>
          <w:color w:val="auto"/>
          <w:kern w:val="0"/>
          <w:szCs w:val="21"/>
        </w:rPr>
        <w:t>不同投标文件上传的为同一网卡地址，或同一IP地址的为无效投标文件，并作为供应商之间串通响应处理。</w:t>
      </w:r>
    </w:p>
    <w:p>
      <w:pPr>
        <w:widowControl/>
        <w:numPr>
          <w:ilvl w:val="0"/>
          <w:numId w:val="16"/>
        </w:numPr>
        <w:spacing w:before="75" w:after="75" w:line="360" w:lineRule="atLeast"/>
        <w:jc w:val="left"/>
        <w:rPr>
          <w:rFonts w:hint="eastAsia" w:ascii="宋体" w:hAnsi="宋体" w:cs="宋体"/>
          <w:color w:val="auto"/>
          <w:kern w:val="0"/>
          <w:szCs w:val="21"/>
        </w:rPr>
      </w:pPr>
      <w:r>
        <w:rPr>
          <w:rFonts w:hint="eastAsia" w:ascii="宋体" w:hAnsi="宋体" w:cs="宋体"/>
          <w:color w:val="auto"/>
          <w:kern w:val="0"/>
          <w:szCs w:val="21"/>
        </w:rPr>
        <w:t>供应商上传平台的是后缀为.jmbs的加密文件，递交给招标代理公司的是后缀为.bfbs的备份文件，未及时解密的责任自负。</w:t>
      </w:r>
    </w:p>
    <w:p>
      <w:pPr>
        <w:widowControl/>
        <w:numPr>
          <w:ilvl w:val="0"/>
          <w:numId w:val="16"/>
        </w:numPr>
        <w:spacing w:before="75" w:after="75" w:line="360" w:lineRule="atLeast"/>
        <w:jc w:val="left"/>
        <w:rPr>
          <w:rFonts w:hint="eastAsia" w:ascii="宋体" w:hAnsi="宋体" w:cs="宋体"/>
          <w:color w:val="auto"/>
          <w:kern w:val="0"/>
          <w:szCs w:val="21"/>
        </w:rPr>
      </w:pPr>
      <w:r>
        <w:rPr>
          <w:rFonts w:hint="eastAsia" w:ascii="宋体" w:hAnsi="宋体" w:cs="宋体"/>
          <w:color w:val="auto"/>
          <w:kern w:val="0"/>
          <w:szCs w:val="21"/>
        </w:rPr>
        <w:t>本项目实行网上投标，采用电子投标文件。若供应商参与投标，自行承担投保过程中的一切费用。</w:t>
      </w:r>
    </w:p>
    <w:p>
      <w:pPr>
        <w:widowControl/>
        <w:numPr>
          <w:ilvl w:val="0"/>
          <w:numId w:val="10"/>
        </w:numPr>
        <w:spacing w:before="225" w:after="225" w:line="300" w:lineRule="atLeast"/>
        <w:jc w:val="left"/>
        <w:rPr>
          <w:rFonts w:hint="eastAsia" w:ascii="宋体" w:hAnsi="宋体" w:cs="宋体"/>
          <w:b/>
          <w:bCs/>
          <w:color w:val="auto"/>
          <w:kern w:val="0"/>
          <w:szCs w:val="21"/>
        </w:rPr>
      </w:pPr>
      <w:r>
        <w:rPr>
          <w:rFonts w:hint="eastAsia" w:ascii="宋体" w:hAnsi="宋体" w:cs="宋体"/>
          <w:b/>
          <w:bCs/>
          <w:color w:val="auto"/>
          <w:kern w:val="0"/>
          <w:szCs w:val="21"/>
        </w:rPr>
        <w:t>对本次采购提出询问、质疑、投诉，请按以下方式联系</w:t>
      </w:r>
    </w:p>
    <w:p>
      <w:pPr>
        <w:numPr>
          <w:ilvl w:val="0"/>
          <w:numId w:val="17"/>
        </w:numPr>
        <w:snapToGrid w:val="0"/>
        <w:spacing w:line="360" w:lineRule="auto"/>
        <w:rPr>
          <w:rFonts w:hint="eastAsia" w:ascii="宋体" w:hAnsi="宋体" w:cs="宋体"/>
          <w:color w:val="auto"/>
          <w:szCs w:val="21"/>
        </w:rPr>
      </w:pPr>
      <w:r>
        <w:rPr>
          <w:rFonts w:hint="eastAsia" w:ascii="宋体" w:hAnsi="宋体" w:cs="宋体"/>
          <w:color w:val="auto"/>
          <w:szCs w:val="21"/>
        </w:rPr>
        <w:t>采购人信息</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名    称：宁波市农业农村大数据发展中心</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地    址：宁波市海曙区中山西路618号</w:t>
      </w:r>
    </w:p>
    <w:p>
      <w:pPr>
        <w:snapToGrid w:val="0"/>
        <w:spacing w:line="360" w:lineRule="auto"/>
        <w:ind w:firstLine="411" w:firstLineChars="196"/>
        <w:rPr>
          <w:rFonts w:hint="eastAsia" w:ascii="宋体" w:hAnsi="宋体" w:eastAsia="宋体" w:cs="宋体"/>
          <w:color w:val="auto"/>
          <w:szCs w:val="21"/>
          <w:lang w:eastAsia="zh-CN"/>
        </w:rPr>
      </w:pPr>
      <w:r>
        <w:rPr>
          <w:rFonts w:hint="eastAsia" w:ascii="宋体" w:hAnsi="宋体" w:cs="宋体"/>
          <w:color w:val="auto"/>
          <w:szCs w:val="21"/>
        </w:rPr>
        <w:t>项目联系人：</w:t>
      </w:r>
      <w:r>
        <w:rPr>
          <w:rFonts w:hint="eastAsia" w:ascii="宋体" w:hAnsi="宋体" w:cs="宋体"/>
          <w:color w:val="auto"/>
          <w:szCs w:val="21"/>
          <w:lang w:eastAsia="zh-CN"/>
        </w:rPr>
        <w:t>励老师</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项目联系方</w:t>
      </w:r>
      <w:r>
        <w:rPr>
          <w:rFonts w:hint="eastAsia" w:ascii="宋体" w:hAnsi="宋体" w:eastAsia="宋体" w:cs="宋体"/>
          <w:color w:val="auto"/>
          <w:szCs w:val="21"/>
        </w:rPr>
        <w:t>式：</w:t>
      </w:r>
      <w:r>
        <w:rPr>
          <w:rFonts w:hint="eastAsia" w:ascii="宋体" w:hAnsi="宋体" w:eastAsia="宋体" w:cs="宋体"/>
          <w:color w:val="auto"/>
          <w:szCs w:val="21"/>
          <w:lang w:val="en-US" w:eastAsia="zh-CN"/>
        </w:rPr>
        <w:t>0574-</w:t>
      </w:r>
      <w:r>
        <w:rPr>
          <w:rFonts w:hint="eastAsia" w:ascii="宋体" w:hAnsi="宋体" w:eastAsia="宋体" w:cs="宋体"/>
          <w:color w:val="auto"/>
          <w:szCs w:val="21"/>
        </w:rPr>
        <w:t>87383752</w:t>
      </w:r>
    </w:p>
    <w:p>
      <w:pPr>
        <w:snapToGrid w:val="0"/>
        <w:spacing w:line="360" w:lineRule="auto"/>
        <w:ind w:firstLine="411" w:firstLineChars="196"/>
        <w:rPr>
          <w:rFonts w:hint="eastAsia" w:ascii="宋体" w:hAnsi="宋体" w:eastAsia="宋体" w:cs="宋体"/>
          <w:color w:val="auto"/>
          <w:szCs w:val="21"/>
          <w:lang w:eastAsia="zh-CN"/>
        </w:rPr>
      </w:pPr>
      <w:r>
        <w:rPr>
          <w:rFonts w:hint="eastAsia" w:ascii="宋体" w:hAnsi="宋体" w:cs="宋体"/>
          <w:color w:val="auto"/>
          <w:szCs w:val="21"/>
        </w:rPr>
        <w:t>质疑联系人：</w:t>
      </w:r>
      <w:r>
        <w:rPr>
          <w:rFonts w:hint="eastAsia" w:ascii="宋体" w:hAnsi="宋体" w:cs="宋体"/>
          <w:color w:val="auto"/>
          <w:szCs w:val="21"/>
          <w:lang w:val="en-US" w:eastAsia="zh-CN"/>
        </w:rPr>
        <w:t>乐老师</w:t>
      </w:r>
    </w:p>
    <w:p>
      <w:pPr>
        <w:snapToGrid w:val="0"/>
        <w:spacing w:line="360" w:lineRule="auto"/>
        <w:ind w:firstLine="411" w:firstLineChars="196"/>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质疑联系方式：</w:t>
      </w:r>
      <w:r>
        <w:rPr>
          <w:rFonts w:hint="eastAsia" w:ascii="宋体" w:hAnsi="宋体" w:eastAsia="宋体" w:cs="宋体"/>
          <w:color w:val="auto"/>
          <w:szCs w:val="21"/>
          <w:lang w:val="en-US" w:eastAsia="zh-CN"/>
        </w:rPr>
        <w:t>0574-</w:t>
      </w:r>
      <w:r>
        <w:rPr>
          <w:rFonts w:hint="eastAsia" w:ascii="宋体" w:hAnsi="宋体" w:eastAsia="宋体" w:cs="宋体"/>
          <w:color w:val="auto"/>
          <w:szCs w:val="21"/>
        </w:rPr>
        <w:t>87383752</w:t>
      </w:r>
    </w:p>
    <w:p>
      <w:pPr>
        <w:rPr>
          <w:rFonts w:hint="eastAsia"/>
          <w:color w:val="auto"/>
          <w:lang w:val="en-US" w:eastAsia="zh-CN"/>
        </w:rPr>
      </w:pPr>
    </w:p>
    <w:p>
      <w:pPr>
        <w:numPr>
          <w:ilvl w:val="0"/>
          <w:numId w:val="17"/>
        </w:numPr>
        <w:snapToGrid w:val="0"/>
        <w:spacing w:line="360" w:lineRule="auto"/>
        <w:rPr>
          <w:rFonts w:hint="eastAsia" w:ascii="宋体" w:hAnsi="宋体" w:cs="宋体"/>
          <w:color w:val="auto"/>
          <w:szCs w:val="21"/>
        </w:rPr>
      </w:pPr>
      <w:r>
        <w:rPr>
          <w:rFonts w:hint="eastAsia" w:ascii="宋体" w:hAnsi="宋体" w:cs="宋体"/>
          <w:color w:val="auto"/>
          <w:szCs w:val="21"/>
        </w:rPr>
        <w:t>采购代理机构信息</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名    称：宁波中穗招标有限公司 </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地    址：宁波市翠柏路89号宁波工程学院公共培训平台大楼A座1109室 </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 xml:space="preserve">项目联系人（询问）：马倩倩 求华勇  庞港腾  </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项目联系方式（询问）：0574-87151163 </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质疑联系人：俞力甩</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质疑联系方式：0574-87152663 </w:t>
      </w:r>
    </w:p>
    <w:p>
      <w:pPr>
        <w:snapToGrid w:val="0"/>
        <w:spacing w:line="360" w:lineRule="auto"/>
        <w:rPr>
          <w:rFonts w:hint="eastAsia" w:ascii="宋体" w:hAnsi="宋体" w:cs="宋体"/>
          <w:color w:val="auto"/>
          <w:szCs w:val="21"/>
        </w:rPr>
      </w:pPr>
    </w:p>
    <w:p>
      <w:pPr>
        <w:numPr>
          <w:ilvl w:val="0"/>
          <w:numId w:val="17"/>
        </w:numPr>
        <w:snapToGrid w:val="0"/>
        <w:spacing w:line="360" w:lineRule="auto"/>
        <w:rPr>
          <w:rFonts w:hint="eastAsia" w:ascii="宋体" w:hAnsi="宋体" w:cs="宋体"/>
          <w:color w:val="auto"/>
          <w:szCs w:val="21"/>
        </w:rPr>
      </w:pPr>
      <w:r>
        <w:rPr>
          <w:rFonts w:hint="eastAsia" w:ascii="宋体" w:hAnsi="宋体" w:cs="宋体"/>
          <w:color w:val="auto"/>
          <w:szCs w:val="21"/>
        </w:rPr>
        <w:t>同级政府采购监督管理部门</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名    称：宁波市政府采购管理办公室  </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联  系  人 ：</w:t>
      </w:r>
      <w:r>
        <w:rPr>
          <w:rFonts w:hint="eastAsia" w:ascii="宋体" w:hAnsi="宋体" w:cs="宋体"/>
          <w:color w:val="auto"/>
          <w:szCs w:val="21"/>
          <w:lang w:val="en-US" w:eastAsia="zh-CN"/>
        </w:rPr>
        <w:t>李</w:t>
      </w:r>
      <w:r>
        <w:rPr>
          <w:rFonts w:hint="eastAsia" w:ascii="宋体" w:hAnsi="宋体" w:cs="宋体"/>
          <w:color w:val="auto"/>
          <w:szCs w:val="21"/>
        </w:rPr>
        <w:t>老师 </w:t>
      </w:r>
    </w:p>
    <w:p>
      <w:pPr>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监督投诉电话：0574-89388042</w:t>
      </w:r>
    </w:p>
    <w:p>
      <w:pPr>
        <w:pStyle w:val="73"/>
        <w:rPr>
          <w:rFonts w:hint="eastAsia" w:ascii="宋体" w:hAnsi="宋体" w:cs="宋体"/>
          <w:color w:val="auto"/>
          <w:sz w:val="24"/>
          <w:szCs w:val="24"/>
        </w:rPr>
      </w:pPr>
    </w:p>
    <w:p>
      <w:pPr>
        <w:ind w:firstLine="422" w:firstLineChars="200"/>
        <w:rPr>
          <w:rFonts w:hint="eastAsia" w:ascii="宋体" w:hAnsi="宋体" w:cs="宋体"/>
          <w:b/>
          <w:bCs/>
          <w:color w:val="auto"/>
        </w:rPr>
      </w:pPr>
      <w:r>
        <w:rPr>
          <w:rFonts w:hint="eastAsia" w:ascii="宋体" w:hAnsi="宋体" w:cs="宋体"/>
          <w:b/>
          <w:bCs/>
          <w:color w:val="auto"/>
        </w:rPr>
        <w:t>若对项目采购电子交易系统操作有疑问，可登录政采云（https://www.zcygov.cn/），点击右侧咨询小采，获取采小蜜智能服务管家帮助，或拨打政采云服务热线400-881-7190获取热线服务帮助。        </w:t>
      </w:r>
    </w:p>
    <w:p>
      <w:pPr>
        <w:ind w:firstLine="422" w:firstLineChars="200"/>
        <w:rPr>
          <w:rFonts w:hint="eastAsia" w:ascii="宋体" w:hAnsi="宋体" w:cs="宋体"/>
          <w:b/>
          <w:bCs/>
          <w:color w:val="auto"/>
        </w:rPr>
        <w:sectPr>
          <w:footerReference r:id="rId7" w:type="default"/>
          <w:pgSz w:w="11907" w:h="16840"/>
          <w:pgMar w:top="1440" w:right="1800" w:bottom="1440" w:left="1519" w:header="720" w:footer="720" w:gutter="0"/>
          <w:pgBorders>
            <w:top w:val="none" w:sz="0" w:space="0"/>
            <w:left w:val="none" w:sz="0" w:space="0"/>
            <w:bottom w:val="none" w:sz="0" w:space="0"/>
            <w:right w:val="none" w:sz="0" w:space="0"/>
          </w:pgBorders>
          <w:pgNumType w:start="1"/>
          <w:cols w:space="720" w:num="1"/>
          <w:docGrid w:linePitch="285" w:charSpace="0"/>
        </w:sectPr>
      </w:pPr>
      <w:r>
        <w:rPr>
          <w:rFonts w:hint="eastAsia" w:ascii="宋体" w:hAnsi="宋体" w:cs="宋体"/>
          <w:b/>
          <w:bCs/>
          <w:color w:val="auto"/>
        </w:rPr>
        <w:t>CA问题服务电话（人工）：汇信CA 400-888-4636；天谷CA 400-087-8198</w:t>
      </w:r>
    </w:p>
    <w:p>
      <w:pPr>
        <w:pStyle w:val="3"/>
        <w:spacing w:before="0" w:after="0" w:line="360" w:lineRule="auto"/>
        <w:jc w:val="center"/>
        <w:rPr>
          <w:rFonts w:hint="eastAsia" w:ascii="宋体" w:hAnsi="宋体" w:cs="宋体"/>
          <w:color w:val="auto"/>
          <w:sz w:val="30"/>
        </w:rPr>
      </w:pPr>
      <w:bookmarkStart w:id="12" w:name="_Toc13003"/>
      <w:bookmarkStart w:id="13" w:name="_Toc15970"/>
      <w:bookmarkStart w:id="14" w:name="_Toc5076"/>
      <w:bookmarkStart w:id="15" w:name="_Toc79395433"/>
      <w:bookmarkStart w:id="16" w:name="_Toc29820"/>
      <w:bookmarkStart w:id="17" w:name="_Toc27853"/>
      <w:bookmarkStart w:id="18" w:name="_Toc19221"/>
      <w:bookmarkStart w:id="19" w:name="_Toc460416585"/>
      <w:bookmarkStart w:id="20" w:name="_Toc460857891"/>
      <w:r>
        <w:rPr>
          <w:rFonts w:hint="eastAsia" w:ascii="宋体" w:hAnsi="宋体" w:cs="宋体"/>
          <w:color w:val="auto"/>
          <w:sz w:val="30"/>
        </w:rPr>
        <w:t>第二章  采购需求</w:t>
      </w:r>
      <w:bookmarkEnd w:id="12"/>
      <w:bookmarkEnd w:id="13"/>
      <w:bookmarkEnd w:id="14"/>
      <w:bookmarkEnd w:id="15"/>
      <w:bookmarkEnd w:id="16"/>
      <w:bookmarkEnd w:id="17"/>
      <w:bookmarkEnd w:id="18"/>
      <w:bookmarkEnd w:id="19"/>
      <w:bookmarkEnd w:id="20"/>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auto"/>
          <w:szCs w:val="21"/>
        </w:rPr>
      </w:pPr>
      <w:bookmarkStart w:id="21" w:name="_Toc11761"/>
      <w:bookmarkStart w:id="22" w:name="_Toc79395437"/>
      <w:bookmarkStart w:id="23" w:name="_Toc10729"/>
      <w:bookmarkStart w:id="24" w:name="_Toc9634"/>
      <w:bookmarkStart w:id="25" w:name="_Toc4069"/>
      <w:bookmarkStart w:id="26" w:name="_Toc14945"/>
      <w:r>
        <w:rPr>
          <w:rFonts w:hint="eastAsia" w:ascii="宋体" w:hAnsi="宋体" w:eastAsia="宋体" w:cs="Times New Roman"/>
          <w:color w:val="auto"/>
          <w:szCs w:val="21"/>
        </w:rPr>
        <w:t xml:space="preserve">   </w:t>
      </w:r>
    </w:p>
    <w:p>
      <w:pPr>
        <w:snapToGrid w:val="0"/>
        <w:spacing w:line="360" w:lineRule="exact"/>
        <w:rPr>
          <w:rFonts w:ascii="宋体" w:hAnsi="宋体"/>
          <w:b/>
          <w:color w:val="auto"/>
          <w:szCs w:val="21"/>
        </w:rPr>
      </w:pPr>
      <w:bookmarkStart w:id="27" w:name="_Toc21555"/>
      <w:r>
        <w:rPr>
          <w:rFonts w:ascii="宋体" w:hAnsi="宋体"/>
          <w:b/>
          <w:color w:val="auto"/>
          <w:szCs w:val="21"/>
        </w:rPr>
        <w:t>一、</w:t>
      </w:r>
      <w:bookmarkStart w:id="28" w:name="_Toc173123581"/>
      <w:bookmarkStart w:id="29" w:name="_Toc213418196"/>
      <w:bookmarkStart w:id="30" w:name="_Toc172432836"/>
      <w:bookmarkStart w:id="31" w:name="_Toc173749303"/>
      <w:r>
        <w:rPr>
          <w:rFonts w:ascii="宋体" w:hAnsi="宋体"/>
          <w:b/>
          <w:color w:val="auto"/>
          <w:szCs w:val="21"/>
        </w:rPr>
        <w:t>采购</w:t>
      </w:r>
      <w:r>
        <w:rPr>
          <w:rFonts w:hint="eastAsia" w:ascii="宋体" w:hAnsi="宋体"/>
          <w:b/>
          <w:color w:val="auto"/>
          <w:szCs w:val="21"/>
        </w:rPr>
        <w:t>内容及要求</w:t>
      </w:r>
    </w:p>
    <w:p>
      <w:pPr>
        <w:pStyle w:val="2"/>
        <w:ind w:firstLine="420" w:firstLineChars="200"/>
        <w:jc w:val="left"/>
        <w:rPr>
          <w:rFonts w:hint="default" w:eastAsia="宋体"/>
          <w:color w:val="auto"/>
          <w:lang w:val="en-US" w:eastAsia="zh-CN"/>
        </w:rPr>
      </w:pPr>
      <w:r>
        <w:rPr>
          <w:rFonts w:hint="eastAsia" w:ascii="宋体" w:hAnsi="宋体" w:eastAsia="宋体" w:cs="Times New Roman"/>
          <w:color w:val="0000FF"/>
          <w:kern w:val="2"/>
          <w:sz w:val="21"/>
          <w:szCs w:val="21"/>
          <w:lang w:val="en-US" w:eastAsia="zh-CN" w:bidi="ar-SA"/>
        </w:rPr>
        <w:t>本项目采购内容为海洋渔船"插卡式AIS"更新改造。更新是指为所有海洋渔船新装一台独立式“插卡式AIS”(以下简称新机），改造是指为对原12米以上渔船配备的福建飞通FT-8700B型AIS（以下简称旧机）进行与新机的适配改造（必须消除MMSI模组），通过电缆线与新机连接，为新机外接一个显示、操控终端，以充分利旧并方便渔民使用</w:t>
      </w:r>
      <w:r>
        <w:rPr>
          <w:rFonts w:hint="eastAsia" w:ascii="宋体" w:hAnsi="宋体"/>
          <w:color w:val="0000FF"/>
          <w:szCs w:val="21"/>
          <w:lang w:val="en-US" w:eastAsia="zh-CN"/>
        </w:rPr>
        <w:t xml:space="preserve">。  </w:t>
      </w:r>
      <w:r>
        <w:rPr>
          <w:rFonts w:hint="eastAsia" w:ascii="宋体" w:hAnsi="宋体"/>
          <w:color w:val="auto"/>
          <w:szCs w:val="21"/>
          <w:lang w:val="en-US" w:eastAsia="zh-CN"/>
        </w:rPr>
        <w:t xml:space="preserve">  </w:t>
      </w:r>
    </w:p>
    <w:p>
      <w:pPr>
        <w:numPr>
          <w:ilvl w:val="0"/>
          <w:numId w:val="18"/>
        </w:numPr>
        <w:spacing w:line="360" w:lineRule="exact"/>
        <w:rPr>
          <w:rFonts w:ascii="宋体" w:hAnsi="宋体"/>
          <w:color w:val="auto"/>
          <w:szCs w:val="21"/>
        </w:rPr>
      </w:pPr>
      <w:r>
        <w:rPr>
          <w:rFonts w:ascii="宋体" w:hAnsi="宋体"/>
          <w:b/>
          <w:color w:val="auto"/>
          <w:szCs w:val="21"/>
        </w:rPr>
        <w:t>设备清单及技术要求</w:t>
      </w:r>
      <w:bookmarkEnd w:id="28"/>
      <w:bookmarkEnd w:id="29"/>
      <w:bookmarkEnd w:id="30"/>
      <w:bookmarkEnd w:id="31"/>
      <w:r>
        <w:rPr>
          <w:rFonts w:ascii="宋体" w:hAnsi="宋体"/>
          <w:color w:val="auto"/>
          <w:szCs w:val="21"/>
        </w:rPr>
        <w:t xml:space="preserve"> </w:t>
      </w:r>
    </w:p>
    <w:p>
      <w:pPr>
        <w:pStyle w:val="2"/>
        <w:numPr>
          <w:ilvl w:val="0"/>
          <w:numId w:val="19"/>
        </w:numPr>
        <w:rPr>
          <w:rFonts w:hint="eastAsia" w:ascii="宋体" w:hAnsi="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设备清单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本次采购</w:t>
      </w:r>
      <w:r>
        <w:rPr>
          <w:rFonts w:hint="eastAsia" w:ascii="宋体" w:hAnsi="宋体" w:cs="宋体"/>
          <w:color w:val="0000FF"/>
          <w:sz w:val="21"/>
          <w:szCs w:val="21"/>
          <w:lang w:val="en-US" w:eastAsia="zh-CN"/>
        </w:rPr>
        <w:t>新机</w:t>
      </w:r>
      <w:r>
        <w:rPr>
          <w:rFonts w:hint="eastAsia" w:ascii="宋体" w:hAnsi="宋体"/>
          <w:color w:val="auto"/>
          <w:szCs w:val="21"/>
          <w:lang w:val="en-US" w:eastAsia="zh-CN"/>
        </w:rPr>
        <w:t>4000套，升级改造</w:t>
      </w:r>
      <w:r>
        <w:rPr>
          <w:rFonts w:hint="eastAsia" w:ascii="宋体" w:hAnsi="宋体"/>
          <w:color w:val="0000FF"/>
          <w:sz w:val="21"/>
          <w:szCs w:val="21"/>
          <w:lang w:val="en-US" w:eastAsia="zh-CN"/>
        </w:rPr>
        <w:t>旧机</w:t>
      </w:r>
      <w:r>
        <w:rPr>
          <w:rFonts w:hint="eastAsia" w:ascii="宋体" w:hAnsi="宋体"/>
          <w:color w:val="auto"/>
          <w:szCs w:val="21"/>
          <w:lang w:val="en-US" w:eastAsia="zh-CN"/>
        </w:rPr>
        <w:t>2500套。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备注：因渔船数量动态变化较大，最终决算按实际安装数量为准，但业主承诺安装舱外单元数量不少于3000套，舱内单元改造不少于2000套。</w:t>
      </w:r>
    </w:p>
    <w:p>
      <w:pPr>
        <w:pStyle w:val="2"/>
        <w:rPr>
          <w:rFonts w:hint="default"/>
          <w:color w:val="auto"/>
          <w:lang w:val="en-US" w:eastAsia="zh-CN"/>
        </w:rPr>
      </w:pPr>
    </w:p>
    <w:p>
      <w:pPr>
        <w:numPr>
          <w:ilvl w:val="0"/>
          <w:numId w:val="19"/>
        </w:numPr>
        <w:rPr>
          <w:rFonts w:hint="default"/>
          <w:color w:val="auto"/>
          <w:lang w:val="en-US" w:eastAsia="zh-CN"/>
        </w:rPr>
      </w:pPr>
      <w:r>
        <w:rPr>
          <w:rFonts w:hint="eastAsia"/>
          <w:color w:val="auto"/>
          <w:lang w:val="en-US" w:eastAsia="zh-CN"/>
        </w:rPr>
        <w:t>技术要求</w:t>
      </w:r>
    </w:p>
    <w:tbl>
      <w:tblPr>
        <w:tblStyle w:val="39"/>
        <w:tblpPr w:leftFromText="180" w:rightFromText="180" w:vertAnchor="text" w:horzAnchor="page" w:tblpX="1083" w:tblpY="408"/>
        <w:tblOverlap w:val="never"/>
        <w:tblW w:w="10250"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850"/>
        <w:gridCol w:w="1416"/>
        <w:gridCol w:w="798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434" w:hRule="atLeast"/>
        </w:trPr>
        <w:tc>
          <w:tcPr>
            <w:tcW w:w="850" w:type="dxa"/>
            <w:tcBorders>
              <w:top w:val="single" w:color="00000A" w:sz="4" w:space="0"/>
              <w:left w:val="single" w:color="00000A" w:sz="4" w:space="0"/>
              <w:bottom w:val="single" w:color="00000A" w:sz="4" w:space="0"/>
              <w:right w:val="single" w:color="00000A" w:sz="4" w:space="0"/>
            </w:tcBorders>
            <w:noWrap w:val="0"/>
            <w:tcMar>
              <w:left w:w="108" w:type="dxa"/>
            </w:tcMar>
            <w:vAlign w:val="center"/>
          </w:tcPr>
          <w:p>
            <w:pPr>
              <w:spacing w:line="360" w:lineRule="exact"/>
              <w:jc w:val="center"/>
              <w:rPr>
                <w:rFonts w:ascii="宋体" w:hAnsi="宋体"/>
                <w:b/>
                <w:bCs/>
                <w:color w:val="auto"/>
                <w:szCs w:val="21"/>
              </w:rPr>
            </w:pPr>
            <w:r>
              <w:rPr>
                <w:rFonts w:ascii="宋体" w:hAnsi="宋体"/>
                <w:b/>
                <w:bCs/>
                <w:color w:val="auto"/>
                <w:szCs w:val="21"/>
              </w:rPr>
              <w:t>编号</w:t>
            </w:r>
          </w:p>
        </w:tc>
        <w:tc>
          <w:tcPr>
            <w:tcW w:w="1416" w:type="dxa"/>
            <w:tcBorders>
              <w:top w:val="single" w:color="00000A" w:sz="4" w:space="0"/>
              <w:left w:val="single" w:color="00000A" w:sz="4" w:space="0"/>
              <w:bottom w:val="single" w:color="00000A" w:sz="4" w:space="0"/>
              <w:right w:val="single" w:color="00000A" w:sz="4" w:space="0"/>
            </w:tcBorders>
            <w:noWrap w:val="0"/>
            <w:tcMar>
              <w:left w:w="108" w:type="dxa"/>
            </w:tcMar>
            <w:vAlign w:val="center"/>
          </w:tcPr>
          <w:p>
            <w:pPr>
              <w:spacing w:line="360" w:lineRule="exact"/>
              <w:jc w:val="center"/>
              <w:rPr>
                <w:rFonts w:ascii="宋体" w:hAnsi="宋体"/>
                <w:b/>
                <w:bCs/>
                <w:color w:val="auto"/>
                <w:szCs w:val="21"/>
              </w:rPr>
            </w:pPr>
            <w:r>
              <w:rPr>
                <w:rFonts w:ascii="宋体" w:hAnsi="宋体"/>
                <w:b/>
                <w:bCs/>
                <w:color w:val="auto"/>
                <w:szCs w:val="21"/>
              </w:rPr>
              <w:t>货物名称</w:t>
            </w:r>
          </w:p>
        </w:tc>
        <w:tc>
          <w:tcPr>
            <w:tcW w:w="7984" w:type="dxa"/>
            <w:tcBorders>
              <w:top w:val="single" w:color="00000A" w:sz="4" w:space="0"/>
              <w:left w:val="single" w:color="00000A" w:sz="4" w:space="0"/>
              <w:bottom w:val="single" w:color="00000A" w:sz="4" w:space="0"/>
              <w:right w:val="single" w:color="00000A" w:sz="4" w:space="0"/>
            </w:tcBorders>
            <w:noWrap w:val="0"/>
            <w:tcMar>
              <w:left w:w="108" w:type="dxa"/>
            </w:tcMar>
            <w:vAlign w:val="center"/>
          </w:tcPr>
          <w:p>
            <w:pPr>
              <w:spacing w:line="360" w:lineRule="exact"/>
              <w:jc w:val="center"/>
              <w:rPr>
                <w:rFonts w:ascii="宋体" w:hAnsi="宋体"/>
                <w:b/>
                <w:bCs/>
                <w:color w:val="auto"/>
                <w:szCs w:val="21"/>
              </w:rPr>
            </w:pPr>
            <w:r>
              <w:rPr>
                <w:rFonts w:ascii="宋体" w:hAnsi="宋体"/>
                <w:b/>
                <w:bCs/>
                <w:color w:val="auto"/>
                <w:szCs w:val="21"/>
              </w:rPr>
              <w:t>技术</w:t>
            </w:r>
            <w:r>
              <w:rPr>
                <w:rFonts w:hint="eastAsia" w:ascii="宋体" w:hAnsi="宋体"/>
                <w:b/>
                <w:bCs/>
                <w:color w:val="auto"/>
                <w:szCs w:val="21"/>
              </w:rPr>
              <w:t>要求</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925" w:hRule="atLeast"/>
        </w:trPr>
        <w:tc>
          <w:tcPr>
            <w:tcW w:w="850" w:type="dxa"/>
            <w:tcBorders>
              <w:top w:val="single" w:color="00000A" w:sz="4" w:space="0"/>
              <w:left w:val="single" w:color="00000A" w:sz="4" w:space="0"/>
              <w:bottom w:val="single" w:color="00000A" w:sz="4" w:space="0"/>
              <w:right w:val="single" w:color="00000A" w:sz="4" w:space="0"/>
            </w:tcBorders>
            <w:noWrap w:val="0"/>
            <w:tcMar>
              <w:left w:w="108" w:type="dxa"/>
            </w:tcMar>
            <w:vAlign w:val="center"/>
          </w:tcPr>
          <w:p>
            <w:pPr>
              <w:spacing w:line="360" w:lineRule="exact"/>
              <w:jc w:val="center"/>
              <w:rPr>
                <w:rFonts w:ascii="宋体" w:hAnsi="宋体"/>
                <w:b/>
                <w:bCs/>
                <w:color w:val="auto"/>
                <w:szCs w:val="21"/>
              </w:rPr>
            </w:pPr>
            <w:r>
              <w:rPr>
                <w:rFonts w:ascii="宋体" w:hAnsi="宋体"/>
                <w:color w:val="auto"/>
                <w:szCs w:val="21"/>
              </w:rPr>
              <w:t>1</w:t>
            </w:r>
          </w:p>
        </w:tc>
        <w:tc>
          <w:tcPr>
            <w:tcW w:w="1416" w:type="dxa"/>
            <w:tcBorders>
              <w:top w:val="single" w:color="00000A" w:sz="4" w:space="0"/>
              <w:left w:val="single" w:color="00000A" w:sz="4" w:space="0"/>
              <w:bottom w:val="single" w:color="00000A" w:sz="4" w:space="0"/>
              <w:right w:val="single" w:color="00000A" w:sz="4" w:space="0"/>
            </w:tcBorders>
            <w:noWrap w:val="0"/>
            <w:tcMar>
              <w:left w:w="108" w:type="dxa"/>
            </w:tcMar>
            <w:vAlign w:val="center"/>
          </w:tcPr>
          <w:p>
            <w:pPr>
              <w:spacing w:line="360" w:lineRule="exact"/>
              <w:jc w:val="left"/>
              <w:rPr>
                <w:rFonts w:hint="eastAsia" w:ascii="宋体" w:hAnsi="宋体" w:eastAsia="宋体"/>
                <w:b/>
                <w:bCs/>
                <w:color w:val="auto"/>
                <w:szCs w:val="21"/>
                <w:lang w:eastAsia="zh-CN"/>
              </w:rPr>
            </w:pPr>
            <w:r>
              <w:rPr>
                <w:rFonts w:hint="eastAsia" w:ascii="宋体" w:hAnsi="宋体"/>
                <w:color w:val="auto"/>
                <w:szCs w:val="21"/>
              </w:rPr>
              <w:t>海洋渔船“插卡式AIS”（Class B）舱外主机单元</w:t>
            </w:r>
            <w:r>
              <w:rPr>
                <w:rFonts w:hint="eastAsia" w:ascii="宋体" w:hAnsi="宋体"/>
                <w:color w:val="auto"/>
                <w:szCs w:val="21"/>
                <w:lang w:val="en-US" w:eastAsia="zh-CN"/>
              </w:rPr>
              <w:t>及舱内单元改造</w:t>
            </w:r>
            <w:r>
              <w:rPr>
                <w:rFonts w:hint="eastAsia" w:ascii="宋体" w:hAnsi="宋体"/>
                <w:color w:val="auto"/>
                <w:szCs w:val="21"/>
              </w:rPr>
              <w:t>（</w:t>
            </w:r>
            <w:r>
              <w:rPr>
                <w:rFonts w:hint="eastAsia" w:ascii="宋体" w:hAnsi="宋体"/>
                <w:color w:val="auto"/>
                <w:szCs w:val="21"/>
                <w:lang w:val="en-US" w:eastAsia="zh-CN"/>
              </w:rPr>
              <w:t>其中</w:t>
            </w:r>
            <w:r>
              <w:rPr>
                <w:rFonts w:hint="eastAsia" w:ascii="宋体" w:hAnsi="宋体"/>
                <w:color w:val="auto"/>
                <w:szCs w:val="21"/>
              </w:rPr>
              <w:t>整合原渔船上的AIS设备形成完整插卡式AIS设备的服务）</w:t>
            </w:r>
          </w:p>
        </w:tc>
        <w:tc>
          <w:tcPr>
            <w:tcW w:w="7984" w:type="dxa"/>
            <w:tcBorders>
              <w:top w:val="single" w:color="00000A" w:sz="4" w:space="0"/>
              <w:left w:val="single" w:color="00000A" w:sz="4" w:space="0"/>
              <w:bottom w:val="single" w:color="00000A" w:sz="4" w:space="0"/>
              <w:right w:val="single" w:color="00000A" w:sz="4" w:space="0"/>
            </w:tcBorders>
            <w:noWrap w:val="0"/>
            <w:tcMar>
              <w:left w:w="108" w:type="dxa"/>
            </w:tcMar>
            <w:vAlign w:val="top"/>
          </w:tcPr>
          <w:p>
            <w:pPr>
              <w:autoSpaceDE w:val="0"/>
              <w:autoSpaceDN w:val="0"/>
              <w:adjustRightInd w:val="0"/>
              <w:spacing w:line="360" w:lineRule="exact"/>
              <w:ind w:firstLine="422" w:firstLineChars="200"/>
              <w:outlineLvl w:val="3"/>
              <w:rPr>
                <w:rFonts w:ascii="宋体" w:hAnsi="宋体"/>
                <w:b/>
                <w:color w:val="auto"/>
                <w:szCs w:val="21"/>
                <w:lang w:val="zh-CN"/>
              </w:rPr>
            </w:pPr>
            <w:r>
              <w:rPr>
                <w:rFonts w:hint="eastAsia" w:ascii="宋体" w:hAnsi="宋体"/>
                <w:b/>
                <w:color w:val="auto"/>
                <w:szCs w:val="21"/>
              </w:rPr>
              <w:t>一、更新改造后</w:t>
            </w:r>
            <w:r>
              <w:rPr>
                <w:rFonts w:hint="eastAsia" w:ascii="宋体" w:hAnsi="宋体"/>
                <w:b/>
                <w:color w:val="auto"/>
                <w:szCs w:val="21"/>
                <w:lang w:val="zh-CN"/>
              </w:rPr>
              <w:t>插卡式AIS基本要求</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更新改造后的渔船“插卡式AIS”设备</w:t>
            </w:r>
            <w:bookmarkStart w:id="32" w:name="_Toc26014"/>
            <w:bookmarkStart w:id="33" w:name="_Toc31213"/>
            <w:bookmarkStart w:id="34" w:name="_Toc13442"/>
            <w:bookmarkStart w:id="35" w:name="_Toc26318"/>
            <w:r>
              <w:rPr>
                <w:rFonts w:hint="eastAsia" w:ascii="宋体" w:hAnsi="宋体"/>
                <w:color w:val="auto"/>
                <w:szCs w:val="21"/>
                <w:lang w:val="zh-CN"/>
              </w:rPr>
              <w:t>舱外单元应满足《渔业船舶自动识别系统（AIS）B类设备技术规范》的要求，终端包含舱外单元与舱内单元，舱外单元配备连接电缆、</w:t>
            </w:r>
            <w:r>
              <w:rPr>
                <w:rFonts w:hint="eastAsia" w:ascii="宋体" w:hAnsi="宋体"/>
                <w:color w:val="auto"/>
                <w:szCs w:val="21"/>
              </w:rPr>
              <w:t>1.2米AIS长天线及电缆，</w:t>
            </w:r>
            <w:r>
              <w:rPr>
                <w:rFonts w:hint="eastAsia" w:ascii="宋体" w:hAnsi="宋体"/>
                <w:color w:val="auto"/>
                <w:szCs w:val="21"/>
                <w:lang w:val="zh-CN"/>
              </w:rPr>
              <w:t>优先由船电供电，其次由舱外单元内置的太阳能和充电电池供电，舱内单元由船电供电。船舶静态信息仅能通过中国渔政发布的海洋渔业船舶AIS卡获取，不能用其他方法进行设置及变更。机器信息应能登记注册到全国渔业无线电综合服务平台。终端的工作电源电压应为DC 12V或DC 24V或DC 12V-24V宽幅自适应；应具备电源极性反接、过压、欠压保护。</w:t>
            </w:r>
          </w:p>
          <w:p>
            <w:pPr>
              <w:autoSpaceDE w:val="0"/>
              <w:autoSpaceDN w:val="0"/>
              <w:adjustRightInd w:val="0"/>
              <w:spacing w:line="360" w:lineRule="exact"/>
              <w:ind w:firstLine="422" w:firstLineChars="200"/>
              <w:outlineLvl w:val="3"/>
              <w:rPr>
                <w:rFonts w:ascii="宋体" w:hAnsi="宋体"/>
                <w:b/>
                <w:color w:val="auto"/>
                <w:szCs w:val="21"/>
              </w:rPr>
            </w:pPr>
            <w:r>
              <w:rPr>
                <w:rFonts w:hint="eastAsia" w:ascii="宋体" w:hAnsi="宋体"/>
                <w:b/>
                <w:color w:val="auto"/>
                <w:szCs w:val="21"/>
              </w:rPr>
              <w:t>二、更新改造后插卡式AIS舱外主机单元应具备以下功能</w:t>
            </w:r>
          </w:p>
          <w:p>
            <w:pPr>
              <w:autoSpaceDE w:val="0"/>
              <w:autoSpaceDN w:val="0"/>
              <w:adjustRightInd w:val="0"/>
              <w:spacing w:line="360" w:lineRule="exact"/>
              <w:ind w:firstLine="420" w:firstLineChars="200"/>
              <w:outlineLvl w:val="3"/>
              <w:rPr>
                <w:rFonts w:ascii="宋体" w:hAnsi="宋体"/>
                <w:color w:val="auto"/>
                <w:szCs w:val="21"/>
                <w:lang w:val="zh-CN"/>
              </w:rPr>
            </w:pPr>
            <w:bookmarkStart w:id="36" w:name="_Toc88317700"/>
            <w:r>
              <w:rPr>
                <w:rFonts w:hint="eastAsia" w:ascii="宋体" w:hAnsi="宋体"/>
                <w:color w:val="auto"/>
                <w:szCs w:val="21"/>
              </w:rPr>
              <w:t>1、</w:t>
            </w:r>
            <w:r>
              <w:rPr>
                <w:rFonts w:hint="eastAsia" w:ascii="宋体" w:hAnsi="宋体"/>
                <w:color w:val="auto"/>
                <w:szCs w:val="21"/>
                <w:lang w:val="zh-CN"/>
              </w:rPr>
              <w:t>船舶身份自动识别</w:t>
            </w:r>
            <w:bookmarkEnd w:id="36"/>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终端应能自动不间断地提供符合要求精度和更新速率的信息，能与AIS VDL运行的A类、B类船舶终端和示位标等AIS设备互相兼容，接收其他站的信息；其他站也可以收到终端的信息，且不会影响整个AIS VDL的完整性。</w:t>
            </w:r>
          </w:p>
          <w:p>
            <w:pPr>
              <w:autoSpaceDE w:val="0"/>
              <w:autoSpaceDN w:val="0"/>
              <w:adjustRightInd w:val="0"/>
              <w:spacing w:line="360" w:lineRule="exact"/>
              <w:ind w:firstLine="420" w:firstLineChars="200"/>
              <w:outlineLvl w:val="3"/>
              <w:rPr>
                <w:rFonts w:ascii="宋体" w:hAnsi="宋体"/>
                <w:color w:val="auto"/>
                <w:szCs w:val="21"/>
                <w:lang w:val="zh-CN"/>
              </w:rPr>
            </w:pPr>
            <w:bookmarkStart w:id="37" w:name="_Toc88317701"/>
            <w:r>
              <w:rPr>
                <w:rFonts w:hint="eastAsia" w:ascii="宋体" w:hAnsi="宋体"/>
                <w:color w:val="auto"/>
                <w:szCs w:val="21"/>
              </w:rPr>
              <w:t>2、</w:t>
            </w:r>
            <w:r>
              <w:rPr>
                <w:rFonts w:hint="eastAsia" w:ascii="宋体" w:hAnsi="宋体"/>
                <w:color w:val="auto"/>
                <w:szCs w:val="21"/>
                <w:lang w:val="zh-CN"/>
              </w:rPr>
              <w:t>AIS信息报位间隔</w:t>
            </w:r>
            <w:bookmarkEnd w:id="37"/>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1）</w:t>
            </w:r>
            <w:r>
              <w:rPr>
                <w:rFonts w:hint="eastAsia" w:ascii="宋体" w:hAnsi="宋体"/>
                <w:color w:val="auto"/>
                <w:szCs w:val="21"/>
                <w:lang w:val="zh-CN"/>
              </w:rPr>
              <w:t>有源模式：</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有源模式下，如果发射时间段有效，设备应按照以下报告间隔发射位置报告（消息18）：</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①30s，当SOG大于2kn时；</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②3min，当SOG小于等于2kn时。</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接收到海事部门平台和基站发送的消息23命令，应替换报告间隔；对报告间隔小于5s不作要求。</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静态数据子消息24A和24B应每6min发射一次，且与位置报告独立。消息24B应在消息24A发射1min内发射。</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2）</w:t>
            </w:r>
            <w:r>
              <w:rPr>
                <w:rFonts w:hint="eastAsia" w:ascii="宋体" w:hAnsi="宋体"/>
                <w:color w:val="auto"/>
                <w:szCs w:val="21"/>
                <w:lang w:val="zh-CN"/>
              </w:rPr>
              <w:t>无源模式：</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无源模式下，如果发射时间段有效，设备应按照以下报告间隔发射位置报告（消息18）：</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①3min，当SOG大于2kn时；</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②6min，当SOG小于等于2kn时。</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静态数据子消息24A和24B应每15min发射一次，且与位置报告独立。消息24B应在消息24A发射1min内发射。     </w:t>
            </w:r>
          </w:p>
          <w:p>
            <w:pPr>
              <w:autoSpaceDE w:val="0"/>
              <w:autoSpaceDN w:val="0"/>
              <w:adjustRightInd w:val="0"/>
              <w:spacing w:line="360" w:lineRule="exact"/>
              <w:ind w:firstLine="420" w:firstLineChars="200"/>
              <w:outlineLvl w:val="3"/>
              <w:rPr>
                <w:rFonts w:ascii="宋体" w:hAnsi="宋体"/>
                <w:color w:val="auto"/>
                <w:szCs w:val="21"/>
                <w:lang w:val="zh-CN"/>
              </w:rPr>
            </w:pPr>
            <w:bookmarkStart w:id="38" w:name="_Toc88317702"/>
            <w:r>
              <w:rPr>
                <w:rFonts w:hint="eastAsia" w:ascii="宋体" w:hAnsi="宋体"/>
                <w:color w:val="auto"/>
                <w:szCs w:val="21"/>
              </w:rPr>
              <w:t>3、</w:t>
            </w:r>
            <w:r>
              <w:rPr>
                <w:rFonts w:hint="eastAsia" w:ascii="宋体" w:hAnsi="宋体"/>
                <w:color w:val="auto"/>
                <w:szCs w:val="21"/>
                <w:lang w:val="zh-CN"/>
              </w:rPr>
              <w:t>卫星定位</w:t>
            </w:r>
            <w:bookmarkEnd w:id="38"/>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能利用北斗卫星导航系统和GPS卫星定位确定船舶位置，至少一</w:t>
            </w:r>
            <w:r>
              <w:rPr>
                <w:rFonts w:hint="eastAsia" w:ascii="宋体" w:hAnsi="宋体"/>
                <w:color w:val="auto"/>
                <w:szCs w:val="21"/>
                <w:lang w:val="en-US" w:eastAsia="zh-CN"/>
              </w:rPr>
              <w:t>秒</w:t>
            </w:r>
            <w:r>
              <w:rPr>
                <w:rFonts w:hint="eastAsia" w:ascii="宋体" w:hAnsi="宋体"/>
                <w:color w:val="auto"/>
                <w:szCs w:val="21"/>
                <w:lang w:val="zh-CN"/>
              </w:rPr>
              <w:t>钟获取一次有效定位。</w:t>
            </w:r>
          </w:p>
          <w:p>
            <w:pPr>
              <w:tabs>
                <w:tab w:val="left" w:pos="1560"/>
              </w:tabs>
              <w:autoSpaceDE w:val="0"/>
              <w:autoSpaceDN w:val="0"/>
              <w:adjustRightInd w:val="0"/>
              <w:spacing w:line="360" w:lineRule="exact"/>
              <w:ind w:firstLine="420" w:firstLineChars="200"/>
              <w:outlineLvl w:val="3"/>
              <w:rPr>
                <w:rFonts w:ascii="宋体" w:hAnsi="宋体"/>
                <w:color w:val="auto"/>
                <w:szCs w:val="21"/>
                <w:lang w:val="zh-CN"/>
              </w:rPr>
            </w:pPr>
            <w:bookmarkStart w:id="39" w:name="_Toc88317703"/>
            <w:r>
              <w:rPr>
                <w:rFonts w:hint="eastAsia" w:ascii="宋体" w:hAnsi="宋体"/>
                <w:color w:val="auto"/>
                <w:szCs w:val="21"/>
              </w:rPr>
              <w:t>4、</w:t>
            </w:r>
            <w:r>
              <w:rPr>
                <w:rFonts w:hint="eastAsia" w:ascii="宋体" w:hAnsi="宋体"/>
                <w:color w:val="auto"/>
                <w:szCs w:val="21"/>
                <w:lang w:val="zh-CN"/>
              </w:rPr>
              <w:t>充电电池</w:t>
            </w:r>
          </w:p>
          <w:p>
            <w:pPr>
              <w:spacing w:line="36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电池寿命：5年以上；</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(2)</w:t>
            </w:r>
            <w:r>
              <w:rPr>
                <w:rFonts w:hint="eastAsia" w:ascii="宋体" w:hAnsi="宋体"/>
                <w:color w:val="auto"/>
                <w:szCs w:val="21"/>
                <w:lang w:val="zh-CN"/>
              </w:rPr>
              <w:t>在电池电量充满，且无太阳能补充情况下，设备在无源模式工作至少</w:t>
            </w:r>
            <w:r>
              <w:rPr>
                <w:rFonts w:hint="eastAsia" w:ascii="宋体" w:hAnsi="宋体"/>
                <w:color w:val="auto"/>
                <w:szCs w:val="21"/>
                <w:lang w:val="en-US" w:eastAsia="zh-CN"/>
              </w:rPr>
              <w:t>2</w:t>
            </w:r>
            <w:r>
              <w:rPr>
                <w:rFonts w:hint="eastAsia" w:ascii="宋体" w:hAnsi="宋体"/>
                <w:color w:val="auto"/>
                <w:szCs w:val="21"/>
                <w:lang w:val="zh-CN"/>
              </w:rPr>
              <w:t>0天；</w:t>
            </w:r>
          </w:p>
          <w:p>
            <w:pPr>
              <w:spacing w:line="36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电池容量至少59.2 Wh；</w:t>
            </w:r>
          </w:p>
          <w:p>
            <w:pPr>
              <w:spacing w:line="360" w:lineRule="exact"/>
              <w:ind w:firstLine="420" w:firstLineChars="200"/>
              <w:rPr>
                <w:rFonts w:ascii="宋体" w:hAnsi="宋体"/>
                <w:color w:val="auto"/>
                <w:szCs w:val="21"/>
                <w:lang w:val="zh-CN"/>
              </w:rPr>
            </w:pPr>
            <w:r>
              <w:rPr>
                <w:rFonts w:hint="eastAsia" w:ascii="宋体" w:hAnsi="宋体"/>
                <w:color w:val="auto"/>
                <w:szCs w:val="21"/>
              </w:rPr>
              <w:t>(4)</w:t>
            </w:r>
            <w:r>
              <w:rPr>
                <w:rFonts w:hint="eastAsia" w:ascii="宋体" w:hAnsi="宋体"/>
                <w:color w:val="auto"/>
                <w:szCs w:val="21"/>
                <w:lang w:val="zh-CN"/>
              </w:rPr>
              <w:t>在有船电供电情况下，充电电池优先由船电进行充电。</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5、太阳能板</w:t>
            </w:r>
          </w:p>
          <w:p>
            <w:pPr>
              <w:spacing w:line="360" w:lineRule="exact"/>
              <w:ind w:firstLine="420" w:firstLineChars="200"/>
              <w:rPr>
                <w:rFonts w:ascii="宋体" w:hAnsi="宋体"/>
                <w:color w:val="auto"/>
                <w:szCs w:val="21"/>
              </w:rPr>
            </w:pPr>
            <w:r>
              <w:rPr>
                <w:rFonts w:hint="eastAsia" w:ascii="宋体" w:hAnsi="宋体"/>
                <w:color w:val="auto"/>
                <w:szCs w:val="21"/>
              </w:rPr>
              <w:t xml:space="preserve">(1)太阳能板容量不低于2 VA； </w:t>
            </w:r>
          </w:p>
          <w:p>
            <w:pPr>
              <w:spacing w:line="360" w:lineRule="exact"/>
              <w:ind w:firstLine="420" w:firstLineChars="200"/>
              <w:rPr>
                <w:rFonts w:ascii="宋体" w:hAnsi="宋体"/>
                <w:color w:val="auto"/>
                <w:szCs w:val="21"/>
              </w:rPr>
            </w:pPr>
            <w:r>
              <w:rPr>
                <w:rFonts w:hint="eastAsia" w:ascii="宋体" w:hAnsi="宋体"/>
                <w:color w:val="auto"/>
                <w:szCs w:val="21"/>
              </w:rPr>
              <w:t>(2)太阳能板的光电转换效率不低于15%。</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bookmarkStart w:id="40" w:name="_Toc88317712"/>
            <w:r>
              <w:rPr>
                <w:rFonts w:hint="eastAsia" w:ascii="宋体" w:hAnsi="宋体"/>
                <w:color w:val="auto"/>
                <w:szCs w:val="21"/>
              </w:rPr>
              <w:t>6、</w:t>
            </w:r>
            <w:bookmarkEnd w:id="40"/>
            <w:r>
              <w:rPr>
                <w:rFonts w:hint="eastAsia" w:ascii="宋体" w:hAnsi="宋体"/>
                <w:color w:val="auto"/>
                <w:szCs w:val="21"/>
              </w:rPr>
              <w:t>数据存储模块</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olor w:val="auto"/>
                <w:szCs w:val="21"/>
              </w:rPr>
              <w:t>(1)容量至少128 MB；</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olor w:val="auto"/>
                <w:szCs w:val="21"/>
                <w:lang w:val="zh-CN"/>
              </w:rPr>
              <w:t>★</w:t>
            </w:r>
            <w:r>
              <w:rPr>
                <w:rFonts w:hint="eastAsia" w:ascii="宋体" w:hAnsi="宋体"/>
                <w:color w:val="auto"/>
                <w:szCs w:val="21"/>
              </w:rPr>
              <w:t>(2)能够存储1年的定位数据和其他系统状态信息；</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olor w:val="auto"/>
                <w:szCs w:val="21"/>
              </w:rPr>
              <w:t>(3)能够通过上位机读取数据存储模块内容。</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7、防拆卸装置</w:t>
            </w:r>
          </w:p>
          <w:p>
            <w:pPr>
              <w:spacing w:line="360" w:lineRule="exact"/>
              <w:ind w:firstLine="420" w:firstLineChars="200"/>
              <w:rPr>
                <w:rFonts w:ascii="宋体" w:hAnsi="宋体"/>
                <w:color w:val="auto"/>
                <w:szCs w:val="21"/>
              </w:rPr>
            </w:pPr>
            <w:r>
              <w:rPr>
                <w:rFonts w:hint="eastAsia" w:ascii="宋体" w:hAnsi="宋体"/>
                <w:color w:val="auto"/>
                <w:szCs w:val="21"/>
              </w:rPr>
              <w:t>(1)舱外单元与船体连接处应具备防拆卸功能；</w:t>
            </w:r>
          </w:p>
          <w:p>
            <w:pPr>
              <w:spacing w:line="360" w:lineRule="exact"/>
              <w:ind w:firstLine="420" w:firstLineChars="200"/>
              <w:rPr>
                <w:rFonts w:ascii="宋体" w:hAnsi="宋体"/>
                <w:color w:val="auto"/>
                <w:szCs w:val="21"/>
              </w:rPr>
            </w:pPr>
            <w:r>
              <w:rPr>
                <w:rFonts w:hint="eastAsia" w:ascii="宋体" w:hAnsi="宋体"/>
                <w:color w:val="auto"/>
                <w:szCs w:val="21"/>
              </w:rPr>
              <w:t>(2)舱外单元外壳应具备防拆卸功能；</w:t>
            </w:r>
          </w:p>
          <w:p>
            <w:pPr>
              <w:spacing w:line="360" w:lineRule="exact"/>
              <w:ind w:firstLine="420" w:firstLineChars="200"/>
              <w:rPr>
                <w:rFonts w:ascii="宋体" w:hAnsi="宋体"/>
                <w:color w:val="auto"/>
                <w:szCs w:val="21"/>
              </w:rPr>
            </w:pPr>
            <w:r>
              <w:rPr>
                <w:rFonts w:hint="eastAsia" w:ascii="宋体" w:hAnsi="宋体"/>
                <w:color w:val="auto"/>
                <w:szCs w:val="21"/>
              </w:rPr>
              <w:t>(3)舱外单元应具备防整体拆移功能；</w:t>
            </w:r>
          </w:p>
          <w:p>
            <w:pPr>
              <w:spacing w:line="360" w:lineRule="exact"/>
              <w:ind w:firstLine="420" w:firstLineChars="200"/>
              <w:rPr>
                <w:rFonts w:ascii="宋体" w:hAnsi="宋体"/>
                <w:color w:val="auto"/>
                <w:szCs w:val="21"/>
              </w:rPr>
            </w:pPr>
            <w:r>
              <w:rPr>
                <w:rFonts w:hint="eastAsia" w:ascii="宋体" w:hAnsi="宋体"/>
                <w:color w:val="auto"/>
                <w:szCs w:val="21"/>
              </w:rPr>
              <w:t>(4)识别到上述拆卸信息后设备应将拆卸记录写入数据存储模块中，并通过MMSI模块回传至全国渔业无线电综合服务平台。</w:t>
            </w:r>
          </w:p>
          <w:p>
            <w:pPr>
              <w:tabs>
                <w:tab w:val="left" w:pos="1560"/>
              </w:tabs>
              <w:autoSpaceDE w:val="0"/>
              <w:autoSpaceDN w:val="0"/>
              <w:adjustRightInd w:val="0"/>
              <w:spacing w:line="360" w:lineRule="exact"/>
              <w:ind w:firstLine="420" w:firstLineChars="200"/>
              <w:outlineLvl w:val="3"/>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8</w:t>
            </w:r>
            <w:r>
              <w:rPr>
                <w:rFonts w:hint="eastAsia" w:ascii="宋体" w:hAnsi="宋体"/>
                <w:color w:val="auto"/>
                <w:szCs w:val="21"/>
                <w:lang w:val="zh-CN"/>
              </w:rPr>
              <w:t>.通讯功能</w:t>
            </w:r>
          </w:p>
          <w:p>
            <w:pPr>
              <w:autoSpaceDE w:val="0"/>
              <w:autoSpaceDN w:val="0"/>
              <w:adjustRightInd w:val="0"/>
              <w:spacing w:line="360" w:lineRule="exact"/>
              <w:ind w:firstLine="420" w:firstLineChars="200"/>
              <w:rPr>
                <w:rFonts w:ascii="宋体" w:hAnsi="宋体"/>
                <w:color w:val="auto"/>
                <w:szCs w:val="21"/>
                <w:lang w:val="zh-CN"/>
              </w:rPr>
            </w:pPr>
            <w:r>
              <w:rPr>
                <w:rFonts w:hint="eastAsia" w:ascii="宋体" w:hAnsi="宋体"/>
                <w:color w:val="auto"/>
                <w:szCs w:val="21"/>
                <w:lang w:val="zh-CN"/>
              </w:rPr>
              <w:t>除应具备</w:t>
            </w:r>
            <w:r>
              <w:rPr>
                <w:rFonts w:hint="eastAsia" w:ascii="宋体" w:hAnsi="宋体"/>
                <w:color w:val="auto"/>
                <w:szCs w:val="21"/>
              </w:rPr>
              <w:t>AIS功能外，</w:t>
            </w:r>
            <w:r>
              <w:rPr>
                <w:rFonts w:hint="eastAsia" w:ascii="宋体" w:hAnsi="宋体"/>
                <w:color w:val="auto"/>
                <w:szCs w:val="21"/>
                <w:lang w:val="zh-CN"/>
              </w:rPr>
              <w:t>能通过</w:t>
            </w:r>
            <w:r>
              <w:rPr>
                <w:rFonts w:hint="eastAsia" w:ascii="宋体" w:hAnsi="宋体"/>
                <w:color w:val="auto"/>
                <w:szCs w:val="21"/>
              </w:rPr>
              <w:t>GSM通信</w:t>
            </w:r>
            <w:r>
              <w:rPr>
                <w:rFonts w:hint="eastAsia" w:ascii="宋体" w:hAnsi="宋体"/>
                <w:color w:val="auto"/>
                <w:szCs w:val="21"/>
                <w:lang w:val="zh-CN"/>
              </w:rPr>
              <w:t>实现定时将船位、设备电池电量、安装状态、航行状态、通信状态等工作状态回传至采购人岸上管理平台；能依据进出港识别线自动判断渔船进港和出港状态，在进港或出港3分钟之内向岸上管理平台发送进出港报告信息。在无船电时仍应支持不大于30分钟的不间断船位报告。</w:t>
            </w:r>
            <w:bookmarkStart w:id="41" w:name="_Toc28472"/>
            <w:bookmarkStart w:id="42" w:name="_Toc9494"/>
          </w:p>
          <w:bookmarkEnd w:id="41"/>
          <w:bookmarkEnd w:id="42"/>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lang w:val="zh-CN"/>
              </w:rPr>
              <w:t>★</w:t>
            </w:r>
            <w:r>
              <w:rPr>
                <w:rFonts w:hint="eastAsia" w:ascii="宋体" w:hAnsi="宋体"/>
                <w:color w:val="auto"/>
                <w:szCs w:val="21"/>
              </w:rPr>
              <w:t>9、终端工作状态监测</w:t>
            </w:r>
          </w:p>
          <w:p>
            <w:pPr>
              <w:spacing w:line="360" w:lineRule="exact"/>
              <w:ind w:firstLine="420" w:firstLineChars="200"/>
              <w:rPr>
                <w:rFonts w:ascii="宋体" w:hAnsi="宋体"/>
                <w:color w:val="auto"/>
                <w:szCs w:val="21"/>
              </w:rPr>
            </w:pPr>
            <w:r>
              <w:rPr>
                <w:rFonts w:hint="eastAsia" w:ascii="宋体" w:hAnsi="宋体"/>
                <w:color w:val="auto"/>
                <w:szCs w:val="21"/>
              </w:rPr>
              <w:t>舱外单元能对电池电量、安装状态、航行状态、通信状态等工作状态进行实行监测，并定时回传至采购人岸上管理平台。</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10、自动进出港报告功能</w:t>
            </w:r>
          </w:p>
          <w:p>
            <w:pPr>
              <w:spacing w:line="360" w:lineRule="exact"/>
              <w:ind w:firstLine="420" w:firstLineChars="200"/>
              <w:rPr>
                <w:rFonts w:ascii="宋体" w:hAnsi="宋体"/>
                <w:color w:val="auto"/>
                <w:szCs w:val="21"/>
              </w:rPr>
            </w:pPr>
            <w:r>
              <w:rPr>
                <w:rFonts w:hint="eastAsia" w:ascii="宋体" w:hAnsi="宋体"/>
                <w:color w:val="auto"/>
                <w:szCs w:val="21"/>
              </w:rPr>
              <w:t>终端依据进出港识别线自动判断渔船进港和出港状态，自动记录在SD内存卡内，并在进港或出港3分钟之内向岸上管理平台发送进出港报告信息。</w:t>
            </w:r>
          </w:p>
          <w:p>
            <w:pPr>
              <w:tabs>
                <w:tab w:val="left" w:pos="1560"/>
              </w:tabs>
              <w:autoSpaceDE w:val="0"/>
              <w:autoSpaceDN w:val="0"/>
              <w:adjustRightInd w:val="0"/>
              <w:spacing w:line="360" w:lineRule="exact"/>
              <w:ind w:firstLine="420" w:firstLineChars="200"/>
              <w:outlineLvl w:val="3"/>
              <w:rPr>
                <w:rFonts w:ascii="宋体" w:hAnsi="宋体"/>
                <w:color w:val="auto"/>
                <w:szCs w:val="21"/>
                <w:lang w:val="zh-CN"/>
              </w:rPr>
            </w:pPr>
            <w:r>
              <w:rPr>
                <w:rFonts w:hint="eastAsia" w:ascii="宋体" w:hAnsi="宋体"/>
                <w:color w:val="auto"/>
                <w:szCs w:val="21"/>
              </w:rPr>
              <w:t>11、</w:t>
            </w:r>
            <w:r>
              <w:rPr>
                <w:rFonts w:hint="eastAsia" w:ascii="宋体" w:hAnsi="宋体"/>
                <w:color w:val="auto"/>
                <w:szCs w:val="21"/>
                <w:lang w:val="zh-CN"/>
              </w:rPr>
              <w:t>中文船名发送</w:t>
            </w:r>
          </w:p>
          <w:p>
            <w:pPr>
              <w:autoSpaceDE w:val="0"/>
              <w:autoSpaceDN w:val="0"/>
              <w:adjustRightInd w:val="0"/>
              <w:spacing w:line="36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根据中华人民共和国海事局文件《关于印发自动识别系统中文编码规则的通知》（海船舶〔2011〕543号），在消息8的二进制数据域内，应用标识码DAC给定为413，FI码给定为02，让收发双方明确此消息含有汉字编码的中文船名；</w:t>
            </w:r>
          </w:p>
          <w:p>
            <w:pPr>
              <w:autoSpaceDE w:val="0"/>
              <w:autoSpaceDN w:val="0"/>
              <w:adjustRightInd w:val="0"/>
              <w:spacing w:line="360" w:lineRule="exact"/>
              <w:ind w:firstLine="420" w:firstLineChars="200"/>
              <w:rPr>
                <w:rFonts w:ascii="宋体" w:hAnsi="宋体"/>
                <w:color w:val="auto"/>
                <w:szCs w:val="21"/>
                <w:lang w:val="zh-CN"/>
              </w:rPr>
            </w:pPr>
            <w:r>
              <w:rPr>
                <w:rFonts w:hint="eastAsia" w:ascii="宋体" w:hAnsi="宋体"/>
                <w:color w:val="auto"/>
                <w:szCs w:val="21"/>
              </w:rPr>
              <w:t>(2)</w:t>
            </w:r>
            <w:r>
              <w:rPr>
                <w:rFonts w:hint="eastAsia" w:ascii="宋体" w:hAnsi="宋体"/>
                <w:color w:val="auto"/>
                <w:szCs w:val="21"/>
                <w:lang w:val="zh-CN"/>
              </w:rPr>
              <w:t>终端接收到消息8的中文船名，与MMSI号码一一对应保存；</w:t>
            </w:r>
          </w:p>
          <w:p>
            <w:pPr>
              <w:autoSpaceDE w:val="0"/>
              <w:autoSpaceDN w:val="0"/>
              <w:adjustRightInd w:val="0"/>
              <w:spacing w:line="360" w:lineRule="exact"/>
              <w:ind w:firstLine="420" w:firstLineChars="200"/>
              <w:rPr>
                <w:rFonts w:hint="eastAsia"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 xml:space="preserve"> AIS终端发送静态信息后，再发送一条含有中文船名的消息8。</w:t>
            </w:r>
          </w:p>
          <w:p>
            <w:pPr>
              <w:autoSpaceDE w:val="0"/>
              <w:autoSpaceDN w:val="0"/>
              <w:adjustRightInd w:val="0"/>
              <w:spacing w:line="360" w:lineRule="exact"/>
              <w:ind w:firstLine="420" w:firstLineChars="200"/>
              <w:outlineLvl w:val="3"/>
              <w:rPr>
                <w:rFonts w:hint="default" w:ascii="宋体" w:hAnsi="宋体" w:eastAsia="宋体"/>
                <w:color w:val="auto"/>
                <w:szCs w:val="21"/>
                <w:lang w:val="en-US" w:eastAsia="zh-CN"/>
              </w:rPr>
            </w:pPr>
            <w:r>
              <w:rPr>
                <w:rFonts w:hint="eastAsia" w:ascii="宋体" w:hAnsi="宋体"/>
                <w:color w:val="auto"/>
                <w:szCs w:val="21"/>
                <w:lang w:val="zh-CN"/>
              </w:rPr>
              <w:t>★</w:t>
            </w: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val="en-US" w:eastAsia="zh-CN"/>
              </w:rPr>
              <w:t>舱外单元应具有手动重启功能。</w:t>
            </w:r>
          </w:p>
          <w:p>
            <w:pPr>
              <w:autoSpaceDE w:val="0"/>
              <w:autoSpaceDN w:val="0"/>
              <w:adjustRightInd w:val="0"/>
              <w:spacing w:line="360" w:lineRule="exact"/>
              <w:ind w:firstLine="422" w:firstLineChars="200"/>
              <w:outlineLvl w:val="3"/>
              <w:rPr>
                <w:rFonts w:ascii="宋体" w:hAnsi="宋体"/>
                <w:b/>
                <w:color w:val="auto"/>
                <w:szCs w:val="21"/>
              </w:rPr>
            </w:pPr>
            <w:r>
              <w:rPr>
                <w:rFonts w:hint="eastAsia" w:ascii="宋体" w:hAnsi="宋体"/>
                <w:b/>
                <w:color w:val="auto"/>
                <w:szCs w:val="21"/>
              </w:rPr>
              <w:t>三、</w:t>
            </w:r>
            <w:r>
              <w:rPr>
                <w:rFonts w:hint="eastAsia" w:ascii="宋体" w:hAnsi="宋体" w:eastAsia="宋体"/>
                <w:b/>
                <w:bCs/>
                <w:color w:val="0000FF"/>
                <w:sz w:val="24"/>
                <w:szCs w:val="24"/>
                <w:lang w:eastAsia="zh-CN"/>
              </w:rPr>
              <w:t>旧机</w:t>
            </w:r>
            <w:r>
              <w:rPr>
                <w:rFonts w:hint="eastAsia" w:ascii="宋体" w:hAnsi="宋体"/>
                <w:b/>
                <w:bCs/>
                <w:color w:val="0000FF"/>
                <w:sz w:val="24"/>
                <w:szCs w:val="24"/>
                <w:lang w:eastAsia="zh-CN"/>
              </w:rPr>
              <w:t>必须消除</w:t>
            </w:r>
            <w:r>
              <w:rPr>
                <w:rFonts w:hint="eastAsia" w:ascii="宋体" w:hAnsi="宋体"/>
                <w:b/>
                <w:bCs/>
                <w:color w:val="0000FF"/>
                <w:sz w:val="24"/>
                <w:szCs w:val="24"/>
                <w:lang w:val="en-US" w:eastAsia="zh-CN"/>
              </w:rPr>
              <w:t>MMSI模组，</w:t>
            </w:r>
            <w:r>
              <w:rPr>
                <w:rFonts w:hint="eastAsia" w:ascii="宋体" w:hAnsi="宋体" w:eastAsia="宋体"/>
                <w:b/>
                <w:bCs/>
                <w:color w:val="0000FF"/>
                <w:sz w:val="24"/>
                <w:szCs w:val="24"/>
                <w:lang w:eastAsia="zh-CN"/>
              </w:rPr>
              <w:t>改造</w:t>
            </w:r>
            <w:r>
              <w:rPr>
                <w:rFonts w:hint="eastAsia" w:ascii="宋体" w:hAnsi="宋体" w:eastAsia="宋体"/>
                <w:b/>
                <w:bCs/>
                <w:color w:val="0000FF"/>
                <w:sz w:val="24"/>
                <w:szCs w:val="24"/>
                <w:lang w:val="en-US" w:eastAsia="zh-CN"/>
              </w:rPr>
              <w:t>后应</w:t>
            </w:r>
            <w:r>
              <w:rPr>
                <w:rFonts w:hint="eastAsia" w:ascii="宋体" w:hAnsi="宋体"/>
                <w:b/>
                <w:color w:val="0000FF"/>
                <w:szCs w:val="21"/>
              </w:rPr>
              <w:t>具备</w:t>
            </w:r>
            <w:r>
              <w:rPr>
                <w:rFonts w:hint="eastAsia" w:ascii="宋体" w:hAnsi="宋体"/>
                <w:b/>
                <w:color w:val="auto"/>
                <w:szCs w:val="21"/>
              </w:rPr>
              <w:t>以下功能</w:t>
            </w:r>
          </w:p>
          <w:bookmarkEnd w:id="39"/>
          <w:p>
            <w:pPr>
              <w:tabs>
                <w:tab w:val="left" w:pos="1560"/>
              </w:tabs>
              <w:autoSpaceDE w:val="0"/>
              <w:autoSpaceDN w:val="0"/>
              <w:adjustRightInd w:val="0"/>
              <w:spacing w:line="360" w:lineRule="exact"/>
              <w:ind w:firstLine="420" w:firstLineChars="200"/>
              <w:outlineLvl w:val="3"/>
              <w:rPr>
                <w:rFonts w:hint="eastAsia" w:ascii="宋体" w:hAnsi="宋体"/>
                <w:color w:val="0000FF"/>
                <w:szCs w:val="21"/>
                <w:lang w:val="en-US" w:eastAsia="zh-CN"/>
              </w:rPr>
            </w:pPr>
            <w:bookmarkStart w:id="43" w:name="_Toc72244494"/>
            <w:bookmarkStart w:id="44" w:name="_Toc31802"/>
            <w:bookmarkStart w:id="45" w:name="_Toc88317704"/>
            <w:bookmarkStart w:id="46" w:name="_Toc26760"/>
            <w:r>
              <w:rPr>
                <w:rFonts w:hint="eastAsia" w:ascii="宋体" w:hAnsi="宋体"/>
                <w:color w:val="0000FF"/>
                <w:szCs w:val="21"/>
                <w:lang w:val="en-US" w:eastAsia="zh-CN"/>
              </w:rPr>
              <w:t>增配1.2米AIS长天线及天线电缆，通过</w:t>
            </w:r>
            <w:r>
              <w:rPr>
                <w:rFonts w:hint="eastAsia" w:ascii="宋体" w:hAnsi="宋体"/>
                <w:color w:val="0000FF"/>
                <w:szCs w:val="21"/>
                <w:lang w:val="zh-CN" w:eastAsia="zh-CN"/>
              </w:rPr>
              <w:t>连接电缆连接新机和改造后的旧机，实现新机优先由船电供电，其次由新机内置的太阳能和充电电池供电，改造后的旧机由船电供电。其他功能具体如下：</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1、键盘</w:t>
            </w:r>
            <w:bookmarkEnd w:id="43"/>
          </w:p>
          <w:p>
            <w:pPr>
              <w:spacing w:line="360" w:lineRule="exact"/>
              <w:ind w:firstLine="420" w:firstLineChars="200"/>
              <w:rPr>
                <w:rFonts w:ascii="宋体" w:hAnsi="宋体"/>
                <w:color w:val="auto"/>
                <w:szCs w:val="21"/>
              </w:rPr>
            </w:pPr>
            <w:r>
              <w:rPr>
                <w:rFonts w:hint="eastAsia" w:ascii="宋体" w:hAnsi="宋体"/>
                <w:color w:val="auto"/>
                <w:szCs w:val="21"/>
              </w:rPr>
              <w:t>(1)键盘应具有背光功能；</w:t>
            </w:r>
          </w:p>
          <w:p>
            <w:pPr>
              <w:spacing w:line="360" w:lineRule="exact"/>
              <w:ind w:firstLine="420" w:firstLineChars="200"/>
              <w:rPr>
                <w:rFonts w:ascii="宋体" w:hAnsi="宋体"/>
                <w:color w:val="auto"/>
                <w:szCs w:val="21"/>
              </w:rPr>
            </w:pPr>
            <w:r>
              <w:rPr>
                <w:rFonts w:hint="eastAsia" w:ascii="宋体" w:hAnsi="宋体"/>
                <w:color w:val="auto"/>
                <w:szCs w:val="21"/>
              </w:rPr>
              <w:t>(2)应支持英文字符、数字、简体中文（拼音输入法）；</w:t>
            </w:r>
          </w:p>
          <w:p>
            <w:pPr>
              <w:spacing w:line="360" w:lineRule="exact"/>
              <w:ind w:firstLine="420" w:firstLineChars="200"/>
              <w:rPr>
                <w:rFonts w:ascii="宋体" w:hAnsi="宋体"/>
                <w:color w:val="auto"/>
                <w:szCs w:val="21"/>
              </w:rPr>
            </w:pPr>
            <w:r>
              <w:rPr>
                <w:rFonts w:hint="eastAsia" w:ascii="宋体" w:hAnsi="宋体"/>
                <w:color w:val="auto"/>
                <w:szCs w:val="21"/>
              </w:rPr>
              <w:t>(3)能够通过实体键盘完成基本的导航功能。</w:t>
            </w:r>
          </w:p>
          <w:bookmarkEnd w:id="44"/>
          <w:bookmarkEnd w:id="45"/>
          <w:bookmarkEnd w:id="46"/>
          <w:p>
            <w:pPr>
              <w:autoSpaceDE w:val="0"/>
              <w:autoSpaceDN w:val="0"/>
              <w:adjustRightInd w:val="0"/>
              <w:spacing w:line="360" w:lineRule="exact"/>
              <w:ind w:firstLine="420" w:firstLineChars="200"/>
              <w:outlineLvl w:val="3"/>
              <w:rPr>
                <w:rFonts w:ascii="宋体" w:hAnsi="宋体"/>
                <w:color w:val="auto"/>
                <w:szCs w:val="21"/>
              </w:rPr>
            </w:pPr>
            <w:bookmarkStart w:id="47" w:name="_Toc72244496"/>
            <w:bookmarkStart w:id="48" w:name="_Toc88317706"/>
            <w:bookmarkStart w:id="49" w:name="_Toc14642"/>
            <w:bookmarkStart w:id="50" w:name="_Toc17918"/>
            <w:r>
              <w:rPr>
                <w:rFonts w:hint="eastAsia" w:ascii="宋体" w:hAnsi="宋体"/>
                <w:color w:val="auto"/>
                <w:szCs w:val="21"/>
              </w:rPr>
              <w:t>2、图形显示</w:t>
            </w:r>
          </w:p>
          <w:p>
            <w:pPr>
              <w:spacing w:line="360" w:lineRule="exact"/>
              <w:ind w:firstLine="420" w:firstLineChars="200"/>
              <w:rPr>
                <w:rFonts w:ascii="宋体" w:hAnsi="宋体"/>
                <w:color w:val="auto"/>
                <w:szCs w:val="21"/>
              </w:rPr>
            </w:pPr>
            <w:r>
              <w:rPr>
                <w:rFonts w:hint="eastAsia" w:ascii="宋体" w:hAnsi="宋体"/>
                <w:color w:val="auto"/>
                <w:szCs w:val="21"/>
              </w:rPr>
              <w:t>(1)应能显示本船静态信息、动态信息和航行信息；</w:t>
            </w:r>
          </w:p>
          <w:p>
            <w:pPr>
              <w:spacing w:line="360" w:lineRule="exact"/>
              <w:ind w:firstLine="420" w:firstLineChars="200"/>
              <w:rPr>
                <w:rFonts w:ascii="宋体" w:hAnsi="宋体"/>
                <w:color w:val="auto"/>
                <w:szCs w:val="21"/>
              </w:rPr>
            </w:pPr>
            <w:r>
              <w:rPr>
                <w:rFonts w:hint="eastAsia" w:ascii="宋体" w:hAnsi="宋体"/>
                <w:color w:val="auto"/>
                <w:szCs w:val="21"/>
              </w:rPr>
              <w:t>(2)应能显示目标列表，船舶列表可按距离自动排序；</w:t>
            </w:r>
          </w:p>
          <w:p>
            <w:pPr>
              <w:spacing w:line="360" w:lineRule="exact"/>
              <w:ind w:firstLine="420" w:firstLineChars="200"/>
              <w:rPr>
                <w:rFonts w:ascii="宋体" w:hAnsi="宋体"/>
                <w:color w:val="auto"/>
                <w:szCs w:val="21"/>
              </w:rPr>
            </w:pPr>
            <w:r>
              <w:rPr>
                <w:rFonts w:hint="eastAsia" w:ascii="宋体" w:hAnsi="宋体"/>
                <w:color w:val="auto"/>
                <w:szCs w:val="21"/>
              </w:rPr>
              <w:t>(3)应能显示目标的AIS全部信息；</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(4)主机工作状态显示，应能显示舱外单元电量、安装状态、</w:t>
            </w:r>
            <w:r>
              <w:rPr>
                <w:rFonts w:hint="eastAsia" w:ascii="宋体" w:hAnsi="宋体"/>
                <w:strike w:val="0"/>
                <w:dstrike w:val="0"/>
                <w:color w:val="auto"/>
                <w:szCs w:val="21"/>
              </w:rPr>
              <w:t>AIS卡内注册信息</w:t>
            </w:r>
            <w:r>
              <w:rPr>
                <w:rFonts w:hint="eastAsia" w:ascii="宋体" w:hAnsi="宋体"/>
                <w:color w:val="auto"/>
                <w:szCs w:val="21"/>
              </w:rPr>
              <w:t>等；</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(5)在显示屏上实时显示本船及周边船舶的当前位置、速度、航向和渔区号；</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(6)在海图上显示渔区分布线和渔区号，要求显示详细的商船航道、锚地、港区、禁渔区、中日和中韩渔业协定以及其他特定海域（南北航运大通道、中韩、中日协定区东侧5海里缓冲区）等信息，渔船驶入设定的区域后，终端自动（中文）警告（告警声音、时间长短自定）提示；</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(7)在海图上可记录本船的航行轨迹（可手动开启或关闭记录）；</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(8)可实时跟踪并显示卫星状态；</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(9)显示全中国海域的电子海图，并可实现多级缩放及任意移动和旋转海图；</w:t>
            </w:r>
          </w:p>
          <w:p>
            <w:pPr>
              <w:spacing w:line="360" w:lineRule="exact"/>
              <w:ind w:firstLine="420" w:firstLineChars="200"/>
              <w:rPr>
                <w:rFonts w:ascii="宋体" w:hAnsi="宋体"/>
                <w:color w:val="auto"/>
                <w:szCs w:val="21"/>
              </w:rPr>
            </w:pPr>
            <w:bookmarkStart w:id="51" w:name="_Toc88317705"/>
            <w:bookmarkStart w:id="52" w:name="_Toc21556"/>
            <w:bookmarkStart w:id="53" w:name="_Toc2532"/>
            <w:r>
              <w:rPr>
                <w:rFonts w:hint="eastAsia" w:ascii="宋体" w:hAnsi="宋体"/>
                <w:color w:val="auto"/>
                <w:szCs w:val="21"/>
              </w:rPr>
              <w:t>(10)内置航海航路及斑马线显示和进出告警，能显示浙江省发布的航海航路及渔船过往航海航路的斑马线等区域信息，在海图上可清晰标注显示，易于船员识别，当船舶驶入时可自动语音提醒，并在图面上高亮闪动，直至船舶驶出。</w:t>
            </w:r>
          </w:p>
          <w:bookmarkEnd w:id="51"/>
          <w:bookmarkEnd w:id="52"/>
          <w:bookmarkEnd w:id="53"/>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(11)可按快捷键直接调节液晶屏背光亮度及选择适应晴天、阴天、傍晚和夜晚的显示模式；</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(12)实时显示当前时间、公历日期、农历日期、潮汐表；</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(13)在海图上显示经纬度线；</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(14)可显示AIS基站、航标、灯船、搜救直升机等AIS目标。</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3、信息显示</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(1)在海图界面下可显示并查看本船和周边船舶信息，并醒目显示接收到的各类报警信息；</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(2)快捷键可快速以“本船居中”方式显示本船位置；</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(3)可显示渔区信息和进出港识别界线；</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(4)醒目显示当前报警功能工作状态（会遇报警、区域报警、进港状态）；</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(5)具有列表、雷达图、海图图面三种AIS目标船显示方式；</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(6)具备系统设置功能；</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(7)能够显示当前接收到的船舶相关信息，数量至少400条，并能够分别按照与本船间的距离、方位、MMSI、船名进行排序显示。（默认以距离由近到远排序）；</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(8)在海图界面上可显示并查看船舶信息；</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(9)具备星图显示功能。</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4、用户管理功能</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针对用户的使用习惯，可以针对多种情况进行设置：</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 由用户自己设置系统参数及系统功能</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（2） 在海图上任意设置沉船、暗礁等11种标记</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（3） 可以对陆地、海域、锚地、标记信息等进行颜色设置</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（4） 可以实现对等深线、游标、禁区等设置</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（5） 可以用游标直接在海图上进行航点、航线和标记的设置及删除</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（6） 在海图上可以显示2米、5米 ---20米等</w:t>
            </w:r>
            <w:r>
              <w:rPr>
                <w:rFonts w:hint="eastAsia" w:ascii="宋体" w:hAnsi="宋体"/>
                <w:color w:val="auto"/>
                <w:szCs w:val="21"/>
                <w:lang w:val="en-US" w:eastAsia="zh-CN"/>
              </w:rPr>
              <w:t>等</w:t>
            </w:r>
            <w:r>
              <w:rPr>
                <w:rFonts w:hint="eastAsia" w:ascii="宋体" w:hAnsi="宋体"/>
                <w:color w:val="auto"/>
                <w:szCs w:val="21"/>
              </w:rPr>
              <w:t>深线</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（7） 可以实现公里单位制和海里单位制的切换</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（8） 可以对显示航速及航向进行平滑设置</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（9） 目的地快速提取查询</w:t>
            </w:r>
          </w:p>
          <w:p>
            <w:pPr>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5、导航功能</w:t>
            </w:r>
            <w:bookmarkEnd w:id="47"/>
          </w:p>
          <w:p>
            <w:pPr>
              <w:spacing w:line="360" w:lineRule="exact"/>
              <w:ind w:firstLine="420" w:firstLineChars="200"/>
              <w:rPr>
                <w:rFonts w:ascii="宋体" w:hAnsi="宋体"/>
                <w:color w:val="auto"/>
                <w:szCs w:val="21"/>
              </w:rPr>
            </w:pPr>
            <w:r>
              <w:rPr>
                <w:rFonts w:hint="eastAsia" w:ascii="宋体" w:hAnsi="宋体"/>
                <w:color w:val="auto"/>
                <w:szCs w:val="21"/>
              </w:rPr>
              <w:t>(1)应能显示SOG、COG，更新率应至少1次/s；</w:t>
            </w:r>
          </w:p>
          <w:p>
            <w:pPr>
              <w:spacing w:line="360" w:lineRule="exact"/>
              <w:ind w:firstLine="420" w:firstLineChars="200"/>
              <w:rPr>
                <w:rFonts w:ascii="宋体" w:hAnsi="宋体"/>
                <w:color w:val="auto"/>
                <w:szCs w:val="21"/>
              </w:rPr>
            </w:pPr>
            <w:r>
              <w:rPr>
                <w:rFonts w:hint="eastAsia" w:ascii="宋体" w:hAnsi="宋体"/>
                <w:color w:val="auto"/>
                <w:szCs w:val="21"/>
              </w:rPr>
              <w:t>(2)应能进行航路点、航线的设置、编辑、储存和删除操作；</w:t>
            </w:r>
          </w:p>
          <w:p>
            <w:pPr>
              <w:spacing w:line="360" w:lineRule="exact"/>
              <w:ind w:firstLine="420" w:firstLineChars="200"/>
              <w:rPr>
                <w:rFonts w:ascii="宋体" w:hAnsi="宋体"/>
                <w:color w:val="auto"/>
                <w:szCs w:val="21"/>
              </w:rPr>
            </w:pPr>
            <w:r>
              <w:rPr>
                <w:rFonts w:hint="eastAsia" w:ascii="宋体" w:hAnsi="宋体"/>
                <w:color w:val="auto"/>
                <w:szCs w:val="21"/>
              </w:rPr>
              <w:t>(3)应能计算到达航路点的距离、方位和预计到达时间；</w:t>
            </w:r>
          </w:p>
          <w:p>
            <w:pPr>
              <w:spacing w:line="360" w:lineRule="exact"/>
              <w:ind w:firstLine="420" w:firstLineChars="200"/>
              <w:rPr>
                <w:rFonts w:hint="eastAsia" w:ascii="宋体" w:hAnsi="宋体"/>
                <w:color w:val="auto"/>
                <w:szCs w:val="21"/>
              </w:rPr>
            </w:pPr>
            <w:r>
              <w:rPr>
                <w:rFonts w:hint="eastAsia" w:ascii="宋体" w:hAnsi="宋体"/>
                <w:color w:val="auto"/>
                <w:szCs w:val="21"/>
              </w:rPr>
              <w:t>(4)具备图形AIS目标显示功能，即以本船为中心，按距离和方位标绘其他AIS目标，距离比例可人工和自动调节。</w:t>
            </w:r>
          </w:p>
          <w:p>
            <w:pPr>
              <w:spacing w:line="360" w:lineRule="exact"/>
              <w:ind w:firstLine="420" w:firstLineChars="200"/>
              <w:rPr>
                <w:rFonts w:hint="default" w:ascii="宋体" w:hAnsi="宋体" w:eastAsia="宋体"/>
                <w:color w:val="auto"/>
                <w:szCs w:val="21"/>
                <w:lang w:val="en-US" w:eastAsia="zh-CN"/>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color w:val="auto"/>
                <w:szCs w:val="21"/>
                <w:lang w:val="en-US" w:eastAsia="zh-CN"/>
              </w:rPr>
              <w:t>具有到达、偏航、移锚等告警功能。</w:t>
            </w:r>
          </w:p>
          <w:bookmarkEnd w:id="48"/>
          <w:bookmarkEnd w:id="49"/>
          <w:bookmarkEnd w:id="50"/>
          <w:p>
            <w:pPr>
              <w:autoSpaceDE w:val="0"/>
              <w:autoSpaceDN w:val="0"/>
              <w:adjustRightInd w:val="0"/>
              <w:spacing w:line="360" w:lineRule="exact"/>
              <w:ind w:firstLine="420" w:firstLineChars="200"/>
              <w:outlineLvl w:val="3"/>
              <w:rPr>
                <w:rFonts w:ascii="宋体" w:hAnsi="宋体"/>
                <w:color w:val="auto"/>
                <w:szCs w:val="21"/>
                <w:lang w:val="zh-CN"/>
              </w:rPr>
            </w:pPr>
            <w:bookmarkStart w:id="54" w:name="_Toc88317708"/>
            <w:r>
              <w:rPr>
                <w:rFonts w:hint="eastAsia" w:ascii="宋体" w:hAnsi="宋体"/>
                <w:color w:val="auto"/>
                <w:szCs w:val="21"/>
              </w:rPr>
              <w:t>6、</w:t>
            </w:r>
            <w:r>
              <w:rPr>
                <w:rFonts w:hint="eastAsia" w:ascii="宋体" w:hAnsi="宋体"/>
                <w:color w:val="auto"/>
                <w:szCs w:val="21"/>
                <w:lang w:val="zh-CN"/>
              </w:rPr>
              <w:t>会遇智能报警</w:t>
            </w:r>
            <w:bookmarkEnd w:id="54"/>
            <w:r>
              <w:rPr>
                <w:rFonts w:hint="eastAsia" w:ascii="宋体" w:hAnsi="宋体"/>
                <w:color w:val="auto"/>
                <w:szCs w:val="21"/>
                <w:lang w:val="zh-CN"/>
              </w:rPr>
              <w:t>功能</w:t>
            </w:r>
          </w:p>
          <w:p>
            <w:pPr>
              <w:spacing w:line="360" w:lineRule="exact"/>
              <w:ind w:firstLine="420" w:firstLineChars="200"/>
              <w:rPr>
                <w:rFonts w:ascii="宋体" w:hAnsi="宋体"/>
                <w:color w:val="auto"/>
                <w:szCs w:val="21"/>
                <w:lang w:val="zh-CN"/>
              </w:rPr>
            </w:pPr>
            <w:bookmarkStart w:id="55" w:name="_Toc88317709"/>
            <w:r>
              <w:rPr>
                <w:rFonts w:hint="eastAsia" w:ascii="宋体" w:hAnsi="宋体"/>
                <w:color w:val="auto"/>
                <w:szCs w:val="21"/>
                <w:lang w:val="zh-CN"/>
              </w:rPr>
              <w:t>★</w:t>
            </w:r>
            <w:r>
              <w:rPr>
                <w:rFonts w:hint="eastAsia" w:ascii="宋体" w:hAnsi="宋体"/>
                <w:color w:val="auto"/>
                <w:szCs w:val="21"/>
              </w:rPr>
              <w:t>(1)</w:t>
            </w:r>
            <w:r>
              <w:rPr>
                <w:rFonts w:hint="eastAsia" w:ascii="宋体" w:hAnsi="宋体"/>
                <w:color w:val="auto"/>
                <w:szCs w:val="21"/>
                <w:lang w:val="zh-CN"/>
              </w:rPr>
              <w:t>设备应能根据AIS信息和本船位置，对周边相邻距离不小于3nm的船舶的DCPA和TCPA进行连续监视。按表1要求进行会遇报警；</w:t>
            </w:r>
          </w:p>
          <w:p>
            <w:pPr>
              <w:autoSpaceDE w:val="0"/>
              <w:autoSpaceDN w:val="0"/>
              <w:adjustRightInd w:val="0"/>
              <w:spacing w:line="360" w:lineRule="exact"/>
              <w:ind w:firstLine="420" w:firstLineChars="200"/>
              <w:jc w:val="center"/>
              <w:rPr>
                <w:rFonts w:ascii="宋体" w:hAnsi="宋体"/>
                <w:color w:val="auto"/>
                <w:szCs w:val="21"/>
                <w:lang w:val="zh-CN"/>
              </w:rPr>
            </w:pPr>
            <w:r>
              <w:rPr>
                <w:rFonts w:hint="eastAsia" w:ascii="宋体" w:hAnsi="宋体"/>
                <w:color w:val="auto"/>
                <w:szCs w:val="21"/>
                <w:lang w:val="zh-CN"/>
              </w:rPr>
              <w:t>表1 会遇报警分类表</w:t>
            </w:r>
          </w:p>
          <w:tbl>
            <w:tblPr>
              <w:tblStyle w:val="39"/>
              <w:tblW w:w="6946"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425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blHeader/>
              </w:trPr>
              <w:tc>
                <w:tcPr>
                  <w:tcW w:w="1276"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报警级別</w:t>
                  </w:r>
                </w:p>
              </w:tc>
              <w:tc>
                <w:tcPr>
                  <w:tcW w:w="4253"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报警要求</w:t>
                  </w:r>
                </w:p>
              </w:tc>
              <w:tc>
                <w:tcPr>
                  <w:tcW w:w="1417"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报警方法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1276"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预警</w:t>
                  </w:r>
                </w:p>
              </w:tc>
              <w:tc>
                <w:tcPr>
                  <w:tcW w:w="4253" w:type="dxa"/>
                  <w:noWrap w:val="0"/>
                  <w:vAlign w:val="center"/>
                </w:tcPr>
                <w:p>
                  <w:pPr>
                    <w:autoSpaceDE w:val="0"/>
                    <w:autoSpaceDN w:val="0"/>
                    <w:adjustRightInd w:val="0"/>
                    <w:spacing w:line="360" w:lineRule="exact"/>
                    <w:ind w:left="42" w:leftChars="20" w:right="42" w:rightChars="20"/>
                    <w:jc w:val="left"/>
                    <w:rPr>
                      <w:rFonts w:ascii="宋体" w:hAnsi="宋体"/>
                      <w:color w:val="auto"/>
                      <w:szCs w:val="21"/>
                      <w:lang w:val="zh-CN"/>
                    </w:rPr>
                  </w:pPr>
                  <w:r>
                    <w:rPr>
                      <w:rFonts w:hint="eastAsia" w:ascii="宋体" w:hAnsi="宋体"/>
                      <w:color w:val="auto"/>
                      <w:szCs w:val="21"/>
                      <w:lang w:val="zh-CN"/>
                    </w:rPr>
                    <w:t>预警的DCPA最大值为3nm（系统默认值），最小值为1nm，用户可在范围内自行调节。</w:t>
                  </w:r>
                </w:p>
              </w:tc>
              <w:tc>
                <w:tcPr>
                  <w:tcW w:w="1417"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光学报警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76"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告警</w:t>
                  </w:r>
                </w:p>
              </w:tc>
              <w:tc>
                <w:tcPr>
                  <w:tcW w:w="4253" w:type="dxa"/>
                  <w:noWrap w:val="0"/>
                  <w:vAlign w:val="center"/>
                </w:tcPr>
                <w:p>
                  <w:pPr>
                    <w:autoSpaceDE w:val="0"/>
                    <w:autoSpaceDN w:val="0"/>
                    <w:adjustRightInd w:val="0"/>
                    <w:spacing w:line="360" w:lineRule="exact"/>
                    <w:ind w:left="42" w:leftChars="20" w:right="42" w:rightChars="20"/>
                    <w:jc w:val="left"/>
                    <w:rPr>
                      <w:rFonts w:ascii="宋体" w:hAnsi="宋体"/>
                      <w:color w:val="auto"/>
                      <w:szCs w:val="21"/>
                      <w:lang w:val="zh-CN"/>
                    </w:rPr>
                  </w:pPr>
                  <w:r>
                    <w:rPr>
                      <w:rFonts w:hint="eastAsia" w:ascii="宋体" w:hAnsi="宋体"/>
                      <w:color w:val="auto"/>
                      <w:szCs w:val="21"/>
                      <w:lang w:val="zh-CN"/>
                    </w:rPr>
                    <w:t>告警的DCPA最大值为1nm 且TCPA为15min（系统默认值），最小值为0.5nm且TCPA为15min，用户可在范围内自行调节。</w:t>
                  </w:r>
                </w:p>
              </w:tc>
              <w:tc>
                <w:tcPr>
                  <w:tcW w:w="1417" w:type="dxa"/>
                  <w:noWrap w:val="0"/>
                  <w:vAlign w:val="center"/>
                </w:tcPr>
                <w:p>
                  <w:pPr>
                    <w:autoSpaceDE w:val="0"/>
                    <w:autoSpaceDN w:val="0"/>
                    <w:adjustRightInd w:val="0"/>
                    <w:spacing w:line="360" w:lineRule="exact"/>
                    <w:ind w:left="42" w:leftChars="20" w:right="42" w:rightChars="20"/>
                    <w:jc w:val="center"/>
                    <w:rPr>
                      <w:rFonts w:ascii="宋体" w:hAnsi="宋体"/>
                      <w:color w:val="auto"/>
                      <w:szCs w:val="21"/>
                      <w:lang w:val="zh-CN"/>
                    </w:rPr>
                  </w:pPr>
                  <w:r>
                    <w:rPr>
                      <w:rFonts w:hint="eastAsia" w:ascii="宋体" w:hAnsi="宋体"/>
                      <w:color w:val="auto"/>
                      <w:szCs w:val="21"/>
                      <w:lang w:val="zh-CN"/>
                    </w:rPr>
                    <w:t>声光报警</w:t>
                  </w:r>
                </w:p>
              </w:tc>
            </w:tr>
          </w:tbl>
          <w:p>
            <w:pPr>
              <w:spacing w:line="360" w:lineRule="exact"/>
              <w:ind w:firstLine="420" w:firstLineChars="200"/>
              <w:rPr>
                <w:rFonts w:ascii="宋体" w:hAnsi="宋体"/>
                <w:color w:val="auto"/>
                <w:szCs w:val="21"/>
                <w:lang w:val="zh-CN"/>
              </w:rPr>
            </w:pPr>
            <w:r>
              <w:rPr>
                <w:rFonts w:hint="eastAsia" w:ascii="宋体" w:hAnsi="宋体"/>
                <w:color w:val="auto"/>
                <w:szCs w:val="21"/>
              </w:rPr>
              <w:t>(2)</w:t>
            </w:r>
            <w:r>
              <w:rPr>
                <w:rFonts w:hint="eastAsia" w:ascii="宋体" w:hAnsi="宋体"/>
                <w:color w:val="auto"/>
                <w:szCs w:val="21"/>
                <w:lang w:val="zh-CN"/>
              </w:rPr>
              <w:t>声音报警推荐使用语音报警，也可使用音频报警。声音报警输出峰值功率应不小于2W，报警音量可调节。音频报警的频率和重复周期可随告警的危险度自动调节，即危险度越大，音频报警的音频频率越高、重复周期越短；</w:t>
            </w:r>
          </w:p>
          <w:p>
            <w:pPr>
              <w:spacing w:line="36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光学报警可为指示灯闪烁或为屏幕上会遇目标闪烁；</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(4)</w:t>
            </w:r>
            <w:r>
              <w:rPr>
                <w:rFonts w:hint="eastAsia" w:ascii="宋体" w:hAnsi="宋体"/>
                <w:color w:val="auto"/>
                <w:szCs w:val="21"/>
                <w:lang w:val="zh-CN"/>
              </w:rPr>
              <w:t>当会遇报警达到告警级别时，在图形AIS目标显示画面下，可自动调节的显示比例，以便观察本船和会遇船舶的相对位置。</w:t>
            </w:r>
          </w:p>
          <w:p>
            <w:pPr>
              <w:spacing w:line="360" w:lineRule="exact"/>
              <w:ind w:firstLine="420" w:firstLineChars="200"/>
              <w:rPr>
                <w:rFonts w:hint="default" w:ascii="宋体" w:hAnsi="宋体" w:eastAsia="宋体"/>
                <w:color w:val="auto"/>
                <w:szCs w:val="21"/>
                <w:lang w:val="en-US" w:eastAsia="zh-CN"/>
              </w:rPr>
            </w:pPr>
            <w:r>
              <w:rPr>
                <w:rFonts w:hint="eastAsia" w:ascii="宋体" w:hAnsi="宋体"/>
                <w:color w:val="auto"/>
                <w:szCs w:val="21"/>
                <w:lang w:val="zh-CN"/>
              </w:rPr>
              <w:t>★</w:t>
            </w:r>
            <w:r>
              <w:rPr>
                <w:rFonts w:hint="eastAsia" w:ascii="宋体" w:hAnsi="宋体"/>
                <w:color w:val="auto"/>
                <w:szCs w:val="21"/>
              </w:rPr>
              <w:t>(5)会遇避碰应急通话功能。当与商船发生会遇报警时，</w:t>
            </w:r>
            <w:r>
              <w:rPr>
                <w:rFonts w:hint="eastAsia" w:ascii="宋体" w:hAnsi="宋体"/>
                <w:color w:val="auto"/>
                <w:szCs w:val="21"/>
                <w:lang w:val="en-US" w:eastAsia="zh-CN"/>
              </w:rPr>
              <w:t>支持</w:t>
            </w:r>
            <w:r>
              <w:rPr>
                <w:rFonts w:hint="eastAsia" w:ascii="宋体" w:hAnsi="宋体"/>
                <w:color w:val="auto"/>
                <w:szCs w:val="21"/>
              </w:rPr>
              <w:t>自动启动甚高频16频道进行应急双向语音通话，2分钟内没有通话，自动关闭甚高频16频道。</w:t>
            </w:r>
          </w:p>
          <w:p>
            <w:pPr>
              <w:spacing w:line="360" w:lineRule="exact"/>
              <w:ind w:firstLine="420" w:firstLineChars="200"/>
              <w:rPr>
                <w:rFonts w:ascii="宋体" w:hAnsi="宋体"/>
                <w:color w:val="auto"/>
                <w:szCs w:val="21"/>
              </w:rPr>
            </w:pPr>
            <w:r>
              <w:rPr>
                <w:rFonts w:hint="eastAsia" w:ascii="宋体" w:hAnsi="宋体"/>
                <w:color w:val="auto"/>
                <w:szCs w:val="21"/>
                <w:lang w:val="zh-CN"/>
              </w:rPr>
              <w:t>★</w:t>
            </w:r>
            <w:r>
              <w:rPr>
                <w:rFonts w:hint="eastAsia" w:ascii="宋体" w:hAnsi="宋体"/>
                <w:color w:val="auto"/>
                <w:szCs w:val="21"/>
              </w:rPr>
              <w:t>(6)会遇避碰语音播报。当与外轮发生会遇报警时，可手动启动海事16频道播发英文安全语音避让告警信息。</w:t>
            </w:r>
          </w:p>
          <w:p>
            <w:pPr>
              <w:tabs>
                <w:tab w:val="left" w:pos="1560"/>
              </w:tabs>
              <w:autoSpaceDE w:val="0"/>
              <w:autoSpaceDN w:val="0"/>
              <w:adjustRightInd w:val="0"/>
              <w:spacing w:line="360" w:lineRule="exact"/>
              <w:ind w:left="480"/>
              <w:outlineLvl w:val="3"/>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7、</w:t>
            </w:r>
            <w:r>
              <w:rPr>
                <w:rFonts w:hint="eastAsia" w:ascii="宋体" w:hAnsi="宋体"/>
                <w:color w:val="auto"/>
                <w:szCs w:val="21"/>
                <w:lang w:val="zh-CN"/>
              </w:rPr>
              <w:t>特定水域告警提示</w:t>
            </w:r>
            <w:bookmarkEnd w:id="55"/>
          </w:p>
          <w:p>
            <w:pPr>
              <w:autoSpaceDE w:val="0"/>
              <w:autoSpaceDN w:val="0"/>
              <w:adjustRightInd w:val="0"/>
              <w:spacing w:line="360" w:lineRule="exact"/>
              <w:ind w:firstLine="420" w:firstLineChars="200"/>
              <w:rPr>
                <w:rFonts w:ascii="宋体" w:hAnsi="宋体"/>
                <w:color w:val="auto"/>
                <w:szCs w:val="21"/>
                <w:lang w:val="zh-CN"/>
              </w:rPr>
            </w:pPr>
            <w:r>
              <w:rPr>
                <w:rFonts w:hint="eastAsia" w:ascii="宋体" w:hAnsi="宋体"/>
                <w:color w:val="auto"/>
                <w:szCs w:val="21"/>
                <w:lang w:val="zh-CN"/>
              </w:rPr>
              <w:t>渔船进入有关水域，自动播放语音提示。特定海域有：商船国内海域的推荐航道、商船国内海域的主要锚地、中韩（日）渔业协定暂定措施水域（韩日水域过线报警）、钓鱼岛等，如“本船已进入商船航道水域，请加强值班瞭望，尽快驶离，严禁在此作业、锚泊”或其他水域的特定内容语音提示。</w:t>
            </w:r>
          </w:p>
          <w:p>
            <w:pPr>
              <w:tabs>
                <w:tab w:val="left" w:pos="1560"/>
              </w:tabs>
              <w:autoSpaceDE w:val="0"/>
              <w:autoSpaceDN w:val="0"/>
              <w:adjustRightInd w:val="0"/>
              <w:spacing w:line="360" w:lineRule="exact"/>
              <w:ind w:firstLine="420" w:firstLineChars="200"/>
              <w:outlineLvl w:val="3"/>
              <w:rPr>
                <w:rFonts w:ascii="宋体" w:hAnsi="宋体"/>
                <w:color w:val="auto"/>
                <w:szCs w:val="21"/>
                <w:lang w:val="zh-CN"/>
              </w:rPr>
            </w:pPr>
            <w:bookmarkStart w:id="56" w:name="_Toc88317710"/>
            <w:r>
              <w:rPr>
                <w:rFonts w:hint="eastAsia" w:ascii="宋体" w:hAnsi="宋体"/>
                <w:color w:val="auto"/>
                <w:szCs w:val="21"/>
                <w:lang w:val="zh-CN"/>
              </w:rPr>
              <w:t>★</w:t>
            </w:r>
            <w:r>
              <w:rPr>
                <w:rFonts w:hint="eastAsia" w:ascii="宋体" w:hAnsi="宋体"/>
                <w:color w:val="auto"/>
                <w:szCs w:val="21"/>
              </w:rPr>
              <w:t>8、</w:t>
            </w:r>
            <w:r>
              <w:rPr>
                <w:rFonts w:hint="eastAsia" w:ascii="宋体" w:hAnsi="宋体"/>
                <w:color w:val="auto"/>
                <w:szCs w:val="21"/>
                <w:lang w:val="zh-CN"/>
              </w:rPr>
              <w:t>遇险手动报警</w:t>
            </w:r>
            <w:bookmarkEnd w:id="56"/>
          </w:p>
          <w:p>
            <w:pPr>
              <w:autoSpaceDE w:val="0"/>
              <w:autoSpaceDN w:val="0"/>
              <w:adjustRightInd w:val="0"/>
              <w:spacing w:line="360" w:lineRule="exact"/>
              <w:ind w:firstLine="420" w:firstLineChars="200"/>
              <w:rPr>
                <w:rFonts w:ascii="宋体" w:hAnsi="宋体"/>
                <w:color w:val="auto"/>
                <w:szCs w:val="21"/>
                <w:lang w:val="zh-CN"/>
              </w:rPr>
            </w:pPr>
            <w:r>
              <w:rPr>
                <w:rFonts w:hint="eastAsia" w:ascii="宋体" w:hAnsi="宋体"/>
                <w:color w:val="auto"/>
                <w:szCs w:val="21"/>
                <w:lang w:val="zh-CN"/>
              </w:rPr>
              <w:t>在遇到险情时，通过专用按键通过舱外主机单元快速向周边船舶和岸上管理平台发送遇险报警信息，信息包括本船MMSI、船名、位置；报警操作需要两个独立动作（先按报警键，再按确认键），报警按键需加装保护盖，用于防止意外操作。</w:t>
            </w:r>
          </w:p>
          <w:bookmarkEnd w:id="32"/>
          <w:bookmarkEnd w:id="33"/>
          <w:bookmarkEnd w:id="34"/>
          <w:bookmarkEnd w:id="35"/>
          <w:p>
            <w:pPr>
              <w:tabs>
                <w:tab w:val="left" w:pos="1560"/>
              </w:tabs>
              <w:autoSpaceDE w:val="0"/>
              <w:autoSpaceDN w:val="0"/>
              <w:adjustRightInd w:val="0"/>
              <w:spacing w:line="360" w:lineRule="exact"/>
              <w:ind w:firstLine="420" w:firstLineChars="200"/>
              <w:outlineLvl w:val="3"/>
              <w:rPr>
                <w:rFonts w:ascii="宋体" w:hAnsi="宋体"/>
                <w:color w:val="auto"/>
                <w:szCs w:val="21"/>
              </w:rPr>
            </w:pPr>
            <w:bookmarkStart w:id="57" w:name="_Toc88317718"/>
            <w:r>
              <w:rPr>
                <w:rFonts w:hint="eastAsia" w:ascii="宋体" w:hAnsi="宋体"/>
                <w:color w:val="auto"/>
                <w:szCs w:val="21"/>
                <w:lang w:val="zh-CN"/>
              </w:rPr>
              <w:t>★</w:t>
            </w:r>
            <w:r>
              <w:rPr>
                <w:rFonts w:hint="eastAsia" w:ascii="宋体" w:hAnsi="宋体"/>
                <w:color w:val="auto"/>
                <w:szCs w:val="21"/>
              </w:rPr>
              <w:t>9、值班点名</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(1)终端定时语音提醒。当值班人员在规定的时间没有手动对设备进行复位，设备自动声光报警，提醒值班人员履行值班职责。</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(2)管理平台点名。在信号覆盖范围内，管理平台可向终端发送点名指令，终端接收后屏幕弹窗提示，需人工手动确认回执。</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10、自动记录航行数据功能</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（1）采用SD卡自动记录本船1年以上航迹数据（10秒1个记录点）。</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lang w:val="zh-CN"/>
              </w:rPr>
              <w:t>★</w:t>
            </w:r>
            <w:r>
              <w:rPr>
                <w:rFonts w:hint="eastAsia" w:ascii="宋体" w:hAnsi="宋体"/>
                <w:color w:val="auto"/>
                <w:szCs w:val="21"/>
              </w:rPr>
              <w:t>（2）自动记录本船接收到的周边船舶AIS动态数据3个月以上（数据记录方式采用AIS标准语句，能在救助信息平台直接显示回放）。</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（3）自动记录最近1年内的设备开机和关机的时间记录并可查看。</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（4）采用专用SD卡，并内置机内，不可随意拔插。</w:t>
            </w:r>
          </w:p>
          <w:p>
            <w:pPr>
              <w:keepNext/>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11、扩展接口</w:t>
            </w:r>
          </w:p>
          <w:p>
            <w:pPr>
              <w:tabs>
                <w:tab w:val="left" w:pos="1560"/>
              </w:tabs>
              <w:autoSpaceDE w:val="0"/>
              <w:autoSpaceDN w:val="0"/>
              <w:adjustRightInd w:val="0"/>
              <w:spacing w:line="360" w:lineRule="exact"/>
              <w:ind w:firstLine="420" w:firstLineChars="200"/>
              <w:outlineLvl w:val="3"/>
              <w:rPr>
                <w:rFonts w:ascii="宋体" w:hAnsi="宋体"/>
                <w:color w:val="auto"/>
                <w:szCs w:val="21"/>
              </w:rPr>
            </w:pPr>
            <w:r>
              <w:rPr>
                <w:rFonts w:hint="eastAsia" w:ascii="宋体" w:hAnsi="宋体"/>
                <w:color w:val="auto"/>
                <w:szCs w:val="21"/>
              </w:rPr>
              <w:t>支持NMEA0183接口接入船艏向、水深、水温、风速风向等数据并显示。</w:t>
            </w:r>
          </w:p>
          <w:p>
            <w:pPr>
              <w:tabs>
                <w:tab w:val="left" w:pos="1560"/>
              </w:tabs>
              <w:autoSpaceDE w:val="0"/>
              <w:autoSpaceDN w:val="0"/>
              <w:adjustRightInd w:val="0"/>
              <w:spacing w:line="360" w:lineRule="exact"/>
              <w:ind w:firstLine="420" w:firstLineChars="200"/>
              <w:outlineLvl w:val="3"/>
              <w:rPr>
                <w:rFonts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rPr>
              <w:t>12、</w:t>
            </w:r>
            <w:r>
              <w:rPr>
                <w:rFonts w:hint="eastAsia" w:ascii="宋体" w:hAnsi="宋体"/>
                <w:color w:val="auto"/>
                <w:szCs w:val="21"/>
                <w:lang w:val="zh-CN"/>
              </w:rPr>
              <w:t>自检功能</w:t>
            </w:r>
            <w:bookmarkEnd w:id="57"/>
          </w:p>
          <w:p>
            <w:pPr>
              <w:autoSpaceDE w:val="0"/>
              <w:autoSpaceDN w:val="0"/>
              <w:adjustRightInd w:val="0"/>
              <w:spacing w:line="360" w:lineRule="exact"/>
              <w:ind w:firstLine="420" w:firstLineChars="200"/>
              <w:rPr>
                <w:rFonts w:ascii="宋体" w:hAnsi="宋体"/>
                <w:color w:val="auto"/>
                <w:szCs w:val="21"/>
                <w:lang w:val="zh-CN"/>
              </w:rPr>
            </w:pPr>
            <w:r>
              <w:rPr>
                <w:rFonts w:hint="eastAsia" w:ascii="宋体" w:hAnsi="宋体"/>
                <w:color w:val="auto"/>
                <w:szCs w:val="21"/>
                <w:lang w:val="zh-CN"/>
              </w:rPr>
              <w:t>终端具有自检功能，通过界面显示终端的工作状态，简单判断终端是否工作正常。</w:t>
            </w:r>
          </w:p>
          <w:p>
            <w:pPr>
              <w:spacing w:line="360" w:lineRule="exact"/>
              <w:rPr>
                <w:rFonts w:ascii="宋体" w:hAnsi="宋体"/>
                <w:b/>
                <w:color w:val="auto"/>
                <w:szCs w:val="21"/>
              </w:rPr>
            </w:pPr>
            <w:r>
              <w:rPr>
                <w:rFonts w:hint="eastAsia" w:ascii="宋体" w:hAnsi="宋体"/>
                <w:b/>
                <w:color w:val="auto"/>
                <w:szCs w:val="21"/>
              </w:rPr>
              <w:t>四</w:t>
            </w:r>
            <w:r>
              <w:rPr>
                <w:rFonts w:ascii="宋体" w:hAnsi="宋体"/>
                <w:b/>
                <w:color w:val="auto"/>
                <w:szCs w:val="21"/>
              </w:rPr>
              <w:t>、技术</w:t>
            </w:r>
            <w:r>
              <w:rPr>
                <w:rFonts w:hint="eastAsia" w:ascii="宋体" w:hAnsi="宋体"/>
                <w:b/>
                <w:color w:val="auto"/>
                <w:szCs w:val="21"/>
              </w:rPr>
              <w:t>参数与技术指标</w:t>
            </w:r>
          </w:p>
          <w:p>
            <w:pPr>
              <w:spacing w:line="360" w:lineRule="exact"/>
              <w:rPr>
                <w:rFonts w:ascii="宋体" w:hAnsi="宋体"/>
                <w:color w:val="auto"/>
                <w:szCs w:val="21"/>
              </w:rPr>
            </w:pPr>
            <w:r>
              <w:rPr>
                <w:rFonts w:hint="eastAsia" w:ascii="宋体" w:hAnsi="宋体"/>
                <w:color w:val="auto"/>
                <w:szCs w:val="21"/>
              </w:rPr>
              <w:t>1、总体指标</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① 频率范围：161.500～162.025MHz</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② 默认工作频点：AIS1：161.975MHz、AIS2：162.025MHz </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③ 频道间隔：25KHz</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④ 工作模式：CSTDMA</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⑤ 调制方式：GMSK，比特率：9600b/s</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⑥ 定位误差≤13m</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⑦ 首次定位时间≤2min</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⑧ 工作温度：-20℃～+55℃</w:t>
            </w:r>
          </w:p>
          <w:p>
            <w:pPr>
              <w:spacing w:line="360" w:lineRule="exact"/>
              <w:ind w:firstLine="420" w:firstLineChars="200"/>
              <w:rPr>
                <w:rFonts w:hint="eastAsia" w:ascii="宋体" w:hAnsi="宋体"/>
                <w:color w:val="auto"/>
                <w:szCs w:val="21"/>
                <w:lang w:val="zh-CN"/>
              </w:rPr>
            </w:pPr>
            <w:r>
              <w:rPr>
                <w:rFonts w:hint="eastAsia" w:ascii="宋体" w:hAnsi="宋体"/>
                <w:color w:val="auto"/>
                <w:szCs w:val="21"/>
                <w:lang w:val="zh-CN"/>
              </w:rPr>
              <w:t>⑨ 防水等级：舱外单元IP67以上，舱内单元IP54</w:t>
            </w:r>
          </w:p>
          <w:p>
            <w:pPr>
              <w:spacing w:line="360" w:lineRule="exact"/>
              <w:ind w:firstLine="420" w:firstLineChars="200"/>
              <w:rPr>
                <w:rFonts w:ascii="宋体" w:hAnsi="宋体"/>
                <w:b/>
                <w:bCs/>
                <w:color w:val="auto"/>
                <w:szCs w:val="21"/>
                <w:lang w:val="zh-CN"/>
              </w:rPr>
            </w:pPr>
            <w:r>
              <w:rPr>
                <w:rFonts w:hint="eastAsia" w:ascii="宋体" w:hAnsi="宋体"/>
                <w:color w:val="auto"/>
                <w:szCs w:val="21"/>
                <w:lang w:val="zh-CN"/>
              </w:rPr>
              <w:t>⑩ 罗经安全距离应符合IEC 60945-2002规定的要求。</w:t>
            </w:r>
          </w:p>
          <w:p>
            <w:pPr>
              <w:pStyle w:val="37"/>
              <w:spacing w:after="0" w:line="360" w:lineRule="exact"/>
              <w:ind w:firstLine="210"/>
              <w:rPr>
                <w:rFonts w:hint="eastAsia" w:ascii="宋体" w:hAnsi="宋体" w:eastAsia="宋体" w:cs="Times New Roman"/>
                <w:color w:val="auto"/>
                <w:kern w:val="2"/>
                <w:sz w:val="21"/>
                <w:szCs w:val="21"/>
                <w:lang w:val="zh-CN" w:eastAsia="zh-CN" w:bidi="ar-SA"/>
              </w:rPr>
            </w:pPr>
            <w:r>
              <w:rPr>
                <w:rFonts w:hint="eastAsia" w:ascii="宋体" w:hAnsi="宋体" w:eastAsia="宋体" w:cs="Times New Roman"/>
                <w:color w:val="auto"/>
                <w:kern w:val="2"/>
                <w:sz w:val="21"/>
                <w:szCs w:val="21"/>
                <w:lang w:val="en-US" w:eastAsia="zh-CN" w:bidi="ar-SA"/>
              </w:rPr>
              <w:t>2、</w:t>
            </w:r>
            <w:r>
              <w:rPr>
                <w:rFonts w:hint="eastAsia" w:ascii="宋体" w:hAnsi="宋体" w:eastAsia="宋体" w:cs="Times New Roman"/>
                <w:color w:val="auto"/>
                <w:kern w:val="2"/>
                <w:sz w:val="21"/>
                <w:szCs w:val="21"/>
                <w:lang w:val="zh-CN" w:eastAsia="zh-CN" w:bidi="ar-SA"/>
              </w:rPr>
              <w:t>AIS发射单元</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① 频率误差：±500Hz</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② 载波功率：33dBm±1.5dB</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③ 调制频谱：</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△fc＜±10KHz:＜-25dBw</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±25KHz＜△fc＜±62,5KHz:＜-60dBw</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④ 调制精度：</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a)＜3400Hz   (比特0，1)  </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b)2400Hz±480Hz   (比特2，3)</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c)2400Hz±240Hz   (比特4—31)</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d)1740Hz±175Hz   (比特32-199)</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e)2400Hz±240Hz   (对0101比特格式)</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f)2400Hz±240Hz   (对00001111比特格式)</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⑤ 功率对时间的关系特征（正常一个时间段的发射）</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发射延迟：2083us</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斜坡上升：≤313us</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斜坡下降：≤313us</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发射时长：≤23333us</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⑥ 杂散发射：</w:t>
            </w:r>
          </w:p>
          <w:p>
            <w:pPr>
              <w:spacing w:line="360" w:lineRule="exact"/>
              <w:ind w:firstLine="420" w:firstLineChars="200"/>
              <w:rPr>
                <w:rFonts w:hint="eastAsia" w:ascii="宋体" w:hAnsi="宋体"/>
                <w:color w:val="auto"/>
                <w:szCs w:val="21"/>
              </w:rPr>
            </w:pPr>
            <w:r>
              <w:rPr>
                <w:rFonts w:hint="eastAsia" w:ascii="宋体" w:hAnsi="宋体"/>
                <w:color w:val="auto"/>
                <w:szCs w:val="21"/>
                <w:lang w:val="zh-CN"/>
              </w:rPr>
              <w:t xml:space="preserve">   9KHz…1GHz范围内：＜-36dB</w:t>
            </w:r>
            <w:r>
              <w:rPr>
                <w:rFonts w:hint="eastAsia" w:ascii="宋体" w:hAnsi="宋体"/>
                <w:color w:val="auto"/>
                <w:szCs w:val="21"/>
              </w:rPr>
              <w:t>m</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1GHz…4GHz范围内：＜-30dBm</w:t>
            </w:r>
          </w:p>
          <w:p>
            <w:pPr>
              <w:pStyle w:val="38"/>
              <w:keepNext/>
              <w:keepLines/>
              <w:numPr>
                <w:ilvl w:val="0"/>
                <w:numId w:val="20"/>
              </w:numPr>
              <w:spacing w:after="0" w:line="360" w:lineRule="exact"/>
              <w:ind w:left="0" w:leftChars="0" w:firstLine="480" w:firstLineChars="0"/>
              <w:jc w:val="left"/>
              <w:outlineLvl w:val="3"/>
              <w:rPr>
                <w:rFonts w:ascii="宋体" w:hAnsi="宋体"/>
                <w:color w:val="auto"/>
                <w:szCs w:val="21"/>
                <w:lang w:val="zh-CN"/>
              </w:rPr>
            </w:pPr>
            <w:r>
              <w:rPr>
                <w:rFonts w:hint="eastAsia" w:ascii="宋体" w:hAnsi="宋体"/>
                <w:color w:val="auto"/>
                <w:szCs w:val="21"/>
                <w:lang w:val="zh-CN"/>
              </w:rPr>
              <w:t>AIS接收单元</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① 接收灵敏度：≤-107dBm，误包率＜20%</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② 在高输入电平的误差：</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当-77dBm时，误包率＜2%</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当-7dBm时，误包率＜10%</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③ 同信道抑制：＞12dB</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④ 邻道抗扰：＞70dB</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⑤ 互调抗扰性：＞70dB</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输入信号：-101dBm和干扰信号：-31dBm (50MHz…520MHz),误包率＜20%</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⑥ 互调响应抑制</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输入信号：-101dBm和干扰信号：-36dBm,误包率＜20%</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⑦ 阻塞: ＞84dB</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⑧ 杂散发射：</w:t>
            </w:r>
          </w:p>
          <w:p>
            <w:pPr>
              <w:spacing w:line="360" w:lineRule="exact"/>
              <w:ind w:firstLine="420" w:firstLineChars="200"/>
              <w:rPr>
                <w:rFonts w:hint="eastAsia" w:ascii="宋体" w:hAnsi="宋体"/>
                <w:color w:val="auto"/>
                <w:szCs w:val="21"/>
                <w:lang w:val="zh-CN"/>
              </w:rPr>
            </w:pPr>
            <w:r>
              <w:rPr>
                <w:rFonts w:hint="eastAsia" w:ascii="宋体" w:hAnsi="宋体"/>
                <w:color w:val="auto"/>
                <w:szCs w:val="21"/>
                <w:lang w:val="zh-CN"/>
              </w:rPr>
              <w:t xml:space="preserve">   9KHz…1GHz范围内：＜-57dBm   </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 xml:space="preserve">   1GHz…4GHz范围内：＜-47dBm  </w:t>
            </w:r>
          </w:p>
          <w:p>
            <w:pPr>
              <w:numPr>
                <w:ilvl w:val="0"/>
                <w:numId w:val="20"/>
              </w:numPr>
              <w:spacing w:line="360" w:lineRule="exact"/>
              <w:ind w:left="780" w:hanging="360"/>
              <w:rPr>
                <w:rFonts w:ascii="宋体" w:hAnsi="宋体"/>
                <w:color w:val="auto"/>
                <w:szCs w:val="21"/>
                <w:lang w:val="zh-CN"/>
              </w:rPr>
            </w:pPr>
            <w:r>
              <w:rPr>
                <w:rFonts w:hint="eastAsia" w:ascii="宋体" w:hAnsi="宋体"/>
                <w:color w:val="auto"/>
                <w:szCs w:val="21"/>
                <w:lang w:val="zh-CN"/>
              </w:rPr>
              <w:t>环境适应性</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① 总体要求：符合GD 22-2015中1.3的有关规定；</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② 高温：符合SC/T 7002.2或GD 22-2015 2.8的有关规定；</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③ 低温：符合SC/T 7002.3或GD 22-2015 2.9的有关规定；</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④ 湿热：</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舱外单元的湿热符合SC/T 7002.4或GD 22-2015 2.10的规定；</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⑤振动：符合SC/T 7002.8或GD 22-2015 2.7的规定；</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⑥外壳防护：符合SC/T 7002.10或GD 22-2015 2.15的规定。舱外单元防护等级不低于IP67；</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⑦ 防盐雾</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舱外单元的防盐雾符合SC/T 7002.7或GD 22-2015 2.12的规定；</w:t>
            </w:r>
          </w:p>
          <w:p>
            <w:pPr>
              <w:spacing w:line="360" w:lineRule="exact"/>
              <w:ind w:firstLine="420" w:firstLineChars="200"/>
              <w:rPr>
                <w:rFonts w:ascii="宋体" w:hAnsi="宋体"/>
                <w:color w:val="auto"/>
                <w:szCs w:val="21"/>
                <w:lang w:val="zh-CN"/>
              </w:rPr>
            </w:pPr>
            <w:r>
              <w:rPr>
                <w:rFonts w:hint="eastAsia" w:ascii="宋体" w:hAnsi="宋体"/>
                <w:color w:val="auto"/>
                <w:szCs w:val="21"/>
                <w:lang w:val="zh-CN"/>
              </w:rPr>
              <w:t>⑧防霉菌：符合GB/T 2423.16-2008的规定；</w:t>
            </w:r>
          </w:p>
          <w:p>
            <w:pPr>
              <w:spacing w:line="360" w:lineRule="exact"/>
              <w:ind w:firstLine="420" w:firstLineChars="200"/>
              <w:rPr>
                <w:rFonts w:ascii="宋体" w:hAnsi="宋体"/>
                <w:color w:val="auto"/>
                <w:szCs w:val="21"/>
              </w:rPr>
            </w:pPr>
            <w:r>
              <w:rPr>
                <w:rFonts w:hint="eastAsia" w:ascii="宋体" w:hAnsi="宋体"/>
                <w:color w:val="auto"/>
                <w:szCs w:val="21"/>
                <w:lang w:val="zh-CN"/>
              </w:rPr>
              <w:t>⑨光稳定性：设备应采用有效的防止光老化设计，保障应力稳定性，符合IEC 60945 8.10的规定。</w:t>
            </w:r>
          </w:p>
        </w:tc>
      </w:tr>
    </w:tbl>
    <w:p>
      <w:pPr>
        <w:widowControl/>
        <w:spacing w:line="360" w:lineRule="exact"/>
        <w:ind w:right="-53"/>
        <w:textAlignment w:val="bottom"/>
        <w:rPr>
          <w:rFonts w:ascii="宋体" w:hAnsi="宋体"/>
          <w:b/>
          <w:color w:val="auto"/>
          <w:szCs w:val="21"/>
        </w:rPr>
      </w:pPr>
      <w:r>
        <w:rPr>
          <w:rFonts w:ascii="宋体" w:hAnsi="宋体"/>
          <w:b/>
          <w:color w:val="auto"/>
          <w:szCs w:val="21"/>
        </w:rPr>
        <w:t>三、设备安装、测试与验收要求</w:t>
      </w:r>
    </w:p>
    <w:p>
      <w:pPr>
        <w:spacing w:line="360" w:lineRule="exact"/>
        <w:ind w:firstLine="422" w:firstLineChars="200"/>
        <w:outlineLvl w:val="0"/>
        <w:rPr>
          <w:rFonts w:ascii="宋体" w:hAnsi="宋体"/>
          <w:b/>
          <w:color w:val="auto"/>
          <w:szCs w:val="21"/>
        </w:rPr>
      </w:pPr>
      <w:r>
        <w:rPr>
          <w:rFonts w:hint="eastAsia" w:ascii="宋体" w:hAnsi="宋体"/>
          <w:b/>
          <w:color w:val="auto"/>
          <w:szCs w:val="21"/>
          <w:lang w:eastAsia="zh-CN"/>
        </w:rPr>
        <w:t>（</w:t>
      </w:r>
      <w:r>
        <w:rPr>
          <w:rFonts w:hint="eastAsia" w:ascii="宋体" w:hAnsi="宋体"/>
          <w:b/>
          <w:color w:val="auto"/>
          <w:szCs w:val="21"/>
          <w:lang w:val="en-US" w:eastAsia="zh-CN"/>
        </w:rPr>
        <w:t>一</w:t>
      </w:r>
      <w:r>
        <w:rPr>
          <w:rFonts w:hint="eastAsia" w:ascii="宋体" w:hAnsi="宋体"/>
          <w:b/>
          <w:color w:val="auto"/>
          <w:szCs w:val="21"/>
          <w:lang w:eastAsia="zh-CN"/>
        </w:rPr>
        <w:t>）</w:t>
      </w:r>
      <w:r>
        <w:rPr>
          <w:rFonts w:ascii="宋体" w:hAnsi="宋体"/>
          <w:b/>
          <w:color w:val="auto"/>
          <w:szCs w:val="21"/>
        </w:rPr>
        <w:t>设备安装</w:t>
      </w:r>
    </w:p>
    <w:p>
      <w:pPr>
        <w:spacing w:line="360" w:lineRule="exact"/>
        <w:ind w:firstLine="412" w:firstLineChars="200"/>
        <w:rPr>
          <w:rFonts w:ascii="宋体" w:hAnsi="宋体" w:cs="宋体"/>
          <w:color w:val="auto"/>
          <w:szCs w:val="21"/>
        </w:rPr>
      </w:pPr>
      <w:r>
        <w:rPr>
          <w:rFonts w:hint="eastAsia" w:ascii="宋体" w:hAnsi="宋体"/>
          <w:color w:val="auto"/>
          <w:spacing w:val="-2"/>
          <w:position w:val="-1"/>
          <w:szCs w:val="21"/>
        </w:rPr>
        <w:t>供应商</w:t>
      </w:r>
      <w:r>
        <w:rPr>
          <w:rFonts w:ascii="宋体" w:hAnsi="宋体"/>
          <w:color w:val="auto"/>
          <w:spacing w:val="-2"/>
          <w:position w:val="-1"/>
          <w:szCs w:val="21"/>
        </w:rPr>
        <w:t>必须向</w:t>
      </w:r>
      <w:r>
        <w:rPr>
          <w:rFonts w:hint="eastAsia" w:ascii="宋体" w:hAnsi="宋体"/>
          <w:color w:val="auto"/>
          <w:spacing w:val="-2"/>
          <w:position w:val="-1"/>
          <w:szCs w:val="21"/>
        </w:rPr>
        <w:t>采购</w:t>
      </w:r>
      <w:r>
        <w:rPr>
          <w:rFonts w:ascii="宋体" w:hAnsi="宋体"/>
          <w:color w:val="auto"/>
          <w:spacing w:val="-2"/>
          <w:position w:val="-1"/>
          <w:szCs w:val="21"/>
        </w:rPr>
        <w:t>人提供标书中</w:t>
      </w:r>
      <w:r>
        <w:rPr>
          <w:rFonts w:hint="eastAsia" w:ascii="宋体" w:hAnsi="宋体"/>
          <w:color w:val="auto"/>
          <w:spacing w:val="-2"/>
          <w:position w:val="-1"/>
          <w:szCs w:val="21"/>
        </w:rPr>
        <w:t>要求</w:t>
      </w:r>
      <w:r>
        <w:rPr>
          <w:rFonts w:ascii="宋体" w:hAnsi="宋体"/>
          <w:color w:val="auto"/>
          <w:spacing w:val="-2"/>
          <w:position w:val="-1"/>
          <w:szCs w:val="21"/>
        </w:rPr>
        <w:t>的所有设备安装和维护服务的全</w:t>
      </w:r>
      <w:r>
        <w:rPr>
          <w:rFonts w:ascii="宋体" w:hAnsi="宋体"/>
          <w:color w:val="auto"/>
          <w:szCs w:val="21"/>
        </w:rPr>
        <w:t>部内容，并在需要的</w:t>
      </w:r>
      <w:r>
        <w:rPr>
          <w:rFonts w:ascii="宋体" w:hAnsi="宋体" w:cs="宋体"/>
          <w:color w:val="auto"/>
          <w:szCs w:val="21"/>
        </w:rPr>
        <w:t>时候配合设备使用</w:t>
      </w:r>
      <w:r>
        <w:rPr>
          <w:rFonts w:hint="eastAsia" w:ascii="宋体" w:hAnsi="宋体" w:cs="宋体"/>
          <w:color w:val="auto"/>
          <w:szCs w:val="21"/>
        </w:rPr>
        <w:t>方</w:t>
      </w:r>
      <w:r>
        <w:rPr>
          <w:rFonts w:ascii="宋体" w:hAnsi="宋体" w:cs="宋体"/>
          <w:color w:val="auto"/>
          <w:szCs w:val="21"/>
        </w:rPr>
        <w:t>完成整个系统的调试工作。若本标书中所采购的设备产品等方面的配置或要求中出现不合理或不完整的问题时，</w:t>
      </w:r>
      <w:r>
        <w:rPr>
          <w:rFonts w:hint="eastAsia" w:ascii="宋体" w:hAnsi="宋体" w:cs="宋体"/>
          <w:color w:val="auto"/>
          <w:szCs w:val="21"/>
        </w:rPr>
        <w:t>供应商</w:t>
      </w:r>
      <w:r>
        <w:rPr>
          <w:rFonts w:ascii="宋体" w:hAnsi="宋体" w:cs="宋体"/>
          <w:color w:val="auto"/>
          <w:szCs w:val="21"/>
        </w:rPr>
        <w:t>有责任和义务在投标书中提出补充修改方案并征得</w:t>
      </w:r>
      <w:r>
        <w:rPr>
          <w:rFonts w:hint="eastAsia" w:ascii="宋体" w:hAnsi="宋体" w:cs="宋体"/>
          <w:color w:val="auto"/>
          <w:szCs w:val="21"/>
        </w:rPr>
        <w:t>采购人</w:t>
      </w:r>
      <w:r>
        <w:rPr>
          <w:rFonts w:ascii="宋体" w:hAnsi="宋体" w:cs="宋体"/>
          <w:color w:val="auto"/>
          <w:szCs w:val="21"/>
        </w:rPr>
        <w:t>同意后付诸实施。</w:t>
      </w:r>
    </w:p>
    <w:p>
      <w:pPr>
        <w:tabs>
          <w:tab w:val="left" w:pos="900"/>
        </w:tabs>
        <w:spacing w:line="360" w:lineRule="exact"/>
        <w:ind w:firstLine="422" w:firstLineChars="200"/>
        <w:outlineLvl w:val="0"/>
        <w:rPr>
          <w:rFonts w:ascii="宋体" w:hAnsi="宋体"/>
          <w:color w:val="auto"/>
          <w:szCs w:val="21"/>
        </w:rPr>
      </w:pPr>
      <w:r>
        <w:rPr>
          <w:rFonts w:hint="eastAsia" w:ascii="宋体" w:hAnsi="宋体" w:cs="宋体"/>
          <w:b/>
          <w:color w:val="auto"/>
          <w:szCs w:val="21"/>
          <w:lang w:eastAsia="zh-CN"/>
        </w:rPr>
        <w:t>（</w:t>
      </w:r>
      <w:r>
        <w:rPr>
          <w:rFonts w:hint="eastAsia" w:ascii="宋体" w:hAnsi="宋体" w:cs="宋体"/>
          <w:b/>
          <w:color w:val="auto"/>
          <w:szCs w:val="21"/>
          <w:lang w:val="en-US" w:eastAsia="zh-CN"/>
        </w:rPr>
        <w:t>二</w:t>
      </w:r>
      <w:r>
        <w:rPr>
          <w:rFonts w:hint="eastAsia" w:ascii="宋体" w:hAnsi="宋体" w:cs="宋体"/>
          <w:b/>
          <w:color w:val="auto"/>
          <w:szCs w:val="21"/>
          <w:lang w:eastAsia="zh-CN"/>
        </w:rPr>
        <w:t>）</w:t>
      </w:r>
      <w:r>
        <w:rPr>
          <w:rFonts w:ascii="宋体" w:hAnsi="宋体" w:cs="宋体"/>
          <w:b/>
          <w:color w:val="auto"/>
          <w:szCs w:val="21"/>
        </w:rPr>
        <w:t>安装地点</w:t>
      </w:r>
      <w:r>
        <w:rPr>
          <w:rFonts w:hint="eastAsia" w:ascii="宋体" w:hAnsi="宋体" w:cs="宋体"/>
          <w:b/>
          <w:color w:val="auto"/>
          <w:szCs w:val="21"/>
        </w:rPr>
        <w:t>：</w:t>
      </w:r>
      <w:r>
        <w:rPr>
          <w:rFonts w:hint="eastAsia" w:ascii="宋体" w:hAnsi="宋体"/>
          <w:color w:val="auto"/>
          <w:szCs w:val="21"/>
        </w:rPr>
        <w:t>采购人指定地点</w:t>
      </w:r>
    </w:p>
    <w:p>
      <w:pPr>
        <w:tabs>
          <w:tab w:val="left" w:pos="900"/>
        </w:tabs>
        <w:spacing w:line="360" w:lineRule="exact"/>
        <w:ind w:firstLine="422" w:firstLineChars="200"/>
        <w:outlineLvl w:val="0"/>
        <w:rPr>
          <w:rFonts w:ascii="宋体" w:hAnsi="宋体"/>
          <w:b/>
          <w:color w:val="auto"/>
          <w:szCs w:val="21"/>
        </w:rPr>
      </w:pPr>
      <w:r>
        <w:rPr>
          <w:rFonts w:hint="eastAsia" w:ascii="宋体" w:hAnsi="宋体"/>
          <w:b/>
          <w:color w:val="auto"/>
          <w:szCs w:val="21"/>
          <w:lang w:eastAsia="zh-CN"/>
        </w:rPr>
        <w:t>（</w:t>
      </w:r>
      <w:r>
        <w:rPr>
          <w:rFonts w:hint="eastAsia" w:ascii="宋体" w:hAnsi="宋体"/>
          <w:b/>
          <w:color w:val="auto"/>
          <w:szCs w:val="21"/>
          <w:lang w:val="en-US" w:eastAsia="zh-CN"/>
        </w:rPr>
        <w:t>三</w:t>
      </w:r>
      <w:r>
        <w:rPr>
          <w:rFonts w:hint="eastAsia" w:ascii="宋体" w:hAnsi="宋体"/>
          <w:b/>
          <w:color w:val="auto"/>
          <w:szCs w:val="21"/>
          <w:lang w:eastAsia="zh-CN"/>
        </w:rPr>
        <w:t>）</w:t>
      </w:r>
      <w:r>
        <w:rPr>
          <w:rFonts w:ascii="宋体" w:hAnsi="宋体"/>
          <w:b/>
          <w:color w:val="auto"/>
          <w:szCs w:val="21"/>
        </w:rPr>
        <w:t>安装、验收标准</w:t>
      </w:r>
    </w:p>
    <w:p>
      <w:pPr>
        <w:spacing w:line="360" w:lineRule="exact"/>
        <w:ind w:firstLine="420" w:firstLineChars="200"/>
        <w:rPr>
          <w:rFonts w:ascii="宋体" w:hAnsi="宋体"/>
          <w:color w:val="auto"/>
          <w:szCs w:val="21"/>
        </w:rPr>
      </w:pPr>
      <w:r>
        <w:rPr>
          <w:rFonts w:hint="eastAsia" w:ascii="宋体" w:hAnsi="宋体"/>
          <w:color w:val="auto"/>
          <w:szCs w:val="21"/>
          <w:lang w:val="en-US" w:eastAsia="zh-CN"/>
        </w:rPr>
        <w:t>1.</w:t>
      </w:r>
      <w:r>
        <w:rPr>
          <w:rFonts w:ascii="宋体" w:hAnsi="宋体"/>
          <w:color w:val="auto"/>
          <w:szCs w:val="21"/>
        </w:rPr>
        <w:t>货物的包装由</w:t>
      </w:r>
      <w:r>
        <w:rPr>
          <w:rFonts w:hint="eastAsia" w:ascii="宋体" w:hAnsi="宋体"/>
          <w:color w:val="auto"/>
          <w:szCs w:val="21"/>
        </w:rPr>
        <w:t>供应商</w:t>
      </w:r>
      <w:r>
        <w:rPr>
          <w:rFonts w:ascii="宋体" w:hAnsi="宋体"/>
          <w:color w:val="auto"/>
          <w:szCs w:val="21"/>
        </w:rPr>
        <w:t>负责，货物全新，不得有任何损伤，并按有关规定验收产品。</w:t>
      </w:r>
    </w:p>
    <w:p>
      <w:pPr>
        <w:spacing w:line="360" w:lineRule="exact"/>
        <w:ind w:firstLine="420" w:firstLineChars="200"/>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供应商</w:t>
      </w:r>
      <w:r>
        <w:rPr>
          <w:rFonts w:ascii="宋体" w:hAnsi="宋体"/>
          <w:color w:val="auto"/>
          <w:szCs w:val="21"/>
        </w:rPr>
        <w:t>必须派技术人员到现场安装调试，设备安装完毕</w:t>
      </w:r>
      <w:r>
        <w:rPr>
          <w:rFonts w:hint="eastAsia" w:ascii="宋体" w:hAnsi="宋体"/>
          <w:color w:val="auto"/>
          <w:szCs w:val="21"/>
        </w:rPr>
        <w:t>供应商</w:t>
      </w:r>
      <w:r>
        <w:rPr>
          <w:rFonts w:ascii="宋体" w:hAnsi="宋体"/>
          <w:color w:val="auto"/>
          <w:szCs w:val="21"/>
        </w:rPr>
        <w:t>派专业人员检查安装质量。</w:t>
      </w:r>
    </w:p>
    <w:p>
      <w:pPr>
        <w:spacing w:line="360" w:lineRule="exact"/>
        <w:ind w:firstLine="420" w:firstLineChars="200"/>
        <w:rPr>
          <w:rFonts w:hint="eastAsia" w:ascii="宋体" w:hAnsi="宋体"/>
          <w:b/>
          <w:color w:val="auto"/>
          <w:szCs w:val="21"/>
        </w:rPr>
      </w:pPr>
      <w:r>
        <w:rPr>
          <w:rFonts w:hint="eastAsia" w:ascii="宋体" w:hAnsi="宋体"/>
          <w:color w:val="auto"/>
          <w:szCs w:val="21"/>
          <w:lang w:val="en-US" w:eastAsia="zh-CN"/>
        </w:rPr>
        <w:t>3.</w:t>
      </w:r>
      <w:r>
        <w:rPr>
          <w:rFonts w:hint="eastAsia" w:ascii="宋体" w:hAnsi="宋体"/>
          <w:color w:val="auto"/>
          <w:spacing w:val="-2"/>
          <w:position w:val="-1"/>
          <w:szCs w:val="21"/>
        </w:rPr>
        <w:t>供应商</w:t>
      </w:r>
      <w:r>
        <w:rPr>
          <w:rFonts w:ascii="宋体" w:hAnsi="宋体"/>
          <w:color w:val="auto"/>
          <w:szCs w:val="21"/>
        </w:rPr>
        <w:t>必须为使用</w:t>
      </w:r>
      <w:r>
        <w:rPr>
          <w:rFonts w:hint="eastAsia" w:ascii="宋体" w:hAnsi="宋体"/>
          <w:color w:val="auto"/>
          <w:szCs w:val="21"/>
        </w:rPr>
        <w:t>方</w:t>
      </w:r>
      <w:r>
        <w:rPr>
          <w:rFonts w:ascii="宋体" w:hAnsi="宋体"/>
          <w:color w:val="auto"/>
          <w:szCs w:val="21"/>
        </w:rPr>
        <w:t>改造设计、安装、调试、维修、使用提供足够的技术资料和技术保障。提供设备的有关证明，如产地、出厂合格证、质量保证书和测试合格证等，并在交货时必须随装箱</w:t>
      </w:r>
      <w:r>
        <w:rPr>
          <w:rFonts w:ascii="宋体" w:hAnsi="宋体"/>
          <w:b/>
          <w:color w:val="auto"/>
          <w:szCs w:val="21"/>
        </w:rPr>
        <w:t>。</w:t>
      </w:r>
    </w:p>
    <w:p>
      <w:pPr>
        <w:spacing w:line="360" w:lineRule="exact"/>
        <w:ind w:firstLine="420" w:firstLineChars="200"/>
        <w:rPr>
          <w:rFonts w:ascii="宋体" w:hAnsi="宋体"/>
          <w:b/>
          <w:color w:val="auto"/>
          <w:szCs w:val="21"/>
        </w:rPr>
      </w:pPr>
      <w:r>
        <w:rPr>
          <w:rFonts w:ascii="宋体" w:hAnsi="宋体"/>
          <w:color w:val="auto"/>
          <w:szCs w:val="21"/>
        </w:rPr>
        <w:t>交货时</w:t>
      </w:r>
      <w:r>
        <w:rPr>
          <w:rFonts w:hint="eastAsia" w:ascii="宋体" w:hAnsi="宋体"/>
          <w:color w:val="auto"/>
          <w:szCs w:val="21"/>
        </w:rPr>
        <w:t>，舱外单元</w:t>
      </w:r>
      <w:r>
        <w:rPr>
          <w:rFonts w:ascii="宋体" w:hAnsi="宋体"/>
          <w:color w:val="auto"/>
          <w:szCs w:val="21"/>
        </w:rPr>
        <w:t>须</w:t>
      </w:r>
      <w:r>
        <w:rPr>
          <w:rFonts w:hint="eastAsia" w:ascii="宋体" w:hAnsi="宋体"/>
          <w:color w:val="auto"/>
          <w:szCs w:val="21"/>
        </w:rPr>
        <w:t>另外</w:t>
      </w:r>
      <w:r>
        <w:rPr>
          <w:rFonts w:ascii="宋体" w:hAnsi="宋体"/>
          <w:color w:val="auto"/>
          <w:szCs w:val="21"/>
        </w:rPr>
        <w:t>提供产品的《船用产品（型式）认可证书》</w:t>
      </w:r>
      <w:r>
        <w:rPr>
          <w:rFonts w:hint="eastAsia" w:ascii="宋体" w:hAnsi="宋体"/>
          <w:color w:val="auto"/>
          <w:szCs w:val="21"/>
        </w:rPr>
        <w:t>（由中国船级社颁发）</w:t>
      </w:r>
      <w:r>
        <w:rPr>
          <w:rFonts w:ascii="宋体" w:hAnsi="宋体"/>
          <w:color w:val="auto"/>
          <w:szCs w:val="21"/>
        </w:rPr>
        <w:t>。</w:t>
      </w:r>
    </w:p>
    <w:p>
      <w:pPr>
        <w:widowControl/>
        <w:spacing w:line="360" w:lineRule="exact"/>
        <w:ind w:right="-53" w:firstLine="420" w:firstLineChars="200"/>
        <w:textAlignment w:val="bottom"/>
        <w:rPr>
          <w:rFonts w:ascii="宋体" w:hAnsi="宋体"/>
          <w:color w:val="auto"/>
          <w:szCs w:val="21"/>
        </w:rPr>
      </w:pPr>
      <w:r>
        <w:rPr>
          <w:rFonts w:hint="eastAsia" w:ascii="宋体" w:hAnsi="宋体"/>
          <w:color w:val="auto"/>
          <w:szCs w:val="21"/>
          <w:lang w:val="en-US" w:eastAsia="zh-CN"/>
        </w:rPr>
        <w:t>4.</w:t>
      </w:r>
      <w:r>
        <w:rPr>
          <w:rFonts w:ascii="宋体" w:hAnsi="宋体"/>
          <w:color w:val="auto"/>
          <w:szCs w:val="21"/>
        </w:rPr>
        <w:t>若设备验收时有关技术参数不能满足招标文件技术要求，</w:t>
      </w:r>
      <w:r>
        <w:rPr>
          <w:rFonts w:hint="eastAsia" w:ascii="宋体" w:hAnsi="宋体"/>
          <w:color w:val="auto"/>
          <w:szCs w:val="21"/>
        </w:rPr>
        <w:t>采购人</w:t>
      </w:r>
      <w:r>
        <w:rPr>
          <w:rFonts w:ascii="宋体" w:hAnsi="宋体"/>
          <w:color w:val="auto"/>
          <w:szCs w:val="21"/>
        </w:rPr>
        <w:t>有权要求更换，同时有权要求索赔，所产生的一切费用（含所有检验费用）由中标人全部承担。</w:t>
      </w:r>
    </w:p>
    <w:p>
      <w:pPr>
        <w:widowControl/>
        <w:spacing w:line="360" w:lineRule="exact"/>
        <w:ind w:right="-53"/>
        <w:textAlignment w:val="bottom"/>
        <w:rPr>
          <w:rFonts w:ascii="宋体" w:hAnsi="宋体"/>
          <w:b/>
          <w:color w:val="auto"/>
          <w:szCs w:val="21"/>
        </w:rPr>
      </w:pPr>
      <w:r>
        <w:rPr>
          <w:rFonts w:ascii="宋体" w:hAnsi="宋体"/>
          <w:b/>
          <w:color w:val="auto"/>
          <w:szCs w:val="21"/>
        </w:rPr>
        <w:t>四、质保期和售后服务</w:t>
      </w:r>
    </w:p>
    <w:p>
      <w:pPr>
        <w:pStyle w:val="15"/>
        <w:spacing w:after="0" w:line="360" w:lineRule="exact"/>
        <w:rPr>
          <w:rFonts w:hint="eastAsia" w:ascii="宋体" w:hAnsi="宋体" w:eastAsia="宋体" w:cs="Times New Roman"/>
          <w:color w:val="auto"/>
          <w:spacing w:val="0"/>
          <w:kern w:val="2"/>
          <w:sz w:val="21"/>
          <w:szCs w:val="21"/>
          <w:lang w:val="en-US" w:eastAsia="zh-CN" w:bidi="ar-SA"/>
        </w:rPr>
      </w:pPr>
      <w:r>
        <w:rPr>
          <w:rFonts w:hint="eastAsia" w:hAnsi="宋体" w:cs="Times New Roman"/>
          <w:color w:val="auto"/>
          <w:spacing w:val="0"/>
          <w:kern w:val="2"/>
          <w:sz w:val="21"/>
          <w:szCs w:val="21"/>
          <w:lang w:val="en-US" w:eastAsia="zh-CN" w:bidi="ar-SA"/>
        </w:rPr>
        <w:t>（一）</w:t>
      </w:r>
      <w:r>
        <w:rPr>
          <w:rFonts w:ascii="宋体" w:hAnsi="宋体" w:eastAsia="宋体" w:cs="Times New Roman"/>
          <w:color w:val="auto"/>
          <w:spacing w:val="0"/>
          <w:kern w:val="2"/>
          <w:sz w:val="21"/>
          <w:szCs w:val="21"/>
          <w:lang w:val="en-US" w:eastAsia="zh-CN" w:bidi="ar-SA"/>
        </w:rPr>
        <w:t>自货物安装调试完毕交付用户正常使用起，整机保修五年（天馈线保修一年）。</w:t>
      </w:r>
      <w:r>
        <w:rPr>
          <w:rFonts w:hint="eastAsia" w:ascii="宋体" w:hAnsi="宋体" w:eastAsia="宋体" w:cs="Times New Roman"/>
          <w:color w:val="auto"/>
          <w:spacing w:val="0"/>
          <w:kern w:val="2"/>
          <w:sz w:val="21"/>
          <w:szCs w:val="21"/>
          <w:lang w:val="en-US" w:eastAsia="zh-CN" w:bidi="ar-SA"/>
        </w:rPr>
        <w:t xml:space="preserve"> </w:t>
      </w:r>
    </w:p>
    <w:p>
      <w:pPr>
        <w:pStyle w:val="15"/>
        <w:spacing w:after="0" w:line="360" w:lineRule="exact"/>
        <w:ind w:left="0" w:leftChars="0" w:firstLine="404"/>
        <w:rPr>
          <w:rFonts w:hint="eastAsia" w:ascii="宋体" w:hAnsi="宋体" w:eastAsia="宋体" w:cs="Times New Roman"/>
          <w:color w:val="auto"/>
          <w:spacing w:val="0"/>
          <w:kern w:val="2"/>
          <w:sz w:val="21"/>
          <w:szCs w:val="21"/>
          <w:lang w:val="en-US" w:eastAsia="zh-CN" w:bidi="ar-SA"/>
        </w:rPr>
      </w:pPr>
      <w:r>
        <w:rPr>
          <w:rFonts w:hint="eastAsia" w:hAnsi="宋体" w:cs="Times New Roman"/>
          <w:color w:val="auto"/>
          <w:spacing w:val="0"/>
          <w:kern w:val="2"/>
          <w:sz w:val="21"/>
          <w:szCs w:val="21"/>
          <w:lang w:val="en-US" w:eastAsia="zh-CN" w:bidi="ar-SA"/>
        </w:rPr>
        <w:t>(二）</w:t>
      </w:r>
      <w:r>
        <w:rPr>
          <w:rFonts w:hint="eastAsia" w:ascii="宋体" w:hAnsi="宋体" w:eastAsia="宋体" w:cs="Times New Roman"/>
          <w:color w:val="auto"/>
          <w:spacing w:val="0"/>
          <w:kern w:val="2"/>
          <w:sz w:val="21"/>
          <w:szCs w:val="21"/>
          <w:lang w:val="en-US" w:eastAsia="zh-CN" w:bidi="ar-SA"/>
        </w:rPr>
        <w:t>质保期内非人为因素等造成的设备故障，中标人须提供免费维修、调试服务，确保用户的正常使用，</w:t>
      </w:r>
      <w:r>
        <w:rPr>
          <w:rFonts w:ascii="宋体" w:hAnsi="宋体" w:eastAsia="宋体" w:cs="Times New Roman"/>
          <w:color w:val="auto"/>
          <w:spacing w:val="0"/>
          <w:kern w:val="2"/>
          <w:sz w:val="21"/>
          <w:szCs w:val="21"/>
          <w:lang w:val="en-US" w:eastAsia="zh-CN" w:bidi="ar-SA"/>
        </w:rPr>
        <w:t>若设备维修三次以上仍无法正常使用的，</w:t>
      </w:r>
      <w:r>
        <w:rPr>
          <w:rFonts w:hint="eastAsia" w:ascii="宋体" w:hAnsi="宋体" w:eastAsia="宋体" w:cs="Times New Roman"/>
          <w:color w:val="auto"/>
          <w:spacing w:val="0"/>
          <w:kern w:val="2"/>
          <w:sz w:val="21"/>
          <w:szCs w:val="21"/>
          <w:lang w:val="en-US" w:eastAsia="zh-CN" w:bidi="ar-SA"/>
        </w:rPr>
        <w:t>中标人</w:t>
      </w:r>
      <w:r>
        <w:rPr>
          <w:rFonts w:ascii="宋体" w:hAnsi="宋体" w:eastAsia="宋体" w:cs="Times New Roman"/>
          <w:color w:val="auto"/>
          <w:spacing w:val="0"/>
          <w:kern w:val="2"/>
          <w:sz w:val="21"/>
          <w:szCs w:val="21"/>
          <w:lang w:val="en-US" w:eastAsia="zh-CN" w:bidi="ar-SA"/>
        </w:rPr>
        <w:t>必须无条件更换新设备。</w:t>
      </w:r>
    </w:p>
    <w:p>
      <w:pPr>
        <w:pStyle w:val="15"/>
        <w:spacing w:after="0" w:line="360" w:lineRule="exact"/>
        <w:rPr>
          <w:rFonts w:ascii="宋体" w:hAnsi="宋体" w:eastAsia="宋体" w:cs="Times New Roman"/>
          <w:color w:val="auto"/>
          <w:spacing w:val="0"/>
          <w:kern w:val="2"/>
          <w:sz w:val="21"/>
          <w:szCs w:val="21"/>
          <w:lang w:val="en-US" w:eastAsia="zh-CN" w:bidi="ar-SA"/>
        </w:rPr>
      </w:pPr>
      <w:r>
        <w:rPr>
          <w:rFonts w:hint="eastAsia" w:hAnsi="宋体" w:cs="Times New Roman"/>
          <w:color w:val="auto"/>
          <w:spacing w:val="0"/>
          <w:kern w:val="2"/>
          <w:sz w:val="21"/>
          <w:szCs w:val="21"/>
          <w:lang w:val="en-US" w:eastAsia="zh-CN" w:bidi="ar-SA"/>
        </w:rPr>
        <w:t>（三）</w:t>
      </w:r>
      <w:r>
        <w:rPr>
          <w:rFonts w:hint="eastAsia" w:ascii="宋体" w:hAnsi="宋体" w:eastAsia="宋体" w:cs="Times New Roman"/>
          <w:color w:val="auto"/>
          <w:spacing w:val="0"/>
          <w:kern w:val="2"/>
          <w:sz w:val="21"/>
          <w:szCs w:val="21"/>
          <w:lang w:val="en-US" w:eastAsia="zh-CN" w:bidi="ar-SA"/>
        </w:rPr>
        <w:t>中标人须提供专业的售后及运维服务团队（包括技术人员、响应时间等），并指派专人与用户进行对接与协调；设立专门的工作热线，接受用户的咨询。中标人在接到用户通报故障的电话或传真后，应在24小时内</w:t>
      </w:r>
      <w:r>
        <w:rPr>
          <w:rFonts w:ascii="宋体" w:hAnsi="宋体" w:eastAsia="宋体" w:cs="Times New Roman"/>
          <w:color w:val="auto"/>
          <w:spacing w:val="0"/>
          <w:kern w:val="2"/>
          <w:sz w:val="21"/>
          <w:szCs w:val="21"/>
          <w:lang w:val="en-US" w:eastAsia="zh-CN" w:bidi="ar-SA"/>
        </w:rPr>
        <w:t>做出响应并</w:t>
      </w:r>
      <w:r>
        <w:rPr>
          <w:rFonts w:hint="eastAsia" w:ascii="宋体" w:hAnsi="宋体" w:eastAsia="宋体" w:cs="Times New Roman"/>
          <w:color w:val="auto"/>
          <w:spacing w:val="0"/>
          <w:kern w:val="2"/>
          <w:sz w:val="21"/>
          <w:szCs w:val="21"/>
          <w:lang w:val="en-US" w:eastAsia="zh-CN" w:bidi="ar-SA"/>
        </w:rPr>
        <w:t>修复完成（气候影响交通、业主方原因等因素除外）。</w:t>
      </w:r>
    </w:p>
    <w:p>
      <w:pPr>
        <w:pStyle w:val="15"/>
        <w:spacing w:after="0" w:line="360" w:lineRule="exact"/>
        <w:ind w:left="0" w:leftChars="0" w:firstLine="404"/>
        <w:rPr>
          <w:rFonts w:hint="eastAsia" w:ascii="宋体" w:hAnsi="宋体" w:eastAsia="宋体" w:cs="Times New Roman"/>
          <w:color w:val="auto"/>
          <w:spacing w:val="0"/>
          <w:kern w:val="2"/>
          <w:sz w:val="21"/>
          <w:szCs w:val="21"/>
          <w:lang w:val="en-US" w:eastAsia="zh-CN" w:bidi="ar-SA"/>
        </w:rPr>
      </w:pPr>
      <w:r>
        <w:rPr>
          <w:rFonts w:hint="eastAsia" w:hAnsi="宋体" w:cs="Times New Roman"/>
          <w:color w:val="auto"/>
          <w:spacing w:val="0"/>
          <w:kern w:val="2"/>
          <w:sz w:val="21"/>
          <w:szCs w:val="21"/>
          <w:lang w:val="en-US" w:eastAsia="zh-CN" w:bidi="ar-SA"/>
        </w:rPr>
        <w:t>（四）</w:t>
      </w:r>
      <w:r>
        <w:rPr>
          <w:rFonts w:hint="eastAsia" w:ascii="宋体" w:hAnsi="宋体" w:eastAsia="宋体" w:cs="Times New Roman"/>
          <w:color w:val="auto"/>
          <w:spacing w:val="0"/>
          <w:kern w:val="2"/>
          <w:sz w:val="21"/>
          <w:szCs w:val="21"/>
          <w:lang w:val="en-US" w:eastAsia="zh-CN" w:bidi="ar-SA"/>
        </w:rPr>
        <w:t>供应商须为设备用户提供操作培训。</w:t>
      </w:r>
    </w:p>
    <w:p>
      <w:pPr>
        <w:widowControl/>
        <w:spacing w:line="360" w:lineRule="exact"/>
        <w:ind w:right="-53"/>
        <w:textAlignment w:val="bottom"/>
        <w:rPr>
          <w:rFonts w:ascii="宋体" w:hAnsi="宋体"/>
          <w:b/>
          <w:color w:val="auto"/>
          <w:szCs w:val="21"/>
        </w:rPr>
      </w:pPr>
      <w:r>
        <w:rPr>
          <w:rFonts w:ascii="宋体" w:hAnsi="宋体"/>
          <w:b/>
          <w:color w:val="auto"/>
          <w:szCs w:val="21"/>
        </w:rPr>
        <w:t>五、工期要求：</w:t>
      </w:r>
    </w:p>
    <w:p>
      <w:pPr>
        <w:pStyle w:val="15"/>
        <w:spacing w:after="0" w:line="360" w:lineRule="exact"/>
        <w:ind w:left="0" w:leftChars="0" w:firstLine="404"/>
        <w:rPr>
          <w:rFonts w:hint="eastAsia" w:ascii="宋体" w:hAnsi="宋体" w:eastAsia="宋体" w:cs="Times New Roman"/>
          <w:color w:val="auto"/>
          <w:spacing w:val="0"/>
          <w:kern w:val="2"/>
          <w:sz w:val="21"/>
          <w:szCs w:val="21"/>
          <w:lang w:val="en-US" w:eastAsia="zh-CN" w:bidi="ar-SA"/>
        </w:rPr>
      </w:pPr>
      <w:r>
        <w:rPr>
          <w:rFonts w:hint="eastAsia" w:ascii="宋体" w:hAnsi="宋体" w:eastAsia="宋体" w:cs="Times New Roman"/>
          <w:color w:val="auto"/>
          <w:spacing w:val="0"/>
          <w:kern w:val="2"/>
          <w:sz w:val="21"/>
          <w:szCs w:val="21"/>
          <w:lang w:val="en-US" w:eastAsia="zh-CN" w:bidi="ar-SA"/>
        </w:rPr>
        <w:t>合同签订后90天内</w:t>
      </w:r>
      <w:r>
        <w:rPr>
          <w:rFonts w:hint="eastAsia" w:hAnsi="宋体" w:cs="Times New Roman"/>
          <w:color w:val="auto"/>
          <w:spacing w:val="0"/>
          <w:kern w:val="2"/>
          <w:sz w:val="21"/>
          <w:szCs w:val="21"/>
          <w:lang w:val="en-US" w:eastAsia="zh-CN" w:bidi="ar-SA"/>
        </w:rPr>
        <w:t>完成备</w:t>
      </w:r>
      <w:r>
        <w:rPr>
          <w:rFonts w:hint="eastAsia" w:ascii="宋体" w:hAnsi="宋体" w:eastAsia="宋体" w:cs="Times New Roman"/>
          <w:color w:val="auto"/>
          <w:spacing w:val="0"/>
          <w:kern w:val="2"/>
          <w:sz w:val="21"/>
          <w:szCs w:val="21"/>
          <w:lang w:val="en-US" w:eastAsia="zh-CN" w:bidi="ar-SA"/>
        </w:rPr>
        <w:t>货</w:t>
      </w:r>
      <w:r>
        <w:rPr>
          <w:rFonts w:hint="eastAsia" w:hAnsi="宋体" w:cs="Times New Roman"/>
          <w:color w:val="auto"/>
          <w:spacing w:val="0"/>
          <w:kern w:val="2"/>
          <w:sz w:val="21"/>
          <w:szCs w:val="21"/>
          <w:lang w:val="en-US" w:eastAsia="zh-CN" w:bidi="ar-SA"/>
        </w:rPr>
        <w:t>，2023年8月底前完成</w:t>
      </w:r>
      <w:r>
        <w:rPr>
          <w:rFonts w:hint="eastAsia" w:ascii="宋体" w:hAnsi="宋体" w:eastAsia="宋体" w:cs="Times New Roman"/>
          <w:color w:val="auto"/>
          <w:spacing w:val="0"/>
          <w:kern w:val="2"/>
          <w:sz w:val="21"/>
          <w:szCs w:val="21"/>
          <w:lang w:val="en-US" w:eastAsia="zh-CN" w:bidi="ar-SA"/>
        </w:rPr>
        <w:t>安装调试。</w:t>
      </w:r>
    </w:p>
    <w:p>
      <w:pPr>
        <w:widowControl/>
        <w:spacing w:line="360" w:lineRule="exact"/>
        <w:ind w:right="-53"/>
        <w:textAlignment w:val="bottom"/>
        <w:rPr>
          <w:rFonts w:hint="eastAsia" w:ascii="宋体" w:hAnsi="宋体"/>
          <w:b/>
          <w:color w:val="auto"/>
          <w:szCs w:val="21"/>
        </w:rPr>
      </w:pPr>
      <w:r>
        <w:rPr>
          <w:rFonts w:ascii="宋体" w:hAnsi="宋体"/>
          <w:b/>
          <w:color w:val="auto"/>
          <w:szCs w:val="21"/>
        </w:rPr>
        <w:t>六、</w:t>
      </w:r>
      <w:r>
        <w:rPr>
          <w:rFonts w:hint="eastAsia" w:ascii="宋体" w:hAnsi="宋体"/>
          <w:b/>
          <w:color w:val="auto"/>
          <w:szCs w:val="21"/>
        </w:rPr>
        <w:t>其他</w:t>
      </w:r>
    </w:p>
    <w:p>
      <w:pPr>
        <w:widowControl/>
        <w:spacing w:line="360" w:lineRule="exact"/>
        <w:ind w:right="-53" w:firstLine="413"/>
        <w:textAlignment w:val="bottom"/>
        <w:rPr>
          <w:rFonts w:ascii="宋体" w:hAnsi="宋体"/>
          <w:color w:val="auto"/>
          <w:szCs w:val="21"/>
        </w:rPr>
      </w:pPr>
      <w:r>
        <w:rPr>
          <w:rFonts w:hint="eastAsia" w:ascii="宋体" w:hAnsi="宋体"/>
          <w:color w:val="auto"/>
          <w:szCs w:val="21"/>
        </w:rPr>
        <w:t>中标人</w:t>
      </w:r>
      <w:r>
        <w:rPr>
          <w:rFonts w:ascii="宋体" w:hAnsi="宋体"/>
          <w:color w:val="auto"/>
          <w:szCs w:val="21"/>
        </w:rPr>
        <w:t>若为代理商，</w:t>
      </w:r>
      <w:r>
        <w:rPr>
          <w:rFonts w:hint="eastAsia" w:ascii="宋体" w:hAnsi="宋体"/>
          <w:color w:val="auto"/>
          <w:szCs w:val="21"/>
        </w:rPr>
        <w:t>须在中标通知书</w:t>
      </w:r>
      <w:r>
        <w:rPr>
          <w:rFonts w:ascii="宋体" w:hAnsi="宋体"/>
          <w:color w:val="auto"/>
          <w:szCs w:val="21"/>
        </w:rPr>
        <w:t>发出之日</w:t>
      </w:r>
      <w:r>
        <w:rPr>
          <w:rFonts w:hint="eastAsia" w:ascii="宋体" w:hAnsi="宋体"/>
          <w:color w:val="auto"/>
          <w:szCs w:val="21"/>
        </w:rPr>
        <w:t>起15</w:t>
      </w:r>
      <w:r>
        <w:rPr>
          <w:rFonts w:ascii="宋体" w:hAnsi="宋体"/>
          <w:color w:val="auto"/>
          <w:szCs w:val="21"/>
        </w:rPr>
        <w:t>个工作日内提供原厂商针对本项目的授权函（加盖原厂公章）</w:t>
      </w:r>
      <w:r>
        <w:rPr>
          <w:rFonts w:hint="eastAsia" w:ascii="宋体" w:hAnsi="宋体"/>
          <w:color w:val="auto"/>
          <w:szCs w:val="21"/>
        </w:rPr>
        <w:t>，</w:t>
      </w:r>
      <w:r>
        <w:rPr>
          <w:rFonts w:ascii="宋体" w:hAnsi="宋体"/>
          <w:color w:val="auto"/>
          <w:szCs w:val="21"/>
        </w:rPr>
        <w:t>如无法提供</w:t>
      </w:r>
      <w:r>
        <w:rPr>
          <w:rFonts w:hint="eastAsia" w:ascii="宋体" w:hAnsi="宋体"/>
          <w:color w:val="auto"/>
          <w:szCs w:val="21"/>
        </w:rPr>
        <w:t>，</w:t>
      </w:r>
      <w:r>
        <w:rPr>
          <w:rFonts w:ascii="宋体" w:hAnsi="宋体"/>
          <w:color w:val="auto"/>
          <w:szCs w:val="21"/>
        </w:rPr>
        <w:t>视作投标人放弃中标处理，采购人有权追究相关责任。投标时须提供针对上述内容的承诺书</w:t>
      </w:r>
      <w:r>
        <w:rPr>
          <w:rFonts w:hint="eastAsia" w:ascii="宋体" w:hAnsi="宋体"/>
          <w:color w:val="auto"/>
          <w:szCs w:val="21"/>
        </w:rPr>
        <w:t>。</w:t>
      </w:r>
    </w:p>
    <w:p>
      <w:pPr>
        <w:snapToGrid w:val="0"/>
        <w:spacing w:after="240"/>
        <w:jc w:val="center"/>
        <w:rPr>
          <w:rFonts w:hint="eastAsia" w:ascii="宋体" w:hAnsi="宋体" w:cs="宋体"/>
          <w:b/>
          <w:color w:val="auto"/>
          <w:sz w:val="30"/>
          <w:szCs w:val="30"/>
        </w:rPr>
      </w:pPr>
      <w:r>
        <w:rPr>
          <w:rFonts w:ascii="宋体" w:hAnsi="宋体" w:cs="宋体"/>
          <w:b/>
          <w:color w:val="auto"/>
          <w:sz w:val="30"/>
          <w:szCs w:val="30"/>
        </w:rPr>
        <w:br w:type="page"/>
      </w:r>
    </w:p>
    <w:p>
      <w:pPr>
        <w:pStyle w:val="3"/>
        <w:spacing w:before="0" w:after="0" w:line="360" w:lineRule="auto"/>
        <w:jc w:val="center"/>
        <w:rPr>
          <w:rFonts w:hint="eastAsia" w:ascii="宋体" w:hAnsi="宋体" w:eastAsia="宋体" w:cs="宋体"/>
          <w:b/>
          <w:bCs/>
          <w:color w:val="auto"/>
          <w:sz w:val="30"/>
        </w:rPr>
      </w:pPr>
      <w:r>
        <w:rPr>
          <w:rFonts w:hint="eastAsia" w:ascii="宋体" w:hAnsi="宋体" w:eastAsia="宋体" w:cs="宋体"/>
          <w:b/>
          <w:bCs/>
          <w:color w:val="auto"/>
          <w:sz w:val="30"/>
        </w:rPr>
        <w:t>第三章  投标人须知</w:t>
      </w:r>
      <w:bookmarkEnd w:id="21"/>
      <w:bookmarkEnd w:id="22"/>
      <w:bookmarkEnd w:id="23"/>
      <w:bookmarkEnd w:id="24"/>
      <w:bookmarkEnd w:id="25"/>
      <w:bookmarkEnd w:id="26"/>
      <w:bookmarkEnd w:id="27"/>
    </w:p>
    <w:p>
      <w:pPr>
        <w:jc w:val="center"/>
        <w:rPr>
          <w:rFonts w:hint="eastAsia"/>
          <w:b/>
          <w:bCs/>
          <w:color w:val="auto"/>
        </w:rPr>
      </w:pPr>
      <w:r>
        <w:rPr>
          <w:rFonts w:hint="eastAsia"/>
          <w:b/>
          <w:bCs/>
          <w:color w:val="auto"/>
        </w:rPr>
        <w:t>前</w:t>
      </w:r>
      <w:r>
        <w:rPr>
          <w:rFonts w:hint="eastAsia"/>
          <w:b/>
          <w:bCs/>
          <w:color w:val="auto"/>
          <w:lang w:val="en-US" w:eastAsia="zh-CN"/>
        </w:rPr>
        <w:t xml:space="preserve"> </w:t>
      </w:r>
      <w:r>
        <w:rPr>
          <w:rFonts w:hint="eastAsia"/>
          <w:b/>
          <w:bCs/>
          <w:color w:val="auto"/>
        </w:rPr>
        <w:t>附</w:t>
      </w:r>
      <w:r>
        <w:rPr>
          <w:rFonts w:hint="eastAsia"/>
          <w:b/>
          <w:bCs/>
          <w:color w:val="auto"/>
          <w:lang w:val="en-US" w:eastAsia="zh-CN"/>
        </w:rPr>
        <w:t xml:space="preserve"> </w:t>
      </w:r>
      <w:r>
        <w:rPr>
          <w:rFonts w:hint="eastAsia"/>
          <w:b/>
          <w:bCs/>
          <w:color w:val="auto"/>
        </w:rPr>
        <w:t>表</w:t>
      </w:r>
    </w:p>
    <w:tbl>
      <w:tblPr>
        <w:tblStyle w:val="39"/>
        <w:tblpPr w:leftFromText="180" w:rightFromText="180" w:vertAnchor="text" w:horzAnchor="page" w:tblpX="1857" w:tblpY="42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0"/>
        <w:gridCol w:w="81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9" w:hRule="atLeast"/>
          <w:tblHeader/>
        </w:trPr>
        <w:tc>
          <w:tcPr>
            <w:tcW w:w="850" w:type="dxa"/>
            <w:noWrap w:val="0"/>
            <w:vAlign w:val="center"/>
          </w:tcPr>
          <w:p>
            <w:pPr>
              <w:snapToGrid w:val="0"/>
              <w:spacing w:line="400" w:lineRule="exact"/>
              <w:jc w:val="center"/>
              <w:rPr>
                <w:rFonts w:hint="eastAsia" w:ascii="宋体" w:hAnsi="宋体" w:cs="宋体"/>
                <w:b/>
                <w:color w:val="auto"/>
                <w:szCs w:val="21"/>
              </w:rPr>
            </w:pPr>
            <w:bookmarkStart w:id="58" w:name="_Toc460416594"/>
            <w:bookmarkStart w:id="59" w:name="_Toc460857895"/>
            <w:r>
              <w:rPr>
                <w:rFonts w:hint="eastAsia" w:ascii="宋体" w:hAnsi="宋体" w:cs="宋体"/>
                <w:b/>
                <w:color w:val="auto"/>
                <w:szCs w:val="21"/>
              </w:rPr>
              <w:t>序  号</w:t>
            </w:r>
          </w:p>
        </w:tc>
        <w:tc>
          <w:tcPr>
            <w:tcW w:w="8175" w:type="dxa"/>
            <w:noWrap w:val="0"/>
            <w:vAlign w:val="center"/>
          </w:tcPr>
          <w:p>
            <w:pPr>
              <w:snapToGrid w:val="0"/>
              <w:spacing w:line="400" w:lineRule="exact"/>
              <w:jc w:val="center"/>
              <w:rPr>
                <w:rFonts w:hint="eastAsia" w:ascii="宋体" w:hAnsi="宋体" w:cs="宋体"/>
                <w:b/>
                <w:color w:val="auto"/>
                <w:szCs w:val="21"/>
              </w:rPr>
            </w:pPr>
            <w:r>
              <w:rPr>
                <w:rFonts w:hint="eastAsia" w:ascii="宋体" w:hAnsi="宋体" w:cs="宋体"/>
                <w:b/>
                <w:color w:val="auto"/>
                <w:szCs w:val="21"/>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4" w:hRule="atLeast"/>
        </w:trPr>
        <w:tc>
          <w:tcPr>
            <w:tcW w:w="850"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1</w:t>
            </w:r>
          </w:p>
        </w:tc>
        <w:tc>
          <w:tcPr>
            <w:tcW w:w="8175" w:type="dxa"/>
            <w:noWrap w:val="0"/>
            <w:vAlign w:val="center"/>
          </w:tcPr>
          <w:p>
            <w:pPr>
              <w:bidi w:val="0"/>
              <w:rPr>
                <w:rFonts w:hint="eastAsia"/>
                <w:color w:val="auto"/>
                <w:lang w:eastAsia="zh-CN"/>
              </w:rPr>
            </w:pPr>
            <w:r>
              <w:rPr>
                <w:rFonts w:hint="eastAsia"/>
                <w:color w:val="auto"/>
              </w:rPr>
              <w:t>项目名称：</w:t>
            </w:r>
            <w:r>
              <w:rPr>
                <w:rFonts w:hint="eastAsia"/>
                <w:color w:val="auto"/>
                <w:lang w:eastAsia="zh-CN"/>
              </w:rPr>
              <w:t>宁波市“插卡式AIS”</w:t>
            </w:r>
          </w:p>
          <w:p>
            <w:pPr>
              <w:bidi w:val="0"/>
              <w:rPr>
                <w:rFonts w:hint="eastAsia"/>
                <w:color w:val="auto"/>
                <w:lang w:eastAsia="zh-CN"/>
              </w:rPr>
            </w:pPr>
            <w:r>
              <w:rPr>
                <w:rFonts w:hint="eastAsia"/>
                <w:color w:val="auto"/>
              </w:rPr>
              <w:t>项目编号：</w:t>
            </w:r>
            <w:r>
              <w:rPr>
                <w:rFonts w:hint="eastAsia"/>
                <w:color w:val="auto"/>
                <w:lang w:eastAsia="zh-CN"/>
              </w:rPr>
              <w:t>NBZS-202204279G</w:t>
            </w:r>
          </w:p>
          <w:p>
            <w:pPr>
              <w:tabs>
                <w:tab w:val="left" w:pos="105"/>
                <w:tab w:val="left" w:pos="735"/>
                <w:tab w:val="left" w:pos="945"/>
                <w:tab w:val="left" w:pos="3360"/>
              </w:tabs>
              <w:spacing w:line="360" w:lineRule="auto"/>
              <w:jc w:val="left"/>
              <w:rPr>
                <w:rFonts w:hint="eastAsia" w:ascii="宋体" w:hAnsi="宋体" w:cs="宋体"/>
                <w:color w:val="auto"/>
                <w:kern w:val="0"/>
                <w:szCs w:val="21"/>
              </w:rPr>
            </w:pPr>
            <w:r>
              <w:rPr>
                <w:rFonts w:hint="eastAsia" w:ascii="宋体" w:hAnsi="宋体" w:cs="宋体"/>
                <w:color w:val="auto"/>
                <w:szCs w:val="21"/>
              </w:rPr>
              <w:t>采购方式：公开招标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850"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2</w:t>
            </w:r>
          </w:p>
        </w:tc>
        <w:tc>
          <w:tcPr>
            <w:tcW w:w="8175" w:type="dxa"/>
            <w:noWrap w:val="0"/>
            <w:vAlign w:val="center"/>
          </w:tcPr>
          <w:p>
            <w:pPr>
              <w:bidi w:val="0"/>
              <w:rPr>
                <w:rFonts w:hint="eastAsia"/>
                <w:color w:val="auto"/>
              </w:rPr>
            </w:pPr>
            <w:r>
              <w:rPr>
                <w:rFonts w:hint="eastAsia"/>
                <w:color w:val="auto"/>
              </w:rPr>
              <w:t>采购人名称：宁波市农业农村大数据发展中心</w:t>
            </w:r>
          </w:p>
          <w:p>
            <w:pPr>
              <w:bidi w:val="0"/>
              <w:rPr>
                <w:rFonts w:hint="eastAsia"/>
                <w:color w:val="auto"/>
                <w:lang w:eastAsia="zh-CN"/>
              </w:rPr>
            </w:pPr>
            <w:r>
              <w:rPr>
                <w:rFonts w:hint="eastAsia"/>
                <w:color w:val="auto"/>
              </w:rPr>
              <w:t>项目联系人：</w:t>
            </w:r>
            <w:r>
              <w:rPr>
                <w:rFonts w:hint="eastAsia"/>
                <w:color w:val="auto"/>
                <w:lang w:eastAsia="zh-CN"/>
              </w:rPr>
              <w:t>励老师</w:t>
            </w:r>
          </w:p>
          <w:p>
            <w:pPr>
              <w:bidi w:val="0"/>
              <w:rPr>
                <w:rFonts w:hint="eastAsia" w:ascii="宋体" w:hAnsi="宋体" w:cs="宋体"/>
                <w:color w:val="auto"/>
                <w:szCs w:val="21"/>
              </w:rPr>
            </w:pPr>
            <w:r>
              <w:rPr>
                <w:rFonts w:hint="eastAsia" w:ascii="宋体" w:hAnsi="宋体" w:cs="宋体"/>
                <w:color w:val="auto"/>
                <w:szCs w:val="21"/>
              </w:rPr>
              <w:t>项目联系方式：</w:t>
            </w:r>
            <w:r>
              <w:rPr>
                <w:rFonts w:hint="eastAsia" w:ascii="宋体" w:hAnsi="宋体" w:eastAsia="宋体" w:cs="宋体"/>
                <w:color w:val="auto"/>
                <w:szCs w:val="21"/>
                <w:lang w:val="en-US" w:eastAsia="zh-CN"/>
              </w:rPr>
              <w:t>0574-</w:t>
            </w:r>
            <w:r>
              <w:rPr>
                <w:rFonts w:hint="eastAsia" w:ascii="宋体" w:hAnsi="宋体" w:eastAsia="宋体" w:cs="宋体"/>
                <w:color w:val="auto"/>
                <w:szCs w:val="21"/>
              </w:rPr>
              <w:t>87383752</w:t>
            </w:r>
          </w:p>
          <w:p>
            <w:pPr>
              <w:bidi w:val="0"/>
              <w:rPr>
                <w:rFonts w:hint="eastAsia"/>
                <w:color w:val="auto"/>
              </w:rPr>
            </w:pPr>
            <w:r>
              <w:rPr>
                <w:rFonts w:hint="eastAsia"/>
                <w:color w:val="auto"/>
              </w:rPr>
              <w:t>招标代理单位：宁波中穗招标有限公司</w:t>
            </w:r>
          </w:p>
          <w:p>
            <w:pPr>
              <w:bidi w:val="0"/>
              <w:rPr>
                <w:rFonts w:hint="eastAsia"/>
                <w:color w:val="auto"/>
              </w:rPr>
            </w:pPr>
            <w:r>
              <w:rPr>
                <w:rFonts w:hint="eastAsia"/>
                <w:color w:val="auto"/>
              </w:rPr>
              <w:t>地址：宁波市翠柏路89号宁波工程学院公共培训平台大楼A座1109室</w:t>
            </w:r>
          </w:p>
          <w:p>
            <w:pPr>
              <w:bidi w:val="0"/>
              <w:rPr>
                <w:rFonts w:hint="eastAsia" w:ascii="宋体" w:hAnsi="宋体" w:cs="宋体"/>
                <w:color w:val="auto"/>
                <w:szCs w:val="21"/>
              </w:rPr>
            </w:pPr>
            <w:r>
              <w:rPr>
                <w:rFonts w:hint="eastAsia" w:ascii="宋体" w:hAnsi="宋体" w:cs="宋体"/>
                <w:color w:val="auto"/>
                <w:szCs w:val="21"/>
              </w:rPr>
              <w:t xml:space="preserve">联系人：马倩倩 求华勇  庞港腾  </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电话：0574-87151163 87400701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3</w:t>
            </w:r>
          </w:p>
        </w:tc>
        <w:tc>
          <w:tcPr>
            <w:tcW w:w="8175" w:type="dxa"/>
            <w:noWrap w:val="0"/>
            <w:vAlign w:val="center"/>
          </w:tcPr>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投标报价及费用：</w:t>
            </w:r>
          </w:p>
          <w:p>
            <w:pPr>
              <w:bidi w:val="0"/>
              <w:rPr>
                <w:rFonts w:hint="eastAsia"/>
                <w:color w:val="auto"/>
              </w:rPr>
            </w:pPr>
            <w:r>
              <w:rPr>
                <w:rFonts w:hint="eastAsia"/>
                <w:color w:val="auto"/>
              </w:rPr>
              <w:t>1.本项目投标报价超过预算金额或最高限价的作无效标处理。</w:t>
            </w:r>
          </w:p>
          <w:p>
            <w:pPr>
              <w:spacing w:line="320" w:lineRule="exact"/>
              <w:rPr>
                <w:rFonts w:hint="eastAsia" w:ascii="宋体" w:hAnsi="宋体" w:cs="宋体"/>
                <w:color w:val="auto"/>
                <w:szCs w:val="21"/>
              </w:rPr>
            </w:pPr>
            <w:r>
              <w:rPr>
                <w:rFonts w:hint="eastAsia" w:ascii="宋体" w:hAnsi="宋体" w:cs="宋体"/>
                <w:color w:val="auto"/>
                <w:szCs w:val="21"/>
              </w:rPr>
              <w:t>2.投标报价：本项目投标应以人民币报价；</w:t>
            </w:r>
            <w:r>
              <w:rPr>
                <w:rFonts w:hint="eastAsia" w:ascii="宋体" w:hAnsi="宋体"/>
                <w:color w:val="auto"/>
                <w:szCs w:val="21"/>
              </w:rPr>
              <w:t>投标报价应包括但不限于设备费（包括设备出厂价、包装、运输、装卸、保险、标准附件、备品备件等）、安装改造费、调试费、检测费、系统集成费、培训费、保修期内售后服务（维护等）和招标代理服务费等完成本项目的所有税金和费用。</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3.不论投标结果如何，投标人均应自行承担所有与投标有关的全部费用。</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4.招标代理服务费的收取标准：</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本招标公司参照国家发改委发改办价格[2003]857号通知和原国家计委计价格[2002]1980号文件的规定的服务类招标费率标准，</w:t>
            </w:r>
            <w:r>
              <w:rPr>
                <w:rFonts w:hint="eastAsia" w:ascii="宋体" w:hAnsi="宋体" w:cs="宋体"/>
                <w:color w:val="auto"/>
                <w:szCs w:val="21"/>
                <w:lang w:val="en-US" w:eastAsia="zh-CN"/>
              </w:rPr>
              <w:t>以中标通知书确定的总金额为基数，</w:t>
            </w:r>
            <w:r>
              <w:rPr>
                <w:rFonts w:hint="eastAsia" w:ascii="宋体" w:hAnsi="宋体" w:cs="宋体"/>
                <w:color w:val="auto"/>
                <w:szCs w:val="21"/>
              </w:rPr>
              <w:t>由中标人在领取中标通知书前支付服务费。</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服务费汇入账户：</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账户名称：宁波中穗招标有限公司</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开户银行：中国建设银行宁波市分行</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银行账号：33101983679050542195</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联系电话：0574-87400706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4</w:t>
            </w:r>
          </w:p>
        </w:tc>
        <w:tc>
          <w:tcPr>
            <w:tcW w:w="8175" w:type="dxa"/>
            <w:noWrap w:val="0"/>
            <w:vAlign w:val="center"/>
          </w:tcPr>
          <w:p>
            <w:pPr>
              <w:pStyle w:val="15"/>
              <w:spacing w:after="0" w:line="360" w:lineRule="exact"/>
              <w:ind w:left="0" w:leftChars="0" w:firstLine="0" w:firstLineChars="0"/>
              <w:rPr>
                <w:rFonts w:hint="eastAsia" w:ascii="宋体" w:hAnsi="宋体" w:cs="宋体"/>
                <w:color w:val="auto"/>
                <w:szCs w:val="21"/>
              </w:rPr>
            </w:pPr>
            <w:r>
              <w:rPr>
                <w:rFonts w:hint="eastAsia" w:ascii="宋体" w:hAnsi="宋体" w:eastAsia="宋体" w:cs="宋体"/>
                <w:color w:val="auto"/>
                <w:spacing w:val="0"/>
                <w:kern w:val="2"/>
                <w:sz w:val="21"/>
                <w:szCs w:val="21"/>
                <w:lang w:val="en-US" w:eastAsia="zh-CN" w:bidi="ar-SA"/>
              </w:rPr>
              <w:t>工期要求：</w:t>
            </w:r>
            <w:r>
              <w:rPr>
                <w:rFonts w:hint="eastAsia" w:ascii="宋体" w:hAnsi="宋体" w:eastAsia="宋体" w:cs="Times New Roman"/>
                <w:color w:val="auto"/>
                <w:spacing w:val="0"/>
                <w:kern w:val="2"/>
                <w:sz w:val="21"/>
                <w:szCs w:val="21"/>
                <w:lang w:val="en-US" w:eastAsia="zh-CN" w:bidi="ar-SA"/>
              </w:rPr>
              <w:t>合同签订后90天内</w:t>
            </w:r>
            <w:r>
              <w:rPr>
                <w:rFonts w:hint="eastAsia" w:hAnsi="宋体" w:cs="Times New Roman"/>
                <w:color w:val="auto"/>
                <w:spacing w:val="0"/>
                <w:kern w:val="2"/>
                <w:sz w:val="21"/>
                <w:szCs w:val="21"/>
                <w:lang w:val="en-US" w:eastAsia="zh-CN" w:bidi="ar-SA"/>
              </w:rPr>
              <w:t>完成备</w:t>
            </w:r>
            <w:r>
              <w:rPr>
                <w:rFonts w:hint="eastAsia" w:ascii="宋体" w:hAnsi="宋体" w:eastAsia="宋体" w:cs="Times New Roman"/>
                <w:color w:val="auto"/>
                <w:spacing w:val="0"/>
                <w:kern w:val="2"/>
                <w:sz w:val="21"/>
                <w:szCs w:val="21"/>
                <w:lang w:val="en-US" w:eastAsia="zh-CN" w:bidi="ar-SA"/>
              </w:rPr>
              <w:t>货</w:t>
            </w:r>
            <w:r>
              <w:rPr>
                <w:rFonts w:hint="eastAsia" w:hAnsi="宋体" w:cs="Times New Roman"/>
                <w:color w:val="auto"/>
                <w:spacing w:val="0"/>
                <w:kern w:val="2"/>
                <w:sz w:val="21"/>
                <w:szCs w:val="21"/>
                <w:lang w:val="en-US" w:eastAsia="zh-CN" w:bidi="ar-SA"/>
              </w:rPr>
              <w:t>，2023年8月底前完成</w:t>
            </w:r>
            <w:r>
              <w:rPr>
                <w:rFonts w:hint="eastAsia" w:ascii="宋体" w:hAnsi="宋体" w:eastAsia="宋体" w:cs="Times New Roman"/>
                <w:color w:val="auto"/>
                <w:spacing w:val="0"/>
                <w:kern w:val="2"/>
                <w:sz w:val="21"/>
                <w:szCs w:val="21"/>
                <w:lang w:val="en-US" w:eastAsia="zh-CN" w:bidi="ar-SA"/>
              </w:rPr>
              <w:t>安装调试。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3"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5</w:t>
            </w:r>
          </w:p>
        </w:tc>
        <w:tc>
          <w:tcPr>
            <w:tcW w:w="8175" w:type="dxa"/>
            <w:noWrap w:val="0"/>
            <w:vAlign w:val="center"/>
          </w:tcPr>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付款方式及保证金：</w:t>
            </w:r>
          </w:p>
          <w:p>
            <w:pPr>
              <w:bidi w:val="0"/>
              <w:rPr>
                <w:rFonts w:hint="default" w:ascii="宋体" w:hAnsi="宋体" w:eastAsia="宋体" w:cs="Times New Roman"/>
                <w:color w:val="auto"/>
                <w:spacing w:val="0"/>
                <w:kern w:val="2"/>
                <w:sz w:val="21"/>
                <w:szCs w:val="21"/>
                <w:lang w:val="en-US" w:eastAsia="zh-CN" w:bidi="ar-SA"/>
              </w:rPr>
            </w:pPr>
            <w:r>
              <w:rPr>
                <w:rFonts w:hint="eastAsia" w:ascii="宋体" w:hAnsi="宋体" w:cs="宋体"/>
                <w:color w:val="auto"/>
                <w:szCs w:val="21"/>
              </w:rPr>
              <w:t>1.</w:t>
            </w:r>
            <w:r>
              <w:rPr>
                <w:rFonts w:hint="eastAsia" w:ascii="宋体" w:hAnsi="宋体" w:cs="宋体"/>
                <w:color w:val="auto"/>
                <w:szCs w:val="21"/>
                <w:lang w:val="en-US" w:eastAsia="zh-CN"/>
              </w:rPr>
              <w:t>付款方式：</w:t>
            </w:r>
            <w:r>
              <w:rPr>
                <w:rFonts w:hint="eastAsia" w:ascii="宋体" w:hAnsi="宋体" w:eastAsia="宋体" w:cs="Times New Roman"/>
                <w:color w:val="auto"/>
                <w:spacing w:val="0"/>
                <w:kern w:val="2"/>
                <w:sz w:val="21"/>
                <w:szCs w:val="21"/>
                <w:lang w:val="en-US" w:eastAsia="zh-CN" w:bidi="ar-SA"/>
              </w:rPr>
              <w:t>合同签订生效项目具备实施条件后</w:t>
            </w:r>
            <w:r>
              <w:rPr>
                <w:rFonts w:hint="eastAsia" w:ascii="宋体" w:hAnsi="宋体" w:cs="Times New Roman"/>
                <w:color w:val="auto"/>
                <w:spacing w:val="0"/>
                <w:kern w:val="2"/>
                <w:sz w:val="21"/>
                <w:szCs w:val="21"/>
                <w:lang w:val="en-US" w:eastAsia="zh-CN" w:bidi="ar-SA"/>
              </w:rPr>
              <w:t>七</w:t>
            </w:r>
            <w:r>
              <w:rPr>
                <w:rFonts w:hint="eastAsia" w:ascii="宋体" w:hAnsi="宋体" w:eastAsia="宋体" w:cs="Times New Roman"/>
                <w:color w:val="auto"/>
                <w:spacing w:val="0"/>
                <w:kern w:val="2"/>
                <w:sz w:val="21"/>
                <w:szCs w:val="21"/>
                <w:lang w:val="en-US" w:eastAsia="zh-CN" w:bidi="ar-SA"/>
              </w:rPr>
              <w:t>个工作日内，采购人支付合同约定金额的</w:t>
            </w:r>
            <w:r>
              <w:rPr>
                <w:rFonts w:hint="eastAsia" w:ascii="宋体" w:hAnsi="宋体" w:cs="Times New Roman"/>
                <w:color w:val="auto"/>
                <w:spacing w:val="0"/>
                <w:kern w:val="2"/>
                <w:sz w:val="21"/>
                <w:szCs w:val="21"/>
                <w:lang w:val="en-US" w:eastAsia="zh-CN" w:bidi="ar-SA"/>
              </w:rPr>
              <w:t>6</w:t>
            </w:r>
            <w:r>
              <w:rPr>
                <w:rFonts w:hint="eastAsia" w:ascii="宋体" w:hAnsi="宋体" w:eastAsia="宋体" w:cs="Times New Roman"/>
                <w:color w:val="auto"/>
                <w:spacing w:val="0"/>
                <w:kern w:val="2"/>
                <w:sz w:val="21"/>
                <w:szCs w:val="21"/>
                <w:lang w:val="en-US" w:eastAsia="zh-CN" w:bidi="ar-SA"/>
              </w:rPr>
              <w:t>0%作为预付款；完成所有设备的安装调试，通过</w:t>
            </w:r>
            <w:r>
              <w:rPr>
                <w:rFonts w:hint="eastAsia" w:ascii="宋体" w:hAnsi="宋体" w:cs="Times New Roman"/>
                <w:color w:val="auto"/>
                <w:spacing w:val="0"/>
                <w:kern w:val="2"/>
                <w:sz w:val="21"/>
                <w:szCs w:val="21"/>
                <w:lang w:val="en-US" w:eastAsia="zh-CN" w:bidi="ar-SA"/>
              </w:rPr>
              <w:t>初验后，支付</w:t>
            </w:r>
            <w:r>
              <w:rPr>
                <w:rFonts w:hint="eastAsia" w:ascii="宋体" w:hAnsi="宋体" w:eastAsia="宋体" w:cs="Times New Roman"/>
                <w:color w:val="auto"/>
                <w:spacing w:val="0"/>
                <w:kern w:val="2"/>
                <w:sz w:val="21"/>
                <w:szCs w:val="21"/>
                <w:lang w:val="en-US" w:eastAsia="zh-CN" w:bidi="ar-SA"/>
              </w:rPr>
              <w:t>合同约定金额的</w:t>
            </w:r>
            <w:r>
              <w:rPr>
                <w:rFonts w:hint="eastAsia" w:ascii="宋体" w:hAnsi="宋体" w:cs="Times New Roman"/>
                <w:color w:val="auto"/>
                <w:spacing w:val="0"/>
                <w:kern w:val="2"/>
                <w:sz w:val="21"/>
                <w:szCs w:val="21"/>
                <w:lang w:val="en-US" w:eastAsia="zh-CN" w:bidi="ar-SA"/>
              </w:rPr>
              <w:t>3</w:t>
            </w:r>
            <w:r>
              <w:rPr>
                <w:rFonts w:hint="eastAsia" w:ascii="宋体" w:hAnsi="宋体" w:eastAsia="宋体" w:cs="Times New Roman"/>
                <w:color w:val="auto"/>
                <w:spacing w:val="0"/>
                <w:kern w:val="2"/>
                <w:sz w:val="21"/>
                <w:szCs w:val="21"/>
                <w:lang w:val="en-US" w:eastAsia="zh-CN" w:bidi="ar-SA"/>
              </w:rPr>
              <w:t>0%</w:t>
            </w:r>
            <w:r>
              <w:rPr>
                <w:rFonts w:hint="eastAsia" w:ascii="宋体" w:hAnsi="宋体" w:cs="Times New Roman"/>
                <w:color w:val="auto"/>
                <w:spacing w:val="0"/>
                <w:kern w:val="2"/>
                <w:sz w:val="21"/>
                <w:szCs w:val="21"/>
                <w:lang w:val="en-US" w:eastAsia="zh-CN" w:bidi="ar-SA"/>
              </w:rPr>
              <w:t>，</w:t>
            </w:r>
            <w:r>
              <w:rPr>
                <w:rFonts w:hint="eastAsia" w:ascii="宋体" w:hAnsi="宋体" w:eastAsia="宋体" w:cs="Times New Roman"/>
                <w:color w:val="auto"/>
                <w:spacing w:val="0"/>
                <w:kern w:val="2"/>
                <w:sz w:val="21"/>
                <w:szCs w:val="21"/>
                <w:lang w:val="en-US" w:eastAsia="zh-CN" w:bidi="ar-SA"/>
              </w:rPr>
              <w:t>最终验收合格后</w:t>
            </w:r>
            <w:r>
              <w:rPr>
                <w:rFonts w:hint="eastAsia" w:ascii="宋体" w:hAnsi="宋体" w:cs="Times New Roman"/>
                <w:color w:val="auto"/>
                <w:spacing w:val="0"/>
                <w:kern w:val="2"/>
                <w:sz w:val="21"/>
                <w:szCs w:val="21"/>
                <w:lang w:val="en-US" w:eastAsia="zh-CN" w:bidi="ar-SA"/>
              </w:rPr>
              <w:t>十五个工作日内</w:t>
            </w:r>
            <w:r>
              <w:rPr>
                <w:rFonts w:hint="eastAsia" w:ascii="宋体" w:hAnsi="宋体" w:eastAsia="宋体" w:cs="Times New Roman"/>
                <w:color w:val="auto"/>
                <w:spacing w:val="0"/>
                <w:kern w:val="2"/>
                <w:sz w:val="21"/>
                <w:szCs w:val="21"/>
                <w:lang w:val="en-US" w:eastAsia="zh-CN" w:bidi="ar-SA"/>
              </w:rPr>
              <w:t>支付合同剩余金额。</w:t>
            </w:r>
          </w:p>
          <w:p>
            <w:pPr>
              <w:bidi w:val="0"/>
              <w:rPr>
                <w:rFonts w:hint="eastAsia"/>
                <w:color w:val="auto"/>
              </w:rPr>
            </w:pPr>
            <w:r>
              <w:rPr>
                <w:rFonts w:hint="eastAsia"/>
                <w:color w:val="auto"/>
              </w:rPr>
              <w:t>2.投标保证金：无</w:t>
            </w:r>
          </w:p>
          <w:p>
            <w:pPr>
              <w:tabs>
                <w:tab w:val="left" w:pos="105"/>
                <w:tab w:val="left" w:pos="735"/>
                <w:tab w:val="left" w:pos="945"/>
                <w:tab w:val="left" w:pos="3360"/>
              </w:tabs>
              <w:spacing w:line="360" w:lineRule="auto"/>
              <w:jc w:val="left"/>
              <w:rPr>
                <w:rFonts w:hint="eastAsia" w:ascii="宋体" w:hAnsi="宋体" w:cs="宋体"/>
                <w:color w:val="auto"/>
              </w:rPr>
            </w:pPr>
            <w:r>
              <w:rPr>
                <w:rFonts w:hint="eastAsia" w:ascii="宋体" w:hAnsi="宋体" w:cs="宋体"/>
                <w:color w:val="auto"/>
                <w:szCs w:val="21"/>
              </w:rPr>
              <w:t>3.履约保证金</w:t>
            </w:r>
            <w:r>
              <w:rPr>
                <w:rFonts w:hint="eastAsia" w:ascii="宋体" w:hAnsi="宋体" w:cs="宋体"/>
                <w:color w:val="auto"/>
                <w:szCs w:val="21"/>
                <w:lang w:eastAsia="zh-CN"/>
              </w:rPr>
              <w:t>：</w:t>
            </w:r>
            <w:r>
              <w:rPr>
                <w:rFonts w:hint="eastAsia" w:ascii="宋体" w:hAnsi="宋体" w:cs="宋体"/>
                <w:color w:val="auto"/>
                <w:szCs w:val="21"/>
                <w:lang w:val="en-US" w:eastAsia="zh-CN"/>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6</w:t>
            </w:r>
          </w:p>
        </w:tc>
        <w:tc>
          <w:tcPr>
            <w:tcW w:w="8175" w:type="dxa"/>
            <w:noWrap w:val="0"/>
            <w:vAlign w:val="center"/>
          </w:tcPr>
          <w:p>
            <w:pPr>
              <w:tabs>
                <w:tab w:val="left" w:pos="625"/>
              </w:tabs>
              <w:spacing w:line="400" w:lineRule="exact"/>
              <w:rPr>
                <w:rFonts w:hint="eastAsia" w:ascii="宋体" w:hAnsi="宋体" w:cs="宋体"/>
                <w:color w:val="auto"/>
                <w:szCs w:val="21"/>
              </w:rPr>
            </w:pPr>
            <w:r>
              <w:rPr>
                <w:rFonts w:hint="eastAsia" w:ascii="宋体" w:hAnsi="宋体" w:cs="宋体"/>
                <w:color w:val="auto"/>
                <w:szCs w:val="21"/>
              </w:rPr>
              <w:t>评标办法：综合评分法。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8"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7</w:t>
            </w:r>
          </w:p>
        </w:tc>
        <w:tc>
          <w:tcPr>
            <w:tcW w:w="8175" w:type="dxa"/>
            <w:noWrap w:val="0"/>
            <w:vAlign w:val="center"/>
          </w:tcPr>
          <w:p>
            <w:pPr>
              <w:autoSpaceDE w:val="0"/>
              <w:autoSpaceDN w:val="0"/>
              <w:spacing w:line="400" w:lineRule="exact"/>
              <w:textAlignment w:val="bottom"/>
              <w:rPr>
                <w:rFonts w:hint="eastAsia" w:ascii="宋体" w:hAnsi="宋体" w:cs="宋体"/>
                <w:color w:val="auto"/>
                <w:szCs w:val="21"/>
              </w:rPr>
            </w:pPr>
            <w:r>
              <w:rPr>
                <w:rFonts w:hint="eastAsia" w:ascii="宋体" w:hAnsi="宋体" w:cs="宋体"/>
                <w:color w:val="auto"/>
              </w:rPr>
              <w:t>信息公告媒体：浙江政府采购网、宁波政府采购网。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8</w:t>
            </w:r>
          </w:p>
        </w:tc>
        <w:tc>
          <w:tcPr>
            <w:tcW w:w="8175" w:type="dxa"/>
            <w:noWrap w:val="0"/>
            <w:vAlign w:val="center"/>
          </w:tcPr>
          <w:p>
            <w:pPr>
              <w:autoSpaceDE w:val="0"/>
              <w:autoSpaceDN w:val="0"/>
              <w:spacing w:line="400" w:lineRule="exact"/>
              <w:textAlignment w:val="bottom"/>
              <w:rPr>
                <w:rFonts w:hint="eastAsia" w:ascii="宋体" w:hAnsi="宋体" w:cs="宋体"/>
                <w:color w:val="auto"/>
                <w:szCs w:val="21"/>
              </w:rPr>
            </w:pPr>
            <w:r>
              <w:rPr>
                <w:rFonts w:hint="eastAsia" w:ascii="宋体" w:hAnsi="宋体" w:cs="宋体"/>
                <w:color w:val="auto"/>
                <w:szCs w:val="21"/>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7"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9</w:t>
            </w:r>
          </w:p>
        </w:tc>
        <w:tc>
          <w:tcPr>
            <w:tcW w:w="8175" w:type="dxa"/>
            <w:noWrap w:val="0"/>
            <w:vAlign w:val="center"/>
          </w:tcPr>
          <w:p>
            <w:pPr>
              <w:autoSpaceDE w:val="0"/>
              <w:autoSpaceDN w:val="0"/>
              <w:spacing w:line="400" w:lineRule="exact"/>
              <w:textAlignment w:val="bottom"/>
              <w:rPr>
                <w:rFonts w:hint="eastAsia" w:ascii="宋体" w:hAnsi="宋体" w:cs="宋体"/>
                <w:color w:val="auto"/>
                <w:szCs w:val="21"/>
              </w:rPr>
            </w:pPr>
            <w:r>
              <w:rPr>
                <w:rFonts w:hint="eastAsia" w:ascii="宋体" w:hAnsi="宋体" w:cs="宋体"/>
                <w:color w:val="auto"/>
                <w:szCs w:val="21"/>
              </w:rPr>
              <w:t>采购资金来源：财政预算资金。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10</w:t>
            </w:r>
          </w:p>
        </w:tc>
        <w:tc>
          <w:tcPr>
            <w:tcW w:w="8175" w:type="dxa"/>
            <w:noWrap w:val="0"/>
            <w:vAlign w:val="center"/>
          </w:tcPr>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投标文件的上传和递交：</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（1）“电子加密投标文件”的上传、递交：</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a.投标供应商应在投标截止时间前将“电子加密投标文件”成功上传递交至“政府采购云平台”，否则投标无效。</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b.“电子加密投标文件”成功上传递交后，供应商可自行打印投标文件接收回执。</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（2）“备份投标文件”的密封包装、递交</w:t>
            </w:r>
            <w:r>
              <w:rPr>
                <w:rFonts w:hint="eastAsia" w:ascii="宋体" w:hAnsi="宋体" w:cs="宋体"/>
                <w:b/>
                <w:bCs/>
                <w:color w:val="auto"/>
                <w:szCs w:val="21"/>
              </w:rPr>
              <w:t>（非强制项）</w:t>
            </w:r>
            <w:r>
              <w:rPr>
                <w:rFonts w:hint="eastAsia" w:ascii="宋体" w:hAnsi="宋体" w:cs="宋体"/>
                <w:color w:val="auto"/>
                <w:szCs w:val="21"/>
              </w:rPr>
              <w:t>：</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a.投标供应商还可以采用邮寄方式或现场方式在投标截止时间前（2022年</w:t>
            </w:r>
            <w:r>
              <w:rPr>
                <w:rFonts w:hint="eastAsia" w:ascii="宋体" w:hAnsi="宋体" w:cs="宋体"/>
                <w:color w:val="auto"/>
                <w:szCs w:val="21"/>
                <w:lang w:val="en-US" w:eastAsia="zh-CN"/>
              </w:rPr>
              <w:t>12月1</w:t>
            </w:r>
            <w:bookmarkStart w:id="338" w:name="_GoBack"/>
            <w:bookmarkEnd w:id="338"/>
            <w:r>
              <w:rPr>
                <w:rFonts w:hint="eastAsia" w:ascii="宋体" w:hAnsi="宋体" w:cs="宋体"/>
                <w:color w:val="auto"/>
                <w:szCs w:val="21"/>
                <w:lang w:val="en-US" w:eastAsia="zh-CN"/>
              </w:rPr>
              <w:t>日</w:t>
            </w:r>
            <w:r>
              <w:rPr>
                <w:rFonts w:hint="eastAsia" w:ascii="宋体" w:hAnsi="宋体" w:cs="宋体"/>
                <w:color w:val="auto"/>
                <w:szCs w:val="21"/>
              </w:rPr>
              <w:t>1</w:t>
            </w:r>
            <w:r>
              <w:rPr>
                <w:rFonts w:hint="eastAsia" w:ascii="宋体" w:hAnsi="宋体" w:cs="宋体"/>
                <w:color w:val="auto"/>
                <w:szCs w:val="21"/>
                <w:lang w:val="en-US" w:eastAsia="zh-CN"/>
              </w:rPr>
              <w:t>7</w:t>
            </w:r>
            <w:r>
              <w:rPr>
                <w:rFonts w:hint="eastAsia" w:ascii="宋体" w:hAnsi="宋体" w:cs="宋体"/>
                <w:color w:val="auto"/>
                <w:szCs w:val="21"/>
              </w:rPr>
              <w:t>点00分前）递交以U盘存储的 “备份投标文件”（一份）。</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邮寄地址：宁波市翠柏路89号宁波工程学院公共培训平台大楼A座1109室；</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收件人：</w:t>
            </w:r>
            <w:r>
              <w:rPr>
                <w:rFonts w:hint="eastAsia" w:ascii="宋体" w:hAnsi="宋体" w:cs="宋体"/>
                <w:color w:val="auto"/>
                <w:szCs w:val="21"/>
                <w:lang w:val="en-US" w:eastAsia="zh-CN"/>
              </w:rPr>
              <w:t>范海东</w:t>
            </w:r>
            <w:r>
              <w:rPr>
                <w:rFonts w:hint="eastAsia" w:ascii="宋体" w:hAnsi="宋体" w:cs="宋体"/>
                <w:color w:val="auto"/>
                <w:szCs w:val="21"/>
              </w:rPr>
              <w:t>； 联系方式：</w:t>
            </w:r>
            <w:r>
              <w:rPr>
                <w:rFonts w:hint="eastAsia" w:ascii="宋体" w:hAnsi="宋体" w:cs="宋体"/>
                <w:color w:val="auto"/>
                <w:szCs w:val="21"/>
                <w:lang w:val="en-US" w:eastAsia="zh-CN"/>
              </w:rPr>
              <w:t>13567844430</w:t>
            </w:r>
            <w:r>
              <w:rPr>
                <w:rFonts w:hint="eastAsia" w:ascii="宋体" w:hAnsi="宋体" w:cs="宋体"/>
                <w:color w:val="auto"/>
                <w:szCs w:val="21"/>
              </w:rPr>
              <w:t>。</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各供应商应自行考虑邮寄在途时间，邮寄过程中无论何种因素导致备份投标文件未按时递交的后果，均由供应商自行负责；</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b.“备份投标文件”应当密封包装，并在包装上标注投标项目名称、投标单位名称并加盖公章。没有密封包装或者逾期邮寄送达至投标地点的“备份投标文件”将不予接收；</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3）投标文件启用顺序和效力。投标文件的启用，按先后顺位分别为电子投标文件、以U盘存储的数据电文形式的备份投标文件。顺位在先的投标文件已按时解密的，备份投标文件自动失效。在下一顺位的投标文件启用时，前一顺位的投标文件自动失效。</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★未传输递交电子投标文件的，投标无效。</w:t>
            </w:r>
          </w:p>
          <w:p>
            <w:pPr>
              <w:autoSpaceDE w:val="0"/>
              <w:autoSpaceDN w:val="0"/>
              <w:spacing w:line="400" w:lineRule="exact"/>
              <w:jc w:val="left"/>
              <w:textAlignment w:val="bottom"/>
              <w:rPr>
                <w:rFonts w:hint="eastAsia" w:ascii="宋体" w:hAnsi="宋体" w:cs="宋体"/>
                <w:color w:val="auto"/>
                <w:szCs w:val="21"/>
              </w:rPr>
            </w:pPr>
            <w:r>
              <w:rPr>
                <w:rFonts w:hint="eastAsia" w:ascii="宋体" w:hAnsi="宋体" w:cs="宋体"/>
                <w:b/>
                <w:bCs/>
                <w:color w:val="auto"/>
                <w:szCs w:val="21"/>
              </w:rPr>
              <w:t>注：评标结束后，本项目的中标供应商仍需提供叁套与电子投标文件一致的纸质投标文件（一正二副），如不一致，以电子投标文件为准。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11</w:t>
            </w:r>
          </w:p>
        </w:tc>
        <w:tc>
          <w:tcPr>
            <w:tcW w:w="8175" w:type="dxa"/>
            <w:noWrap w:val="0"/>
            <w:vAlign w:val="center"/>
          </w:tcPr>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电子加密投标文件的解密和异常情况处理：</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（1）开标后，采购组织机构将向各投标供应商发出“电子加密投标文件”的解密通知，各投标供应商代表应当在接到解密通知后30分钟内自行完成“电子加密投标文件”的在线解密（加密和解密需同一CA锁）。</w:t>
            </w:r>
          </w:p>
          <w:p>
            <w:pPr>
              <w:tabs>
                <w:tab w:val="left" w:pos="105"/>
                <w:tab w:val="left" w:pos="735"/>
                <w:tab w:val="left" w:pos="945"/>
                <w:tab w:val="left" w:pos="3360"/>
              </w:tabs>
              <w:spacing w:line="360" w:lineRule="auto"/>
              <w:jc w:val="left"/>
              <w:rPr>
                <w:rFonts w:hint="eastAsia" w:ascii="宋体" w:hAnsi="宋体" w:cs="宋体"/>
                <w:color w:val="auto"/>
                <w:szCs w:val="21"/>
              </w:rPr>
            </w:pPr>
            <w:r>
              <w:rPr>
                <w:rFonts w:hint="eastAsia" w:ascii="宋体" w:hAnsi="宋体" w:cs="宋体"/>
                <w:color w:val="auto"/>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pacing w:line="400" w:lineRule="exact"/>
              <w:jc w:val="left"/>
              <w:textAlignment w:val="bottom"/>
              <w:rPr>
                <w:rFonts w:hint="eastAsia" w:ascii="宋体" w:hAnsi="宋体" w:cs="宋体"/>
                <w:b/>
                <w:color w:val="auto"/>
                <w:szCs w:val="21"/>
              </w:rPr>
            </w:pPr>
            <w:r>
              <w:rPr>
                <w:rFonts w:hint="eastAsia" w:ascii="宋体" w:hAnsi="宋体" w:cs="宋体"/>
                <w:color w:val="auto"/>
                <w:szCs w:val="21"/>
              </w:rPr>
              <w:t>（3）投标截止时间前，投标供应商仅递交了“备份投标文件”而未将电子加密投标文件上传至“政府采购云平台”的，投标无效。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12</w:t>
            </w:r>
          </w:p>
        </w:tc>
        <w:tc>
          <w:tcPr>
            <w:tcW w:w="8175" w:type="dxa"/>
            <w:noWrap w:val="0"/>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在线电子投标说明：</w:t>
            </w:r>
          </w:p>
          <w:p>
            <w:pPr>
              <w:spacing w:line="360" w:lineRule="auto"/>
              <w:jc w:val="left"/>
              <w:rPr>
                <w:rFonts w:hint="eastAsia" w:ascii="宋体" w:hAnsi="宋体" w:cs="宋体"/>
                <w:color w:val="auto"/>
                <w:szCs w:val="21"/>
              </w:rPr>
            </w:pPr>
            <w:r>
              <w:rPr>
                <w:rFonts w:hint="eastAsia" w:ascii="宋体" w:hAnsi="宋体" w:cs="宋体"/>
                <w:color w:val="auto"/>
                <w:szCs w:val="21"/>
              </w:rPr>
              <w:t>（1）本项目通过政府采购云平台实行在线电子投标，投标人应先安装政采云电子交易客户端，并按照招标文件和政府采购云平台的要求，通过政采云电子交易客户端编制并加密投标文件，投标人未按规定加密的投标文件，政府采购云平台将予以拒收。</w:t>
            </w:r>
          </w:p>
          <w:p>
            <w:pPr>
              <w:spacing w:line="360" w:lineRule="auto"/>
              <w:jc w:val="left"/>
              <w:rPr>
                <w:rFonts w:hint="eastAsia" w:ascii="宋体" w:hAnsi="宋体" w:cs="宋体"/>
                <w:color w:val="auto"/>
                <w:szCs w:val="21"/>
              </w:rPr>
            </w:pPr>
            <w:r>
              <w:rPr>
                <w:rFonts w:hint="eastAsia" w:ascii="宋体" w:hAnsi="宋体" w:cs="宋体"/>
                <w:color w:val="auto"/>
                <w:szCs w:val="21"/>
              </w:rPr>
              <w:t xml:space="preserve">    政采云电子交易客户端请自行前往“浙江政府采购网-下载专区-电子交易客户端”进行下载，在线电子投标具体操作流程详见《供应商项目采购-电子招投标操作指南》，通过政府采购云平台参与在线电子投标时如遇平台技术问题详询400-881-7190。</w:t>
            </w:r>
          </w:p>
          <w:p>
            <w:pPr>
              <w:spacing w:line="360" w:lineRule="auto"/>
              <w:jc w:val="left"/>
              <w:rPr>
                <w:rFonts w:hint="eastAsia" w:ascii="宋体" w:hAnsi="宋体" w:cs="宋体"/>
                <w:color w:val="auto"/>
                <w:szCs w:val="21"/>
              </w:rPr>
            </w:pPr>
            <w:r>
              <w:rPr>
                <w:rFonts w:hint="eastAsia" w:ascii="宋体" w:hAnsi="宋体" w:cs="宋体"/>
                <w:color w:val="auto"/>
                <w:szCs w:val="21"/>
              </w:rPr>
              <w:t>（2）标前准备：各供应商应在开标前应确保成为浙江省政府采购网正式注册入库供应商，并完成CA数字证书办理（供应商CA申领操作指南：为保证信息传输的保密性、数据交换的完整性、发送信息的不可否认性及对交易者身份的确认，政采云网上招投标实行CA登录，CA申领有关业务说明链接如下：</w:t>
            </w:r>
            <w:r>
              <w:rPr>
                <w:rFonts w:hint="eastAsia" w:ascii="宋体" w:hAnsi="宋体" w:cs="宋体"/>
                <w:color w:val="auto"/>
                <w:szCs w:val="21"/>
              </w:rPr>
              <w:fldChar w:fldCharType="begin"/>
            </w:r>
            <w:r>
              <w:rPr>
                <w:rFonts w:hint="eastAsia" w:ascii="宋体" w:hAnsi="宋体" w:cs="宋体"/>
                <w:color w:val="auto"/>
                <w:szCs w:val="21"/>
              </w:rPr>
              <w:instrText xml:space="preserve"> HYPERLINK "https://help.zcygov.cn/web/site_2/2018/11/07/2367.html" </w:instrText>
            </w:r>
            <w:r>
              <w:rPr>
                <w:rFonts w:hint="eastAsia" w:ascii="宋体" w:hAnsi="宋体" w:cs="宋体"/>
                <w:color w:val="auto"/>
                <w:szCs w:val="21"/>
              </w:rPr>
              <w:fldChar w:fldCharType="separate"/>
            </w:r>
            <w:r>
              <w:rPr>
                <w:rFonts w:hint="eastAsia" w:ascii="宋体" w:hAnsi="宋体" w:cs="宋体"/>
                <w:color w:val="auto"/>
                <w:szCs w:val="21"/>
              </w:rPr>
              <w:t>https://help.zcygov.cn/web/site_2/2018/11/07/2367.html</w:t>
            </w:r>
            <w:r>
              <w:rPr>
                <w:rFonts w:hint="eastAsia" w:ascii="宋体" w:hAnsi="宋体" w:cs="宋体"/>
                <w:color w:val="auto"/>
                <w:szCs w:val="21"/>
              </w:rPr>
              <w:fldChar w:fldCharType="end"/>
            </w:r>
            <w:r>
              <w:rPr>
                <w:rFonts w:hint="eastAsia" w:ascii="宋体" w:hAnsi="宋体" w:cs="宋体"/>
                <w:color w:val="auto"/>
                <w:szCs w:val="21"/>
              </w:rPr>
              <w:t>，完成CA数字证书办理预计一周左右，请供应商自行把握时间）。因未注册入库、未办理CA数字证书等原因造成无法获取采购文件、无法投标或投标失败等后果由供应商自行承担。</w:t>
            </w:r>
          </w:p>
          <w:p>
            <w:pPr>
              <w:spacing w:line="360" w:lineRule="auto"/>
              <w:jc w:val="left"/>
              <w:rPr>
                <w:rFonts w:hint="eastAsia" w:ascii="宋体" w:hAnsi="宋体" w:cs="宋体"/>
                <w:color w:val="auto"/>
                <w:szCs w:val="21"/>
              </w:rPr>
            </w:pPr>
            <w:r>
              <w:rPr>
                <w:rFonts w:hint="eastAsia" w:ascii="宋体" w:hAnsi="宋体" w:cs="宋体"/>
                <w:color w:val="auto"/>
                <w:szCs w:val="21"/>
              </w:rPr>
              <w:t>（3）采购文件网上获取：</w:t>
            </w:r>
          </w:p>
          <w:p>
            <w:pPr>
              <w:spacing w:line="360" w:lineRule="auto"/>
              <w:jc w:val="left"/>
              <w:rPr>
                <w:rFonts w:hint="eastAsia" w:ascii="宋体" w:hAnsi="宋体" w:cs="宋体"/>
                <w:color w:val="auto"/>
                <w:szCs w:val="21"/>
              </w:rPr>
            </w:pPr>
            <w:r>
              <w:rPr>
                <w:rFonts w:hint="eastAsia" w:ascii="宋体" w:hAnsi="宋体" w:cs="宋体"/>
                <w:color w:val="auto"/>
                <w:szCs w:val="21"/>
              </w:rPr>
              <w:t>已注册政采云平台账号的供应商登录后可免费下载采购文件，采购文件网上获取操作指南链接如下：https://service.zcygov.cn/#/knowledges/CW1EtGwBFdiHxlNd6I3m/6IMVAG0BFdiHxlNdQ8Na（电脑登录账号后浏览）</w:t>
            </w:r>
          </w:p>
          <w:p>
            <w:pPr>
              <w:spacing w:line="360" w:lineRule="auto"/>
              <w:jc w:val="left"/>
              <w:rPr>
                <w:rFonts w:hint="eastAsia" w:ascii="宋体" w:hAnsi="宋体" w:cs="宋体"/>
                <w:color w:val="auto"/>
                <w:szCs w:val="21"/>
              </w:rPr>
            </w:pPr>
            <w:r>
              <w:rPr>
                <w:rFonts w:hint="eastAsia" w:ascii="宋体" w:hAnsi="宋体" w:cs="宋体"/>
                <w:color w:val="auto"/>
                <w:szCs w:val="21"/>
              </w:rPr>
              <w:t>（4）投标文件制作：</w:t>
            </w:r>
          </w:p>
          <w:p>
            <w:pPr>
              <w:spacing w:line="360" w:lineRule="auto"/>
              <w:jc w:val="left"/>
              <w:rPr>
                <w:rFonts w:hint="eastAsia" w:ascii="宋体" w:hAnsi="宋体" w:cs="宋体"/>
                <w:color w:val="auto"/>
                <w:szCs w:val="21"/>
              </w:rPr>
            </w:pPr>
            <w:r>
              <w:rPr>
                <w:rFonts w:hint="eastAsia" w:ascii="宋体" w:hAnsi="宋体" w:cs="宋体"/>
                <w:color w:val="auto"/>
                <w:szCs w:val="21"/>
              </w:rPr>
              <w:t>a.应按照本项目招标文件和政采云平台的要求编制、加密并递交投标文件。供应商在使用系统进行投标的过程中遇到涉及平台使用的任何问题，可致电政采云平台技术支持热线400-881-7190或政采云服务专员电话0574-63917219。</w:t>
            </w:r>
          </w:p>
          <w:p>
            <w:pPr>
              <w:spacing w:line="360" w:lineRule="auto"/>
              <w:jc w:val="left"/>
              <w:rPr>
                <w:rFonts w:hint="eastAsia" w:ascii="宋体" w:hAnsi="宋体" w:cs="宋体"/>
                <w:color w:val="auto"/>
                <w:szCs w:val="21"/>
              </w:rPr>
            </w:pPr>
            <w:r>
              <w:rPr>
                <w:rFonts w:hint="eastAsia" w:ascii="宋体" w:hAnsi="宋体" w:cs="宋体"/>
                <w:color w:val="auto"/>
                <w:szCs w:val="21"/>
              </w:rPr>
              <w:t>b.投标人通过政采云平台电子投标工具制作投标文件，电子投标工具链接如下：</w:t>
            </w:r>
            <w:r>
              <w:rPr>
                <w:rFonts w:hint="eastAsia" w:ascii="宋体" w:hAnsi="宋体" w:cs="宋体"/>
                <w:color w:val="auto"/>
                <w:szCs w:val="21"/>
              </w:rPr>
              <w:fldChar w:fldCharType="begin"/>
            </w:r>
            <w:r>
              <w:rPr>
                <w:rFonts w:hint="eastAsia" w:ascii="宋体" w:hAnsi="宋体" w:cs="宋体"/>
                <w:color w:val="auto"/>
                <w:szCs w:val="21"/>
              </w:rPr>
              <w:instrText xml:space="preserve"> HYPERLINK "http://zfcg.czt.zj.gov.cn/bidClientTemplate/2020-10-01/12975.html，" </w:instrText>
            </w:r>
            <w:r>
              <w:rPr>
                <w:rFonts w:hint="eastAsia" w:ascii="宋体" w:hAnsi="宋体" w:cs="宋体"/>
                <w:color w:val="auto"/>
                <w:szCs w:val="21"/>
              </w:rPr>
              <w:fldChar w:fldCharType="separate"/>
            </w:r>
            <w:r>
              <w:rPr>
                <w:rFonts w:hint="eastAsia" w:ascii="宋体" w:hAnsi="宋体" w:cs="宋体"/>
                <w:color w:val="auto"/>
                <w:szCs w:val="21"/>
              </w:rPr>
              <w:t>http://zfcg.czt.zj.gov.cn/bidClientTemplate/2020-10-01/12975.html，</w:t>
            </w:r>
            <w:r>
              <w:rPr>
                <w:rFonts w:hint="eastAsia" w:ascii="宋体" w:hAnsi="宋体" w:cs="宋体"/>
                <w:color w:val="auto"/>
                <w:szCs w:val="21"/>
              </w:rPr>
              <w:fldChar w:fldCharType="end"/>
            </w:r>
            <w:r>
              <w:rPr>
                <w:rFonts w:hint="eastAsia" w:ascii="宋体" w:hAnsi="宋体" w:cs="宋体"/>
                <w:color w:val="auto"/>
                <w:szCs w:val="21"/>
              </w:rPr>
              <w:t>政府采购项目电子交易管理操作指南链接如下：</w:t>
            </w:r>
            <w:r>
              <w:rPr>
                <w:rFonts w:hint="eastAsia" w:ascii="宋体" w:hAnsi="宋体" w:cs="宋体"/>
                <w:color w:val="auto"/>
                <w:szCs w:val="21"/>
              </w:rPr>
              <w:fldChar w:fldCharType="begin"/>
            </w:r>
            <w:r>
              <w:rPr>
                <w:rFonts w:hint="eastAsia" w:ascii="宋体" w:hAnsi="宋体" w:cs="宋体"/>
                <w:color w:val="auto"/>
                <w:szCs w:val="21"/>
              </w:rPr>
              <w:instrText xml:space="preserve"> HYPERLINK "https://service.zcygov.cn/#/knowledges/CW1EtGwBFdiHxlNd6I3m/7GyLXW0BXgMSmLUuYuPM、" </w:instrText>
            </w:r>
            <w:r>
              <w:rPr>
                <w:rFonts w:hint="eastAsia" w:ascii="宋体" w:hAnsi="宋体" w:cs="宋体"/>
                <w:color w:val="auto"/>
                <w:szCs w:val="21"/>
              </w:rPr>
              <w:fldChar w:fldCharType="separate"/>
            </w:r>
            <w:r>
              <w:rPr>
                <w:rFonts w:hint="eastAsia" w:ascii="宋体" w:hAnsi="宋体" w:cs="宋体"/>
                <w:color w:val="auto"/>
                <w:szCs w:val="21"/>
              </w:rPr>
              <w:t>https://service.zcygov.cn/#/knowledges/CW1EtGwBFdiHxlNd6I3m/7GyLXW0BXgMSmLUuYuPM</w:t>
            </w:r>
            <w:r>
              <w:rPr>
                <w:rFonts w:hint="eastAsia" w:ascii="宋体" w:hAnsi="宋体" w:cs="宋体"/>
                <w:color w:val="auto"/>
                <w:szCs w:val="21"/>
              </w:rPr>
              <w:fldChar w:fldCharType="end"/>
            </w:r>
            <w:r>
              <w:rPr>
                <w:rFonts w:hint="eastAsia" w:ascii="宋体" w:hAnsi="宋体" w:cs="宋体"/>
                <w:color w:val="auto"/>
                <w:szCs w:val="21"/>
              </w:rPr>
              <w:t>（电脑登录账号后观看）；https://service.zcygov.cn/#/knowledges/CW1EtGwBFdiHxlNd6I3m/6IMVAG0BFdiHxlNdQ8Na（电脑登录账号后浏览）。</w:t>
            </w:r>
          </w:p>
          <w:p>
            <w:pPr>
              <w:spacing w:line="360" w:lineRule="auto"/>
              <w:jc w:val="left"/>
              <w:rPr>
                <w:rFonts w:hint="eastAsia" w:ascii="宋体" w:hAnsi="宋体" w:cs="宋体"/>
                <w:color w:val="auto"/>
                <w:szCs w:val="21"/>
              </w:rPr>
            </w:pPr>
            <w:r>
              <w:rPr>
                <w:rFonts w:hint="eastAsia" w:ascii="宋体" w:hAnsi="宋体" w:cs="宋体"/>
                <w:color w:val="auto"/>
                <w:szCs w:val="21"/>
              </w:rPr>
              <w:t>（5）业务相关联系人和联系电话</w:t>
            </w:r>
          </w:p>
          <w:p>
            <w:pPr>
              <w:spacing w:line="360" w:lineRule="auto"/>
              <w:jc w:val="left"/>
              <w:rPr>
                <w:rFonts w:hint="eastAsia" w:ascii="宋体" w:hAnsi="宋体" w:cs="宋体"/>
                <w:color w:val="auto"/>
                <w:szCs w:val="21"/>
              </w:rPr>
            </w:pPr>
            <w:r>
              <w:rPr>
                <w:rFonts w:hint="eastAsia" w:ascii="宋体" w:hAnsi="宋体" w:cs="宋体"/>
                <w:color w:val="auto"/>
                <w:szCs w:val="21"/>
              </w:rPr>
              <w:t xml:space="preserve">CA咨询（天谷公司）客服热线: 400-087-8198    </w:t>
            </w:r>
          </w:p>
          <w:p>
            <w:pPr>
              <w:spacing w:line="360" w:lineRule="auto"/>
              <w:jc w:val="left"/>
              <w:rPr>
                <w:rFonts w:hint="eastAsia" w:ascii="宋体" w:hAnsi="宋体" w:cs="宋体"/>
                <w:color w:val="auto"/>
                <w:szCs w:val="21"/>
              </w:rPr>
            </w:pPr>
            <w:r>
              <w:rPr>
                <w:rFonts w:hint="eastAsia" w:ascii="宋体" w:hAnsi="宋体" w:cs="宋体"/>
                <w:color w:val="auto"/>
                <w:szCs w:val="21"/>
              </w:rPr>
              <w:t>销售热线: 0571-85785223</w:t>
            </w:r>
          </w:p>
          <w:p>
            <w:pPr>
              <w:spacing w:line="360" w:lineRule="auto"/>
              <w:jc w:val="left"/>
              <w:rPr>
                <w:rFonts w:hint="eastAsia" w:ascii="宋体" w:hAnsi="宋体" w:cs="宋体"/>
                <w:color w:val="auto"/>
                <w:szCs w:val="21"/>
              </w:rPr>
            </w:pPr>
            <w:r>
              <w:rPr>
                <w:rFonts w:hint="eastAsia" w:ascii="宋体" w:hAnsi="宋体" w:cs="宋体"/>
                <w:color w:val="auto"/>
                <w:szCs w:val="21"/>
              </w:rPr>
              <w:t>CA咨询(汇信公司)客服热线400-888-4636</w:t>
            </w:r>
          </w:p>
          <w:p>
            <w:pPr>
              <w:autoSpaceDE w:val="0"/>
              <w:autoSpaceDN w:val="0"/>
              <w:spacing w:line="400" w:lineRule="exact"/>
              <w:jc w:val="left"/>
              <w:textAlignment w:val="bottom"/>
              <w:rPr>
                <w:rFonts w:hint="eastAsia" w:ascii="宋体" w:hAnsi="宋体" w:cs="宋体"/>
                <w:color w:val="auto"/>
                <w:szCs w:val="21"/>
              </w:rPr>
            </w:pPr>
            <w:r>
              <w:rPr>
                <w:rFonts w:hint="eastAsia" w:ascii="宋体" w:hAnsi="宋体" w:cs="宋体"/>
                <w:color w:val="auto"/>
                <w:szCs w:val="21"/>
              </w:rPr>
              <w:t>政采云平台客服电话：4008817190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13</w:t>
            </w:r>
          </w:p>
        </w:tc>
        <w:tc>
          <w:tcPr>
            <w:tcW w:w="8175" w:type="dxa"/>
            <w:noWrap w:val="0"/>
            <w:vAlign w:val="center"/>
          </w:tcPr>
          <w:p>
            <w:pPr>
              <w:autoSpaceDE w:val="0"/>
              <w:autoSpaceDN w:val="0"/>
              <w:spacing w:line="400" w:lineRule="exact"/>
              <w:textAlignment w:val="bottom"/>
              <w:rPr>
                <w:rFonts w:hint="eastAsia" w:ascii="宋体" w:hAnsi="宋体" w:cs="宋体"/>
                <w:b/>
                <w:color w:val="auto"/>
                <w:szCs w:val="21"/>
              </w:rPr>
            </w:pPr>
            <w:r>
              <w:rPr>
                <w:rFonts w:hint="eastAsia" w:ascii="宋体" w:hAnsi="宋体" w:cs="宋体"/>
                <w:b/>
                <w:color w:val="auto"/>
                <w:szCs w:val="21"/>
              </w:rPr>
              <w:t>投标文件有效期：90天。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14</w:t>
            </w:r>
          </w:p>
        </w:tc>
        <w:tc>
          <w:tcPr>
            <w:tcW w:w="8175" w:type="dxa"/>
            <w:noWrap w:val="0"/>
            <w:vAlign w:val="center"/>
          </w:tcPr>
          <w:p>
            <w:pPr>
              <w:autoSpaceDE w:val="0"/>
              <w:autoSpaceDN w:val="0"/>
              <w:spacing w:line="400" w:lineRule="exact"/>
              <w:textAlignment w:val="bottom"/>
              <w:rPr>
                <w:rFonts w:hint="eastAsia" w:ascii="宋体" w:hAnsi="宋体" w:cs="宋体"/>
                <w:b/>
                <w:color w:val="auto"/>
                <w:szCs w:val="21"/>
              </w:rPr>
            </w:pPr>
            <w:r>
              <w:rPr>
                <w:rFonts w:hint="eastAsia" w:ascii="宋体" w:hAnsi="宋体" w:cs="宋体"/>
                <w:b/>
                <w:color w:val="auto"/>
                <w:szCs w:val="21"/>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850" w:type="dxa"/>
            <w:noWrap w:val="0"/>
            <w:vAlign w:val="center"/>
          </w:tcPr>
          <w:p>
            <w:pPr>
              <w:snapToGrid w:val="0"/>
              <w:spacing w:line="400" w:lineRule="exact"/>
              <w:jc w:val="center"/>
              <w:rPr>
                <w:rFonts w:hint="eastAsia" w:ascii="宋体" w:hAnsi="宋体" w:cs="宋体"/>
                <w:color w:val="auto"/>
                <w:szCs w:val="21"/>
              </w:rPr>
            </w:pPr>
            <w:r>
              <w:rPr>
                <w:rFonts w:hint="eastAsia" w:ascii="宋体" w:hAnsi="宋体" w:cs="宋体"/>
                <w:color w:val="auto"/>
                <w:szCs w:val="21"/>
              </w:rPr>
              <w:t>15</w:t>
            </w:r>
          </w:p>
        </w:tc>
        <w:tc>
          <w:tcPr>
            <w:tcW w:w="8175" w:type="dxa"/>
            <w:noWrap w:val="0"/>
            <w:vAlign w:val="center"/>
          </w:tcPr>
          <w:p>
            <w:pPr>
              <w:autoSpaceDE w:val="0"/>
              <w:autoSpaceDN w:val="0"/>
              <w:spacing w:line="400" w:lineRule="exact"/>
              <w:textAlignment w:val="bottom"/>
              <w:rPr>
                <w:rFonts w:hint="eastAsia" w:ascii="宋体" w:hAnsi="宋体" w:cs="宋体"/>
                <w:color w:val="auto"/>
                <w:szCs w:val="21"/>
              </w:rPr>
            </w:pPr>
            <w:r>
              <w:rPr>
                <w:rFonts w:hint="eastAsia" w:ascii="宋体" w:hAnsi="宋体" w:cs="宋体"/>
                <w:color w:val="auto"/>
                <w:szCs w:val="21"/>
              </w:rPr>
              <w:t>解释：本招标文件的解释权属于招标采购人。</w:t>
            </w:r>
          </w:p>
        </w:tc>
      </w:tr>
      <w:bookmarkEnd w:id="58"/>
      <w:bookmarkEnd w:id="59"/>
    </w:tbl>
    <w:p>
      <w:pPr>
        <w:jc w:val="center"/>
        <w:rPr>
          <w:rFonts w:hint="eastAsia" w:ascii="宋体" w:hAnsi="宋体" w:cs="宋体"/>
          <w:color w:val="auto"/>
          <w:szCs w:val="21"/>
        </w:rPr>
      </w:pPr>
      <w:bookmarkStart w:id="60" w:name="_Toc460416339"/>
      <w:bookmarkStart w:id="61" w:name="_Toc460857896"/>
      <w:bookmarkStart w:id="62" w:name="_Toc460416644"/>
      <w:bookmarkStart w:id="63" w:name="_Toc460416595"/>
      <w:r>
        <w:rPr>
          <w:rFonts w:hint="eastAsia" w:ascii="宋体" w:hAnsi="宋体" w:cs="宋体"/>
          <w:color w:val="auto"/>
          <w:szCs w:val="21"/>
        </w:rPr>
        <w:br w:type="page"/>
      </w:r>
      <w:bookmarkEnd w:id="60"/>
      <w:bookmarkEnd w:id="61"/>
      <w:bookmarkEnd w:id="62"/>
      <w:bookmarkEnd w:id="63"/>
      <w:bookmarkStart w:id="64" w:name="_Toc460857897"/>
      <w:bookmarkStart w:id="65" w:name="_Toc79395438"/>
      <w:bookmarkStart w:id="66" w:name="_Toc15866"/>
      <w:bookmarkStart w:id="67" w:name="_Toc13183"/>
      <w:bookmarkStart w:id="68" w:name="_Toc17707910"/>
      <w:bookmarkStart w:id="69" w:name="_Toc8008"/>
      <w:r>
        <w:rPr>
          <w:rFonts w:hint="eastAsia" w:ascii="宋体" w:hAnsi="宋体" w:cs="宋体"/>
          <w:b/>
          <w:bCs/>
          <w:color w:val="auto"/>
        </w:rPr>
        <w:t>一、总  则</w:t>
      </w:r>
      <w:bookmarkEnd w:id="64"/>
      <w:bookmarkEnd w:id="65"/>
      <w:bookmarkEnd w:id="66"/>
      <w:bookmarkEnd w:id="67"/>
      <w:bookmarkEnd w:id="68"/>
      <w:bookmarkEnd w:id="69"/>
    </w:p>
    <w:p>
      <w:pPr>
        <w:rPr>
          <w:rFonts w:hint="eastAsia"/>
          <w:b/>
          <w:bCs/>
          <w:color w:val="auto"/>
        </w:rPr>
      </w:pPr>
      <w:bookmarkStart w:id="70" w:name="_Toc79395439"/>
      <w:bookmarkStart w:id="71" w:name="_Toc17707911"/>
      <w:bookmarkStart w:id="72" w:name="_Toc96"/>
      <w:bookmarkStart w:id="73" w:name="_Toc19506"/>
      <w:bookmarkStart w:id="74" w:name="_Toc460416596"/>
      <w:bookmarkStart w:id="75" w:name="_Toc460857898"/>
      <w:bookmarkStart w:id="76" w:name="_Toc460416645"/>
      <w:bookmarkStart w:id="77" w:name="_Toc460416340"/>
      <w:r>
        <w:rPr>
          <w:rFonts w:hint="eastAsia"/>
          <w:b/>
          <w:bCs/>
          <w:color w:val="auto"/>
        </w:rPr>
        <w:t>（一）适用范围</w:t>
      </w:r>
      <w:bookmarkEnd w:id="70"/>
      <w:bookmarkEnd w:id="71"/>
      <w:bookmarkEnd w:id="72"/>
      <w:bookmarkEnd w:id="73"/>
      <w:bookmarkEnd w:id="74"/>
      <w:bookmarkEnd w:id="75"/>
      <w:bookmarkEnd w:id="76"/>
      <w:bookmarkEnd w:id="77"/>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本采购文件适用于本采购项目的招标、投标、评标、定标、验收、合同履约、付款等行为（法律、法规另有规定的，从其规定）。</w:t>
      </w:r>
    </w:p>
    <w:p>
      <w:pPr>
        <w:rPr>
          <w:rFonts w:hint="eastAsia"/>
          <w:b/>
          <w:bCs/>
          <w:color w:val="auto"/>
        </w:rPr>
      </w:pPr>
      <w:bookmarkStart w:id="78" w:name="_Toc460416597"/>
      <w:bookmarkStart w:id="79" w:name="_Toc460857899"/>
      <w:bookmarkStart w:id="80" w:name="_Toc18275"/>
      <w:bookmarkStart w:id="81" w:name="_Toc18164"/>
      <w:bookmarkStart w:id="82" w:name="_Toc460416646"/>
      <w:bookmarkStart w:id="83" w:name="_Toc79395440"/>
      <w:bookmarkStart w:id="84" w:name="_Toc460416341"/>
      <w:bookmarkStart w:id="85" w:name="_Toc17707912"/>
      <w:r>
        <w:rPr>
          <w:rFonts w:hint="eastAsia"/>
          <w:b/>
          <w:bCs/>
          <w:color w:val="auto"/>
        </w:rPr>
        <w:t>（二）定义</w:t>
      </w:r>
      <w:bookmarkEnd w:id="78"/>
      <w:bookmarkEnd w:id="79"/>
      <w:bookmarkEnd w:id="80"/>
      <w:bookmarkEnd w:id="81"/>
      <w:bookmarkEnd w:id="82"/>
      <w:bookmarkEnd w:id="83"/>
      <w:bookmarkEnd w:id="84"/>
      <w:bookmarkEnd w:id="85"/>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1.“采购人”系指组织本次招标的采购单位。</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2.“供应商”系指向采购人提交投标文件的单位或个人。</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3.“产品”系指供方按采购文件规定，须向采购人提供的一切货物、保险、税金、工具、手册及其它有关技术资料和材料。</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4.“服务”系指招标文件规定供应商须承担的需完成本项目所需的服务的义务。</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5.“项目”系指投标人按采购文件规定向采购人提供的产品和服务。</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6.“书面形式”包括信函、传真、电报、电子邮件等。</w:t>
      </w:r>
    </w:p>
    <w:p>
      <w:pPr>
        <w:snapToGrid w:val="0"/>
        <w:spacing w:line="400" w:lineRule="exact"/>
        <w:ind w:firstLine="422" w:firstLineChars="200"/>
        <w:jc w:val="left"/>
        <w:rPr>
          <w:rFonts w:hint="eastAsia" w:ascii="宋体" w:hAnsi="宋体" w:cs="宋体"/>
          <w:b/>
          <w:color w:val="auto"/>
          <w:szCs w:val="21"/>
        </w:rPr>
      </w:pPr>
      <w:r>
        <w:rPr>
          <w:rFonts w:hint="eastAsia" w:ascii="宋体" w:hAnsi="宋体" w:cs="宋体"/>
          <w:b/>
          <w:color w:val="auto"/>
          <w:szCs w:val="21"/>
        </w:rPr>
        <w:t>7.“*”系指实质性要求条款。</w:t>
      </w:r>
    </w:p>
    <w:p>
      <w:pPr>
        <w:snapToGrid w:val="0"/>
        <w:spacing w:line="400" w:lineRule="exact"/>
        <w:ind w:firstLine="422" w:firstLineChars="200"/>
        <w:jc w:val="left"/>
        <w:rPr>
          <w:rFonts w:hint="eastAsia" w:ascii="宋体" w:hAnsi="宋体" w:eastAsia="宋体" w:cs="宋体"/>
          <w:b/>
          <w:color w:val="auto"/>
          <w:szCs w:val="21"/>
          <w:lang w:val="en-US" w:eastAsia="zh-CN"/>
        </w:rPr>
      </w:pPr>
      <w:r>
        <w:rPr>
          <w:rFonts w:hint="eastAsia" w:ascii="宋体" w:hAnsi="宋体" w:cs="宋体"/>
          <w:b/>
          <w:color w:val="auto"/>
          <w:szCs w:val="21"/>
          <w:lang w:val="en-US" w:eastAsia="zh-CN"/>
        </w:rPr>
        <w:t>8.</w:t>
      </w:r>
      <w:r>
        <w:rPr>
          <w:rFonts w:hint="eastAsia" w:ascii="宋体" w:hAnsi="宋体" w:cs="宋体"/>
          <w:b/>
          <w:color w:val="auto"/>
          <w:szCs w:val="21"/>
        </w:rPr>
        <w:t>“</w:t>
      </w:r>
      <w:r>
        <w:rPr>
          <w:rFonts w:hint="eastAsia" w:ascii="宋体" w:hAnsi="宋体" w:cs="宋体"/>
          <w:b/>
          <w:color w:val="auto"/>
          <w:szCs w:val="21"/>
          <w:lang w:val="en-US" w:eastAsia="zh-CN"/>
        </w:rPr>
        <w:t>★</w:t>
      </w:r>
      <w:r>
        <w:rPr>
          <w:rFonts w:hint="eastAsia" w:ascii="宋体" w:hAnsi="宋体" w:cs="宋体"/>
          <w:b/>
          <w:color w:val="auto"/>
          <w:szCs w:val="21"/>
        </w:rPr>
        <w:t>”系指</w:t>
      </w:r>
      <w:r>
        <w:rPr>
          <w:rFonts w:hint="eastAsia" w:ascii="宋体" w:hAnsi="宋体" w:cs="宋体"/>
          <w:b/>
          <w:color w:val="auto"/>
          <w:szCs w:val="21"/>
          <w:lang w:val="en-US" w:eastAsia="zh-CN"/>
        </w:rPr>
        <w:t>重要技术</w:t>
      </w:r>
      <w:r>
        <w:rPr>
          <w:rFonts w:hint="eastAsia" w:ascii="宋体" w:hAnsi="宋体" w:cs="宋体"/>
          <w:b/>
          <w:color w:val="auto"/>
          <w:szCs w:val="21"/>
        </w:rPr>
        <w:t>条款</w:t>
      </w:r>
      <w:r>
        <w:rPr>
          <w:rFonts w:hint="eastAsia" w:ascii="宋体" w:hAnsi="宋体" w:cs="宋体"/>
          <w:b/>
          <w:color w:val="auto"/>
          <w:szCs w:val="21"/>
          <w:lang w:eastAsia="zh-CN"/>
        </w:rPr>
        <w:t>。</w:t>
      </w:r>
    </w:p>
    <w:p>
      <w:pPr>
        <w:rPr>
          <w:rFonts w:hint="eastAsia"/>
          <w:b/>
          <w:bCs/>
          <w:color w:val="auto"/>
        </w:rPr>
      </w:pPr>
      <w:bookmarkStart w:id="86" w:name="_Toc11090"/>
      <w:bookmarkStart w:id="87" w:name="_Toc460416342"/>
      <w:bookmarkStart w:id="88" w:name="_Toc460857900"/>
      <w:bookmarkStart w:id="89" w:name="_Toc17707913"/>
      <w:bookmarkStart w:id="90" w:name="_Toc460416598"/>
      <w:bookmarkStart w:id="91" w:name="_Toc21787"/>
      <w:bookmarkStart w:id="92" w:name="_Toc79395441"/>
      <w:bookmarkStart w:id="93" w:name="_Toc460416647"/>
      <w:r>
        <w:rPr>
          <w:rFonts w:hint="eastAsia"/>
          <w:b/>
          <w:bCs/>
          <w:color w:val="auto"/>
        </w:rPr>
        <w:t>（三）采购方式</w:t>
      </w:r>
      <w:bookmarkEnd w:id="86"/>
      <w:bookmarkEnd w:id="87"/>
      <w:bookmarkEnd w:id="88"/>
      <w:bookmarkEnd w:id="89"/>
      <w:bookmarkEnd w:id="90"/>
      <w:bookmarkEnd w:id="91"/>
      <w:bookmarkEnd w:id="92"/>
      <w:bookmarkEnd w:id="93"/>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本次采购采用公开招标方式进行。</w:t>
      </w:r>
    </w:p>
    <w:p>
      <w:pPr>
        <w:rPr>
          <w:rFonts w:hint="eastAsia"/>
          <w:b/>
          <w:bCs/>
          <w:color w:val="auto"/>
        </w:rPr>
      </w:pPr>
      <w:bookmarkStart w:id="94" w:name="_Toc9042"/>
      <w:bookmarkStart w:id="95" w:name="_Toc460416648"/>
      <w:bookmarkStart w:id="96" w:name="_Toc460416343"/>
      <w:bookmarkStart w:id="97" w:name="_Toc17707914"/>
      <w:bookmarkStart w:id="98" w:name="_Toc79395442"/>
      <w:bookmarkStart w:id="99" w:name="_Toc20172"/>
      <w:bookmarkStart w:id="100" w:name="_Toc460857901"/>
      <w:bookmarkStart w:id="101" w:name="_Toc460416599"/>
      <w:r>
        <w:rPr>
          <w:rFonts w:hint="eastAsia"/>
          <w:b/>
          <w:bCs/>
          <w:color w:val="auto"/>
        </w:rPr>
        <w:t>（四）投标委托</w:t>
      </w:r>
      <w:bookmarkEnd w:id="94"/>
      <w:bookmarkEnd w:id="95"/>
      <w:bookmarkEnd w:id="96"/>
      <w:bookmarkEnd w:id="97"/>
      <w:bookmarkEnd w:id="98"/>
      <w:bookmarkEnd w:id="99"/>
      <w:bookmarkEnd w:id="100"/>
      <w:bookmarkEnd w:id="101"/>
    </w:p>
    <w:p>
      <w:pPr>
        <w:pStyle w:val="15"/>
        <w:snapToGrid w:val="0"/>
        <w:spacing w:line="400" w:lineRule="exact"/>
        <w:ind w:firstLine="420" w:firstLineChars="200"/>
        <w:jc w:val="left"/>
        <w:rPr>
          <w:rFonts w:hint="eastAsia" w:hAnsi="宋体" w:cs="宋体"/>
          <w:color w:val="auto"/>
          <w:sz w:val="21"/>
          <w:szCs w:val="21"/>
        </w:rPr>
      </w:pPr>
      <w:r>
        <w:rPr>
          <w:rFonts w:hint="eastAsia" w:hAnsi="宋体" w:cs="宋体"/>
          <w:color w:val="auto"/>
          <w:spacing w:val="0"/>
          <w:sz w:val="21"/>
          <w:szCs w:val="21"/>
        </w:rPr>
        <w:t>如供应商委派授权代表出席开标会议，授权代表须携带有效身份证件。如投标人代表不是法定代表人，须有法定代表人出具的授权委托书并在投标文件中提供投标人代表身份证正反面复印件（投标文件正本用原件，副本可用复印件，格式见第六部分）</w:t>
      </w:r>
      <w:r>
        <w:rPr>
          <w:rFonts w:hint="eastAsia" w:hAnsi="宋体" w:cs="宋体"/>
          <w:color w:val="auto"/>
          <w:sz w:val="21"/>
          <w:szCs w:val="21"/>
        </w:rPr>
        <w:t>。</w:t>
      </w:r>
    </w:p>
    <w:p>
      <w:pPr>
        <w:rPr>
          <w:rFonts w:hint="eastAsia"/>
          <w:b/>
          <w:bCs/>
          <w:color w:val="auto"/>
        </w:rPr>
      </w:pPr>
      <w:bookmarkStart w:id="102" w:name="_Toc460857902"/>
      <w:bookmarkStart w:id="103" w:name="_Toc18429"/>
      <w:bookmarkStart w:id="104" w:name="_Toc460416649"/>
      <w:bookmarkStart w:id="105" w:name="_Toc79395443"/>
      <w:bookmarkStart w:id="106" w:name="_Toc13019"/>
      <w:bookmarkStart w:id="107" w:name="_Toc460416600"/>
      <w:bookmarkStart w:id="108" w:name="_Toc17707915"/>
      <w:bookmarkStart w:id="109" w:name="_Toc460416344"/>
      <w:r>
        <w:rPr>
          <w:rFonts w:hint="eastAsia"/>
          <w:b/>
          <w:bCs/>
          <w:color w:val="auto"/>
        </w:rPr>
        <w:t>（五）投标费用</w:t>
      </w:r>
      <w:bookmarkEnd w:id="102"/>
      <w:bookmarkEnd w:id="103"/>
      <w:bookmarkEnd w:id="104"/>
      <w:bookmarkEnd w:id="105"/>
      <w:bookmarkEnd w:id="106"/>
      <w:bookmarkEnd w:id="107"/>
      <w:bookmarkEnd w:id="108"/>
      <w:bookmarkEnd w:id="109"/>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不论投标结果如何，投标人均应自行承担所有与投标有关的全部费用。</w:t>
      </w:r>
    </w:p>
    <w:p>
      <w:pPr>
        <w:rPr>
          <w:rFonts w:hint="eastAsia"/>
          <w:b/>
          <w:bCs/>
          <w:color w:val="auto"/>
        </w:rPr>
      </w:pPr>
      <w:bookmarkStart w:id="110" w:name="_Toc460857903"/>
      <w:bookmarkStart w:id="111" w:name="_Toc17707916"/>
      <w:bookmarkStart w:id="112" w:name="_Toc32061"/>
      <w:bookmarkStart w:id="113" w:name="_Toc10534"/>
      <w:bookmarkStart w:id="114" w:name="_Toc79395444"/>
      <w:r>
        <w:rPr>
          <w:rFonts w:hint="eastAsia"/>
          <w:b/>
          <w:bCs/>
          <w:color w:val="auto"/>
        </w:rPr>
        <w:t>（六）联合体投标</w:t>
      </w:r>
      <w:bookmarkEnd w:id="110"/>
      <w:bookmarkEnd w:id="111"/>
      <w:bookmarkEnd w:id="112"/>
      <w:bookmarkEnd w:id="113"/>
      <w:bookmarkEnd w:id="114"/>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本项目不接受联合体投标。</w:t>
      </w:r>
    </w:p>
    <w:p>
      <w:pPr>
        <w:rPr>
          <w:rFonts w:hint="eastAsia"/>
          <w:b/>
          <w:bCs/>
          <w:color w:val="auto"/>
        </w:rPr>
      </w:pPr>
      <w:bookmarkStart w:id="115" w:name="_Toc22517"/>
      <w:bookmarkStart w:id="116" w:name="_Toc79395445"/>
      <w:bookmarkStart w:id="117" w:name="_Toc23875"/>
      <w:bookmarkStart w:id="118" w:name="_Toc460857904"/>
      <w:bookmarkStart w:id="119" w:name="_Toc17707917"/>
      <w:r>
        <w:rPr>
          <w:rFonts w:hint="eastAsia"/>
          <w:b/>
          <w:bCs/>
          <w:color w:val="auto"/>
        </w:rPr>
        <w:t>（七）转包与分包</w:t>
      </w:r>
      <w:bookmarkEnd w:id="115"/>
      <w:bookmarkEnd w:id="116"/>
      <w:bookmarkEnd w:id="117"/>
      <w:bookmarkEnd w:id="118"/>
      <w:bookmarkEnd w:id="119"/>
    </w:p>
    <w:p>
      <w:pPr>
        <w:snapToGrid w:val="0"/>
        <w:spacing w:line="40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本项目不允许转包，未经采购人书面同意不得分包。</w:t>
      </w:r>
    </w:p>
    <w:p>
      <w:pPr>
        <w:rPr>
          <w:rFonts w:hint="eastAsia"/>
          <w:b/>
          <w:bCs/>
          <w:color w:val="auto"/>
        </w:rPr>
      </w:pPr>
      <w:bookmarkStart w:id="120" w:name="_Toc79395447"/>
      <w:bookmarkStart w:id="121" w:name="_Toc14177"/>
      <w:bookmarkStart w:id="122" w:name="_Toc17707919"/>
      <w:bookmarkStart w:id="123" w:name="_Toc7123"/>
      <w:r>
        <w:rPr>
          <w:rFonts w:hint="eastAsia"/>
          <w:b/>
          <w:bCs/>
          <w:color w:val="auto"/>
        </w:rPr>
        <w:t>（</w:t>
      </w:r>
      <w:r>
        <w:rPr>
          <w:rFonts w:hint="eastAsia"/>
          <w:b/>
          <w:bCs/>
          <w:color w:val="auto"/>
          <w:lang w:val="en-US" w:eastAsia="zh-CN"/>
        </w:rPr>
        <w:t>八</w:t>
      </w:r>
      <w:r>
        <w:rPr>
          <w:rFonts w:hint="eastAsia"/>
          <w:b/>
          <w:bCs/>
          <w:color w:val="auto"/>
        </w:rPr>
        <w:t>）关于分公司投标</w:t>
      </w:r>
      <w:bookmarkEnd w:id="120"/>
      <w:bookmarkEnd w:id="121"/>
      <w:bookmarkEnd w:id="122"/>
      <w:bookmarkEnd w:id="123"/>
    </w:p>
    <w:p>
      <w:pPr>
        <w:widowControl/>
        <w:spacing w:line="40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rPr>
          <w:rFonts w:hint="eastAsia"/>
          <w:b/>
          <w:bCs/>
          <w:color w:val="auto"/>
        </w:rPr>
      </w:pPr>
      <w:bookmarkStart w:id="124" w:name="_Toc31344"/>
      <w:bookmarkStart w:id="125" w:name="_Toc17707920"/>
      <w:bookmarkStart w:id="126" w:name="_Toc22599"/>
      <w:bookmarkStart w:id="127" w:name="_Toc79395448"/>
      <w:r>
        <w:rPr>
          <w:rFonts w:hint="eastAsia"/>
          <w:b/>
          <w:bCs/>
          <w:color w:val="auto"/>
        </w:rPr>
        <w:t>（</w:t>
      </w:r>
      <w:r>
        <w:rPr>
          <w:rFonts w:hint="eastAsia"/>
          <w:b/>
          <w:bCs/>
          <w:color w:val="auto"/>
          <w:lang w:val="en-US" w:eastAsia="zh-CN"/>
        </w:rPr>
        <w:t>九</w:t>
      </w:r>
      <w:r>
        <w:rPr>
          <w:rFonts w:hint="eastAsia"/>
          <w:b/>
          <w:bCs/>
          <w:color w:val="auto"/>
        </w:rPr>
        <w:t>）关于知识产权</w:t>
      </w:r>
      <w:bookmarkEnd w:id="124"/>
      <w:bookmarkEnd w:id="125"/>
      <w:bookmarkEnd w:id="126"/>
      <w:bookmarkEnd w:id="127"/>
    </w:p>
    <w:p>
      <w:pPr>
        <w:widowControl/>
        <w:spacing w:line="400" w:lineRule="exact"/>
        <w:ind w:firstLine="420" w:firstLineChars="200"/>
        <w:jc w:val="left"/>
        <w:rPr>
          <w:rFonts w:hint="eastAsia" w:ascii="宋体" w:hAnsi="宋体" w:cs="宋体"/>
          <w:bCs/>
          <w:color w:val="auto"/>
          <w:szCs w:val="21"/>
        </w:rPr>
      </w:pPr>
      <w:bookmarkStart w:id="128" w:name="_Toc460416651"/>
      <w:bookmarkStart w:id="129" w:name="_Toc79395449"/>
      <w:bookmarkStart w:id="130" w:name="_Toc460857906"/>
      <w:bookmarkStart w:id="131" w:name="_Toc28420"/>
      <w:bookmarkStart w:id="132" w:name="_Toc15997"/>
      <w:bookmarkStart w:id="133" w:name="_Toc17707921"/>
      <w:bookmarkStart w:id="134" w:name="_Toc460416602"/>
      <w:bookmarkStart w:id="135" w:name="_Toc460416346"/>
      <w:r>
        <w:rPr>
          <w:rFonts w:hint="eastAsia" w:ascii="宋体" w:hAnsi="宋体" w:cs="宋体"/>
          <w:bCs/>
          <w:color w:val="auto"/>
          <w:szCs w:val="21"/>
        </w:rPr>
        <w:t>本项目所有相关资料知识产权归采购人所有。供应商应保证提供服务过程中不会侵犯任何第三方的知识产权。若发生第三方知识产权纠纷，采购人保留追究责任的权利。</w:t>
      </w:r>
    </w:p>
    <w:p>
      <w:pPr>
        <w:rPr>
          <w:rFonts w:hint="eastAsia"/>
          <w:b/>
          <w:bCs/>
          <w:color w:val="auto"/>
        </w:rPr>
      </w:pPr>
      <w:r>
        <w:rPr>
          <w:rFonts w:hint="eastAsia"/>
          <w:b/>
          <w:bCs/>
          <w:color w:val="auto"/>
        </w:rPr>
        <w:t>（十）质疑和投诉</w:t>
      </w:r>
      <w:bookmarkEnd w:id="128"/>
      <w:bookmarkEnd w:id="129"/>
      <w:bookmarkEnd w:id="130"/>
      <w:bookmarkEnd w:id="131"/>
      <w:bookmarkEnd w:id="132"/>
      <w:bookmarkEnd w:id="133"/>
      <w:bookmarkEnd w:id="134"/>
      <w:bookmarkEnd w:id="135"/>
    </w:p>
    <w:p>
      <w:pPr>
        <w:pStyle w:val="2"/>
        <w:spacing w:after="0"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1.供应商认为采购文件、采购过程、中标或者成交结果使自己的权益受到损害的，须在应</w:t>
      </w:r>
      <w:r>
        <w:rPr>
          <w:rFonts w:hint="eastAsia" w:ascii="宋体" w:hAnsi="宋体" w:cs="宋体"/>
          <w:color w:val="auto"/>
          <w:spacing w:val="2"/>
          <w:sz w:val="21"/>
          <w:szCs w:val="21"/>
        </w:rPr>
        <w:t>知其利益受损之日起七个工作日内以书面形式向采购人、采购代理机构提出质疑。供应商应当在法定质疑期内一次性提出针对同一采购程序环节的质疑。</w:t>
      </w:r>
    </w:p>
    <w:p>
      <w:pPr>
        <w:tabs>
          <w:tab w:val="left" w:pos="518"/>
        </w:tabs>
        <w:adjustRightInd w:val="0"/>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2.提出质疑的供应商应当是参与所质疑项目采购活动的供应商。未依法获取采</w:t>
      </w:r>
      <w:r>
        <w:rPr>
          <w:rFonts w:hint="eastAsia" w:ascii="宋体" w:hAnsi="宋体" w:cs="宋体"/>
          <w:color w:val="auto"/>
          <w:spacing w:val="2"/>
          <w:szCs w:val="21"/>
        </w:rPr>
        <w:t>购文件的，不得就采购文件提出质疑；未提交投标文件的供应商，视为与采购结</w:t>
      </w:r>
      <w:r>
        <w:rPr>
          <w:rFonts w:hint="eastAsia" w:ascii="宋体" w:hAnsi="宋体" w:cs="宋体"/>
          <w:color w:val="auto"/>
          <w:spacing w:val="-115"/>
          <w:szCs w:val="21"/>
        </w:rPr>
        <w:t xml:space="preserve"> </w:t>
      </w:r>
      <w:r>
        <w:rPr>
          <w:rFonts w:hint="eastAsia" w:ascii="宋体" w:hAnsi="宋体" w:cs="宋体"/>
          <w:color w:val="auto"/>
          <w:szCs w:val="21"/>
        </w:rPr>
        <w:t>果没有利害关系，不得就投标截止时间后的采购过程、采购结果提出质疑。</w:t>
      </w:r>
    </w:p>
    <w:p>
      <w:pPr>
        <w:tabs>
          <w:tab w:val="left" w:pos="518"/>
        </w:tabs>
        <w:adjustRightInd w:val="0"/>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3.供应商提出质疑应当提交质疑函和必要的证明材料，质疑函应当以书面形式（需符合财政部令第94号政府采购质疑和投诉办法要求）</w:t>
      </w:r>
      <w:r>
        <w:rPr>
          <w:rFonts w:hint="eastAsia" w:ascii="宋体" w:hAnsi="宋体" w:cs="宋体"/>
          <w:color w:val="auto"/>
          <w:spacing w:val="2"/>
          <w:szCs w:val="21"/>
        </w:rPr>
        <w:t>提出</w:t>
      </w:r>
      <w:r>
        <w:rPr>
          <w:rFonts w:hint="eastAsia" w:ascii="宋体" w:hAnsi="宋体" w:cs="宋体"/>
          <w:color w:val="auto"/>
          <w:szCs w:val="21"/>
        </w:rPr>
        <w:t>。</w:t>
      </w:r>
    </w:p>
    <w:p>
      <w:pPr>
        <w:tabs>
          <w:tab w:val="left" w:pos="518"/>
        </w:tabs>
        <w:adjustRightInd w:val="0"/>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4.接收书面质疑函的方式：质疑人可通过送达、邮寄、传真、邮件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tabs>
          <w:tab w:val="left" w:pos="518"/>
        </w:tabs>
        <w:adjustRightInd w:val="0"/>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5.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rPr>
          <w:rFonts w:hint="eastAsia"/>
          <w:b/>
          <w:bCs/>
          <w:color w:val="auto"/>
        </w:rPr>
      </w:pPr>
      <w:bookmarkStart w:id="136" w:name="_Toc460857905"/>
      <w:bookmarkStart w:id="137" w:name="_Toc404"/>
      <w:bookmarkStart w:id="138" w:name="_Toc460416345"/>
      <w:bookmarkStart w:id="139" w:name="_Toc10975"/>
      <w:bookmarkStart w:id="140" w:name="_Toc79395446"/>
      <w:bookmarkStart w:id="141" w:name="_Toc17707918"/>
      <w:bookmarkStart w:id="142" w:name="_Toc460416650"/>
      <w:bookmarkStart w:id="143" w:name="_Toc460416601"/>
      <w:r>
        <w:rPr>
          <w:rFonts w:hint="eastAsia"/>
          <w:b/>
          <w:bCs/>
          <w:color w:val="auto"/>
        </w:rPr>
        <w:t>（</w:t>
      </w:r>
      <w:r>
        <w:rPr>
          <w:rFonts w:hint="eastAsia"/>
          <w:b/>
          <w:bCs/>
          <w:color w:val="auto"/>
          <w:lang w:val="en-US" w:eastAsia="zh-CN"/>
        </w:rPr>
        <w:t>十一</w:t>
      </w:r>
      <w:r>
        <w:rPr>
          <w:rFonts w:hint="eastAsia"/>
          <w:b/>
          <w:bCs/>
          <w:color w:val="auto"/>
        </w:rPr>
        <w:t>）特别说明</w:t>
      </w:r>
      <w:bookmarkEnd w:id="136"/>
      <w:bookmarkEnd w:id="137"/>
      <w:bookmarkEnd w:id="138"/>
      <w:bookmarkEnd w:id="139"/>
      <w:bookmarkEnd w:id="140"/>
      <w:bookmarkEnd w:id="141"/>
      <w:bookmarkEnd w:id="142"/>
      <w:bookmarkEnd w:id="143"/>
    </w:p>
    <w:p>
      <w:pPr>
        <w:pStyle w:val="19"/>
        <w:adjustRightInd w:val="0"/>
        <w:snapToGrid w:val="0"/>
        <w:spacing w:line="360" w:lineRule="exact"/>
        <w:ind w:firstLine="417" w:firstLineChars="198"/>
        <w:rPr>
          <w:rFonts w:hint="eastAsia" w:hAnsi="宋体" w:eastAsia="宋体"/>
          <w:color w:val="auto"/>
          <w:sz w:val="21"/>
          <w:szCs w:val="21"/>
        </w:rPr>
      </w:pPr>
      <w:r>
        <w:rPr>
          <w:rFonts w:hint="eastAsia" w:hAnsi="宋体" w:cs="宋体"/>
          <w:b/>
          <w:color w:val="auto"/>
          <w:sz w:val="21"/>
          <w:szCs w:val="21"/>
        </w:rPr>
        <w:t>1.</w:t>
      </w:r>
      <w:r>
        <w:rPr>
          <w:rFonts w:hint="eastAsia" w:hAnsi="宋体" w:eastAsia="宋体"/>
          <w:color w:val="auto"/>
          <w:sz w:val="21"/>
          <w:szCs w:val="21"/>
        </w:rPr>
        <w:t>本项目核心产品为海洋渔船“插卡式AIS”（Class B）舱外主机单元，核心产品品牌相同的按投标人提供相同品牌处理。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9"/>
        <w:snapToGrid w:val="0"/>
        <w:spacing w:beforeLines="0" w:afterLines="0"/>
        <w:ind w:left="2" w:leftChars="1" w:firstLine="422" w:firstLineChars="200"/>
        <w:jc w:val="left"/>
        <w:rPr>
          <w:rFonts w:hint="eastAsia" w:hAnsi="宋体" w:cs="宋体"/>
          <w:b/>
          <w:color w:val="auto"/>
          <w:sz w:val="21"/>
          <w:szCs w:val="21"/>
        </w:rPr>
      </w:pPr>
      <w:r>
        <w:rPr>
          <w:rFonts w:hint="eastAsia" w:hAnsi="宋体" w:cs="宋体"/>
          <w:b/>
          <w:color w:val="auto"/>
          <w:sz w:val="21"/>
          <w:szCs w:val="21"/>
        </w:rPr>
        <w:t>*</w:t>
      </w:r>
      <w:r>
        <w:rPr>
          <w:rFonts w:hint="eastAsia" w:hAnsi="宋体" w:cs="宋体"/>
          <w:b/>
          <w:color w:val="auto"/>
          <w:sz w:val="21"/>
          <w:szCs w:val="21"/>
          <w:lang w:val="en-US" w:eastAsia="zh-CN"/>
        </w:rPr>
        <w:t>2.</w:t>
      </w:r>
      <w:r>
        <w:rPr>
          <w:rFonts w:hint="eastAsia" w:hAnsi="宋体" w:cs="宋体"/>
          <w:b/>
          <w:color w:val="auto"/>
          <w:sz w:val="21"/>
          <w:szCs w:val="21"/>
        </w:rPr>
        <w:t>投标人应仔细阅读采购文件的所有内容，按照采购文件的要求提交投标文件，并对所提供的全部资料的真实性承担法律责任。</w:t>
      </w:r>
    </w:p>
    <w:p>
      <w:pPr>
        <w:pStyle w:val="19"/>
        <w:snapToGrid w:val="0"/>
        <w:spacing w:beforeLines="0" w:afterLines="0"/>
        <w:ind w:left="2" w:leftChars="1" w:firstLine="422" w:firstLineChars="200"/>
        <w:jc w:val="left"/>
        <w:rPr>
          <w:rFonts w:hint="eastAsia" w:hAnsi="宋体" w:eastAsia="宋体" w:cs="宋体"/>
          <w:b/>
          <w:color w:val="auto"/>
          <w:sz w:val="21"/>
          <w:szCs w:val="21"/>
          <w:lang w:eastAsia="zh-CN"/>
        </w:rPr>
      </w:pPr>
      <w:r>
        <w:rPr>
          <w:rFonts w:hint="eastAsia" w:hAnsi="宋体" w:cs="宋体"/>
          <w:b/>
          <w:color w:val="auto"/>
          <w:sz w:val="21"/>
          <w:szCs w:val="21"/>
        </w:rPr>
        <w:t>*</w:t>
      </w:r>
      <w:r>
        <w:rPr>
          <w:rFonts w:hint="eastAsia" w:hAnsi="宋体" w:cs="宋体"/>
          <w:b/>
          <w:color w:val="auto"/>
          <w:sz w:val="21"/>
          <w:szCs w:val="21"/>
          <w:lang w:val="en-US" w:eastAsia="zh-CN"/>
        </w:rPr>
        <w:t>3</w:t>
      </w:r>
      <w:r>
        <w:rPr>
          <w:rFonts w:hint="eastAsia" w:hAnsi="宋体" w:cs="宋体"/>
          <w:b/>
          <w:color w:val="auto"/>
          <w:sz w:val="21"/>
          <w:szCs w:val="21"/>
        </w:rPr>
        <w:t>.投标人在投标活动中提供任何虚假材料，其投标无效，并报监管部门查处</w:t>
      </w:r>
      <w:r>
        <w:rPr>
          <w:rFonts w:hint="eastAsia" w:hAnsi="宋体" w:cs="宋体"/>
          <w:b/>
          <w:color w:val="auto"/>
          <w:sz w:val="21"/>
          <w:szCs w:val="21"/>
          <w:lang w:eastAsia="zh-CN"/>
        </w:rPr>
        <w:t>。</w:t>
      </w:r>
    </w:p>
    <w:p>
      <w:pPr>
        <w:pStyle w:val="73"/>
        <w:rPr>
          <w:rFonts w:hint="eastAsia" w:ascii="宋体" w:hAnsi="宋体" w:cs="宋体"/>
          <w:color w:val="auto"/>
        </w:rPr>
      </w:pPr>
    </w:p>
    <w:p>
      <w:pPr>
        <w:jc w:val="center"/>
        <w:rPr>
          <w:rFonts w:hint="eastAsia"/>
          <w:b/>
          <w:bCs/>
          <w:color w:val="auto"/>
        </w:rPr>
      </w:pPr>
      <w:bookmarkStart w:id="144" w:name="_Toc6260"/>
      <w:bookmarkStart w:id="145" w:name="_Toc460857907"/>
      <w:bookmarkStart w:id="146" w:name="_Toc460416652"/>
      <w:bookmarkStart w:id="147" w:name="_Toc17707922"/>
      <w:bookmarkStart w:id="148" w:name="_Toc3049"/>
      <w:bookmarkStart w:id="149" w:name="_Toc23258"/>
      <w:bookmarkStart w:id="150" w:name="_Toc460416347"/>
      <w:bookmarkStart w:id="151" w:name="_Toc79395450"/>
      <w:r>
        <w:rPr>
          <w:rFonts w:hint="eastAsia"/>
          <w:b/>
          <w:bCs/>
          <w:color w:val="auto"/>
        </w:rPr>
        <w:t>二、采购文件</w:t>
      </w:r>
      <w:bookmarkEnd w:id="144"/>
      <w:bookmarkEnd w:id="145"/>
      <w:bookmarkEnd w:id="146"/>
      <w:bookmarkEnd w:id="147"/>
      <w:bookmarkEnd w:id="148"/>
      <w:bookmarkEnd w:id="149"/>
      <w:bookmarkEnd w:id="150"/>
      <w:bookmarkEnd w:id="151"/>
    </w:p>
    <w:p>
      <w:pPr>
        <w:rPr>
          <w:rFonts w:hint="eastAsia"/>
          <w:b/>
          <w:bCs/>
          <w:color w:val="auto"/>
        </w:rPr>
      </w:pPr>
      <w:bookmarkStart w:id="152" w:name="_Toc1374"/>
      <w:bookmarkStart w:id="153" w:name="_Toc79395451"/>
      <w:bookmarkStart w:id="154" w:name="_Toc29609"/>
      <w:bookmarkStart w:id="155" w:name="_Toc460857908"/>
      <w:bookmarkStart w:id="156" w:name="_Toc17707923"/>
      <w:r>
        <w:rPr>
          <w:rFonts w:hint="eastAsia"/>
          <w:b/>
          <w:bCs/>
          <w:color w:val="auto"/>
        </w:rPr>
        <w:t>（一）采购文件的构成</w:t>
      </w:r>
      <w:bookmarkEnd w:id="152"/>
      <w:bookmarkEnd w:id="153"/>
      <w:bookmarkEnd w:id="154"/>
    </w:p>
    <w:p>
      <w:pPr>
        <w:spacing w:line="400" w:lineRule="exact"/>
        <w:ind w:firstLine="422" w:firstLineChars="201"/>
        <w:rPr>
          <w:rFonts w:hint="eastAsia" w:ascii="宋体" w:hAnsi="宋体" w:cs="宋体"/>
          <w:color w:val="auto"/>
          <w:szCs w:val="21"/>
        </w:rPr>
      </w:pPr>
      <w:r>
        <w:rPr>
          <w:rFonts w:hint="eastAsia" w:ascii="宋体" w:hAnsi="宋体" w:cs="宋体"/>
          <w:color w:val="auto"/>
          <w:szCs w:val="21"/>
        </w:rPr>
        <w:t>本采购文件由以下部份组成：</w:t>
      </w:r>
      <w:bookmarkEnd w:id="155"/>
      <w:bookmarkEnd w:id="156"/>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1.公开招标采购公告；</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2.采购需求；</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3.投标人须知；</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4.评标办法及评分标准；</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5.采购合同主要条款；</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6.投标文件格式；</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7.本项目采购文件的澄清、答复、修改、补充的内容。</w:t>
      </w:r>
    </w:p>
    <w:p>
      <w:pPr>
        <w:rPr>
          <w:rFonts w:hint="eastAsia"/>
          <w:b/>
          <w:bCs/>
          <w:color w:val="auto"/>
        </w:rPr>
      </w:pPr>
      <w:bookmarkStart w:id="157" w:name="_Toc79395452"/>
      <w:bookmarkStart w:id="158" w:name="_Toc11357"/>
      <w:bookmarkStart w:id="159" w:name="_Toc10551"/>
      <w:bookmarkStart w:id="160" w:name="_Toc17707924"/>
      <w:bookmarkStart w:id="161" w:name="_Toc460857909"/>
      <w:r>
        <w:rPr>
          <w:rFonts w:hint="eastAsia"/>
          <w:b/>
          <w:bCs/>
          <w:color w:val="auto"/>
        </w:rPr>
        <w:t>（二）投标人的风险</w:t>
      </w:r>
      <w:bookmarkEnd w:id="157"/>
      <w:bookmarkEnd w:id="158"/>
      <w:bookmarkEnd w:id="159"/>
      <w:bookmarkEnd w:id="160"/>
      <w:bookmarkEnd w:id="161"/>
    </w:p>
    <w:p>
      <w:pPr>
        <w:pStyle w:val="30"/>
        <w:numPr>
          <w:ilvl w:val="0"/>
          <w:numId w:val="0"/>
        </w:num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投标人没有按照采购文件要求提供全部资料，或者投标人没有对采购文件在各方面作出实质性响应是投标人的风险，并可能导致其投标被拒绝。</w:t>
      </w:r>
    </w:p>
    <w:p>
      <w:pPr>
        <w:rPr>
          <w:rFonts w:hint="eastAsia"/>
          <w:b/>
          <w:bCs/>
          <w:color w:val="auto"/>
        </w:rPr>
      </w:pPr>
      <w:bookmarkStart w:id="162" w:name="_Toc27530"/>
      <w:bookmarkStart w:id="163" w:name="_Toc17707925"/>
      <w:bookmarkStart w:id="164" w:name="_Toc12761"/>
      <w:bookmarkStart w:id="165" w:name="_Toc460857910"/>
      <w:bookmarkStart w:id="166" w:name="_Toc79395453"/>
      <w:r>
        <w:rPr>
          <w:rFonts w:hint="eastAsia"/>
          <w:b/>
          <w:bCs/>
          <w:color w:val="auto"/>
        </w:rPr>
        <w:t>（三）采购文件的澄清与修改</w:t>
      </w:r>
      <w:bookmarkEnd w:id="162"/>
      <w:bookmarkEnd w:id="163"/>
      <w:bookmarkEnd w:id="164"/>
      <w:bookmarkEnd w:id="165"/>
      <w:bookmarkEnd w:id="166"/>
      <w:r>
        <w:rPr>
          <w:rFonts w:hint="eastAsia"/>
          <w:b/>
          <w:bCs/>
          <w:color w:val="auto"/>
        </w:rPr>
        <w:t xml:space="preserve"> </w:t>
      </w:r>
    </w:p>
    <w:p>
      <w:pPr>
        <w:pStyle w:val="2"/>
        <w:tabs>
          <w:tab w:val="left" w:pos="948"/>
        </w:tabs>
        <w:spacing w:after="0" w:line="400" w:lineRule="exact"/>
        <w:ind w:firstLine="420" w:firstLineChars="200"/>
        <w:rPr>
          <w:rFonts w:hint="eastAsia" w:ascii="宋体" w:hAnsi="宋体" w:cs="宋体"/>
          <w:color w:val="auto"/>
          <w:sz w:val="21"/>
          <w:szCs w:val="21"/>
        </w:rPr>
      </w:pPr>
      <w:bookmarkStart w:id="167" w:name="_Toc460416348"/>
      <w:bookmarkStart w:id="168" w:name="_Toc460416653"/>
      <w:bookmarkStart w:id="169" w:name="_Toc460857912"/>
      <w:r>
        <w:rPr>
          <w:rFonts w:hint="eastAsia" w:ascii="宋体" w:hAnsi="宋体" w:cs="宋体"/>
          <w:color w:val="auto"/>
          <w:sz w:val="21"/>
          <w:szCs w:val="21"/>
        </w:rPr>
        <w:t>1.采购人可主动地或在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15日前发出。不足15日的，顺延提交投标文件截止时间。</w:t>
      </w:r>
    </w:p>
    <w:p>
      <w:pPr>
        <w:pStyle w:val="2"/>
        <w:tabs>
          <w:tab w:val="left" w:pos="948"/>
        </w:tabs>
        <w:spacing w:after="0"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2.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pPr>
        <w:pStyle w:val="2"/>
        <w:tabs>
          <w:tab w:val="left" w:pos="948"/>
        </w:tabs>
        <w:spacing w:after="0"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因潜在供应商原因或通讯线路故障导致通知逾期送达或无法送达，采购代理机构不因此承担任何责任，有关的招标采购活动可以继续有效进行。</w:t>
      </w:r>
    </w:p>
    <w:p>
      <w:pPr>
        <w:pStyle w:val="2"/>
        <w:tabs>
          <w:tab w:val="left" w:pos="948"/>
        </w:tabs>
        <w:spacing w:after="0"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3.如更正公告有重新发布电子采购文件的，潜在供应商应下载最新发布的电子采购文件制作投标文件。</w:t>
      </w:r>
    </w:p>
    <w:p>
      <w:pPr>
        <w:pStyle w:val="2"/>
        <w:tabs>
          <w:tab w:val="left" w:pos="948"/>
        </w:tabs>
        <w:spacing w:after="0"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4.潜在供应商在规定的时间内未对采购文件提出疑问、质疑或要求澄清的，将视其为无异议。对采购文件中描述有歧义或前后不一致的地方，评标委员会有权进行评判，但对同一条款的评判应适用于每个投标人。</w:t>
      </w:r>
    </w:p>
    <w:p>
      <w:pPr>
        <w:jc w:val="center"/>
        <w:rPr>
          <w:rFonts w:hint="eastAsia"/>
          <w:b/>
          <w:bCs/>
          <w:color w:val="auto"/>
        </w:rPr>
      </w:pPr>
      <w:bookmarkStart w:id="170" w:name="_Toc17144"/>
      <w:bookmarkStart w:id="171" w:name="_Toc9964"/>
      <w:bookmarkStart w:id="172" w:name="_Toc79395454"/>
      <w:bookmarkStart w:id="173" w:name="_Toc17707926"/>
      <w:bookmarkStart w:id="174" w:name="_Toc4812"/>
      <w:r>
        <w:rPr>
          <w:rFonts w:hint="eastAsia"/>
          <w:b/>
          <w:bCs/>
          <w:color w:val="auto"/>
        </w:rPr>
        <w:t>三、投标文件的编制</w:t>
      </w:r>
      <w:bookmarkEnd w:id="167"/>
      <w:bookmarkEnd w:id="168"/>
      <w:bookmarkEnd w:id="169"/>
      <w:bookmarkEnd w:id="170"/>
      <w:bookmarkEnd w:id="171"/>
      <w:bookmarkEnd w:id="172"/>
      <w:bookmarkEnd w:id="173"/>
      <w:bookmarkEnd w:id="174"/>
    </w:p>
    <w:p>
      <w:pPr>
        <w:rPr>
          <w:rFonts w:hint="eastAsia"/>
          <w:b/>
          <w:bCs/>
          <w:color w:val="auto"/>
        </w:rPr>
      </w:pPr>
      <w:bookmarkStart w:id="175" w:name="_Toc17707927"/>
      <w:bookmarkStart w:id="176" w:name="_Toc79395455"/>
      <w:bookmarkStart w:id="177" w:name="_Toc460857913"/>
      <w:bookmarkStart w:id="178" w:name="_Toc6222"/>
      <w:bookmarkStart w:id="179" w:name="_Toc460416654"/>
      <w:bookmarkStart w:id="180" w:name="_Toc460416349"/>
      <w:bookmarkStart w:id="181" w:name="_Toc19650"/>
      <w:r>
        <w:rPr>
          <w:rFonts w:hint="eastAsia"/>
          <w:b/>
          <w:bCs/>
          <w:color w:val="auto"/>
        </w:rPr>
        <w:t>（一）投标文件的组成</w:t>
      </w:r>
      <w:bookmarkEnd w:id="175"/>
      <w:bookmarkEnd w:id="176"/>
      <w:bookmarkEnd w:id="177"/>
      <w:bookmarkEnd w:id="178"/>
      <w:bookmarkEnd w:id="179"/>
      <w:bookmarkEnd w:id="180"/>
      <w:bookmarkEnd w:id="181"/>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投标文件由资格证明文件、商务技术文件和报价文件三部分组成。</w:t>
      </w:r>
    </w:p>
    <w:p>
      <w:pPr>
        <w:snapToGrid w:val="0"/>
        <w:spacing w:line="400" w:lineRule="exact"/>
        <w:ind w:firstLine="413" w:firstLineChars="196"/>
        <w:jc w:val="left"/>
        <w:rPr>
          <w:rFonts w:hint="eastAsia" w:ascii="宋体" w:hAnsi="宋体" w:cs="宋体"/>
          <w:b/>
          <w:color w:val="auto"/>
          <w:szCs w:val="21"/>
        </w:rPr>
      </w:pPr>
      <w:r>
        <w:rPr>
          <w:rFonts w:hint="eastAsia" w:ascii="宋体" w:hAnsi="宋体" w:cs="宋体"/>
          <w:b/>
          <w:color w:val="auto"/>
          <w:szCs w:val="21"/>
        </w:rPr>
        <w:t>1.资格证明文件包括以下内容：</w:t>
      </w:r>
    </w:p>
    <w:p>
      <w:pPr>
        <w:pStyle w:val="2"/>
        <w:tabs>
          <w:tab w:val="left" w:pos="948"/>
        </w:tabs>
        <w:spacing w:after="0" w:line="400" w:lineRule="exact"/>
        <w:ind w:firstLine="420" w:firstLineChars="200"/>
        <w:rPr>
          <w:rFonts w:hint="eastAsia"/>
          <w:color w:val="auto"/>
          <w:szCs w:val="21"/>
          <w:lang w:eastAsia="zh-CN"/>
        </w:rPr>
      </w:pPr>
      <w:r>
        <w:rPr>
          <w:rFonts w:hint="eastAsia" w:ascii="宋体" w:hAnsi="宋体" w:cs="宋体"/>
          <w:color w:val="auto"/>
          <w:sz w:val="21"/>
          <w:szCs w:val="21"/>
        </w:rPr>
        <w:t>（1）</w:t>
      </w:r>
      <w:r>
        <w:rPr>
          <w:rFonts w:hint="eastAsia" w:ascii="宋体" w:hAnsi="宋体" w:eastAsia="宋体" w:cs="宋体"/>
          <w:color w:val="auto"/>
          <w:sz w:val="21"/>
          <w:szCs w:val="21"/>
        </w:rPr>
        <w:t>资格证明材料承诺函（格式见附件）</w:t>
      </w:r>
      <w:r>
        <w:rPr>
          <w:rFonts w:hint="eastAsia" w:ascii="宋体" w:hAnsi="宋体" w:eastAsia="宋体" w:cs="宋体"/>
          <w:color w:val="auto"/>
          <w:sz w:val="21"/>
          <w:szCs w:val="21"/>
          <w:lang w:eastAsia="zh-CN"/>
        </w:rPr>
        <w:t>；</w:t>
      </w:r>
    </w:p>
    <w:p>
      <w:pPr>
        <w:pStyle w:val="2"/>
        <w:tabs>
          <w:tab w:val="left" w:pos="948"/>
        </w:tabs>
        <w:spacing w:after="0" w:line="40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（2）有效的企业法人营业执照（或事业法人登记证）、其他组织（个体工商户）的营业执照或者民办非企业单位登记证书复印件（复印件加盖公章）；</w:t>
      </w:r>
    </w:p>
    <w:p>
      <w:pPr>
        <w:pStyle w:val="2"/>
        <w:tabs>
          <w:tab w:val="left" w:pos="948"/>
        </w:tabs>
        <w:spacing w:after="0" w:line="400" w:lineRule="exact"/>
        <w:ind w:firstLine="420" w:firstLineChars="200"/>
        <w:rPr>
          <w:rFonts w:hint="eastAsia" w:ascii="宋体" w:hAnsi="宋体" w:eastAsia="宋体" w:cs="宋体"/>
          <w:color w:val="auto"/>
          <w:sz w:val="21"/>
          <w:szCs w:val="21"/>
          <w:lang w:eastAsia="zh-CN"/>
        </w:rPr>
      </w:pPr>
      <w:r>
        <w:rPr>
          <w:rFonts w:hint="eastAsia" w:ascii="宋体" w:hAnsi="宋体" w:cs="宋体"/>
          <w:color w:val="auto"/>
          <w:sz w:val="21"/>
          <w:szCs w:val="21"/>
        </w:rPr>
        <w:t>（3）中小企业声明函（格式见附件）</w:t>
      </w:r>
      <w:r>
        <w:rPr>
          <w:rFonts w:hint="eastAsia" w:ascii="宋体" w:hAnsi="宋体" w:cs="宋体"/>
          <w:color w:val="auto"/>
          <w:sz w:val="21"/>
          <w:szCs w:val="21"/>
          <w:lang w:eastAsia="zh-CN"/>
        </w:rPr>
        <w:t>；</w:t>
      </w:r>
    </w:p>
    <w:p>
      <w:pPr>
        <w:pStyle w:val="2"/>
        <w:tabs>
          <w:tab w:val="left" w:pos="948"/>
        </w:tabs>
        <w:spacing w:after="0" w:line="400" w:lineRule="exact"/>
        <w:ind w:firstLine="420" w:firstLineChars="200"/>
        <w:rPr>
          <w:rFonts w:hint="eastAsia"/>
          <w:color w:val="auto"/>
          <w:lang w:eastAsia="zh-CN"/>
        </w:rPr>
      </w:pPr>
      <w:r>
        <w:rPr>
          <w:rFonts w:hint="eastAsia" w:ascii="宋体" w:hAnsi="宋体" w:cs="宋体"/>
          <w:color w:val="auto"/>
          <w:sz w:val="21"/>
          <w:szCs w:val="21"/>
        </w:rPr>
        <w:t>（</w:t>
      </w:r>
      <w:r>
        <w:rPr>
          <w:rFonts w:hint="eastAsia" w:ascii="宋体" w:hAnsi="宋体" w:cs="宋体"/>
          <w:color w:val="auto"/>
          <w:sz w:val="21"/>
          <w:szCs w:val="21"/>
          <w:lang w:val="en-US" w:eastAsia="zh-CN"/>
        </w:rPr>
        <w:t>4</w:t>
      </w:r>
      <w:r>
        <w:rPr>
          <w:rFonts w:hint="eastAsia" w:ascii="宋体" w:hAnsi="宋体" w:cs="宋体"/>
          <w:color w:val="auto"/>
          <w:sz w:val="21"/>
          <w:szCs w:val="21"/>
        </w:rPr>
        <w:t>）供应商认为需要的其他资料（如有需提供）</w:t>
      </w:r>
      <w:r>
        <w:rPr>
          <w:rFonts w:hint="eastAsia" w:ascii="宋体" w:hAnsi="宋体" w:cs="宋体"/>
          <w:color w:val="auto"/>
          <w:sz w:val="21"/>
          <w:szCs w:val="21"/>
          <w:lang w:eastAsia="zh-CN"/>
        </w:rPr>
        <w:t>。</w:t>
      </w:r>
    </w:p>
    <w:p>
      <w:pPr>
        <w:snapToGrid w:val="0"/>
        <w:spacing w:line="400" w:lineRule="exact"/>
        <w:ind w:firstLine="413" w:firstLineChars="196"/>
        <w:jc w:val="left"/>
        <w:rPr>
          <w:rFonts w:hint="eastAsia" w:ascii="宋体" w:hAnsi="宋体" w:cs="宋体"/>
          <w:b/>
          <w:color w:val="auto"/>
          <w:szCs w:val="21"/>
        </w:rPr>
      </w:pPr>
      <w:r>
        <w:rPr>
          <w:rFonts w:hint="eastAsia" w:ascii="宋体" w:hAnsi="宋体" w:cs="宋体"/>
          <w:b/>
          <w:color w:val="auto"/>
          <w:szCs w:val="21"/>
        </w:rPr>
        <w:t>2.商务技术文件包括以下内容：</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（1）评分索引表（格式见附件）；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（2）法定代表人的身份证明或法定代表人授权书（格式见附件)；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（3）投标人基本情况说明（格式见附件)；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（4）类似项目业绩表（格式见附件）；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（5）商务条款偏离表（格式见附件）；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（6）项目负责人简介（格式见附件）；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（7）项目人员配置（格式见附件）；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（8）技术条款偏离表（格式见附件）；</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（9）评分标准或采购文件需要提供的证明材料（具体详见评分标准，格式自拟）；</w:t>
      </w:r>
    </w:p>
    <w:p>
      <w:pPr>
        <w:snapToGrid w:val="0"/>
        <w:spacing w:line="400" w:lineRule="exact"/>
        <w:ind w:left="413"/>
        <w:jc w:val="left"/>
        <w:rPr>
          <w:rFonts w:hint="eastAsia" w:ascii="宋体" w:hAnsi="宋体" w:cs="宋体"/>
          <w:color w:val="auto"/>
          <w:szCs w:val="21"/>
        </w:rPr>
      </w:pPr>
      <w:r>
        <w:rPr>
          <w:rFonts w:hint="eastAsia" w:ascii="宋体" w:hAnsi="宋体" w:cs="宋体"/>
          <w:color w:val="auto"/>
          <w:szCs w:val="21"/>
        </w:rPr>
        <w:t>（10）投标人认为有必要提交的其他商务技术说明文件和资料。</w:t>
      </w:r>
    </w:p>
    <w:p>
      <w:pPr>
        <w:snapToGrid w:val="0"/>
        <w:spacing w:line="400" w:lineRule="exact"/>
        <w:ind w:left="413"/>
        <w:jc w:val="left"/>
        <w:rPr>
          <w:rFonts w:hint="eastAsia" w:ascii="宋体" w:hAnsi="宋体" w:cs="宋体"/>
          <w:b/>
          <w:color w:val="auto"/>
          <w:szCs w:val="21"/>
        </w:rPr>
      </w:pPr>
      <w:r>
        <w:rPr>
          <w:rFonts w:hint="eastAsia" w:ascii="宋体" w:hAnsi="宋体" w:cs="宋体"/>
          <w:b/>
          <w:color w:val="auto"/>
          <w:szCs w:val="21"/>
        </w:rPr>
        <w:t>3.报价文件包括以下内容：</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（1）投标函(格式见附件)；</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（2）开标一览表(格式见附件)；</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（3）报价明细表(格式见附件)；</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）投标人针对报价需要说明的其他文件和说明。</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4.上述组成投标文件的各项资料中本招标文件的有规定格式的，应统一按本招标文件的规定格式填写。未有规定格式的资料，投标人应自行编制，但至少要包含以上要求的内容。</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5.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pPr>
        <w:rPr>
          <w:rFonts w:hint="eastAsia"/>
          <w:b/>
          <w:bCs/>
          <w:color w:val="auto"/>
        </w:rPr>
      </w:pPr>
      <w:bookmarkStart w:id="182" w:name="_Toc460416655"/>
      <w:bookmarkStart w:id="183" w:name="_Toc79395456"/>
      <w:bookmarkStart w:id="184" w:name="_Toc17707928"/>
      <w:bookmarkStart w:id="185" w:name="_Toc460416350"/>
      <w:bookmarkStart w:id="186" w:name="_Toc460857914"/>
      <w:bookmarkStart w:id="187" w:name="_Toc24666"/>
      <w:bookmarkStart w:id="188" w:name="_Toc28355"/>
      <w:r>
        <w:rPr>
          <w:rFonts w:hint="eastAsia"/>
          <w:b/>
          <w:bCs/>
          <w:color w:val="auto"/>
        </w:rPr>
        <w:t>（二）投标文件的语言及计量</w:t>
      </w:r>
      <w:bookmarkEnd w:id="182"/>
      <w:bookmarkEnd w:id="183"/>
      <w:bookmarkEnd w:id="184"/>
      <w:bookmarkEnd w:id="185"/>
      <w:bookmarkEnd w:id="186"/>
      <w:bookmarkEnd w:id="187"/>
      <w:bookmarkEnd w:id="188"/>
    </w:p>
    <w:p>
      <w:pPr>
        <w:snapToGrid w:val="0"/>
        <w:spacing w:line="400" w:lineRule="exact"/>
        <w:ind w:firstLine="422" w:firstLineChars="200"/>
        <w:jc w:val="left"/>
        <w:rPr>
          <w:rFonts w:hint="eastAsia" w:ascii="宋体" w:hAnsi="宋体" w:cs="宋体"/>
          <w:b/>
          <w:color w:val="auto"/>
          <w:szCs w:val="21"/>
        </w:rPr>
      </w:pPr>
      <w:r>
        <w:rPr>
          <w:rFonts w:hint="eastAsia" w:ascii="宋体" w:hAnsi="宋体" w:cs="宋体"/>
          <w:b/>
          <w:color w:val="auto"/>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400" w:lineRule="exact"/>
        <w:ind w:firstLine="422" w:firstLineChars="200"/>
        <w:jc w:val="left"/>
        <w:rPr>
          <w:rFonts w:hint="eastAsia" w:ascii="宋体" w:hAnsi="宋体" w:cs="宋体"/>
          <w:b/>
          <w:color w:val="auto"/>
          <w:szCs w:val="21"/>
        </w:rPr>
      </w:pPr>
      <w:r>
        <w:rPr>
          <w:rFonts w:hint="eastAsia" w:ascii="宋体" w:hAnsi="宋体" w:cs="宋体"/>
          <w:b/>
          <w:color w:val="auto"/>
          <w:szCs w:val="21"/>
        </w:rPr>
        <w:t>2.投标计量单位，采购文件已有明确规定的，使用采购文件规定的计量单位；采购文件没有规定的，应采用中华人民共和国法定计量单位（货币单位：人民币元），否则视同未响应。</w:t>
      </w:r>
    </w:p>
    <w:p>
      <w:pPr>
        <w:rPr>
          <w:rFonts w:hint="eastAsia"/>
          <w:b/>
          <w:bCs/>
          <w:color w:val="auto"/>
        </w:rPr>
      </w:pPr>
      <w:bookmarkStart w:id="189" w:name="_Toc460416656"/>
      <w:bookmarkStart w:id="190" w:name="_Toc17707929"/>
      <w:bookmarkStart w:id="191" w:name="_Toc460416351"/>
      <w:bookmarkStart w:id="192" w:name="_Toc22085"/>
      <w:bookmarkStart w:id="193" w:name="_Toc79395457"/>
      <w:bookmarkStart w:id="194" w:name="_Toc12050"/>
      <w:bookmarkStart w:id="195" w:name="_Toc460857915"/>
      <w:r>
        <w:rPr>
          <w:rFonts w:hint="eastAsia"/>
          <w:b/>
          <w:bCs/>
          <w:color w:val="auto"/>
        </w:rPr>
        <w:t>（三）投标报价</w:t>
      </w:r>
      <w:bookmarkEnd w:id="189"/>
      <w:bookmarkEnd w:id="190"/>
      <w:bookmarkEnd w:id="191"/>
      <w:bookmarkEnd w:id="192"/>
      <w:bookmarkEnd w:id="193"/>
      <w:bookmarkEnd w:id="194"/>
      <w:bookmarkEnd w:id="195"/>
    </w:p>
    <w:p>
      <w:pPr>
        <w:pStyle w:val="19"/>
        <w:snapToGrid w:val="0"/>
        <w:spacing w:beforeLines="0" w:afterLines="0"/>
        <w:ind w:firstLine="420" w:firstLineChars="200"/>
        <w:jc w:val="left"/>
        <w:rPr>
          <w:rFonts w:hint="eastAsia" w:hAnsi="宋体" w:cs="宋体"/>
          <w:color w:val="auto"/>
          <w:sz w:val="21"/>
          <w:szCs w:val="21"/>
        </w:rPr>
      </w:pPr>
      <w:r>
        <w:rPr>
          <w:rFonts w:hint="eastAsia" w:hAnsi="宋体" w:cs="宋体"/>
          <w:color w:val="auto"/>
          <w:sz w:val="21"/>
          <w:szCs w:val="21"/>
        </w:rPr>
        <w:t>1.投标报价应按采购文件中相关附表格式填写。</w:t>
      </w:r>
    </w:p>
    <w:p>
      <w:pPr>
        <w:tabs>
          <w:tab w:val="left" w:pos="525"/>
        </w:tabs>
        <w:snapToGrid w:val="0"/>
        <w:spacing w:line="400" w:lineRule="exact"/>
        <w:ind w:firstLine="422" w:firstLineChars="200"/>
        <w:jc w:val="left"/>
        <w:rPr>
          <w:rFonts w:hint="eastAsia" w:ascii="宋体" w:hAnsi="宋体" w:cs="宋体"/>
          <w:b/>
          <w:color w:val="auto"/>
          <w:szCs w:val="21"/>
        </w:rPr>
      </w:pPr>
      <w:r>
        <w:rPr>
          <w:rFonts w:hint="eastAsia" w:ascii="宋体" w:hAnsi="宋体" w:cs="宋体"/>
          <w:b/>
          <w:color w:val="auto"/>
          <w:szCs w:val="21"/>
        </w:rPr>
        <w:t>2.投标文件只允许有一个报价，有选择的或有条件的报价将不予接受。</w:t>
      </w:r>
    </w:p>
    <w:p>
      <w:pPr>
        <w:rPr>
          <w:rFonts w:hint="eastAsia"/>
          <w:b/>
          <w:bCs/>
          <w:color w:val="auto"/>
        </w:rPr>
      </w:pPr>
      <w:bookmarkStart w:id="196" w:name="_Toc460857916"/>
      <w:bookmarkStart w:id="197" w:name="_Toc17707930"/>
      <w:bookmarkStart w:id="198" w:name="_Toc24337"/>
      <w:bookmarkStart w:id="199" w:name="_Toc31899"/>
      <w:bookmarkStart w:id="200" w:name="_Toc79395458"/>
      <w:r>
        <w:rPr>
          <w:rFonts w:hint="eastAsia"/>
          <w:b/>
          <w:bCs/>
          <w:color w:val="auto"/>
        </w:rPr>
        <w:t>（四）投标文件的有效期</w:t>
      </w:r>
      <w:bookmarkEnd w:id="196"/>
      <w:bookmarkEnd w:id="197"/>
      <w:bookmarkEnd w:id="198"/>
      <w:bookmarkEnd w:id="199"/>
      <w:bookmarkEnd w:id="200"/>
    </w:p>
    <w:p>
      <w:pPr>
        <w:pStyle w:val="9"/>
        <w:widowControl w:val="0"/>
        <w:tabs>
          <w:tab w:val="clear" w:pos="454"/>
        </w:tabs>
        <w:snapToGrid w:val="0"/>
        <w:spacing w:afterLines="0" w:line="400" w:lineRule="exact"/>
        <w:ind w:left="0" w:firstLine="422" w:firstLineChars="200"/>
        <w:rPr>
          <w:rFonts w:hint="eastAsia" w:ascii="宋体" w:hAnsi="宋体" w:cs="宋体"/>
          <w:b/>
          <w:color w:val="auto"/>
          <w:sz w:val="21"/>
          <w:szCs w:val="21"/>
        </w:rPr>
      </w:pPr>
      <w:r>
        <w:rPr>
          <w:rFonts w:hint="eastAsia" w:ascii="宋体" w:hAnsi="宋体" w:cs="宋体"/>
          <w:b/>
          <w:color w:val="auto"/>
          <w:sz w:val="21"/>
          <w:szCs w:val="21"/>
        </w:rPr>
        <w:t>*1.自投标截止日起</w:t>
      </w:r>
      <w:r>
        <w:rPr>
          <w:rFonts w:hint="eastAsia" w:ascii="宋体" w:hAnsi="宋体" w:cs="宋体"/>
          <w:b/>
          <w:color w:val="auto"/>
          <w:sz w:val="21"/>
          <w:szCs w:val="21"/>
          <w:u w:val="single"/>
        </w:rPr>
        <w:t xml:space="preserve"> 90 </w:t>
      </w:r>
      <w:r>
        <w:rPr>
          <w:rFonts w:hint="eastAsia" w:ascii="宋体" w:hAnsi="宋体" w:cs="宋体"/>
          <w:b/>
          <w:color w:val="auto"/>
          <w:sz w:val="21"/>
          <w:szCs w:val="21"/>
        </w:rPr>
        <w:t>天投标文件应保持有效，有效期不足的投标文件将被拒绝。</w:t>
      </w:r>
    </w:p>
    <w:p>
      <w:pPr>
        <w:pStyle w:val="9"/>
        <w:widowControl w:val="0"/>
        <w:tabs>
          <w:tab w:val="clear" w:pos="454"/>
        </w:tabs>
        <w:snapToGrid w:val="0"/>
        <w:spacing w:afterLines="0" w:line="400" w:lineRule="exact"/>
        <w:ind w:left="0" w:firstLine="420" w:firstLineChars="200"/>
        <w:rPr>
          <w:rFonts w:hint="eastAsia" w:ascii="宋体" w:hAnsi="宋体" w:cs="宋体"/>
          <w:color w:val="auto"/>
          <w:sz w:val="21"/>
          <w:szCs w:val="21"/>
        </w:rPr>
      </w:pPr>
      <w:r>
        <w:rPr>
          <w:rFonts w:hint="eastAsia" w:ascii="宋体" w:hAnsi="宋体" w:cs="宋体"/>
          <w:color w:val="auto"/>
          <w:sz w:val="21"/>
          <w:szCs w:val="21"/>
        </w:rPr>
        <w:t>2.在特殊情况下，采购人可与投标人协商延长投标书的有效期，这种要求和答复均以书面形式进行。</w:t>
      </w:r>
    </w:p>
    <w:p>
      <w:pPr>
        <w:pStyle w:val="9"/>
        <w:widowControl w:val="0"/>
        <w:tabs>
          <w:tab w:val="clear" w:pos="454"/>
        </w:tabs>
        <w:snapToGrid w:val="0"/>
        <w:spacing w:afterLines="0" w:line="400" w:lineRule="exact"/>
        <w:ind w:left="0" w:firstLine="420" w:firstLineChars="200"/>
        <w:rPr>
          <w:rFonts w:hint="eastAsia" w:ascii="宋体" w:hAnsi="宋体" w:cs="宋体"/>
          <w:color w:val="auto"/>
          <w:sz w:val="21"/>
          <w:szCs w:val="21"/>
        </w:rPr>
      </w:pPr>
      <w:bookmarkStart w:id="201" w:name="_Toc460416657"/>
      <w:bookmarkStart w:id="202" w:name="_Toc460416352"/>
      <w:r>
        <w:rPr>
          <w:rFonts w:hint="eastAsia" w:ascii="宋体" w:hAnsi="宋体" w:cs="宋体"/>
          <w:color w:val="auto"/>
          <w:sz w:val="21"/>
          <w:szCs w:val="21"/>
        </w:rPr>
        <w:t>3.投标人可拒绝接受延期要求。同意延长有效期的投标人，不能修改投标文件。</w:t>
      </w:r>
      <w:bookmarkEnd w:id="201"/>
      <w:bookmarkEnd w:id="202"/>
      <w:r>
        <w:rPr>
          <w:rFonts w:hint="eastAsia" w:ascii="宋体" w:hAnsi="宋体" w:cs="宋体"/>
          <w:color w:val="auto"/>
          <w:sz w:val="21"/>
          <w:szCs w:val="21"/>
        </w:rPr>
        <w:t xml:space="preserve"> </w:t>
      </w:r>
    </w:p>
    <w:p>
      <w:pPr>
        <w:pStyle w:val="9"/>
        <w:widowControl w:val="0"/>
        <w:tabs>
          <w:tab w:val="clear" w:pos="454"/>
        </w:tabs>
        <w:snapToGrid w:val="0"/>
        <w:spacing w:afterLines="0" w:line="400" w:lineRule="exact"/>
        <w:ind w:left="0" w:firstLine="420" w:firstLineChars="200"/>
        <w:rPr>
          <w:rFonts w:hint="eastAsia" w:ascii="宋体" w:hAnsi="宋体" w:cs="宋体"/>
          <w:color w:val="auto"/>
          <w:sz w:val="21"/>
          <w:szCs w:val="21"/>
        </w:rPr>
      </w:pPr>
      <w:bookmarkStart w:id="203" w:name="_Toc460416658"/>
      <w:bookmarkStart w:id="204" w:name="_Toc460416353"/>
      <w:r>
        <w:rPr>
          <w:rFonts w:hint="eastAsia" w:ascii="宋体" w:hAnsi="宋体" w:cs="宋体"/>
          <w:color w:val="auto"/>
          <w:sz w:val="21"/>
          <w:szCs w:val="21"/>
        </w:rPr>
        <w:t>4.中标人的投标文件自开标之日起至合同履行完毕止均应保持有效。</w:t>
      </w:r>
      <w:bookmarkEnd w:id="203"/>
      <w:bookmarkEnd w:id="204"/>
    </w:p>
    <w:p>
      <w:pPr>
        <w:rPr>
          <w:rFonts w:hint="eastAsia"/>
          <w:b/>
          <w:bCs/>
          <w:color w:val="auto"/>
        </w:rPr>
      </w:pPr>
      <w:bookmarkStart w:id="205" w:name="_Toc460416355"/>
      <w:bookmarkStart w:id="206" w:name="_Toc460857918"/>
      <w:bookmarkStart w:id="207" w:name="_Toc17707932"/>
      <w:bookmarkStart w:id="208" w:name="_Toc460416660"/>
      <w:bookmarkStart w:id="209" w:name="_Toc79395459"/>
      <w:bookmarkStart w:id="210" w:name="_Toc18151"/>
      <w:bookmarkStart w:id="211" w:name="_Toc9312"/>
      <w:r>
        <w:rPr>
          <w:rFonts w:hint="eastAsia"/>
          <w:b/>
          <w:bCs/>
          <w:color w:val="auto"/>
        </w:rPr>
        <w:t>（五）投标文件的盖章、签署、份数</w:t>
      </w:r>
      <w:bookmarkEnd w:id="205"/>
      <w:bookmarkEnd w:id="206"/>
      <w:bookmarkEnd w:id="207"/>
      <w:bookmarkEnd w:id="208"/>
      <w:r>
        <w:rPr>
          <w:rFonts w:hint="eastAsia"/>
          <w:b/>
          <w:bCs/>
          <w:color w:val="auto"/>
        </w:rPr>
        <w:t>、要求及效力</w:t>
      </w:r>
      <w:bookmarkEnd w:id="209"/>
      <w:bookmarkEnd w:id="210"/>
      <w:bookmarkEnd w:id="211"/>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1.供应商应按本采购文件规定的格式和顺序编制、装订投标文件，投标文件要求有目录并标注页码，投标文件内容不完整、编排混乱导致投标文件被误读、漏读或者查找不到相关内容的，是供应商的责任。</w:t>
      </w:r>
    </w:p>
    <w:p>
      <w:pPr>
        <w:spacing w:line="400" w:lineRule="exact"/>
        <w:ind w:firstLine="422" w:firstLineChars="200"/>
        <w:rPr>
          <w:rFonts w:hint="eastAsia" w:ascii="宋体" w:hAnsi="宋体" w:cs="宋体"/>
          <w:b/>
          <w:bCs/>
          <w:color w:val="auto"/>
          <w:kern w:val="0"/>
          <w:szCs w:val="21"/>
        </w:rPr>
      </w:pPr>
      <w:r>
        <w:rPr>
          <w:rFonts w:hint="eastAsia" w:ascii="宋体" w:hAnsi="宋体" w:cs="宋体"/>
          <w:b/>
          <w:bCs/>
          <w:color w:val="auto"/>
          <w:kern w:val="0"/>
          <w:szCs w:val="21"/>
        </w:rPr>
        <w:t>2.投标文件的份数：</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本项目供应商应准备以下投标文件：</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（1）上传到政府采购云平台的电子投标文件（含资格证明文件、商务技术文件、报价文件）1份；</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（2）以U盘存储的电子备份投标文件（含资格证明文件、商务技术文件、报价文件）1份</w:t>
      </w:r>
      <w:r>
        <w:rPr>
          <w:rFonts w:hint="eastAsia" w:ascii="宋体" w:hAnsi="宋体" w:cs="宋体"/>
          <w:b/>
          <w:bCs/>
          <w:color w:val="auto"/>
          <w:kern w:val="0"/>
          <w:szCs w:val="21"/>
        </w:rPr>
        <w:t>（非强制项）</w:t>
      </w:r>
      <w:r>
        <w:rPr>
          <w:rFonts w:hint="eastAsia" w:ascii="宋体" w:hAnsi="宋体" w:cs="宋体"/>
          <w:color w:val="auto"/>
          <w:kern w:val="0"/>
          <w:szCs w:val="21"/>
        </w:rPr>
        <w:t>；</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（3）评标结束后，本项目的中标供应商仍需提供叁套与电子投标文件一致的纸质投标文件（一正二副），如不一致，以电子投标文件为准。 </w:t>
      </w:r>
    </w:p>
    <w:p>
      <w:pPr>
        <w:spacing w:line="400" w:lineRule="exact"/>
        <w:ind w:firstLine="422" w:firstLineChars="200"/>
        <w:rPr>
          <w:rFonts w:hint="eastAsia" w:ascii="宋体" w:hAnsi="宋体" w:cs="宋体"/>
          <w:b/>
          <w:bCs/>
          <w:color w:val="auto"/>
          <w:kern w:val="0"/>
          <w:szCs w:val="21"/>
        </w:rPr>
      </w:pPr>
      <w:r>
        <w:rPr>
          <w:rFonts w:hint="eastAsia" w:ascii="宋体" w:hAnsi="宋体" w:cs="宋体"/>
          <w:b/>
          <w:bCs/>
          <w:color w:val="auto"/>
          <w:kern w:val="0"/>
          <w:szCs w:val="21"/>
        </w:rPr>
        <w:t>3.电子投标文件：</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供应商应根据</w:t>
      </w:r>
      <w:r>
        <w:rPr>
          <w:rFonts w:hint="eastAsia" w:ascii="宋体" w:hAnsi="宋体" w:cs="宋体"/>
          <w:color w:val="auto"/>
          <w:szCs w:val="21"/>
        </w:rPr>
        <w:t>“政采云供应商项目采购-电子招投标操作指南”</w:t>
      </w:r>
      <w:r>
        <w:rPr>
          <w:rFonts w:hint="eastAsia" w:ascii="宋体" w:hAnsi="宋体" w:cs="宋体"/>
          <w:color w:val="auto"/>
          <w:kern w:val="0"/>
          <w:szCs w:val="21"/>
        </w:rPr>
        <w:t>及本采购文件规定的格式和顺序编制电子投标文件并进行关联定位。</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4.投标文件的效力：</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投标文件的启用，按先后顺位分别为“电子加密投标文件”→“电子备份投标文件”→“纸质备份投标文件”。在下一顺位的投标文件启用时，前一顺位的投标文件自动失效。</w:t>
      </w:r>
    </w:p>
    <w:p>
      <w:pPr>
        <w:rPr>
          <w:rFonts w:hint="eastAsia"/>
          <w:b/>
          <w:bCs/>
          <w:color w:val="auto"/>
        </w:rPr>
      </w:pPr>
      <w:bookmarkStart w:id="212" w:name="_Toc2089"/>
      <w:bookmarkStart w:id="213" w:name="_Toc460857919"/>
      <w:bookmarkStart w:id="214" w:name="_Toc79395460"/>
      <w:bookmarkStart w:id="215" w:name="_Toc934"/>
      <w:bookmarkStart w:id="216" w:name="_Toc17707933"/>
      <w:r>
        <w:rPr>
          <w:rFonts w:hint="eastAsia"/>
          <w:b/>
          <w:bCs/>
          <w:color w:val="auto"/>
        </w:rPr>
        <w:t>（六）投标文件的包装、递交、修改和撤回</w:t>
      </w:r>
      <w:bookmarkEnd w:id="212"/>
      <w:bookmarkEnd w:id="213"/>
      <w:bookmarkEnd w:id="214"/>
      <w:bookmarkEnd w:id="215"/>
      <w:bookmarkEnd w:id="216"/>
    </w:p>
    <w:p>
      <w:pPr>
        <w:snapToGrid w:val="0"/>
        <w:spacing w:line="400" w:lineRule="exact"/>
        <w:ind w:firstLine="420"/>
        <w:jc w:val="left"/>
        <w:rPr>
          <w:rFonts w:hint="eastAsia" w:ascii="宋体" w:hAnsi="宋体" w:cs="宋体"/>
          <w:color w:val="auto"/>
          <w:kern w:val="0"/>
          <w:szCs w:val="21"/>
        </w:rPr>
      </w:pPr>
      <w:r>
        <w:rPr>
          <w:rFonts w:hint="eastAsia" w:ascii="宋体" w:hAnsi="宋体" w:cs="宋体"/>
          <w:color w:val="auto"/>
          <w:kern w:val="0"/>
          <w:szCs w:val="21"/>
        </w:rPr>
        <w:t>1.以U盘存储的电子备份投标文件用封袋密封后递交。</w:t>
      </w:r>
    </w:p>
    <w:p>
      <w:pPr>
        <w:snapToGrid w:val="0"/>
        <w:spacing w:line="400" w:lineRule="exact"/>
        <w:ind w:firstLine="420"/>
        <w:jc w:val="left"/>
        <w:rPr>
          <w:rFonts w:hint="eastAsia" w:ascii="宋体" w:hAnsi="宋体" w:cs="宋体"/>
          <w:color w:val="auto"/>
          <w:kern w:val="0"/>
          <w:szCs w:val="21"/>
        </w:rPr>
      </w:pPr>
      <w:r>
        <w:rPr>
          <w:rFonts w:hint="eastAsia" w:ascii="宋体" w:hAnsi="宋体" w:cs="宋体"/>
          <w:color w:val="auto"/>
          <w:kern w:val="0"/>
          <w:szCs w:val="21"/>
        </w:rPr>
        <w:t>2.投标文件的包装封面上应注明供应商名称、供应商地址、投标文件名称(电子备份投标文件)、投标项目名称、项目编号、子包号，并加盖供应商公章。</w:t>
      </w:r>
    </w:p>
    <w:p>
      <w:pPr>
        <w:snapToGrid w:val="0"/>
        <w:spacing w:line="400" w:lineRule="exact"/>
        <w:ind w:firstLine="420"/>
        <w:jc w:val="left"/>
        <w:rPr>
          <w:rFonts w:hint="eastAsia" w:ascii="宋体" w:hAnsi="宋体" w:cs="宋体"/>
          <w:color w:val="auto"/>
          <w:kern w:val="0"/>
          <w:szCs w:val="21"/>
        </w:rPr>
      </w:pPr>
      <w:r>
        <w:rPr>
          <w:rFonts w:hint="eastAsia" w:ascii="宋体" w:hAnsi="宋体" w:cs="宋体"/>
          <w:color w:val="auto"/>
          <w:kern w:val="0"/>
          <w:szCs w:val="21"/>
        </w:rPr>
        <w:t>3.未按规定密封或标记的投标文件将被拒绝，由此造成投标文件被误投或提前拆封的风险由供应商承担。</w:t>
      </w:r>
    </w:p>
    <w:p>
      <w:pPr>
        <w:snapToGrid w:val="0"/>
        <w:spacing w:line="400" w:lineRule="exact"/>
        <w:ind w:firstLine="420"/>
        <w:jc w:val="left"/>
        <w:rPr>
          <w:rFonts w:hint="eastAsia" w:ascii="宋体" w:hAnsi="宋体" w:cs="宋体"/>
          <w:color w:val="auto"/>
          <w:kern w:val="0"/>
          <w:szCs w:val="21"/>
        </w:rPr>
      </w:pPr>
      <w:r>
        <w:rPr>
          <w:rFonts w:hint="eastAsia" w:ascii="宋体" w:hAnsi="宋体" w:cs="宋体"/>
          <w:color w:val="auto"/>
          <w:kern w:val="0"/>
          <w:szCs w:val="21"/>
        </w:rPr>
        <w:t>4.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和密封。</w:t>
      </w:r>
    </w:p>
    <w:p>
      <w:pPr>
        <w:snapToGrid w:val="0"/>
        <w:spacing w:line="400" w:lineRule="exact"/>
        <w:ind w:firstLine="420"/>
        <w:jc w:val="left"/>
        <w:rPr>
          <w:rFonts w:hint="eastAsia" w:ascii="宋体" w:hAnsi="宋体" w:cs="宋体"/>
          <w:color w:val="auto"/>
          <w:kern w:val="0"/>
          <w:szCs w:val="21"/>
        </w:rPr>
      </w:pPr>
      <w:r>
        <w:rPr>
          <w:rFonts w:hint="eastAsia" w:ascii="宋体" w:hAnsi="宋体" w:cs="宋体"/>
          <w:color w:val="auto"/>
          <w:kern w:val="0"/>
          <w:szCs w:val="21"/>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rPr>
          <w:rFonts w:hint="eastAsia"/>
          <w:b/>
          <w:bCs/>
          <w:color w:val="auto"/>
        </w:rPr>
      </w:pPr>
      <w:bookmarkStart w:id="217" w:name="_Toc17707934"/>
      <w:bookmarkStart w:id="218" w:name="_Toc460416661"/>
      <w:bookmarkStart w:id="219" w:name="_Toc2821"/>
      <w:bookmarkStart w:id="220" w:name="_Toc460857920"/>
      <w:bookmarkStart w:id="221" w:name="_Toc460416356"/>
      <w:bookmarkStart w:id="222" w:name="_Toc79395461"/>
      <w:bookmarkStart w:id="223" w:name="_Toc7109"/>
      <w:r>
        <w:rPr>
          <w:rFonts w:hint="eastAsia"/>
          <w:b/>
          <w:bCs/>
          <w:color w:val="auto"/>
        </w:rPr>
        <w:t>（七）投标无效的情形</w:t>
      </w:r>
      <w:bookmarkEnd w:id="217"/>
      <w:bookmarkEnd w:id="218"/>
      <w:bookmarkEnd w:id="219"/>
      <w:bookmarkEnd w:id="220"/>
      <w:bookmarkEnd w:id="221"/>
      <w:bookmarkEnd w:id="222"/>
      <w:bookmarkEnd w:id="223"/>
    </w:p>
    <w:p>
      <w:pPr>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pPr>
        <w:tabs>
          <w:tab w:val="left" w:pos="518"/>
        </w:tabs>
        <w:adjustRightInd w:val="0"/>
        <w:snapToGrid w:val="0"/>
        <w:spacing w:line="400" w:lineRule="exact"/>
        <w:rPr>
          <w:rFonts w:hint="eastAsia"/>
          <w:b/>
          <w:bCs/>
          <w:color w:val="auto"/>
          <w:lang w:eastAsia="zh-CN"/>
        </w:rPr>
      </w:pPr>
      <w:r>
        <w:rPr>
          <w:rFonts w:hint="eastAsia"/>
          <w:b/>
          <w:bCs/>
          <w:color w:val="auto"/>
          <w:lang w:eastAsia="zh-CN"/>
        </w:rPr>
        <w:t>（</w:t>
      </w:r>
      <w:r>
        <w:rPr>
          <w:rFonts w:hint="eastAsia"/>
          <w:b/>
          <w:bCs/>
          <w:color w:val="auto"/>
          <w:lang w:val="en-US" w:eastAsia="zh-CN"/>
        </w:rPr>
        <w:t>八</w:t>
      </w:r>
      <w:r>
        <w:rPr>
          <w:rFonts w:hint="eastAsia"/>
          <w:b/>
          <w:bCs/>
          <w:color w:val="auto"/>
          <w:lang w:eastAsia="zh-CN"/>
        </w:rPr>
        <w:t>）</w:t>
      </w:r>
      <w:r>
        <w:rPr>
          <w:rFonts w:hint="eastAsia" w:hAnsi="宋体" w:eastAsia="宋体"/>
          <w:b/>
          <w:color w:val="auto"/>
          <w:sz w:val="21"/>
          <w:szCs w:val="21"/>
        </w:rPr>
        <w:t>小、微企业（含监狱企业、残疾人福利性单位）扶持政策说明</w:t>
      </w:r>
    </w:p>
    <w:p>
      <w:pPr>
        <w:tabs>
          <w:tab w:val="left" w:pos="518"/>
        </w:tabs>
        <w:adjustRightInd w:val="0"/>
        <w:snapToGrid w:val="0"/>
        <w:spacing w:line="400" w:lineRule="exact"/>
        <w:ind w:firstLine="422" w:firstLineChars="200"/>
        <w:rPr>
          <w:rFonts w:hint="eastAsia" w:ascii="宋体" w:hAnsi="宋体" w:cs="宋体"/>
          <w:b/>
          <w:bCs/>
          <w:color w:val="auto"/>
          <w:szCs w:val="21"/>
        </w:rPr>
      </w:pPr>
      <w:r>
        <w:rPr>
          <w:rFonts w:hint="eastAsia" w:ascii="宋体" w:hAnsi="宋体" w:cs="宋体"/>
          <w:b/>
          <w:bCs/>
          <w:color w:val="auto"/>
          <w:szCs w:val="21"/>
        </w:rPr>
        <w:t>1.本项目</w:t>
      </w:r>
      <w:r>
        <w:rPr>
          <w:rFonts w:hint="eastAsia" w:ascii="宋体" w:hAnsi="宋体" w:cs="宋体"/>
          <w:b/>
          <w:bCs/>
          <w:color w:val="auto"/>
          <w:szCs w:val="21"/>
          <w:u w:val="single"/>
        </w:rPr>
        <w:t xml:space="preserve">  </w:t>
      </w:r>
      <w:r>
        <w:rPr>
          <w:rFonts w:hint="eastAsia" w:ascii="宋体" w:hAnsi="宋体" w:cs="宋体"/>
          <w:b/>
          <w:bCs/>
          <w:color w:val="auto"/>
          <w:szCs w:val="21"/>
          <w:u w:val="single"/>
          <w:lang w:eastAsia="zh-CN"/>
        </w:rPr>
        <w:t>是</w:t>
      </w:r>
      <w:r>
        <w:rPr>
          <w:rFonts w:hint="eastAsia" w:ascii="宋体" w:hAnsi="宋体" w:cs="宋体"/>
          <w:b/>
          <w:bCs/>
          <w:color w:val="auto"/>
          <w:szCs w:val="21"/>
          <w:u w:val="single"/>
        </w:rPr>
        <w:t xml:space="preserve"> </w:t>
      </w:r>
      <w:r>
        <w:rPr>
          <w:rFonts w:hint="eastAsia" w:ascii="宋体" w:hAnsi="宋体" w:cs="宋体"/>
          <w:b/>
          <w:bCs/>
          <w:color w:val="auto"/>
          <w:szCs w:val="21"/>
        </w:rPr>
        <w:t>专门面向中小企业采购</w:t>
      </w:r>
      <w:r>
        <w:rPr>
          <w:rFonts w:hint="eastAsia" w:ascii="宋体" w:hAnsi="宋体" w:cs="宋体"/>
          <w:b/>
          <w:bCs/>
          <w:color w:val="auto"/>
          <w:szCs w:val="21"/>
          <w:lang w:val="en-US" w:eastAsia="zh-CN"/>
        </w:rPr>
        <w:t>的项目</w:t>
      </w:r>
      <w:r>
        <w:rPr>
          <w:rFonts w:hint="eastAsia" w:ascii="宋体" w:hAnsi="宋体" w:cs="宋体"/>
          <w:b/>
          <w:bCs/>
          <w:color w:val="auto"/>
          <w:szCs w:val="21"/>
        </w:rPr>
        <w:t>。</w:t>
      </w:r>
    </w:p>
    <w:p>
      <w:pPr>
        <w:tabs>
          <w:tab w:val="left" w:pos="518"/>
        </w:tabs>
        <w:adjustRightInd w:val="0"/>
        <w:snapToGrid w:val="0"/>
        <w:spacing w:line="400" w:lineRule="exact"/>
        <w:ind w:firstLine="420" w:firstLineChars="200"/>
        <w:rPr>
          <w:rFonts w:ascii="宋体" w:hAnsi="宋体" w:cs="宋体"/>
          <w:b/>
          <w:bCs/>
          <w:color w:val="auto"/>
          <w:szCs w:val="21"/>
          <w:u w:val="single"/>
        </w:rPr>
      </w:pPr>
      <w:r>
        <w:rPr>
          <w:rFonts w:hint="eastAsia" w:ascii="宋体" w:hAnsi="宋体" w:cs="宋体"/>
          <w:color w:val="auto"/>
          <w:szCs w:val="21"/>
        </w:rPr>
        <w:t>2.本项目对应的中小企业划分标准所属行业：</w:t>
      </w:r>
      <w:r>
        <w:rPr>
          <w:rFonts w:hint="eastAsia" w:ascii="宋体" w:hAnsi="宋体" w:eastAsia="宋体" w:cs="宋体"/>
          <w:b/>
          <w:bCs/>
          <w:color w:val="auto"/>
          <w:szCs w:val="21"/>
          <w:u w:val="single"/>
          <w:lang w:eastAsia="zh-CN"/>
        </w:rPr>
        <w:t>工业</w:t>
      </w:r>
      <w:r>
        <w:rPr>
          <w:rFonts w:hint="eastAsia" w:ascii="宋体" w:hAnsi="宋体" w:eastAsia="宋体" w:cs="宋体"/>
          <w:b/>
          <w:bCs/>
          <w:color w:val="auto"/>
          <w:szCs w:val="21"/>
          <w:u w:val="single"/>
        </w:rPr>
        <w:t>。</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3.中小企业是指中华人民共和国境内依法设立，依据国务院批准的中小企业划分标准确定的中型企业、小型企业和微型企业，但与大企业的负责人为同一人，或者与大企业存在直接控股、管理关系的除外。</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符合中小企业划分标准的个体工商户，在政府采购活动中视同中小企业。</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4.在政府采购活动中，供应商提供的货物、工程或者服务符合下列情形的，可享受小型、微型企业（以下简称小微企业）的价格扣除：</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（1）在货物采购项目中，货物由小微企业制造，即货物由小微企业生产且使用该小微企业商号或者注册商标；</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（2）在工程采购项目中，工程由小微企业承建，即工程施工单位为小微企业；</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（3）在服务采购项目中，服务由小微企业承接，即提供服务的人员为小微企业依照《中华人民共和国劳动合同法》订立劳动合同的从业人员。</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以联合体形式参加政府采购活动，联合体各方均为小微企业的，联合体视同小微企业。</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5.在货物采购项目中，供应商提供的货物既有中小企业制造货物，也有大型企业制造货物的，不享受的小微企业价格扣除。</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6.对于非专门面向中小企业采购的采购项目，小微企业报价给予 20%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6％（工程项目为 2%）的价格扣除，用扣除后的价格参与评审。组成联合体或者接受分包的小微企业与联合体内其他企业、分包企业之间存在直接控股、管理关系的，不享受价格扣除优惠政策。</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7.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供应商提供声明函内容不实的，属于提供虚假材料谋取中标、成交，依照《中华人民共和国政府采购法》等国家有关规定追究相应责任。</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适用招标投标法的政府采购工程建设项目，投标人提供声明函内容不实的，属于弄虚作假骗取中标，依照《中华人民共和国招标投标法》等国家有关规定追究相应责任。</w:t>
      </w:r>
    </w:p>
    <w:p>
      <w:pPr>
        <w:tabs>
          <w:tab w:val="left" w:pos="518"/>
        </w:tabs>
        <w:adjustRightInd w:val="0"/>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8.按规定享受扶持政策获得政府采购合同的，小微企业不得将合同分包给大中型企业，中型企业不得将合同分包给大型企业。</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10.</w:t>
      </w:r>
      <w:r>
        <w:rPr>
          <w:rFonts w:hint="eastAsia" w:ascii="宋体" w:hAnsi="宋体" w:cs="宋体"/>
          <w:color w:val="auto"/>
          <w:szCs w:val="21"/>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19"/>
        <w:adjustRightInd w:val="0"/>
        <w:snapToGrid w:val="0"/>
        <w:spacing w:before="60" w:after="20"/>
        <w:ind w:firstLine="422" w:firstLineChars="200"/>
        <w:rPr>
          <w:rFonts w:hint="eastAsia" w:ascii="Times New Roman" w:hAnsi="Times New Roman" w:eastAsia="宋体" w:cs="Times New Roman"/>
          <w:b/>
          <w:bCs/>
          <w:color w:val="auto"/>
          <w:kern w:val="2"/>
          <w:sz w:val="21"/>
          <w:szCs w:val="24"/>
          <w:lang w:val="en-US" w:eastAsia="zh-CN" w:bidi="ar-SA"/>
        </w:rPr>
      </w:pPr>
      <w:r>
        <w:rPr>
          <w:rFonts w:hint="eastAsia" w:ascii="Times New Roman" w:hAnsi="Times New Roman" w:eastAsia="宋体" w:cs="Times New Roman"/>
          <w:b/>
          <w:bCs/>
          <w:color w:val="auto"/>
          <w:kern w:val="2"/>
          <w:sz w:val="21"/>
          <w:szCs w:val="24"/>
          <w:lang w:val="en-US" w:eastAsia="zh-CN" w:bidi="ar-SA"/>
        </w:rPr>
        <w:t>（九）节能、环保政策</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rPr>
        <w:t>1</w:t>
      </w:r>
      <w:r>
        <w:rPr>
          <w:rFonts w:hint="eastAsia" w:ascii="宋体" w:hAnsi="宋体" w:cs="宋体"/>
          <w:bCs/>
          <w:color w:val="auto"/>
          <w:szCs w:val="21"/>
          <w:lang w:val="en-US" w:eastAsia="zh-CN"/>
        </w:rPr>
        <w:t>.</w:t>
      </w:r>
      <w:r>
        <w:rPr>
          <w:rFonts w:hint="eastAsia" w:ascii="宋体" w:hAnsi="宋体" w:cs="宋体"/>
          <w:bCs/>
          <w:color w:val="auto"/>
          <w:szCs w:val="21"/>
        </w:rPr>
        <w:t>文件依据</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(1)</w:t>
      </w:r>
      <w:r>
        <w:rPr>
          <w:rFonts w:hint="eastAsia" w:ascii="宋体" w:hAnsi="宋体" w:cs="宋体"/>
          <w:bCs/>
          <w:color w:val="auto"/>
          <w:szCs w:val="21"/>
        </w:rPr>
        <w:t xml:space="preserve"> 财政部国家发展改革委关于印发《节能产品政府采购实施意见》的通知（财库〔2004〕185号）</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(2)</w:t>
      </w:r>
      <w:r>
        <w:rPr>
          <w:rFonts w:hint="eastAsia" w:ascii="宋体" w:hAnsi="宋体" w:cs="宋体"/>
          <w:bCs/>
          <w:color w:val="auto"/>
          <w:szCs w:val="21"/>
        </w:rPr>
        <w:t>关于环境标志产品政府采购实施的意见（财库〔2006〕90号)</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(3)</w:t>
      </w:r>
      <w:r>
        <w:rPr>
          <w:rFonts w:hint="eastAsia" w:ascii="宋体" w:hAnsi="宋体" w:cs="宋体"/>
          <w:bCs/>
          <w:color w:val="auto"/>
          <w:szCs w:val="21"/>
        </w:rPr>
        <w:t>国务院办公厅关于建立政府强制采购节能产品制度的通知（国办发〔2007〕51号）</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(4)</w:t>
      </w:r>
      <w:r>
        <w:rPr>
          <w:rFonts w:hint="eastAsia" w:ascii="宋体" w:hAnsi="宋体" w:cs="宋体"/>
          <w:bCs/>
          <w:color w:val="auto"/>
          <w:szCs w:val="21"/>
        </w:rPr>
        <w:t>财政部 发展改革委 生态环境部 市场监管总局关于调整优化节能产品、环境标志产品政府采购执行机制的通知（财库〔2019〕9号）</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(5)</w:t>
      </w:r>
      <w:r>
        <w:rPr>
          <w:rFonts w:hint="eastAsia" w:ascii="宋体" w:hAnsi="宋体" w:cs="宋体"/>
          <w:bCs/>
          <w:color w:val="auto"/>
          <w:szCs w:val="21"/>
        </w:rPr>
        <w:t>关于印发环境标志产品政府采购品目清单的通知财库〔2019〕18号</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(6)</w:t>
      </w:r>
      <w:r>
        <w:rPr>
          <w:rFonts w:hint="eastAsia" w:ascii="宋体" w:hAnsi="宋体" w:cs="宋体"/>
          <w:bCs/>
          <w:color w:val="auto"/>
          <w:szCs w:val="21"/>
        </w:rPr>
        <w:t>关于印发节能产品政府采购品目清单的通知（财库〔2019〕19号）</w:t>
      </w:r>
    </w:p>
    <w:p>
      <w:pPr>
        <w:snapToGrid w:val="0"/>
        <w:spacing w:line="360" w:lineRule="exact"/>
        <w:ind w:firstLine="420" w:firstLineChars="200"/>
        <w:jc w:val="left"/>
        <w:outlineLvl w:val="1"/>
        <w:rPr>
          <w:rFonts w:ascii="宋体" w:hAnsi="宋体"/>
          <w:color w:val="auto"/>
        </w:rPr>
      </w:pPr>
      <w:r>
        <w:rPr>
          <w:rFonts w:hint="eastAsia" w:ascii="宋体" w:hAnsi="宋体" w:cs="宋体"/>
          <w:bCs/>
          <w:color w:val="auto"/>
          <w:szCs w:val="21"/>
          <w:lang w:val="en-US" w:eastAsia="zh-CN"/>
        </w:rPr>
        <w:t>(7)</w:t>
      </w:r>
      <w:r>
        <w:rPr>
          <w:rFonts w:hint="eastAsia" w:ascii="宋体" w:hAnsi="宋体" w:cs="宋体"/>
          <w:bCs/>
          <w:color w:val="auto"/>
          <w:szCs w:val="21"/>
        </w:rPr>
        <w:t>市场监管总局关于发布参与实施政府采购节能产品、环境标志产品认证机构名录的公告（2019年第16号）</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rPr>
        <w:t>2</w:t>
      </w:r>
      <w:r>
        <w:rPr>
          <w:rFonts w:hint="eastAsia" w:ascii="宋体" w:hAnsi="宋体" w:cs="宋体"/>
          <w:bCs/>
          <w:color w:val="auto"/>
          <w:szCs w:val="21"/>
          <w:lang w:val="en-US" w:eastAsia="zh-CN"/>
        </w:rPr>
        <w:t>.</w:t>
      </w:r>
      <w:r>
        <w:rPr>
          <w:rFonts w:hint="eastAsia" w:ascii="宋体" w:hAnsi="宋体" w:cs="宋体"/>
          <w:bCs/>
          <w:color w:val="auto"/>
          <w:szCs w:val="21"/>
        </w:rPr>
        <w:t>享受节能、环保政策优惠应具备的条件和优惠</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(1)</w:t>
      </w:r>
      <w:r>
        <w:rPr>
          <w:rFonts w:hint="eastAsia" w:ascii="宋体" w:hAnsi="宋体" w:cs="宋体"/>
          <w:bCs/>
          <w:color w:val="auto"/>
          <w:szCs w:val="21"/>
        </w:rPr>
        <w:t xml:space="preserve"> 产品在节能、环境标志品目清单范围内；</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(2)</w:t>
      </w:r>
      <w:r>
        <w:rPr>
          <w:rFonts w:hint="eastAsia" w:ascii="宋体" w:hAnsi="宋体" w:cs="宋体"/>
          <w:bCs/>
          <w:color w:val="auto"/>
          <w:szCs w:val="21"/>
        </w:rPr>
        <w:t>提供国家确定的认证机构出具的、处于有效期之内的节能产品、环境标志产品认证证书，或提供中国政府采购网节能、环境标志产品查询截图。</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lang w:val="en-US" w:eastAsia="zh-CN"/>
        </w:rPr>
        <w:t>(3)</w:t>
      </w:r>
      <w:r>
        <w:rPr>
          <w:rFonts w:hint="eastAsia" w:ascii="宋体" w:hAnsi="宋体" w:cs="宋体"/>
          <w:bCs/>
          <w:color w:val="auto"/>
          <w:szCs w:val="21"/>
        </w:rPr>
        <w:t xml:space="preserve"> 优惠</w:t>
      </w:r>
    </w:p>
    <w:p>
      <w:pPr>
        <w:snapToGrid w:val="0"/>
        <w:spacing w:line="360" w:lineRule="exact"/>
        <w:ind w:firstLine="422" w:firstLineChars="200"/>
        <w:jc w:val="left"/>
        <w:outlineLvl w:val="1"/>
        <w:rPr>
          <w:rFonts w:ascii="宋体" w:hAnsi="宋体" w:cs="宋体"/>
          <w:b/>
          <w:bCs/>
          <w:color w:val="auto"/>
          <w:szCs w:val="21"/>
        </w:rPr>
      </w:pPr>
      <w:r>
        <w:rPr>
          <w:rFonts w:hint="eastAsia" w:ascii="宋体" w:hAnsi="宋体" w:cs="宋体"/>
          <w:b/>
          <w:bCs/>
          <w:color w:val="auto"/>
          <w:szCs w:val="21"/>
        </w:rPr>
        <w:t>详见评标办法及标准。</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rPr>
        <w:t>3</w:t>
      </w:r>
      <w:r>
        <w:rPr>
          <w:rFonts w:hint="eastAsia" w:ascii="宋体" w:hAnsi="宋体" w:cs="宋体"/>
          <w:bCs/>
          <w:color w:val="auto"/>
          <w:szCs w:val="21"/>
          <w:lang w:val="en-US" w:eastAsia="zh-CN"/>
        </w:rPr>
        <w:t>.</w:t>
      </w:r>
      <w:r>
        <w:rPr>
          <w:rFonts w:hint="eastAsia" w:ascii="宋体" w:hAnsi="宋体" w:cs="宋体"/>
          <w:bCs/>
          <w:color w:val="auto"/>
          <w:szCs w:val="21"/>
        </w:rPr>
        <w:t>投标时享受节能、环境标志产品优惠应提供以下证明材料：</w:t>
      </w:r>
    </w:p>
    <w:p>
      <w:pPr>
        <w:snapToGrid w:val="0"/>
        <w:spacing w:line="360" w:lineRule="exact"/>
        <w:ind w:firstLine="420" w:firstLineChars="200"/>
        <w:jc w:val="left"/>
        <w:outlineLvl w:val="1"/>
        <w:rPr>
          <w:rFonts w:ascii="宋体" w:hAnsi="宋体" w:cs="宋体"/>
          <w:bCs/>
          <w:color w:val="auto"/>
          <w:szCs w:val="21"/>
        </w:rPr>
      </w:pPr>
      <w:r>
        <w:rPr>
          <w:rFonts w:hint="eastAsia" w:ascii="宋体" w:hAnsi="宋体" w:cs="宋体"/>
          <w:bCs/>
          <w:color w:val="auto"/>
          <w:szCs w:val="21"/>
        </w:rPr>
        <w:t>国家确定的认证机构出具的、处于有效期之内的节能产品或环境标志产品认证证书，或提供中国政府采购网节能、环境标志产品查询截图。</w:t>
      </w:r>
    </w:p>
    <w:p>
      <w:pPr>
        <w:rPr>
          <w:rFonts w:hint="eastAsia"/>
          <w:color w:val="auto"/>
          <w:lang w:val="en-US" w:eastAsia="zh-CN"/>
        </w:rPr>
      </w:pPr>
    </w:p>
    <w:p>
      <w:pPr>
        <w:pStyle w:val="4"/>
        <w:numPr>
          <w:ilvl w:val="0"/>
          <w:numId w:val="0"/>
        </w:numPr>
        <w:ind w:leftChars="0"/>
        <w:rPr>
          <w:rFonts w:hint="eastAsia" w:eastAsia="黑体"/>
          <w:color w:val="auto"/>
          <w:lang w:eastAsia="zh-CN"/>
        </w:rPr>
      </w:pPr>
    </w:p>
    <w:p>
      <w:pPr>
        <w:spacing w:line="400" w:lineRule="exact"/>
        <w:ind w:firstLine="422" w:firstLineChars="200"/>
        <w:rPr>
          <w:rFonts w:hint="eastAsia" w:ascii="宋体" w:hAnsi="宋体" w:cs="宋体"/>
          <w:b/>
          <w:color w:val="auto"/>
          <w:szCs w:val="21"/>
        </w:rPr>
      </w:pPr>
    </w:p>
    <w:p>
      <w:pPr>
        <w:rPr>
          <w:rFonts w:hint="eastAsia"/>
          <w:color w:val="auto"/>
        </w:rPr>
      </w:pPr>
      <w:bookmarkStart w:id="224" w:name="_Toc25321"/>
      <w:bookmarkStart w:id="225" w:name="_Toc17707952"/>
      <w:bookmarkStart w:id="226" w:name="_Toc79395475"/>
      <w:bookmarkStart w:id="227" w:name="_Toc14879"/>
      <w:bookmarkStart w:id="228" w:name="_Toc15374"/>
    </w:p>
    <w:p>
      <w:pPr>
        <w:pStyle w:val="3"/>
        <w:spacing w:before="0" w:after="0" w:line="360" w:lineRule="auto"/>
        <w:jc w:val="center"/>
        <w:rPr>
          <w:rFonts w:hint="eastAsia" w:ascii="宋体" w:hAnsi="宋体" w:cs="宋体"/>
          <w:b w:val="0"/>
          <w:bCs w:val="0"/>
          <w:color w:val="auto"/>
          <w:sz w:val="28"/>
          <w:szCs w:val="28"/>
        </w:rPr>
      </w:pPr>
      <w:bookmarkStart w:id="229" w:name="_Toc23421"/>
      <w:bookmarkStart w:id="230" w:name="_Toc10661"/>
      <w:r>
        <w:rPr>
          <w:rFonts w:hint="eastAsia" w:ascii="宋体" w:hAnsi="宋体" w:cs="宋体"/>
          <w:color w:val="auto"/>
          <w:sz w:val="30"/>
        </w:rPr>
        <w:br w:type="page"/>
      </w:r>
      <w:bookmarkStart w:id="231" w:name="_Toc25563"/>
      <w:r>
        <w:rPr>
          <w:rFonts w:hint="eastAsia" w:ascii="宋体" w:hAnsi="宋体" w:cs="宋体"/>
          <w:color w:val="auto"/>
          <w:sz w:val="30"/>
        </w:rPr>
        <w:t xml:space="preserve">第四章  </w:t>
      </w:r>
      <w:bookmarkStart w:id="232" w:name="_Hlk22492252"/>
      <w:r>
        <w:rPr>
          <w:rFonts w:hint="eastAsia" w:ascii="宋体" w:hAnsi="宋体" w:cs="宋体"/>
          <w:color w:val="auto"/>
          <w:sz w:val="30"/>
        </w:rPr>
        <w:t>评标办法及评分标准</w:t>
      </w:r>
      <w:bookmarkEnd w:id="224"/>
      <w:bookmarkEnd w:id="225"/>
      <w:bookmarkEnd w:id="226"/>
      <w:bookmarkEnd w:id="227"/>
      <w:bookmarkEnd w:id="228"/>
      <w:bookmarkEnd w:id="229"/>
      <w:bookmarkEnd w:id="230"/>
      <w:bookmarkEnd w:id="231"/>
      <w:bookmarkEnd w:id="232"/>
    </w:p>
    <w:p>
      <w:pPr>
        <w:rPr>
          <w:rFonts w:hint="eastAsia"/>
          <w:b/>
          <w:bCs/>
          <w:color w:val="auto"/>
        </w:rPr>
      </w:pPr>
      <w:bookmarkStart w:id="233" w:name="_Toc481567075"/>
      <w:bookmarkStart w:id="234" w:name="_Toc495957613"/>
      <w:bookmarkStart w:id="235" w:name="_Toc493058315"/>
      <w:bookmarkStart w:id="236" w:name="_Toc17707953"/>
      <w:bookmarkStart w:id="237" w:name="_Toc51446753"/>
      <w:bookmarkStart w:id="238" w:name="_Toc2954"/>
      <w:bookmarkStart w:id="239" w:name="_Toc79395476"/>
      <w:bookmarkStart w:id="240" w:name="_Toc27629"/>
      <w:bookmarkStart w:id="241" w:name="_Toc5227"/>
      <w:r>
        <w:rPr>
          <w:rFonts w:hint="eastAsia"/>
          <w:b/>
          <w:bCs/>
          <w:color w:val="auto"/>
        </w:rPr>
        <w:t>一、</w:t>
      </w:r>
      <w:bookmarkEnd w:id="233"/>
      <w:bookmarkEnd w:id="234"/>
      <w:bookmarkEnd w:id="235"/>
      <w:r>
        <w:rPr>
          <w:rFonts w:hint="eastAsia"/>
          <w:b/>
          <w:bCs/>
          <w:color w:val="auto"/>
        </w:rPr>
        <w:t>总则</w:t>
      </w:r>
      <w:bookmarkEnd w:id="236"/>
      <w:bookmarkEnd w:id="237"/>
      <w:bookmarkEnd w:id="238"/>
      <w:bookmarkEnd w:id="239"/>
      <w:bookmarkEnd w:id="240"/>
      <w:bookmarkEnd w:id="241"/>
    </w:p>
    <w:p>
      <w:pPr>
        <w:spacing w:line="400" w:lineRule="exact"/>
        <w:ind w:firstLine="420" w:firstLineChars="200"/>
        <w:rPr>
          <w:rFonts w:hint="eastAsia" w:ascii="宋体" w:hAnsi="宋体" w:cs="宋体"/>
          <w:color w:val="auto"/>
          <w:szCs w:val="21"/>
        </w:rPr>
      </w:pPr>
      <w:bookmarkStart w:id="242" w:name="_Toc495957614"/>
      <w:bookmarkStart w:id="243" w:name="_Toc493058316"/>
      <w:bookmarkStart w:id="244" w:name="_Toc259108326"/>
      <w:bookmarkStart w:id="245" w:name="_Toc249866769"/>
      <w:r>
        <w:rPr>
          <w:rFonts w:hint="eastAsia" w:ascii="宋体" w:hAnsi="宋体" w:cs="宋体"/>
          <w:color w:val="auto"/>
          <w:szCs w:val="21"/>
        </w:rPr>
        <w:t>招标活动遵循公平、公正、科学、择优的原则依法进行，招标活动及当事人接受依法实施的监督。</w:t>
      </w:r>
    </w:p>
    <w:p>
      <w:pPr>
        <w:rPr>
          <w:rFonts w:hint="eastAsia"/>
          <w:b/>
          <w:bCs/>
          <w:color w:val="auto"/>
        </w:rPr>
      </w:pPr>
      <w:bookmarkStart w:id="246" w:name="_Toc79395477"/>
      <w:bookmarkStart w:id="247" w:name="_Toc17707954"/>
      <w:bookmarkStart w:id="248" w:name="_Toc51446755"/>
      <w:bookmarkStart w:id="249" w:name="_Toc8849"/>
      <w:bookmarkStart w:id="250" w:name="_Toc16265"/>
      <w:bookmarkStart w:id="251" w:name="_Toc8408"/>
      <w:r>
        <w:rPr>
          <w:rFonts w:hint="eastAsia"/>
          <w:b/>
          <w:bCs/>
          <w:color w:val="auto"/>
        </w:rPr>
        <w:t>二、评标委员会</w:t>
      </w:r>
      <w:bookmarkEnd w:id="242"/>
      <w:bookmarkEnd w:id="243"/>
      <w:bookmarkEnd w:id="246"/>
      <w:bookmarkEnd w:id="247"/>
      <w:bookmarkEnd w:id="248"/>
      <w:bookmarkEnd w:id="249"/>
      <w:bookmarkEnd w:id="250"/>
      <w:bookmarkEnd w:id="251"/>
    </w:p>
    <w:p>
      <w:pPr>
        <w:spacing w:line="400" w:lineRule="exact"/>
        <w:ind w:firstLine="315" w:firstLineChars="150"/>
        <w:rPr>
          <w:rFonts w:hint="eastAsia" w:ascii="宋体" w:hAnsi="宋体" w:cs="宋体"/>
          <w:i/>
          <w:iCs/>
          <w:color w:val="auto"/>
          <w:szCs w:val="21"/>
        </w:rPr>
      </w:pPr>
      <w:r>
        <w:rPr>
          <w:rFonts w:hint="eastAsia" w:ascii="宋体" w:hAnsi="宋体" w:cs="宋体"/>
          <w:color w:val="auto"/>
          <w:szCs w:val="21"/>
        </w:rPr>
        <w:t>（一）本次招标依法组建评标委员会。评标委员会由招标人代表和评审专家组成或全部由评审专家组成，评审专家从专家库随机抽取。</w:t>
      </w:r>
    </w:p>
    <w:p>
      <w:pPr>
        <w:spacing w:line="400" w:lineRule="exact"/>
        <w:ind w:firstLine="315" w:firstLineChars="150"/>
        <w:rPr>
          <w:rFonts w:hint="eastAsia" w:ascii="宋体" w:hAnsi="宋体" w:cs="宋体"/>
          <w:color w:val="auto"/>
          <w:szCs w:val="21"/>
        </w:rPr>
      </w:pPr>
      <w:r>
        <w:rPr>
          <w:rFonts w:hint="eastAsia" w:ascii="宋体" w:hAnsi="宋体" w:cs="宋体"/>
          <w:color w:val="auto"/>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400" w:lineRule="exact"/>
        <w:ind w:firstLine="315" w:firstLineChars="150"/>
        <w:rPr>
          <w:rFonts w:hint="eastAsia" w:ascii="宋体" w:hAnsi="宋体" w:cs="宋体"/>
          <w:color w:val="auto"/>
          <w:szCs w:val="21"/>
        </w:rPr>
      </w:pPr>
      <w:r>
        <w:rPr>
          <w:rFonts w:hint="eastAsia" w:ascii="宋体" w:hAnsi="宋体" w:cs="宋体"/>
          <w:color w:val="auto"/>
          <w:szCs w:val="21"/>
        </w:rPr>
        <w:t>（三）评审专家有下列情形之一的，受到邀请应主动提出回避，采购当事人也可以要求该评审专家回避：</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参加采购活动前三年内,与供应商存在劳动关系,或者担任过供应商的董事、监事,或者是供应商的控股股东或实际控制人”、“与供应商的法定代表人或者负责人有夫妻、直系血亲、三代以内旁系血亲或者近姻亲关系。</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.曾经参加过该招标项目的进口产品的论证和咨询服务工作。</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.法律、法规、规章规定应当回避以及其他可能影响公正评审的。</w:t>
      </w:r>
    </w:p>
    <w:p>
      <w:pPr>
        <w:spacing w:line="400" w:lineRule="exact"/>
        <w:ind w:firstLine="315" w:firstLineChars="150"/>
        <w:rPr>
          <w:rFonts w:hint="eastAsia" w:ascii="宋体" w:hAnsi="宋体" w:cs="宋体"/>
          <w:color w:val="auto"/>
          <w:szCs w:val="21"/>
        </w:rPr>
      </w:pPr>
      <w:r>
        <w:rPr>
          <w:rFonts w:hint="eastAsia" w:ascii="宋体" w:hAnsi="宋体" w:cs="宋体"/>
          <w:color w:val="auto"/>
          <w:szCs w:val="21"/>
        </w:rPr>
        <w:t>（四）评标委员会判断投标文件的有效性、合格性和响应情况，仅依据投标人所递交一切文件的真实表述，不受与本项目无直接关联的外部信息、传言而影响自身的专业判断。</w:t>
      </w:r>
    </w:p>
    <w:p>
      <w:pPr>
        <w:spacing w:line="400" w:lineRule="exact"/>
        <w:ind w:firstLine="315" w:firstLineChars="150"/>
        <w:rPr>
          <w:rFonts w:hint="eastAsia" w:ascii="宋体" w:hAnsi="宋体" w:cs="宋体"/>
          <w:color w:val="auto"/>
          <w:szCs w:val="21"/>
        </w:rPr>
      </w:pPr>
      <w:r>
        <w:rPr>
          <w:rFonts w:hint="eastAsia" w:ascii="宋体" w:hAnsi="宋体" w:cs="宋体"/>
          <w:color w:val="auto"/>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bookmarkStart w:id="252" w:name="_Toc495957615"/>
      <w:bookmarkStart w:id="253" w:name="_Toc23025"/>
      <w:bookmarkStart w:id="254" w:name="_Toc51446757"/>
      <w:bookmarkStart w:id="255" w:name="_Toc493058317"/>
      <w:bookmarkStart w:id="256" w:name="_Toc22102"/>
      <w:bookmarkStart w:id="257" w:name="_Toc481567076"/>
      <w:bookmarkStart w:id="258" w:name="_Toc498"/>
      <w:bookmarkStart w:id="259" w:name="_Toc17707956"/>
      <w:bookmarkStart w:id="260" w:name="_Toc79395478"/>
    </w:p>
    <w:p>
      <w:pPr>
        <w:rPr>
          <w:rFonts w:hint="eastAsia"/>
          <w:b/>
          <w:bCs/>
          <w:color w:val="auto"/>
        </w:rPr>
      </w:pPr>
      <w:r>
        <w:rPr>
          <w:rFonts w:hint="eastAsia"/>
          <w:b/>
          <w:bCs/>
          <w:color w:val="auto"/>
        </w:rPr>
        <w:t>三、评标方法</w:t>
      </w:r>
      <w:bookmarkEnd w:id="252"/>
      <w:bookmarkEnd w:id="253"/>
      <w:bookmarkEnd w:id="254"/>
      <w:bookmarkEnd w:id="255"/>
      <w:bookmarkEnd w:id="256"/>
      <w:bookmarkEnd w:id="257"/>
      <w:bookmarkEnd w:id="258"/>
      <w:bookmarkEnd w:id="259"/>
      <w:bookmarkEnd w:id="260"/>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（一）本次招标项目的评标方法为：综合评分法。</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（二）评分细则</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1.价格分采用低价优先法计算，即满足招标文件要求且参与评审价格最低为评标基准价，其价格分为满分。其他投标人的价格分按照下列公式计算：</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各投标人的价格得分=评标基准价÷各投标人的投标</w:t>
      </w:r>
      <w:r>
        <w:rPr>
          <w:rFonts w:hint="eastAsia" w:ascii="宋体" w:hAnsi="宋体" w:cs="宋体"/>
          <w:color w:val="auto"/>
          <w:szCs w:val="21"/>
          <w:lang w:eastAsia="zh-CN"/>
        </w:rPr>
        <w:t>价</w:t>
      </w:r>
      <w:r>
        <w:rPr>
          <w:rFonts w:hint="eastAsia" w:ascii="宋体" w:hAnsi="宋体" w:cs="宋体"/>
          <w:color w:val="auto"/>
          <w:szCs w:val="21"/>
        </w:rPr>
        <w:t>×价格满分分值（小数点后保留二位小数）。</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2.合格投标人评标综合得分=价格分+商务技术分。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3.报价要求：本次招标设有预算价(或最高限价)，投标人报价超出预算价(或最高限价)的投标文件作无效处理。</w:t>
      </w:r>
    </w:p>
    <w:p>
      <w:pPr>
        <w:spacing w:line="400" w:lineRule="exact"/>
        <w:ind w:firstLine="315" w:firstLineChars="150"/>
        <w:rPr>
          <w:rFonts w:hint="eastAsia" w:ascii="宋体" w:hAnsi="宋体" w:cs="宋体"/>
          <w:color w:val="auto"/>
          <w:szCs w:val="21"/>
        </w:rPr>
      </w:pPr>
      <w:r>
        <w:rPr>
          <w:rFonts w:hint="eastAsia" w:ascii="宋体" w:hAnsi="宋体" w:cs="宋体"/>
          <w:color w:val="auto"/>
          <w:szCs w:val="21"/>
        </w:rPr>
        <w:t>（三）</w:t>
      </w:r>
      <w:bookmarkStart w:id="261" w:name="_Toc481567079"/>
      <w:r>
        <w:rPr>
          <w:rFonts w:hint="eastAsia" w:ascii="宋体" w:hAnsi="宋体" w:cs="宋体"/>
          <w:color w:val="auto"/>
          <w:szCs w:val="21"/>
        </w:rPr>
        <w:t>投标文件的澄清</w:t>
      </w:r>
      <w:bookmarkEnd w:id="261"/>
    </w:p>
    <w:p>
      <w:pPr>
        <w:widowControl/>
        <w:spacing w:line="400" w:lineRule="exact"/>
        <w:ind w:firstLine="420" w:firstLineChars="200"/>
        <w:jc w:val="left"/>
        <w:rPr>
          <w:rFonts w:hint="eastAsia" w:ascii="宋体" w:hAnsi="宋体" w:cs="宋体"/>
          <w:color w:val="auto"/>
          <w:kern w:val="0"/>
          <w:szCs w:val="21"/>
        </w:rPr>
      </w:pPr>
      <w:r>
        <w:rPr>
          <w:rFonts w:hint="eastAsia" w:ascii="宋体" w:hAnsi="宋体" w:cs="宋体"/>
          <w:color w:val="auto"/>
          <w:szCs w:val="21"/>
        </w:rPr>
        <w:t>1.</w:t>
      </w:r>
      <w:r>
        <w:rPr>
          <w:rFonts w:hint="eastAsia" w:ascii="宋体" w:hAnsi="宋体" w:cs="宋体"/>
          <w:color w:val="auto"/>
          <w:kern w:val="0"/>
          <w:szCs w:val="21"/>
        </w:rPr>
        <w:t>对于投标文件中含义不明确、同类问题表述不一致或者有明显文字和计算错误的内容，评标委员会应当以书面形式要求投标人作出必要的澄清、说明或者补正。</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szCs w:val="21"/>
        </w:rPr>
        <w:t>2.</w:t>
      </w:r>
      <w:r>
        <w:rPr>
          <w:rFonts w:hint="eastAsia" w:ascii="宋体" w:hAnsi="宋体" w:cs="宋体"/>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（四）投标文件错误修正原则</w:t>
      </w:r>
    </w:p>
    <w:p>
      <w:pPr>
        <w:pStyle w:val="171"/>
        <w:widowControl/>
        <w:spacing w:beforeLines="0" w:afterLines="0"/>
        <w:ind w:left="689" w:leftChars="228" w:hanging="210" w:hangingChars="100"/>
        <w:jc w:val="left"/>
        <w:rPr>
          <w:rFonts w:hint="eastAsia" w:hAnsi="宋体" w:cs="宋体"/>
          <w:color w:val="auto"/>
          <w:sz w:val="21"/>
          <w:szCs w:val="21"/>
        </w:rPr>
      </w:pPr>
      <w:r>
        <w:rPr>
          <w:rFonts w:hint="eastAsia" w:hAnsi="宋体" w:cs="宋体"/>
          <w:color w:val="auto"/>
          <w:sz w:val="21"/>
          <w:szCs w:val="21"/>
        </w:rPr>
        <w:t>投标文件报价出现前后不一致的，除招标文件另有规定外，按照下列规定修正：</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1.投标文件中开标一览表（报价表）内容与投标文件中相应内容不一致的，以开标一览表（报价表）为准。</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2.大写金额和小写金额不一致的，以大写金额为准。</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w:t>
      </w:r>
    </w:p>
    <w:p>
      <w:pPr>
        <w:pStyle w:val="171"/>
        <w:widowControl/>
        <w:spacing w:beforeLines="0" w:afterLines="0"/>
        <w:ind w:firstLine="422" w:firstLineChars="200"/>
        <w:jc w:val="left"/>
        <w:rPr>
          <w:rFonts w:hint="eastAsia" w:hAnsi="宋体" w:cs="宋体"/>
          <w:color w:val="auto"/>
          <w:sz w:val="21"/>
          <w:szCs w:val="21"/>
        </w:rPr>
      </w:pPr>
      <w:r>
        <w:rPr>
          <w:rFonts w:hint="eastAsia" w:hAnsi="宋体" w:cs="宋体"/>
          <w:b/>
          <w:bCs/>
          <w:color w:val="auto"/>
          <w:sz w:val="21"/>
          <w:szCs w:val="21"/>
        </w:rPr>
        <w:t>同时出现两种以上不一致的，按照前款规定的顺序修正。修正后的报价经投标人确认后具有约束力，若投标人不确认的，则其投标无效。</w:t>
      </w:r>
    </w:p>
    <w:p>
      <w:pPr>
        <w:rPr>
          <w:rFonts w:hint="eastAsia"/>
          <w:b/>
          <w:bCs/>
          <w:color w:val="auto"/>
        </w:rPr>
      </w:pPr>
      <w:bookmarkStart w:id="262" w:name="_Toc481567077"/>
      <w:bookmarkStart w:id="263" w:name="_Toc495957616"/>
      <w:bookmarkStart w:id="264" w:name="_Toc493058318"/>
      <w:bookmarkStart w:id="265" w:name="_Toc17707957"/>
      <w:bookmarkStart w:id="266" w:name="_Toc14002"/>
      <w:bookmarkStart w:id="267" w:name="_Toc26483"/>
      <w:bookmarkStart w:id="268" w:name="_Toc79395479"/>
      <w:bookmarkStart w:id="269" w:name="_Toc51446758"/>
      <w:bookmarkStart w:id="270" w:name="_Toc16487"/>
      <w:r>
        <w:rPr>
          <w:rFonts w:hint="eastAsia"/>
          <w:b/>
          <w:bCs/>
          <w:color w:val="auto"/>
        </w:rPr>
        <w:t>四、评标</w:t>
      </w:r>
      <w:bookmarkEnd w:id="244"/>
      <w:bookmarkEnd w:id="245"/>
      <w:bookmarkEnd w:id="262"/>
      <w:bookmarkEnd w:id="263"/>
      <w:bookmarkEnd w:id="264"/>
      <w:r>
        <w:rPr>
          <w:rFonts w:hint="eastAsia"/>
          <w:b/>
          <w:bCs/>
          <w:color w:val="auto"/>
        </w:rPr>
        <w:t>过程</w:t>
      </w:r>
      <w:bookmarkEnd w:id="265"/>
      <w:bookmarkEnd w:id="266"/>
      <w:bookmarkEnd w:id="267"/>
      <w:bookmarkEnd w:id="268"/>
      <w:bookmarkEnd w:id="269"/>
      <w:bookmarkEnd w:id="270"/>
    </w:p>
    <w:p>
      <w:pPr>
        <w:pStyle w:val="21"/>
        <w:spacing w:line="400" w:lineRule="exact"/>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（一）资格审查</w:t>
      </w:r>
    </w:p>
    <w:p>
      <w:pPr>
        <w:pStyle w:val="21"/>
        <w:spacing w:line="400" w:lineRule="exact"/>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采购代理机构对投标人的资格进行审查。依据法律法规和招标文件的规定，对投标文件中的资格证明进行审查，以确定投标人是否具备投标资格。</w:t>
      </w:r>
    </w:p>
    <w:tbl>
      <w:tblPr>
        <w:tblStyle w:val="39"/>
        <w:tblpPr w:leftFromText="180" w:rightFromText="180" w:vertAnchor="text" w:horzAnchor="page" w:tblpX="1624" w:tblpY="357"/>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1"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审查类别</w:t>
            </w:r>
          </w:p>
        </w:tc>
        <w:tc>
          <w:tcPr>
            <w:tcW w:w="7584"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审查内容（详见资格条件自查表）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521" w:type="dxa"/>
            <w:vMerge w:val="restart"/>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资格条件审查</w:t>
            </w:r>
          </w:p>
        </w:tc>
        <w:tc>
          <w:tcPr>
            <w:tcW w:w="7584" w:type="dxa"/>
            <w:noWrap w:val="0"/>
            <w:vAlign w:val="center"/>
          </w:tcPr>
          <w:p>
            <w:pPr>
              <w:widowControl/>
              <w:spacing w:before="75" w:after="75" w:line="300" w:lineRule="atLeast"/>
              <w:jc w:val="left"/>
              <w:rPr>
                <w:rFonts w:hint="eastAsia" w:ascii="宋体" w:hAnsi="宋体" w:cs="宋体"/>
                <w:color w:val="auto"/>
                <w:szCs w:val="21"/>
              </w:rPr>
            </w:pPr>
            <w:r>
              <w:rPr>
                <w:rFonts w:hint="eastAsia" w:ascii="宋体" w:hAnsi="宋体" w:cs="宋体"/>
                <w:color w:val="auto"/>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21" w:type="dxa"/>
            <w:vMerge w:val="continue"/>
            <w:noWrap w:val="0"/>
            <w:vAlign w:val="center"/>
          </w:tcPr>
          <w:p>
            <w:pPr>
              <w:spacing w:line="400" w:lineRule="exact"/>
              <w:jc w:val="center"/>
              <w:rPr>
                <w:rFonts w:hint="eastAsia" w:ascii="宋体" w:hAnsi="宋体" w:cs="宋体"/>
                <w:color w:val="auto"/>
                <w:szCs w:val="21"/>
              </w:rPr>
            </w:pPr>
          </w:p>
        </w:tc>
        <w:tc>
          <w:tcPr>
            <w:tcW w:w="7584" w:type="dxa"/>
            <w:noWrap w:val="0"/>
            <w:vAlign w:val="center"/>
          </w:tcPr>
          <w:p>
            <w:pPr>
              <w:widowControl/>
              <w:spacing w:before="75" w:after="75" w:line="300" w:lineRule="atLeast"/>
              <w:jc w:val="left"/>
              <w:rPr>
                <w:rFonts w:hint="eastAsia" w:ascii="宋体" w:hAnsi="宋体" w:cs="宋体"/>
                <w:color w:val="auto"/>
                <w:szCs w:val="21"/>
              </w:rPr>
            </w:pPr>
            <w:r>
              <w:rPr>
                <w:rFonts w:hint="eastAsia" w:ascii="宋体" w:hAnsi="宋体" w:cs="宋体"/>
                <w:color w:val="auto"/>
                <w:kern w:val="0"/>
                <w:szCs w:val="21"/>
              </w:rPr>
              <w:t>2.落实政府采购政策需满足的资格要求：</w:t>
            </w:r>
            <w:r>
              <w:rPr>
                <w:rFonts w:hint="eastAsia" w:ascii="宋体" w:hAnsi="宋体" w:cs="宋体"/>
                <w:color w:val="auto"/>
                <w:kern w:val="0"/>
                <w:szCs w:val="21"/>
                <w:lang w:eastAsia="zh-CN"/>
              </w:rPr>
              <w:t>专门面向中小企业采购</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1" w:type="dxa"/>
            <w:vMerge w:val="continue"/>
            <w:noWrap w:val="0"/>
            <w:vAlign w:val="center"/>
          </w:tcPr>
          <w:p>
            <w:pPr>
              <w:spacing w:line="400" w:lineRule="exact"/>
              <w:jc w:val="center"/>
              <w:rPr>
                <w:rFonts w:hint="eastAsia" w:ascii="宋体" w:hAnsi="宋体" w:cs="宋体"/>
                <w:color w:val="auto"/>
                <w:szCs w:val="21"/>
              </w:rPr>
            </w:pPr>
          </w:p>
        </w:tc>
        <w:tc>
          <w:tcPr>
            <w:tcW w:w="7584" w:type="dxa"/>
            <w:noWrap w:val="0"/>
            <w:vAlign w:val="center"/>
          </w:tcPr>
          <w:p>
            <w:pPr>
              <w:widowControl/>
              <w:spacing w:before="75" w:after="75" w:line="300" w:lineRule="atLeast"/>
              <w:jc w:val="left"/>
              <w:rPr>
                <w:rFonts w:hint="eastAsia" w:ascii="宋体" w:hAnsi="宋体" w:cs="宋体"/>
                <w:color w:val="auto"/>
                <w:szCs w:val="21"/>
              </w:rPr>
            </w:pPr>
            <w:r>
              <w:rPr>
                <w:rFonts w:hint="eastAsia" w:ascii="宋体" w:hAnsi="宋体" w:cs="宋体"/>
                <w:color w:val="auto"/>
                <w:kern w:val="0"/>
                <w:szCs w:val="21"/>
              </w:rPr>
              <w:t>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noWrap w:val="0"/>
            <w:vAlign w:val="center"/>
          </w:tcPr>
          <w:p>
            <w:pPr>
              <w:spacing w:line="400" w:lineRule="exact"/>
              <w:jc w:val="center"/>
              <w:rPr>
                <w:rFonts w:hint="eastAsia" w:ascii="宋体" w:hAnsi="宋体" w:cs="宋体"/>
                <w:color w:val="auto"/>
                <w:szCs w:val="21"/>
              </w:rPr>
            </w:pPr>
          </w:p>
        </w:tc>
        <w:tc>
          <w:tcPr>
            <w:tcW w:w="7584" w:type="dxa"/>
            <w:noWrap w:val="0"/>
            <w:vAlign w:val="center"/>
          </w:tcPr>
          <w:p>
            <w:pPr>
              <w:spacing w:line="400" w:lineRule="exact"/>
              <w:jc w:val="left"/>
              <w:rPr>
                <w:rFonts w:hint="eastAsia" w:ascii="宋体" w:hAnsi="宋体" w:cs="宋体"/>
                <w:color w:val="auto"/>
                <w:szCs w:val="21"/>
              </w:rPr>
            </w:pPr>
            <w:r>
              <w:rPr>
                <w:rFonts w:hint="eastAsia" w:ascii="宋体" w:hAnsi="宋体" w:cs="宋体"/>
                <w:color w:val="auto"/>
                <w:szCs w:val="21"/>
              </w:rPr>
              <w:t>4.本项目不接受联合体投标。</w:t>
            </w:r>
          </w:p>
        </w:tc>
      </w:tr>
    </w:tbl>
    <w:p>
      <w:pPr>
        <w:pStyle w:val="21"/>
        <w:spacing w:line="400" w:lineRule="exact"/>
        <w:ind w:firstLine="420" w:firstLineChars="200"/>
        <w:rPr>
          <w:rFonts w:hint="eastAsia" w:ascii="宋体" w:hAnsi="宋体" w:cs="宋体"/>
          <w:b w:val="0"/>
          <w:bCs w:val="0"/>
          <w:color w:val="auto"/>
          <w:sz w:val="21"/>
          <w:szCs w:val="21"/>
        </w:rPr>
      </w:pPr>
    </w:p>
    <w:p>
      <w:pPr>
        <w:pStyle w:val="21"/>
        <w:spacing w:line="400" w:lineRule="exact"/>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（二）符合性审查</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依据招标文件的规定，从投标人投标文件的有效性、完整性和对招标文件的响应程度进行审查，以确定是否对招标文件的实质性要求作出响应。</w:t>
      </w:r>
    </w:p>
    <w:p>
      <w:pPr>
        <w:pStyle w:val="10"/>
        <w:numPr>
          <w:ilvl w:val="0"/>
          <w:numId w:val="0"/>
        </w:numPr>
        <w:rPr>
          <w:rFonts w:hint="eastAsia" w:ascii="宋体" w:hAnsi="宋体" w:cs="宋体"/>
          <w:color w:val="auto"/>
          <w:szCs w:val="21"/>
        </w:rPr>
      </w:pPr>
    </w:p>
    <w:tbl>
      <w:tblPr>
        <w:tblStyle w:val="39"/>
        <w:tblpPr w:leftFromText="180" w:rightFromText="180" w:vertAnchor="text" w:horzAnchor="page" w:tblpX="1709" w:tblpY="177"/>
        <w:tblOverlap w:val="never"/>
        <w:tblW w:w="90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5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1551" w:type="dxa"/>
            <w:noWrap w:val="0"/>
            <w:vAlign w:val="center"/>
          </w:tcPr>
          <w:p>
            <w:pPr>
              <w:spacing w:line="400" w:lineRule="exact"/>
              <w:jc w:val="center"/>
              <w:rPr>
                <w:rFonts w:hint="eastAsia" w:ascii="宋体" w:hAnsi="宋体" w:cs="宋体"/>
                <w:b/>
                <w:bCs/>
                <w:color w:val="auto"/>
                <w:szCs w:val="21"/>
              </w:rPr>
            </w:pPr>
            <w:r>
              <w:rPr>
                <w:rFonts w:hint="eastAsia" w:ascii="宋体" w:hAnsi="宋体" w:cs="宋体"/>
                <w:b/>
                <w:bCs/>
                <w:color w:val="auto"/>
                <w:szCs w:val="21"/>
              </w:rPr>
              <w:t>审查类别</w:t>
            </w:r>
          </w:p>
        </w:tc>
        <w:tc>
          <w:tcPr>
            <w:tcW w:w="7548" w:type="dxa"/>
            <w:noWrap w:val="0"/>
            <w:vAlign w:val="center"/>
          </w:tcPr>
          <w:p>
            <w:pPr>
              <w:spacing w:line="400" w:lineRule="exact"/>
              <w:jc w:val="center"/>
              <w:rPr>
                <w:rFonts w:hint="eastAsia" w:ascii="宋体" w:hAnsi="宋体" w:cs="宋体"/>
                <w:b/>
                <w:bCs/>
                <w:color w:val="auto"/>
                <w:szCs w:val="21"/>
              </w:rPr>
            </w:pPr>
            <w:r>
              <w:rPr>
                <w:rFonts w:hint="eastAsia" w:ascii="宋体" w:hAnsi="宋体" w:cs="宋体"/>
                <w:b/>
                <w:bCs/>
                <w:color w:val="auto"/>
                <w:szCs w:val="21"/>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restart"/>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符合性审查</w:t>
            </w:r>
          </w:p>
        </w:tc>
        <w:tc>
          <w:tcPr>
            <w:tcW w:w="7548" w:type="dxa"/>
            <w:noWrap w:val="0"/>
            <w:vAlign w:val="top"/>
          </w:tcPr>
          <w:p>
            <w:pPr>
              <w:spacing w:line="400" w:lineRule="exact"/>
              <w:rPr>
                <w:rFonts w:hint="eastAsia" w:ascii="宋体" w:hAnsi="宋体" w:cs="宋体"/>
                <w:color w:val="auto"/>
                <w:szCs w:val="21"/>
              </w:rPr>
            </w:pPr>
            <w:r>
              <w:rPr>
                <w:rFonts w:hint="eastAsia" w:hAnsi="宋体" w:cs="宋体"/>
                <w:bCs/>
                <w:color w:val="auto"/>
                <w:sz w:val="21"/>
                <w:szCs w:val="21"/>
              </w:rPr>
              <w:t>投标文件未按招标文件要求签署、签章</w:t>
            </w:r>
            <w:r>
              <w:rPr>
                <w:rFonts w:hint="eastAsia" w:hAnsi="宋体" w:cs="宋体"/>
                <w:bCs/>
                <w:color w:val="auto"/>
                <w:sz w:val="21"/>
                <w:szCs w:val="21"/>
                <w:lang w:val="en-US" w:eastAsia="zh-CN"/>
              </w:rPr>
              <w:t>影响投标文件效力的</w:t>
            </w:r>
            <w:r>
              <w:rPr>
                <w:rFonts w:hint="eastAsia" w:ascii="宋体" w:hAnsi="宋体" w:cs="宋体"/>
                <w:color w:val="auto"/>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noWrap w:val="0"/>
            <w:vAlign w:val="top"/>
          </w:tcPr>
          <w:p>
            <w:pPr>
              <w:spacing w:line="400" w:lineRule="exact"/>
              <w:rPr>
                <w:rFonts w:hint="eastAsia" w:ascii="宋体" w:hAnsi="宋体" w:cs="宋体"/>
                <w:color w:val="auto"/>
                <w:szCs w:val="21"/>
              </w:rPr>
            </w:pPr>
          </w:p>
        </w:tc>
        <w:tc>
          <w:tcPr>
            <w:tcW w:w="7548" w:type="dxa"/>
            <w:noWrap w:val="0"/>
            <w:vAlign w:val="top"/>
          </w:tcPr>
          <w:p>
            <w:pPr>
              <w:spacing w:line="400" w:lineRule="exact"/>
              <w:rPr>
                <w:rFonts w:hint="eastAsia" w:ascii="宋体" w:hAnsi="宋体" w:eastAsia="宋体" w:cs="宋体"/>
                <w:color w:val="auto"/>
                <w:szCs w:val="21"/>
                <w:lang w:eastAsia="zh-CN"/>
              </w:rPr>
            </w:pPr>
            <w:r>
              <w:rPr>
                <w:rFonts w:hint="eastAsia" w:hAnsi="宋体" w:cs="宋体"/>
                <w:bCs/>
                <w:color w:val="auto"/>
                <w:sz w:val="21"/>
                <w:szCs w:val="21"/>
              </w:rPr>
              <w:t>投标有效期不满足招标文件要求的</w:t>
            </w:r>
            <w:r>
              <w:rPr>
                <w:rFonts w:hint="eastAsia" w:hAnsi="宋体" w:cs="宋体"/>
                <w:bCs/>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noWrap w:val="0"/>
            <w:vAlign w:val="top"/>
          </w:tcPr>
          <w:p>
            <w:pPr>
              <w:spacing w:line="400" w:lineRule="exact"/>
              <w:rPr>
                <w:rFonts w:hint="eastAsia" w:ascii="宋体" w:hAnsi="宋体" w:cs="宋体"/>
                <w:color w:val="auto"/>
                <w:szCs w:val="21"/>
              </w:rPr>
            </w:pPr>
          </w:p>
        </w:tc>
        <w:tc>
          <w:tcPr>
            <w:tcW w:w="7548" w:type="dxa"/>
            <w:noWrap w:val="0"/>
            <w:vAlign w:val="top"/>
          </w:tcPr>
          <w:p>
            <w:pPr>
              <w:spacing w:line="400" w:lineRule="exact"/>
              <w:rPr>
                <w:rFonts w:hint="eastAsia" w:ascii="宋体" w:hAnsi="宋体" w:cs="宋体"/>
                <w:color w:val="auto"/>
                <w:szCs w:val="21"/>
              </w:rPr>
            </w:pPr>
            <w:r>
              <w:rPr>
                <w:rFonts w:hint="eastAsia" w:hAnsi="宋体" w:cs="宋体"/>
                <w:bCs/>
                <w:snapToGrid w:val="0"/>
                <w:color w:val="auto"/>
                <w:sz w:val="21"/>
                <w:szCs w:val="21"/>
              </w:rPr>
              <w:t>明显不符合招标文件要求的，或者与</w:t>
            </w:r>
            <w:r>
              <w:rPr>
                <w:rFonts w:hint="eastAsia" w:hAnsi="宋体" w:cs="宋体"/>
                <w:bCs/>
                <w:color w:val="auto"/>
                <w:sz w:val="21"/>
                <w:szCs w:val="21"/>
              </w:rPr>
              <w:t>招标文件中标注“*”的条款发生实质性负偏离的；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noWrap w:val="0"/>
            <w:vAlign w:val="top"/>
          </w:tcPr>
          <w:p>
            <w:pPr>
              <w:spacing w:line="400" w:lineRule="exact"/>
              <w:rPr>
                <w:rFonts w:hint="eastAsia" w:ascii="宋体" w:hAnsi="宋体" w:cs="宋体"/>
                <w:color w:val="auto"/>
                <w:szCs w:val="21"/>
              </w:rPr>
            </w:pPr>
          </w:p>
        </w:tc>
        <w:tc>
          <w:tcPr>
            <w:tcW w:w="7548" w:type="dxa"/>
            <w:noWrap w:val="0"/>
            <w:vAlign w:val="top"/>
          </w:tcPr>
          <w:p>
            <w:pPr>
              <w:spacing w:line="400" w:lineRule="exact"/>
              <w:rPr>
                <w:rFonts w:hint="eastAsia" w:ascii="宋体" w:hAnsi="宋体" w:cs="宋体"/>
                <w:color w:val="auto"/>
                <w:szCs w:val="21"/>
              </w:rPr>
            </w:pPr>
            <w:r>
              <w:rPr>
                <w:rFonts w:hint="eastAsia" w:hAnsi="宋体" w:cs="宋体"/>
                <w:bCs/>
                <w:color w:val="auto"/>
                <w:sz w:val="21"/>
                <w:szCs w:val="21"/>
              </w:rPr>
              <w:t>投标文件中含有采购人不能接受的附加条件的；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noWrap w:val="0"/>
            <w:vAlign w:val="top"/>
          </w:tcPr>
          <w:p>
            <w:pPr>
              <w:spacing w:line="400" w:lineRule="exact"/>
              <w:rPr>
                <w:rFonts w:hint="eastAsia" w:ascii="宋体" w:hAnsi="宋体" w:cs="宋体"/>
                <w:color w:val="auto"/>
                <w:szCs w:val="21"/>
              </w:rPr>
            </w:pPr>
          </w:p>
        </w:tc>
        <w:tc>
          <w:tcPr>
            <w:tcW w:w="7548" w:type="dxa"/>
            <w:noWrap w:val="0"/>
            <w:vAlign w:val="top"/>
          </w:tcPr>
          <w:p>
            <w:pPr>
              <w:spacing w:line="400" w:lineRule="exact"/>
              <w:rPr>
                <w:rFonts w:hint="eastAsia" w:ascii="宋体" w:hAnsi="宋体" w:cs="宋体"/>
                <w:color w:val="auto"/>
                <w:szCs w:val="21"/>
              </w:rPr>
            </w:pPr>
            <w:r>
              <w:rPr>
                <w:rFonts w:hint="eastAsia" w:hAnsi="宋体" w:cs="宋体"/>
                <w:bCs/>
                <w:color w:val="auto"/>
                <w:sz w:val="21"/>
                <w:szCs w:val="21"/>
              </w:rPr>
              <w:t>法律、法规和招标文件规定的其他无效情形。</w:t>
            </w:r>
          </w:p>
        </w:tc>
      </w:tr>
    </w:tbl>
    <w:p>
      <w:pPr>
        <w:pStyle w:val="10"/>
        <w:numPr>
          <w:ilvl w:val="0"/>
          <w:numId w:val="0"/>
        </w:numPr>
        <w:ind w:left="420"/>
        <w:rPr>
          <w:rFonts w:hint="eastAsia" w:ascii="宋体" w:hAnsi="宋体" w:cs="宋体"/>
          <w:color w:val="auto"/>
        </w:rPr>
      </w:pPr>
    </w:p>
    <w:p>
      <w:pPr>
        <w:pStyle w:val="21"/>
        <w:spacing w:line="400" w:lineRule="exact"/>
        <w:ind w:left="473" w:firstLine="0" w:firstLineChars="0"/>
        <w:rPr>
          <w:rFonts w:hint="eastAsia" w:ascii="宋体" w:hAnsi="宋体" w:cs="宋体"/>
          <w:b w:val="0"/>
          <w:bCs w:val="0"/>
          <w:color w:val="auto"/>
          <w:sz w:val="21"/>
          <w:szCs w:val="21"/>
        </w:rPr>
      </w:pPr>
      <w:r>
        <w:rPr>
          <w:rFonts w:hint="eastAsia" w:ascii="宋体" w:hAnsi="宋体" w:cs="宋体"/>
          <w:b w:val="0"/>
          <w:bCs w:val="0"/>
          <w:color w:val="auto"/>
          <w:sz w:val="21"/>
          <w:szCs w:val="21"/>
        </w:rPr>
        <w:t>（三）澄清问题</w:t>
      </w:r>
    </w:p>
    <w:p>
      <w:pPr>
        <w:pStyle w:val="21"/>
        <w:spacing w:line="400" w:lineRule="exact"/>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对于投标文件中含义不明确、同类问题表述不一致或者有明显文字和计算错误的内容，评标委员会可要求投标人以书面形式作出必要的澄清、说明或者补正。</w:t>
      </w:r>
    </w:p>
    <w:p>
      <w:pPr>
        <w:pStyle w:val="21"/>
        <w:spacing w:line="400" w:lineRule="exact"/>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21"/>
        <w:spacing w:line="400" w:lineRule="exact"/>
        <w:ind w:left="473" w:firstLine="0" w:firstLineChars="0"/>
        <w:rPr>
          <w:rFonts w:hint="eastAsia" w:ascii="宋体" w:hAnsi="宋体" w:cs="宋体"/>
          <w:b w:val="0"/>
          <w:bCs w:val="0"/>
          <w:color w:val="auto"/>
          <w:sz w:val="21"/>
          <w:szCs w:val="21"/>
        </w:rPr>
      </w:pPr>
      <w:r>
        <w:rPr>
          <w:rFonts w:hint="eastAsia" w:ascii="宋体" w:hAnsi="宋体" w:cs="宋体"/>
          <w:b w:val="0"/>
          <w:bCs w:val="0"/>
          <w:color w:val="auto"/>
          <w:sz w:val="21"/>
          <w:szCs w:val="21"/>
        </w:rPr>
        <w:t>（四）详细评审</w:t>
      </w:r>
    </w:p>
    <w:p>
      <w:pPr>
        <w:pStyle w:val="21"/>
        <w:spacing w:line="400" w:lineRule="exact"/>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注：评标委员会认为投标文件无效的，应组织相关投标人代表进行陈述、澄清或申辩。</w:t>
      </w:r>
    </w:p>
    <w:p>
      <w:pPr>
        <w:widowControl/>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采购代理机构可协助评标委员会主任评委对打分结果进行校对、核对并汇总统计。对明显畸高、畸低的评分（其总评分偏离平均分30%以上的），评标委员会主任评委应提醒相关评标委员会成员进行复核或书面说明理由，评标委员会成员拒绝说明的，由现场监督员据实记录。评标委员会成员的评审、修改记录应保留原件，随项目其他资料一并存档。</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（五）中标原则</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评标委员会根据投标人的综合得分高低排定顺序，推荐综合得分排名第一的投标人为本项目的中标候选人。如投标人综合得分相同则价格低者优先中标；若技术商务得分与报价分皆相同，则由投标人随机抽签决定。如评标过程中出现本招标文件未尽事宜，则由评标委员会讨论决定。</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（六）中标结果</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采购代理机构将中标结果在政府采购指定媒体上公示，并在公示期结束后向中标人发出中标通知书。</w:t>
      </w:r>
    </w:p>
    <w:p>
      <w:pPr>
        <w:rPr>
          <w:rFonts w:hint="eastAsia"/>
          <w:b/>
          <w:bCs/>
          <w:color w:val="auto"/>
        </w:rPr>
      </w:pPr>
      <w:bookmarkStart w:id="271" w:name="_Toc10171"/>
      <w:bookmarkStart w:id="272" w:name="_Toc17707960"/>
      <w:bookmarkStart w:id="273" w:name="_Toc51446761"/>
      <w:bookmarkStart w:id="274" w:name="_Toc4938"/>
      <w:bookmarkStart w:id="275" w:name="_Toc249866767"/>
      <w:bookmarkStart w:id="276" w:name="_Toc259108323"/>
      <w:bookmarkStart w:id="277" w:name="_Toc20275"/>
      <w:bookmarkStart w:id="278" w:name="_Toc79395482"/>
      <w:r>
        <w:rPr>
          <w:rFonts w:hint="eastAsia"/>
          <w:b/>
          <w:bCs/>
          <w:color w:val="auto"/>
        </w:rPr>
        <w:t>五、投标无效的情形</w:t>
      </w:r>
      <w:bookmarkEnd w:id="271"/>
      <w:bookmarkEnd w:id="272"/>
      <w:bookmarkEnd w:id="273"/>
      <w:bookmarkEnd w:id="274"/>
      <w:bookmarkEnd w:id="275"/>
      <w:bookmarkEnd w:id="276"/>
      <w:bookmarkEnd w:id="277"/>
      <w:bookmarkEnd w:id="278"/>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没有响应招标文件实质性要求的投标将被视为无效投标。投标人不得通过修正或撤消不合要求的偏离或保留从而使其投标成为实质上响应的投标。</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（一）在资格审查时，不具备招标文件中规定的资格要求的，或者资格证明文件不全的，投标文件将被视为无效。</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（二）在符合性审查时，如发现下列情形之一的，投标文件将被视为无效：</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1.投标文件未按招标文件要求签署、签章影响投标文件效力的；</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2.投标有效期不满足招标文件要求的；</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3.明显不符合招标文件要求的，或者与招标文件中标注“*”的条款发生实质性负偏离的；</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4.投标文件中含有采购人不能接受的附加条件的；</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5.法律、法规和招标文件规定的其他无效情形。</w:t>
      </w:r>
    </w:p>
    <w:p>
      <w:pPr>
        <w:pStyle w:val="15"/>
        <w:widowControl/>
        <w:spacing w:line="400" w:lineRule="exact"/>
        <w:ind w:firstLine="395" w:firstLineChars="196"/>
        <w:jc w:val="left"/>
        <w:rPr>
          <w:rFonts w:hint="eastAsia" w:hAnsi="宋体" w:cs="宋体"/>
          <w:bCs/>
          <w:color w:val="auto"/>
          <w:sz w:val="21"/>
          <w:szCs w:val="21"/>
        </w:rPr>
      </w:pPr>
      <w:r>
        <w:rPr>
          <w:rFonts w:hint="eastAsia" w:hAnsi="宋体" w:cs="宋体"/>
          <w:bCs/>
          <w:color w:val="auto"/>
          <w:sz w:val="21"/>
          <w:szCs w:val="21"/>
        </w:rPr>
        <w:t>（三）在技术商务评审时，如发现下列情形之一的，投标文件将被视为无效：</w:t>
      </w:r>
    </w:p>
    <w:p>
      <w:pPr>
        <w:pStyle w:val="15"/>
        <w:widowControl/>
        <w:spacing w:line="400" w:lineRule="exact"/>
        <w:ind w:firstLine="404" w:firstLineChars="200"/>
        <w:jc w:val="left"/>
        <w:rPr>
          <w:rFonts w:hint="eastAsia" w:hAnsi="宋体" w:cs="宋体"/>
          <w:bCs/>
          <w:color w:val="auto"/>
          <w:sz w:val="21"/>
          <w:szCs w:val="21"/>
        </w:rPr>
      </w:pPr>
      <w:r>
        <w:rPr>
          <w:rFonts w:hint="eastAsia" w:hAnsi="宋体" w:cs="宋体"/>
          <w:bCs/>
          <w:color w:val="auto"/>
          <w:sz w:val="21"/>
          <w:szCs w:val="21"/>
        </w:rPr>
        <w:t>1.未提供或未如实提供投标服务需求，或者投标文件标明的响应或偏离与事实不符或虚假投标的；</w:t>
      </w:r>
    </w:p>
    <w:p>
      <w:pPr>
        <w:pStyle w:val="15"/>
        <w:widowControl/>
        <w:spacing w:line="400" w:lineRule="exact"/>
        <w:ind w:firstLine="399" w:firstLineChars="198"/>
        <w:jc w:val="left"/>
        <w:rPr>
          <w:rFonts w:hint="eastAsia" w:hAnsi="宋体" w:cs="宋体"/>
          <w:bCs/>
          <w:color w:val="auto"/>
          <w:sz w:val="21"/>
          <w:szCs w:val="21"/>
        </w:rPr>
      </w:pPr>
      <w:r>
        <w:rPr>
          <w:rFonts w:hint="eastAsia" w:hAnsi="宋体" w:cs="宋体"/>
          <w:bCs/>
          <w:color w:val="auto"/>
          <w:sz w:val="21"/>
          <w:szCs w:val="21"/>
        </w:rPr>
        <w:t>2.投标技术方案不明确，存在一个或一个以上备选（替代）投标方案的（招标文件允许有备选方案参加投标的除外）。</w:t>
      </w:r>
    </w:p>
    <w:p>
      <w:pPr>
        <w:pStyle w:val="15"/>
        <w:widowControl/>
        <w:spacing w:line="400" w:lineRule="exact"/>
        <w:ind w:firstLine="399" w:firstLineChars="198"/>
        <w:jc w:val="left"/>
        <w:rPr>
          <w:rFonts w:hint="eastAsia" w:hAnsi="宋体" w:cs="宋体"/>
          <w:bCs/>
          <w:color w:val="auto"/>
          <w:sz w:val="21"/>
          <w:szCs w:val="21"/>
        </w:rPr>
      </w:pPr>
      <w:r>
        <w:rPr>
          <w:rFonts w:hint="eastAsia" w:hAnsi="宋体" w:cs="宋体"/>
          <w:bCs/>
          <w:color w:val="auto"/>
          <w:sz w:val="21"/>
          <w:szCs w:val="21"/>
        </w:rPr>
        <w:t>（四）在报价评审时，如发现下列情形之一的，投标文件将被视为无效：</w:t>
      </w:r>
    </w:p>
    <w:p>
      <w:pPr>
        <w:pStyle w:val="15"/>
        <w:widowControl/>
        <w:spacing w:line="400" w:lineRule="exact"/>
        <w:ind w:left="400" w:firstLine="0"/>
        <w:jc w:val="left"/>
        <w:rPr>
          <w:rFonts w:hint="eastAsia" w:hAnsi="宋体" w:eastAsia="宋体" w:cs="宋体"/>
          <w:bCs/>
          <w:color w:val="auto"/>
          <w:sz w:val="21"/>
          <w:szCs w:val="21"/>
        </w:rPr>
      </w:pPr>
      <w:r>
        <w:rPr>
          <w:rFonts w:hint="eastAsia" w:hAnsi="宋体" w:eastAsia="宋体" w:cs="宋体"/>
          <w:bCs/>
          <w:color w:val="auto"/>
          <w:sz w:val="21"/>
          <w:szCs w:val="21"/>
          <w:lang w:val="en-US" w:eastAsia="zh-CN"/>
        </w:rPr>
        <w:t>1.</w:t>
      </w:r>
      <w:r>
        <w:rPr>
          <w:rFonts w:hint="eastAsia" w:hAnsi="宋体" w:eastAsia="宋体" w:cs="宋体"/>
          <w:bCs/>
          <w:color w:val="auto"/>
          <w:sz w:val="21"/>
          <w:szCs w:val="21"/>
        </w:rPr>
        <w:t>报价超过招标文件中规定的预算金额或者最高限价的；</w:t>
      </w:r>
    </w:p>
    <w:p>
      <w:pPr>
        <w:pStyle w:val="15"/>
        <w:widowControl/>
        <w:spacing w:line="400" w:lineRule="exact"/>
        <w:ind w:left="400" w:firstLine="0"/>
        <w:jc w:val="left"/>
        <w:rPr>
          <w:rFonts w:hint="eastAsia" w:hAnsi="宋体" w:eastAsia="宋体" w:cs="宋体"/>
          <w:bCs/>
          <w:color w:val="auto"/>
          <w:sz w:val="21"/>
          <w:szCs w:val="21"/>
        </w:rPr>
      </w:pPr>
      <w:r>
        <w:rPr>
          <w:rFonts w:hint="eastAsia" w:hAnsi="宋体" w:eastAsia="宋体" w:cs="宋体"/>
          <w:bCs/>
          <w:color w:val="auto"/>
          <w:sz w:val="21"/>
          <w:szCs w:val="21"/>
          <w:lang w:val="en-US" w:eastAsia="zh-CN"/>
        </w:rPr>
        <w:t>2.</w:t>
      </w:r>
      <w:r>
        <w:rPr>
          <w:rFonts w:hint="eastAsia" w:hAnsi="宋体" w:eastAsia="宋体" w:cs="宋体"/>
          <w:bCs/>
          <w:color w:val="auto"/>
          <w:sz w:val="21"/>
          <w:szCs w:val="21"/>
        </w:rPr>
        <w:t>未采用投标文件要求的报价形式报价的；</w:t>
      </w:r>
    </w:p>
    <w:p>
      <w:pPr>
        <w:pStyle w:val="15"/>
        <w:widowControl/>
        <w:spacing w:line="400" w:lineRule="exact"/>
        <w:ind w:left="400" w:firstLine="0"/>
        <w:jc w:val="left"/>
        <w:rPr>
          <w:rFonts w:hint="eastAsia" w:hAnsi="宋体" w:eastAsia="宋体" w:cs="宋体"/>
          <w:bCs/>
          <w:color w:val="auto"/>
          <w:sz w:val="21"/>
          <w:szCs w:val="21"/>
        </w:rPr>
      </w:pPr>
      <w:r>
        <w:rPr>
          <w:rFonts w:hint="eastAsia" w:hAnsi="宋体" w:eastAsia="宋体" w:cs="宋体"/>
          <w:bCs/>
          <w:color w:val="auto"/>
          <w:sz w:val="21"/>
          <w:szCs w:val="21"/>
          <w:lang w:val="en-US" w:eastAsia="zh-CN"/>
        </w:rPr>
        <w:t>3.</w:t>
      </w:r>
      <w:r>
        <w:rPr>
          <w:rFonts w:hint="eastAsia" w:hAnsi="宋体" w:eastAsia="宋体" w:cs="宋体"/>
          <w:bCs/>
          <w:color w:val="auto"/>
          <w:sz w:val="21"/>
          <w:szCs w:val="21"/>
        </w:rPr>
        <w:t>投标报价具有选择性；</w:t>
      </w:r>
    </w:p>
    <w:p>
      <w:pPr>
        <w:pStyle w:val="15"/>
        <w:widowControl/>
        <w:spacing w:line="400" w:lineRule="exact"/>
        <w:ind w:left="400" w:firstLine="0"/>
        <w:jc w:val="left"/>
        <w:rPr>
          <w:rFonts w:hint="eastAsia" w:hAnsi="宋体" w:eastAsia="宋体" w:cs="宋体"/>
          <w:bCs/>
          <w:color w:val="auto"/>
          <w:sz w:val="21"/>
          <w:szCs w:val="21"/>
        </w:rPr>
      </w:pPr>
      <w:r>
        <w:rPr>
          <w:rFonts w:hint="eastAsia" w:hAnsi="宋体" w:eastAsia="宋体" w:cs="宋体"/>
          <w:bCs/>
          <w:color w:val="auto"/>
          <w:sz w:val="21"/>
          <w:szCs w:val="21"/>
          <w:lang w:val="en-US" w:eastAsia="zh-CN"/>
        </w:rPr>
        <w:t>4.</w:t>
      </w:r>
      <w:r>
        <w:rPr>
          <w:rFonts w:hint="eastAsia" w:hAnsi="宋体" w:eastAsia="宋体" w:cs="宋体"/>
          <w:bCs/>
          <w:color w:val="auto"/>
          <w:sz w:val="21"/>
          <w:szCs w:val="21"/>
        </w:rPr>
        <w:t>投标报价中出现重大缺项、漏项或者评标委员会认为投标人的报价明显低于其它通过符合性审查投标人的报价，且投标人不能证明其报价合理性的；</w:t>
      </w:r>
    </w:p>
    <w:p>
      <w:pPr>
        <w:pStyle w:val="15"/>
        <w:widowControl/>
        <w:spacing w:line="400" w:lineRule="exact"/>
        <w:ind w:left="400" w:firstLine="0"/>
        <w:jc w:val="left"/>
        <w:rPr>
          <w:rFonts w:hint="eastAsia" w:hAnsi="宋体" w:eastAsia="宋体" w:cs="宋体"/>
          <w:bCs/>
          <w:color w:val="auto"/>
          <w:sz w:val="21"/>
          <w:szCs w:val="21"/>
        </w:rPr>
      </w:pPr>
      <w:r>
        <w:rPr>
          <w:rFonts w:hint="eastAsia" w:hAnsi="宋体" w:eastAsia="宋体" w:cs="宋体"/>
          <w:bCs/>
          <w:color w:val="auto"/>
          <w:sz w:val="21"/>
          <w:szCs w:val="21"/>
          <w:lang w:val="en-US" w:eastAsia="zh-CN"/>
        </w:rPr>
        <w:t>5.</w:t>
      </w:r>
      <w:r>
        <w:rPr>
          <w:rFonts w:hint="eastAsia" w:hAnsi="宋体" w:eastAsia="宋体" w:cs="宋体"/>
          <w:bCs/>
          <w:color w:val="auto"/>
          <w:sz w:val="21"/>
          <w:szCs w:val="21"/>
        </w:rPr>
        <w:t>法律、法规和招标文件规定的其他无效情形。</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（五）被拒绝的投标文件为无效。</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（六）不同投标人的投标文件出自同一终端设备或在相同Internet主机分配地址（相同IP地址）网上报名投标或上传投标文件，其投标文件为无效。</w:t>
      </w:r>
    </w:p>
    <w:p>
      <w:pPr>
        <w:widowControl/>
        <w:jc w:val="left"/>
        <w:rPr>
          <w:rFonts w:hint="eastAsia" w:ascii="宋体" w:hAnsi="宋体" w:cs="宋体"/>
          <w:color w:val="auto"/>
          <w:szCs w:val="21"/>
        </w:rPr>
      </w:pPr>
    </w:p>
    <w:p>
      <w:pPr>
        <w:outlineLvl w:val="9"/>
        <w:rPr>
          <w:rFonts w:hint="eastAsia" w:ascii="宋体" w:hAnsi="宋体" w:cs="宋体"/>
          <w:color w:val="auto"/>
          <w:szCs w:val="21"/>
        </w:rPr>
      </w:pPr>
    </w:p>
    <w:p>
      <w:pPr>
        <w:rPr>
          <w:rFonts w:hint="eastAsia"/>
          <w:color w:val="auto"/>
        </w:rPr>
      </w:pPr>
    </w:p>
    <w:p>
      <w:pPr>
        <w:pStyle w:val="31"/>
        <w:ind w:left="420"/>
        <w:rPr>
          <w:rFonts w:hint="eastAsia" w:ascii="宋体" w:hAnsi="宋体" w:cs="宋体"/>
          <w:color w:val="auto"/>
        </w:rPr>
      </w:pPr>
    </w:p>
    <w:p>
      <w:pPr>
        <w:numPr>
          <w:ilvl w:val="0"/>
          <w:numId w:val="21"/>
        </w:numPr>
        <w:spacing w:line="360" w:lineRule="auto"/>
        <w:rPr>
          <w:rFonts w:hint="eastAsia" w:ascii="宋体" w:hAnsi="宋体" w:cs="宋体"/>
          <w:b/>
          <w:bCs/>
          <w:color w:val="auto"/>
          <w:szCs w:val="21"/>
        </w:rPr>
        <w:sectPr>
          <w:footerReference r:id="rId8" w:type="default"/>
          <w:pgSz w:w="11907" w:h="16840"/>
          <w:pgMar w:top="1440" w:right="1519" w:bottom="1440" w:left="1519" w:header="720" w:footer="720" w:gutter="0"/>
          <w:pgBorders>
            <w:top w:val="none" w:sz="0" w:space="0"/>
            <w:left w:val="none" w:sz="0" w:space="0"/>
            <w:bottom w:val="none" w:sz="0" w:space="0"/>
            <w:right w:val="none" w:sz="0" w:space="0"/>
          </w:pgBorders>
          <w:cols w:space="720" w:num="1"/>
          <w:docGrid w:linePitch="285" w:charSpace="0"/>
        </w:sectPr>
      </w:pPr>
      <w:bookmarkStart w:id="279" w:name="_Toc28345"/>
      <w:bookmarkStart w:id="280" w:name="_Toc7045"/>
      <w:bookmarkStart w:id="281" w:name="_Toc17707961"/>
      <w:bookmarkStart w:id="282" w:name="_Toc79395483"/>
      <w:bookmarkStart w:id="283" w:name="_Toc27740"/>
    </w:p>
    <w:p>
      <w:pPr>
        <w:numPr>
          <w:ilvl w:val="0"/>
          <w:numId w:val="21"/>
        </w:numPr>
        <w:spacing w:line="360" w:lineRule="auto"/>
        <w:rPr>
          <w:rFonts w:hint="eastAsia" w:ascii="宋体" w:hAnsi="宋体" w:cs="宋体"/>
          <w:b/>
          <w:bCs/>
          <w:color w:val="auto"/>
          <w:szCs w:val="21"/>
        </w:rPr>
      </w:pPr>
      <w:r>
        <w:rPr>
          <w:rFonts w:hint="eastAsia" w:ascii="宋体" w:hAnsi="宋体" w:cs="宋体"/>
          <w:b/>
          <w:bCs/>
          <w:color w:val="auto"/>
          <w:szCs w:val="21"/>
        </w:rPr>
        <w:t xml:space="preserve">评 分 标 准 </w:t>
      </w:r>
      <w:bookmarkEnd w:id="279"/>
      <w:bookmarkEnd w:id="280"/>
      <w:bookmarkEnd w:id="281"/>
      <w:bookmarkEnd w:id="282"/>
      <w:bookmarkEnd w:id="283"/>
    </w:p>
    <w:tbl>
      <w:tblPr>
        <w:tblStyle w:val="39"/>
        <w:tblW w:w="10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77"/>
        <w:gridCol w:w="7501"/>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9288" w:type="dxa"/>
            <w:gridSpan w:val="3"/>
            <w:tcBorders>
              <w:top w:val="single" w:color="auto" w:sz="4" w:space="0"/>
              <w:left w:val="single" w:color="auto" w:sz="4" w:space="0"/>
              <w:bottom w:val="single" w:color="auto" w:sz="4" w:space="0"/>
              <w:right w:val="single" w:color="auto" w:sz="2" w:space="0"/>
            </w:tcBorders>
            <w:noWrap w:val="0"/>
            <w:vAlign w:val="center"/>
          </w:tcPr>
          <w:p>
            <w:pPr>
              <w:spacing w:before="156" w:beforeLines="50" w:line="360" w:lineRule="auto"/>
              <w:jc w:val="center"/>
              <w:rPr>
                <w:rFonts w:ascii="宋体" w:hAnsi="Times New Roman" w:cs="宋体"/>
                <w:color w:val="auto"/>
              </w:rPr>
            </w:pPr>
            <w:bookmarkStart w:id="284" w:name="_Toc460857932"/>
            <w:bookmarkStart w:id="285" w:name="_Toc79395468"/>
            <w:bookmarkStart w:id="286" w:name="_Toc24648"/>
            <w:bookmarkStart w:id="287" w:name="_Toc17707945"/>
            <w:bookmarkStart w:id="288" w:name="_Toc13155"/>
            <w:bookmarkStart w:id="289" w:name="_Toc20559"/>
            <w:r>
              <w:rPr>
                <w:rFonts w:hint="eastAsia" w:ascii="宋体" w:hAnsi="宋体" w:cs="宋体"/>
                <w:b/>
                <w:bCs/>
                <w:color w:val="auto"/>
              </w:rPr>
              <w:t>评分表(兼评委打分表)</w:t>
            </w:r>
            <w:r>
              <w:rPr>
                <w:rFonts w:hint="eastAsia" w:ascii="宋体" w:hAnsi="宋体" w:cs="宋体"/>
                <w:b/>
                <w:bCs/>
                <w:snapToGrid w:val="0"/>
                <w:color w:val="auto"/>
                <w:spacing w:val="-4"/>
              </w:rPr>
              <w:t>评分项及分值</w:t>
            </w:r>
          </w:p>
        </w:tc>
        <w:tc>
          <w:tcPr>
            <w:tcW w:w="854" w:type="dxa"/>
            <w:tcBorders>
              <w:top w:val="single" w:color="auto" w:sz="4" w:space="0"/>
              <w:left w:val="single" w:color="auto" w:sz="4" w:space="0"/>
              <w:bottom w:val="single" w:color="auto" w:sz="4" w:space="0"/>
              <w:right w:val="single" w:color="auto" w:sz="2" w:space="0"/>
            </w:tcBorders>
            <w:noWrap w:val="0"/>
            <w:vAlign w:val="top"/>
          </w:tcPr>
          <w:p>
            <w:pPr>
              <w:spacing w:before="156" w:beforeLines="50" w:line="360" w:lineRule="auto"/>
              <w:jc w:val="center"/>
              <w:rPr>
                <w:rFonts w:ascii="宋体" w:hAnsi="宋体" w:cs="宋体"/>
                <w:snapToGrid w:val="0"/>
                <w:color w:val="auto"/>
                <w:spacing w:val="-4"/>
              </w:rPr>
            </w:pPr>
            <w:r>
              <w:rPr>
                <w:rFonts w:hint="eastAsia" w:ascii="宋体" w:hAnsi="宋体" w:cs="宋体"/>
                <w:snapToGrid w:val="0"/>
                <w:color w:val="auto"/>
                <w:spacing w:val="-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710" w:type="dxa"/>
            <w:vMerge w:val="restart"/>
            <w:tcBorders>
              <w:top w:val="single" w:color="auto" w:sz="4" w:space="0"/>
              <w:left w:val="single" w:color="auto" w:sz="4" w:space="0"/>
              <w:bottom w:val="single" w:color="auto" w:sz="4" w:space="0"/>
              <w:right w:val="single" w:color="auto" w:sz="2" w:space="0"/>
            </w:tcBorders>
            <w:noWrap w:val="0"/>
            <w:vAlign w:val="center"/>
          </w:tcPr>
          <w:p>
            <w:pPr>
              <w:spacing w:before="156" w:beforeLines="50" w:line="360" w:lineRule="auto"/>
              <w:rPr>
                <w:rFonts w:ascii="宋体" w:hAnsi="宋体" w:cs="宋体"/>
                <w:snapToGrid w:val="0"/>
                <w:color w:val="auto"/>
                <w:spacing w:val="-4"/>
              </w:rPr>
            </w:pPr>
            <w:r>
              <w:rPr>
                <w:rFonts w:hint="eastAsia" w:ascii="宋体" w:hAnsi="宋体" w:cs="宋体"/>
                <w:snapToGrid w:val="0"/>
                <w:color w:val="auto"/>
                <w:spacing w:val="-4"/>
              </w:rPr>
              <w:t>技术商务部分</w:t>
            </w:r>
          </w:p>
          <w:p>
            <w:pPr>
              <w:spacing w:before="156" w:beforeLines="50" w:line="360" w:lineRule="auto"/>
              <w:rPr>
                <w:rFonts w:ascii="宋体" w:hAnsi="Times New Roman" w:cs="宋体"/>
                <w:snapToGrid w:val="0"/>
                <w:color w:val="auto"/>
                <w:spacing w:val="-4"/>
              </w:rPr>
            </w:pPr>
            <w:r>
              <w:rPr>
                <w:rFonts w:hint="eastAsia" w:ascii="宋体" w:hAnsi="宋体" w:cs="宋体"/>
                <w:snapToGrid w:val="0"/>
                <w:color w:val="auto"/>
                <w:spacing w:val="-4"/>
              </w:rPr>
              <w:t>（</w:t>
            </w:r>
            <w:r>
              <w:rPr>
                <w:rFonts w:hint="eastAsia" w:ascii="宋体" w:hAnsi="宋体" w:cs="宋体"/>
                <w:snapToGrid w:val="0"/>
                <w:color w:val="auto"/>
                <w:spacing w:val="-4"/>
                <w:lang w:val="en-US" w:eastAsia="zh-CN"/>
              </w:rPr>
              <w:t>70</w:t>
            </w:r>
            <w:r>
              <w:rPr>
                <w:rFonts w:hint="eastAsia" w:ascii="宋体" w:hAnsi="宋体" w:cs="宋体"/>
                <w:snapToGrid w:val="0"/>
                <w:color w:val="auto"/>
                <w:spacing w:val="-4"/>
              </w:rPr>
              <w:t>分）</w:t>
            </w:r>
          </w:p>
        </w:tc>
        <w:tc>
          <w:tcPr>
            <w:tcW w:w="1077" w:type="dxa"/>
            <w:tcBorders>
              <w:top w:val="single" w:color="auto" w:sz="4" w:space="0"/>
              <w:left w:val="single" w:color="auto" w:sz="4" w:space="0"/>
              <w:bottom w:val="single" w:color="auto" w:sz="4" w:space="0"/>
              <w:right w:val="single" w:color="auto" w:sz="2" w:space="0"/>
            </w:tcBorders>
            <w:noWrap w:val="0"/>
            <w:vAlign w:val="center"/>
          </w:tcPr>
          <w:p>
            <w:pPr>
              <w:rPr>
                <w:rFonts w:ascii="宋体"/>
                <w:color w:val="auto"/>
              </w:rPr>
            </w:pPr>
            <w:r>
              <w:rPr>
                <w:rFonts w:hint="eastAsia" w:ascii="宋体" w:hAnsi="宋体" w:cs="宋体"/>
                <w:color w:val="auto"/>
                <w:szCs w:val="21"/>
                <w:lang w:val="en-US" w:eastAsia="zh-CN"/>
              </w:rPr>
              <w:t>1、</w:t>
            </w:r>
            <w:r>
              <w:rPr>
                <w:rFonts w:hint="eastAsia" w:ascii="宋体" w:hAnsi="宋体" w:cs="宋体"/>
                <w:color w:val="auto"/>
                <w:szCs w:val="21"/>
              </w:rPr>
              <w:t>技术</w:t>
            </w:r>
            <w:r>
              <w:rPr>
                <w:rFonts w:hint="eastAsia" w:ascii="宋体" w:hAnsi="宋体" w:cs="宋体"/>
                <w:color w:val="auto"/>
                <w:szCs w:val="21"/>
                <w:lang w:val="en-US" w:eastAsia="zh-CN"/>
              </w:rPr>
              <w:t>指标</w:t>
            </w:r>
            <w:r>
              <w:rPr>
                <w:rFonts w:hint="eastAsia" w:ascii="宋体" w:hAnsi="宋体" w:cs="宋体"/>
                <w:color w:val="auto"/>
                <w:szCs w:val="21"/>
              </w:rPr>
              <w:t>响应</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pStyle w:val="10"/>
              <w:numPr>
                <w:ilvl w:val="0"/>
                <w:numId w:val="0"/>
              </w:numPr>
              <w:spacing w:line="320" w:lineRule="exact"/>
              <w:ind w:leftChars="0"/>
              <w:jc w:val="both"/>
              <w:rPr>
                <w:rFonts w:hint="eastAsia"/>
                <w:color w:val="auto"/>
                <w:lang w:val="en-US" w:eastAsia="zh-CN"/>
              </w:rPr>
            </w:pPr>
            <w:r>
              <w:rPr>
                <w:rFonts w:hint="eastAsia"/>
                <w:color w:val="auto"/>
                <w:lang w:val="en-US" w:eastAsia="zh-CN"/>
              </w:rPr>
              <w:t>根据投标人提供的技术偏离表响应情况进行打分：</w:t>
            </w:r>
          </w:p>
          <w:p>
            <w:pPr>
              <w:pStyle w:val="10"/>
              <w:numPr>
                <w:ilvl w:val="0"/>
                <w:numId w:val="0"/>
              </w:numPr>
              <w:spacing w:line="320" w:lineRule="exact"/>
              <w:ind w:leftChars="0"/>
              <w:jc w:val="both"/>
              <w:rPr>
                <w:rFonts w:hint="default"/>
                <w:color w:val="auto"/>
                <w:lang w:val="en-US" w:eastAsia="zh-CN"/>
              </w:rPr>
            </w:pPr>
            <w:r>
              <w:rPr>
                <w:rFonts w:hint="eastAsia"/>
                <w:color w:val="auto"/>
                <w:lang w:val="en-US" w:eastAsia="zh-CN"/>
              </w:rPr>
              <w:t>全部满足的得10分，标“★”的技术参数每负偏离一项扣1分，未标“★”的技术参数每负偏离一项扣0.5分，以10分为基数扣完为止；标“★”的技术参数正偏离每项加1分，最高加5分。</w:t>
            </w:r>
          </w:p>
          <w:p>
            <w:pPr>
              <w:rPr>
                <w:rFonts w:hint="eastAsia"/>
                <w:color w:val="auto"/>
                <w:lang w:val="en-US" w:eastAsia="zh-CN"/>
              </w:rPr>
            </w:pPr>
            <w:r>
              <w:rPr>
                <w:rFonts w:hint="eastAsia"/>
                <w:color w:val="auto"/>
                <w:lang w:val="en-US" w:eastAsia="zh-CN"/>
              </w:rPr>
              <w:t>注：标“★”的技术参数负偏离＞5项的，本项得0分。</w:t>
            </w:r>
          </w:p>
          <w:p>
            <w:pPr>
              <w:ind w:firstLine="420" w:firstLineChars="200"/>
              <w:rPr>
                <w:rFonts w:hint="default"/>
                <w:color w:val="auto"/>
                <w:lang w:val="en-US"/>
              </w:rPr>
            </w:pPr>
            <w:r>
              <w:rPr>
                <w:rFonts w:hint="eastAsia"/>
                <w:color w:val="auto"/>
                <w:lang w:val="en-US" w:eastAsia="zh-CN"/>
              </w:rPr>
              <w:t>标“★”的技术参数正偏离的，需提供有资质的第三方检测证明。</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restart"/>
            <w:tcBorders>
              <w:top w:val="single" w:color="auto" w:sz="4" w:space="0"/>
              <w:left w:val="single" w:color="auto" w:sz="4" w:space="0"/>
              <w:right w:val="single" w:color="auto" w:sz="2" w:space="0"/>
            </w:tcBorders>
            <w:noWrap w:val="0"/>
            <w:vAlign w:val="center"/>
          </w:tcPr>
          <w:p>
            <w:pPr>
              <w:rPr>
                <w:rFonts w:hint="default" w:ascii="宋体" w:hAnsi="Times New Roman" w:eastAsia="宋体"/>
                <w:color w:val="auto"/>
                <w:lang w:val="en-US" w:eastAsia="zh-CN"/>
              </w:rPr>
            </w:pPr>
            <w:r>
              <w:rPr>
                <w:rFonts w:hint="eastAsia" w:ascii="宋体" w:hAnsi="宋体" w:cs="宋体"/>
                <w:color w:val="auto"/>
              </w:rPr>
              <w:t>2、</w:t>
            </w:r>
            <w:r>
              <w:rPr>
                <w:rFonts w:hint="eastAsia" w:ascii="宋体" w:hAnsi="宋体" w:cs="宋体"/>
                <w:color w:val="auto"/>
                <w:lang w:val="en-US" w:eastAsia="zh-CN"/>
              </w:rPr>
              <w:t>升级改造方案</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pStyle w:val="10"/>
              <w:numPr>
                <w:ilvl w:val="0"/>
                <w:numId w:val="0"/>
              </w:numPr>
              <w:spacing w:line="320" w:lineRule="exact"/>
              <w:ind w:leftChars="0"/>
              <w:jc w:val="both"/>
              <w:rPr>
                <w:rFonts w:hint="eastAsia"/>
                <w:b/>
                <w:bCs/>
                <w:color w:val="auto"/>
                <w:lang w:val="en-US" w:eastAsia="zh-CN"/>
              </w:rPr>
            </w:pPr>
            <w:r>
              <w:rPr>
                <w:rFonts w:hint="eastAsia"/>
                <w:b/>
                <w:bCs/>
                <w:color w:val="auto"/>
                <w:lang w:val="en-US" w:eastAsia="zh-CN"/>
              </w:rPr>
              <w:t>（1）评委根据供应商的升级改造技术路线的先进性适用性进行评议：</w:t>
            </w:r>
          </w:p>
          <w:p>
            <w:pPr>
              <w:pStyle w:val="10"/>
              <w:numPr>
                <w:ilvl w:val="0"/>
                <w:numId w:val="0"/>
              </w:numPr>
              <w:spacing w:line="320" w:lineRule="exact"/>
              <w:ind w:leftChars="0"/>
              <w:jc w:val="both"/>
              <w:rPr>
                <w:rFonts w:hint="eastAsia"/>
                <w:color w:val="auto"/>
                <w:lang w:val="en-US" w:eastAsia="zh-CN"/>
              </w:rPr>
            </w:pPr>
            <w:r>
              <w:rPr>
                <w:rFonts w:hint="eastAsia"/>
                <w:color w:val="auto"/>
                <w:lang w:val="en-US" w:eastAsia="zh-CN"/>
              </w:rPr>
              <w:t>技术线路先进，完全满足升级改造的实际需求的得4分；</w:t>
            </w:r>
          </w:p>
          <w:p>
            <w:pPr>
              <w:pStyle w:val="10"/>
              <w:numPr>
                <w:ilvl w:val="0"/>
                <w:numId w:val="0"/>
              </w:numPr>
              <w:spacing w:line="320" w:lineRule="exact"/>
              <w:ind w:leftChars="0"/>
              <w:jc w:val="both"/>
              <w:rPr>
                <w:rFonts w:hint="eastAsia"/>
                <w:color w:val="auto"/>
                <w:lang w:val="en-US" w:eastAsia="zh-CN"/>
              </w:rPr>
            </w:pPr>
            <w:r>
              <w:rPr>
                <w:rFonts w:hint="eastAsia"/>
                <w:color w:val="auto"/>
                <w:lang w:val="en-US" w:eastAsia="zh-CN"/>
              </w:rPr>
              <w:t>技术线路较为先进，基本满足升级改造的实际需求的得2分；</w:t>
            </w:r>
          </w:p>
          <w:p>
            <w:pPr>
              <w:rPr>
                <w:color w:val="auto"/>
              </w:rPr>
            </w:pPr>
            <w:r>
              <w:rPr>
                <w:rFonts w:hint="eastAsia"/>
                <w:color w:val="auto"/>
                <w:lang w:val="en-US" w:eastAsia="zh-CN"/>
              </w:rPr>
              <w:t>技术线路落后，与升级改造的实际需求差距较大的得1分。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eastAsia="宋体"/>
                <w:color w:val="auto"/>
                <w:lang w:eastAsia="zh-CN"/>
              </w:rPr>
            </w:pPr>
            <w:r>
              <w:rPr>
                <w:rFonts w:hint="eastAsia" w:ascii="宋体" w:hAnsi="宋体" w:cs="宋体"/>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continue"/>
            <w:tcBorders>
              <w:left w:val="single" w:color="auto" w:sz="4" w:space="0"/>
              <w:right w:val="single" w:color="auto" w:sz="2" w:space="0"/>
            </w:tcBorders>
            <w:noWrap w:val="0"/>
            <w:vAlign w:val="center"/>
          </w:tcPr>
          <w:p>
            <w:pPr>
              <w:rPr>
                <w:rFonts w:hint="eastAsia" w:ascii="宋体" w:hAnsi="宋体" w:cs="宋体"/>
                <w:color w:val="auto"/>
              </w:rPr>
            </w:pPr>
          </w:p>
        </w:tc>
        <w:tc>
          <w:tcPr>
            <w:tcW w:w="7501" w:type="dxa"/>
            <w:tcBorders>
              <w:top w:val="single" w:color="auto" w:sz="4" w:space="0"/>
              <w:left w:val="single" w:color="auto" w:sz="4" w:space="0"/>
              <w:bottom w:val="single" w:color="auto" w:sz="4" w:space="0"/>
              <w:right w:val="single" w:color="auto" w:sz="2" w:space="0"/>
            </w:tcBorders>
            <w:noWrap w:val="0"/>
            <w:vAlign w:val="center"/>
          </w:tcPr>
          <w:p>
            <w:pPr>
              <w:pStyle w:val="10"/>
              <w:numPr>
                <w:ilvl w:val="0"/>
                <w:numId w:val="0"/>
              </w:numPr>
              <w:spacing w:line="320" w:lineRule="exact"/>
              <w:ind w:leftChars="0"/>
              <w:jc w:val="both"/>
              <w:rPr>
                <w:rFonts w:hint="eastAsia"/>
                <w:b/>
                <w:bCs/>
                <w:color w:val="auto"/>
                <w:lang w:val="en-US" w:eastAsia="zh-CN"/>
              </w:rPr>
            </w:pPr>
            <w:r>
              <w:rPr>
                <w:rFonts w:hint="eastAsia"/>
                <w:b/>
                <w:bCs/>
                <w:color w:val="auto"/>
                <w:lang w:val="en-US" w:eastAsia="zh-CN"/>
              </w:rPr>
              <w:t>（2）评委根据供应商的具体实施方案进行评议：步骤、设备安装、调试、数据对接实施</w:t>
            </w:r>
          </w:p>
          <w:p>
            <w:pPr>
              <w:rPr>
                <w:rFonts w:hint="default"/>
                <w:color w:val="auto"/>
                <w:lang w:val="en-US" w:eastAsia="zh-CN"/>
              </w:rPr>
            </w:pPr>
            <w:r>
              <w:rPr>
                <w:rFonts w:hint="eastAsia" w:ascii="宋体" w:hAnsi="宋体" w:eastAsia="宋体" w:cs="宋体"/>
                <w:color w:val="auto"/>
                <w:szCs w:val="21"/>
              </w:rPr>
              <w:t>包括人员的安排、时间进度的规划，对设备</w:t>
            </w:r>
            <w:r>
              <w:rPr>
                <w:rFonts w:hint="eastAsia" w:ascii="宋体" w:hAnsi="宋体" w:eastAsia="宋体" w:cs="宋体"/>
                <w:color w:val="auto"/>
                <w:szCs w:val="21"/>
                <w:lang w:val="en-US" w:eastAsia="zh-CN"/>
              </w:rPr>
              <w:t>安装、调试、数据对接</w:t>
            </w:r>
            <w:r>
              <w:rPr>
                <w:rFonts w:hint="eastAsia" w:ascii="宋体" w:hAnsi="宋体" w:eastAsia="宋体" w:cs="宋体"/>
                <w:color w:val="auto"/>
                <w:szCs w:val="21"/>
              </w:rPr>
              <w:t>的步骤、措施</w:t>
            </w:r>
            <w:r>
              <w:rPr>
                <w:rFonts w:hint="eastAsia" w:ascii="宋体" w:hAnsi="宋体" w:eastAsia="宋体" w:cs="宋体"/>
                <w:color w:val="auto"/>
                <w:szCs w:val="21"/>
                <w:lang w:eastAsia="zh-CN"/>
              </w:rPr>
              <w:t>、</w:t>
            </w:r>
            <w:r>
              <w:rPr>
                <w:rFonts w:hint="eastAsia" w:ascii="宋体" w:hAnsi="宋体" w:eastAsia="宋体" w:cs="宋体"/>
                <w:color w:val="auto"/>
                <w:szCs w:val="21"/>
              </w:rPr>
              <w:t>问题的解决方案等，方案考虑充分措施有效的得</w:t>
            </w:r>
            <w:r>
              <w:rPr>
                <w:rFonts w:hint="eastAsia" w:ascii="宋体" w:hAnsi="宋体" w:cs="宋体"/>
                <w:color w:val="auto"/>
                <w:szCs w:val="21"/>
                <w:lang w:val="en-US" w:eastAsia="zh-CN"/>
              </w:rPr>
              <w:t>4</w:t>
            </w:r>
            <w:r>
              <w:rPr>
                <w:rFonts w:hint="eastAsia" w:ascii="宋体" w:hAnsi="宋体" w:eastAsia="宋体" w:cs="宋体"/>
                <w:color w:val="auto"/>
                <w:szCs w:val="21"/>
              </w:rPr>
              <w:t>分，方案合理措施一般的得2分，方案考虑不够充分的得1分。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宋体" w:hAnsi="宋体" w:cs="宋体"/>
                <w:color w:val="auto"/>
                <w:lang w:val="en-US" w:eastAsia="zh-CN"/>
              </w:rPr>
            </w:pPr>
            <w:r>
              <w:rPr>
                <w:rFonts w:hint="eastAsia" w:ascii="宋体" w:hAnsi="宋体" w:cs="宋体"/>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continue"/>
            <w:tcBorders>
              <w:left w:val="single" w:color="auto" w:sz="4" w:space="0"/>
              <w:bottom w:val="single" w:color="auto" w:sz="4" w:space="0"/>
              <w:right w:val="single" w:color="auto" w:sz="2" w:space="0"/>
            </w:tcBorders>
            <w:noWrap w:val="0"/>
            <w:vAlign w:val="center"/>
          </w:tcPr>
          <w:p>
            <w:pPr>
              <w:rPr>
                <w:rFonts w:hint="eastAsia" w:ascii="宋体" w:hAnsi="宋体" w:cs="宋体"/>
                <w:color w:val="auto"/>
              </w:rPr>
            </w:pPr>
          </w:p>
        </w:tc>
        <w:tc>
          <w:tcPr>
            <w:tcW w:w="7501" w:type="dxa"/>
            <w:tcBorders>
              <w:top w:val="single" w:color="auto" w:sz="4" w:space="0"/>
              <w:left w:val="single" w:color="auto" w:sz="4"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b/>
                <w:color w:val="auto"/>
                <w:szCs w:val="21"/>
                <w:lang w:val="en-US" w:eastAsia="zh-CN"/>
              </w:rPr>
              <w:t>（3）评委</w:t>
            </w:r>
            <w:r>
              <w:rPr>
                <w:rFonts w:hint="eastAsia" w:ascii="宋体" w:hAnsi="宋体" w:eastAsia="宋体" w:cs="宋体"/>
                <w:b/>
                <w:color w:val="auto"/>
                <w:szCs w:val="21"/>
              </w:rPr>
              <w:t>根据供应商的供货方案进行评议：</w:t>
            </w:r>
          </w:p>
          <w:p>
            <w:pPr>
              <w:adjustRightInd w:val="0"/>
              <w:snapToGrid w:val="0"/>
              <w:rPr>
                <w:rFonts w:hint="eastAsia" w:ascii="宋体" w:hAnsi="宋体" w:cs="宋体"/>
                <w:color w:val="auto"/>
                <w:szCs w:val="21"/>
              </w:rPr>
            </w:pPr>
            <w:r>
              <w:rPr>
                <w:rFonts w:hint="eastAsia" w:ascii="宋体" w:hAnsi="宋体" w:cs="宋体"/>
                <w:color w:val="auto"/>
                <w:szCs w:val="21"/>
              </w:rPr>
              <w:t>供货方案详细完善，合理可行，针对性强、具有可操作性的得</w:t>
            </w:r>
            <w:r>
              <w:rPr>
                <w:rFonts w:hint="eastAsia" w:ascii="宋体" w:hAnsi="宋体" w:cs="宋体"/>
                <w:color w:val="auto"/>
                <w:szCs w:val="21"/>
                <w:lang w:val="en-US" w:eastAsia="zh-CN"/>
              </w:rPr>
              <w:t>4</w:t>
            </w:r>
            <w:r>
              <w:rPr>
                <w:rFonts w:hint="eastAsia" w:ascii="宋体" w:hAnsi="宋体" w:cs="宋体"/>
                <w:color w:val="auto"/>
                <w:szCs w:val="21"/>
              </w:rPr>
              <w:t>分；</w:t>
            </w:r>
          </w:p>
          <w:p>
            <w:pPr>
              <w:adjustRightInd w:val="0"/>
              <w:snapToGrid w:val="0"/>
              <w:rPr>
                <w:rFonts w:hint="eastAsia" w:ascii="宋体" w:hAnsi="宋体" w:cs="宋体"/>
                <w:color w:val="auto"/>
                <w:szCs w:val="21"/>
              </w:rPr>
            </w:pPr>
            <w:r>
              <w:rPr>
                <w:rFonts w:hint="eastAsia" w:ascii="宋体" w:hAnsi="宋体" w:cs="宋体"/>
                <w:color w:val="auto"/>
                <w:szCs w:val="21"/>
              </w:rPr>
              <w:t>供货方案较详细、安排较合理、有一定针对性、操作性一般的得2分；</w:t>
            </w:r>
          </w:p>
          <w:p>
            <w:pPr>
              <w:rPr>
                <w:rFonts w:hint="eastAsia"/>
                <w:color w:val="auto"/>
                <w:lang w:val="en-US" w:eastAsia="zh-CN"/>
              </w:rPr>
            </w:pPr>
            <w:r>
              <w:rPr>
                <w:rFonts w:hint="eastAsia" w:ascii="宋体" w:hAnsi="宋体" w:cs="宋体"/>
                <w:color w:val="auto"/>
                <w:szCs w:val="21"/>
              </w:rPr>
              <w:t>供货方案内容简单、缺乏针对性、操作性差的得1分。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宋体" w:hAnsi="宋体" w:cs="宋体"/>
                <w:color w:val="auto"/>
                <w:lang w:val="en-US" w:eastAsia="zh-CN"/>
              </w:rPr>
            </w:pPr>
            <w:r>
              <w:rPr>
                <w:rFonts w:hint="eastAsia" w:ascii="宋体" w:hAnsi="宋体" w:cs="宋体"/>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olor w:val="auto"/>
              </w:rPr>
            </w:pPr>
            <w:r>
              <w:rPr>
                <w:rFonts w:hint="eastAsia" w:ascii="宋体" w:hAnsi="宋体" w:cs="宋体"/>
                <w:color w:val="auto"/>
                <w:szCs w:val="21"/>
                <w:lang w:val="en-US" w:eastAsia="zh-CN"/>
              </w:rPr>
              <w:t>3、</w:t>
            </w:r>
            <w:r>
              <w:rPr>
                <w:rFonts w:hint="eastAsia" w:ascii="宋体" w:hAnsi="宋体" w:cs="宋体"/>
                <w:color w:val="auto"/>
                <w:szCs w:val="21"/>
              </w:rPr>
              <w:t>质量保证措施</w:t>
            </w:r>
          </w:p>
        </w:tc>
        <w:tc>
          <w:tcPr>
            <w:tcW w:w="7501" w:type="dxa"/>
            <w:tcBorders>
              <w:top w:val="single" w:color="auto" w:sz="4" w:space="0"/>
              <w:left w:val="single" w:color="auto" w:sz="4" w:space="0"/>
              <w:right w:val="single" w:color="auto" w:sz="2" w:space="0"/>
            </w:tcBorders>
            <w:noWrap w:val="0"/>
            <w:vAlign w:val="center"/>
          </w:tcPr>
          <w:p>
            <w:pPr>
              <w:bidi w:val="0"/>
              <w:rPr>
                <w:rFonts w:hint="eastAsia"/>
                <w:color w:val="auto"/>
                <w:lang w:val="en-US" w:eastAsia="zh-CN"/>
              </w:rPr>
            </w:pPr>
            <w:r>
              <w:rPr>
                <w:rFonts w:hint="eastAsia"/>
                <w:color w:val="auto"/>
                <w:lang w:val="en-US" w:eastAsia="zh-CN"/>
              </w:rPr>
              <w:t>根据投标人提供的项目质量保证措施进行打分：</w:t>
            </w:r>
          </w:p>
          <w:p>
            <w:pPr>
              <w:bidi w:val="0"/>
              <w:rPr>
                <w:rFonts w:hint="eastAsia"/>
                <w:color w:val="auto"/>
                <w:lang w:val="en-US" w:eastAsia="zh-CN"/>
              </w:rPr>
            </w:pPr>
            <w:r>
              <w:rPr>
                <w:rFonts w:hint="eastAsia"/>
                <w:color w:val="auto"/>
                <w:lang w:val="en-US" w:eastAsia="zh-CN"/>
              </w:rPr>
              <w:t xml:space="preserve">质量保证措施完整、可行性强的得3分； </w:t>
            </w:r>
          </w:p>
          <w:p>
            <w:pPr>
              <w:bidi w:val="0"/>
              <w:rPr>
                <w:rFonts w:hint="eastAsia"/>
                <w:color w:val="auto"/>
                <w:lang w:val="en-US" w:eastAsia="zh-CN"/>
              </w:rPr>
            </w:pPr>
            <w:r>
              <w:rPr>
                <w:rFonts w:hint="eastAsia"/>
                <w:color w:val="auto"/>
                <w:lang w:val="en-US" w:eastAsia="zh-CN"/>
              </w:rPr>
              <w:t>质量措施较完整、可行性较好的得2分；</w:t>
            </w:r>
          </w:p>
          <w:p>
            <w:pPr>
              <w:bidi w:val="0"/>
              <w:rPr>
                <w:color w:val="auto"/>
              </w:rPr>
            </w:pPr>
            <w:r>
              <w:rPr>
                <w:rFonts w:hint="eastAsia"/>
                <w:color w:val="auto"/>
                <w:lang w:val="en-US" w:eastAsia="zh-CN"/>
              </w:rPr>
              <w:t>质量措施欠缺、可行性一般的得1分。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restart"/>
            <w:tcBorders>
              <w:top w:val="single" w:color="auto" w:sz="4" w:space="0"/>
              <w:left w:val="single" w:color="auto" w:sz="4" w:space="0"/>
              <w:right w:val="single" w:color="auto" w:sz="2" w:space="0"/>
            </w:tcBorders>
            <w:noWrap w:val="0"/>
            <w:vAlign w:val="center"/>
          </w:tcPr>
          <w:p>
            <w:pPr>
              <w:widowControl/>
              <w:jc w:val="left"/>
              <w:rPr>
                <w:rFonts w:ascii="宋体"/>
                <w:color w:val="auto"/>
              </w:rPr>
            </w:pPr>
            <w:r>
              <w:rPr>
                <w:rFonts w:hint="eastAsia" w:ascii="宋体" w:hAnsi="宋体" w:cs="宋体"/>
                <w:color w:val="auto"/>
                <w:szCs w:val="21"/>
                <w:lang w:val="en-US" w:eastAsia="zh-CN"/>
              </w:rPr>
              <w:t>4、</w:t>
            </w:r>
            <w:r>
              <w:rPr>
                <w:rFonts w:hint="eastAsia" w:ascii="宋体" w:hAnsi="宋体" w:cs="宋体"/>
                <w:color w:val="auto"/>
                <w:szCs w:val="21"/>
              </w:rPr>
              <w:t>售后服务方案</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bidi w:val="0"/>
              <w:rPr>
                <w:rFonts w:hint="eastAsia"/>
                <w:color w:val="auto"/>
              </w:rPr>
            </w:pPr>
            <w:r>
              <w:rPr>
                <w:rFonts w:hint="eastAsia"/>
                <w:color w:val="auto"/>
              </w:rPr>
              <w:t>（1）售后服务方案，包括但不限于服务响应时间、故障解决方案</w:t>
            </w:r>
            <w:r>
              <w:rPr>
                <w:rFonts w:hint="eastAsia"/>
                <w:color w:val="auto"/>
                <w:lang w:eastAsia="zh-CN"/>
              </w:rPr>
              <w:t>。</w:t>
            </w:r>
            <w:r>
              <w:rPr>
                <w:rFonts w:hint="eastAsia"/>
                <w:color w:val="auto"/>
              </w:rPr>
              <w:t>响应迅速，解决方案充分得</w:t>
            </w:r>
            <w:r>
              <w:rPr>
                <w:rFonts w:hint="eastAsia"/>
                <w:color w:val="auto"/>
                <w:lang w:val="en-US" w:eastAsia="zh-CN"/>
              </w:rPr>
              <w:t>4</w:t>
            </w:r>
            <w:r>
              <w:rPr>
                <w:rFonts w:hint="eastAsia"/>
                <w:color w:val="auto"/>
              </w:rPr>
              <w:t>分，响应时间一般，解决方案较合理得2分，响应时间长，解决方案一般1分；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宋体" w:hAnsi="宋体" w:eastAsia="宋体" w:cs="宋体"/>
                <w:color w:val="auto"/>
                <w:lang w:eastAsia="zh-CN"/>
              </w:rPr>
            </w:pPr>
            <w:r>
              <w:rPr>
                <w:rFonts w:hint="eastAsia" w:ascii="宋体" w:hAnsi="宋体" w:cs="宋体"/>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continue"/>
            <w:tcBorders>
              <w:left w:val="single" w:color="auto" w:sz="4" w:space="0"/>
              <w:right w:val="single" w:color="auto" w:sz="2" w:space="0"/>
            </w:tcBorders>
            <w:noWrap w:val="0"/>
            <w:vAlign w:val="center"/>
          </w:tcPr>
          <w:p>
            <w:pPr>
              <w:widowControl/>
              <w:jc w:val="left"/>
              <w:rPr>
                <w:rFonts w:hint="eastAsia" w:ascii="宋体" w:hAnsi="宋体" w:cs="宋体"/>
                <w:color w:val="auto"/>
                <w:szCs w:val="21"/>
                <w:lang w:val="en-US" w:eastAsia="zh-CN"/>
              </w:rPr>
            </w:pPr>
          </w:p>
        </w:tc>
        <w:tc>
          <w:tcPr>
            <w:tcW w:w="7501" w:type="dxa"/>
            <w:tcBorders>
              <w:top w:val="single" w:color="auto" w:sz="4" w:space="0"/>
              <w:left w:val="single" w:color="auto" w:sz="4" w:space="0"/>
              <w:bottom w:val="single" w:color="auto" w:sz="4" w:space="0"/>
              <w:right w:val="single" w:color="auto" w:sz="2" w:space="0"/>
            </w:tcBorders>
            <w:noWrap w:val="0"/>
            <w:vAlign w:val="center"/>
          </w:tcPr>
          <w:p>
            <w:pPr>
              <w:bidi w:val="0"/>
              <w:rPr>
                <w:rFonts w:hint="eastAsia"/>
                <w:color w:val="auto"/>
                <w:lang w:val="en-US" w:eastAsia="zh-CN"/>
              </w:rPr>
            </w:pPr>
            <w:r>
              <w:rPr>
                <w:rFonts w:hint="eastAsia"/>
                <w:color w:val="auto"/>
              </w:rPr>
              <w:t>（2）售后服务备品备件储备情况</w:t>
            </w:r>
            <w:r>
              <w:rPr>
                <w:rFonts w:hint="eastAsia"/>
                <w:color w:val="auto"/>
                <w:lang w:eastAsia="zh-CN"/>
              </w:rPr>
              <w:t>。</w:t>
            </w:r>
            <w:r>
              <w:rPr>
                <w:rFonts w:hint="eastAsia"/>
                <w:color w:val="auto"/>
              </w:rPr>
              <w:t>储备充足能充分满足售后服务要求得3分，储备一般基本能满足售后服务要求得2分，储备情况差不能满足售后服务要求1分，无备品备件储备得0分。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continue"/>
            <w:tcBorders>
              <w:left w:val="single" w:color="auto" w:sz="4" w:space="0"/>
              <w:right w:val="single" w:color="auto" w:sz="2" w:space="0"/>
            </w:tcBorders>
            <w:noWrap w:val="0"/>
            <w:vAlign w:val="center"/>
          </w:tcPr>
          <w:p>
            <w:pPr>
              <w:widowControl/>
              <w:jc w:val="left"/>
              <w:rPr>
                <w:rFonts w:hint="eastAsia" w:ascii="宋体" w:hAnsi="宋体" w:cs="宋体"/>
                <w:color w:val="auto"/>
                <w:szCs w:val="21"/>
                <w:lang w:val="en-US" w:eastAsia="zh-CN"/>
              </w:rPr>
            </w:pPr>
          </w:p>
        </w:tc>
        <w:tc>
          <w:tcPr>
            <w:tcW w:w="7501" w:type="dxa"/>
            <w:tcBorders>
              <w:top w:val="single" w:color="auto" w:sz="4" w:space="0"/>
              <w:left w:val="single" w:color="auto" w:sz="4" w:space="0"/>
              <w:bottom w:val="single" w:color="auto" w:sz="4" w:space="0"/>
              <w:right w:val="single" w:color="auto" w:sz="2" w:space="0"/>
            </w:tcBorders>
            <w:noWrap w:val="0"/>
            <w:vAlign w:val="center"/>
          </w:tcPr>
          <w:p>
            <w:pPr>
              <w:numPr>
                <w:ilvl w:val="0"/>
                <w:numId w:val="22"/>
              </w:numPr>
              <w:bidi w:val="0"/>
              <w:rPr>
                <w:rFonts w:hint="eastAsia"/>
                <w:color w:val="auto"/>
                <w:lang w:val="en-US" w:eastAsia="zh-CN"/>
              </w:rPr>
            </w:pPr>
            <w:r>
              <w:rPr>
                <w:rFonts w:hint="eastAsia"/>
                <w:color w:val="auto"/>
              </w:rPr>
              <w:t>售后服务</w:t>
            </w:r>
            <w:r>
              <w:rPr>
                <w:rFonts w:hint="eastAsia"/>
                <w:color w:val="auto"/>
                <w:lang w:val="en-US" w:eastAsia="zh-CN"/>
              </w:rPr>
              <w:t>网点设置计划、</w:t>
            </w:r>
            <w:r>
              <w:rPr>
                <w:rFonts w:hint="eastAsia"/>
                <w:color w:val="auto"/>
              </w:rPr>
              <w:t>技术服务人员</w:t>
            </w:r>
            <w:r>
              <w:rPr>
                <w:rFonts w:hint="eastAsia"/>
                <w:color w:val="auto"/>
                <w:lang w:val="en-US" w:eastAsia="zh-CN"/>
              </w:rPr>
              <w:t>配置</w:t>
            </w:r>
            <w:r>
              <w:rPr>
                <w:rFonts w:hint="eastAsia"/>
                <w:color w:val="auto"/>
              </w:rPr>
              <w:t>情况</w:t>
            </w:r>
            <w:r>
              <w:rPr>
                <w:rFonts w:hint="eastAsia"/>
                <w:color w:val="auto"/>
                <w:lang w:eastAsia="zh-CN"/>
              </w:rPr>
              <w:t>。</w:t>
            </w:r>
          </w:p>
          <w:p>
            <w:pPr>
              <w:bidi w:val="0"/>
              <w:rPr>
                <w:rFonts w:hint="eastAsia"/>
                <w:color w:val="auto"/>
              </w:rPr>
            </w:pPr>
            <w:r>
              <w:rPr>
                <w:rFonts w:hint="eastAsia"/>
                <w:color w:val="auto"/>
                <w:lang w:val="en-US" w:eastAsia="zh-CN"/>
              </w:rPr>
              <w:t>评委根据供应商售后网点配置情况、服务人员的数量和能力进行横向比较，0-4分。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spacing w:line="36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tcBorders>
              <w:top w:val="single" w:color="auto" w:sz="4" w:space="0"/>
              <w:left w:val="single" w:color="auto" w:sz="4" w:space="0"/>
              <w:bottom w:val="single" w:color="auto" w:sz="4" w:space="0"/>
              <w:right w:val="single" w:color="auto" w:sz="2" w:space="0"/>
            </w:tcBorders>
            <w:noWrap w:val="0"/>
            <w:vAlign w:val="center"/>
          </w:tcPr>
          <w:p>
            <w:pPr>
              <w:widowControl/>
              <w:jc w:val="left"/>
              <w:rPr>
                <w:rFonts w:hint="default" w:ascii="宋体" w:eastAsia="宋体"/>
                <w:color w:val="auto"/>
                <w:lang w:val="en-US" w:eastAsia="zh-CN"/>
              </w:rPr>
            </w:pPr>
            <w:r>
              <w:rPr>
                <w:rFonts w:hint="eastAsia" w:ascii="宋体"/>
                <w:color w:val="auto"/>
                <w:lang w:val="en-US" w:eastAsia="zh-CN"/>
              </w:rPr>
              <w:t>5、培训方案</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bidi w:val="0"/>
              <w:rPr>
                <w:rFonts w:hint="eastAsia"/>
                <w:color w:val="auto"/>
                <w:lang w:val="en-US" w:eastAsia="zh-CN"/>
              </w:rPr>
            </w:pPr>
            <w:r>
              <w:rPr>
                <w:rFonts w:hint="eastAsia"/>
                <w:color w:val="auto"/>
                <w:lang w:val="en-US" w:eastAsia="zh-CN"/>
              </w:rPr>
              <w:t>根据投标人提供的分别针对渔船船员与采购人的培训方案（包含但不限于设备使用、日常养护等培训内容）进行打分：</w:t>
            </w:r>
          </w:p>
          <w:p>
            <w:pPr>
              <w:bidi w:val="0"/>
              <w:rPr>
                <w:rFonts w:hint="eastAsia"/>
                <w:color w:val="auto"/>
                <w:lang w:val="en-US" w:eastAsia="zh-CN"/>
              </w:rPr>
            </w:pPr>
            <w:r>
              <w:rPr>
                <w:rFonts w:hint="eastAsia"/>
                <w:color w:val="auto"/>
                <w:lang w:val="en-US" w:eastAsia="zh-CN"/>
              </w:rPr>
              <w:t>技术培训方案完整、实施性高，可行性强的得3分；</w:t>
            </w:r>
          </w:p>
          <w:p>
            <w:pPr>
              <w:bidi w:val="0"/>
              <w:rPr>
                <w:rFonts w:hint="eastAsia"/>
                <w:color w:val="auto"/>
                <w:lang w:val="en-US" w:eastAsia="zh-CN"/>
              </w:rPr>
            </w:pPr>
            <w:r>
              <w:rPr>
                <w:rFonts w:hint="eastAsia"/>
                <w:color w:val="auto"/>
                <w:lang w:val="en-US" w:eastAsia="zh-CN"/>
              </w:rPr>
              <w:t>技术培训方案基本完整、实施性较高，可行性较强的得2分；</w:t>
            </w:r>
          </w:p>
          <w:p>
            <w:pPr>
              <w:bidi w:val="0"/>
              <w:rPr>
                <w:rFonts w:ascii="宋体" w:hAnsi="宋体"/>
                <w:color w:val="auto"/>
              </w:rPr>
            </w:pPr>
            <w:r>
              <w:rPr>
                <w:rFonts w:hint="eastAsia"/>
                <w:color w:val="auto"/>
                <w:lang w:val="en-US" w:eastAsia="zh-CN"/>
              </w:rPr>
              <w:t>技术培训方案一般、实施性一般，可行性一般的得1分。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宋体" w:hAnsi="宋体" w:eastAsia="宋体" w:cs="宋体"/>
                <w:color w:val="auto"/>
                <w:lang w:eastAsia="zh-CN"/>
              </w:rPr>
            </w:pPr>
            <w:r>
              <w:rPr>
                <w:rFonts w:hint="eastAsia" w:ascii="宋体" w:hAnsi="宋体" w:cs="宋体"/>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tcBorders>
              <w:top w:val="single" w:color="auto" w:sz="4" w:space="0"/>
              <w:left w:val="single" w:color="auto" w:sz="4" w:space="0"/>
              <w:bottom w:val="single" w:color="auto" w:sz="4" w:space="0"/>
              <w:right w:val="single" w:color="auto" w:sz="2" w:space="0"/>
            </w:tcBorders>
            <w:noWrap w:val="0"/>
            <w:vAlign w:val="center"/>
          </w:tcPr>
          <w:p>
            <w:pPr>
              <w:widowControl/>
              <w:jc w:val="left"/>
              <w:rPr>
                <w:rFonts w:hint="default" w:ascii="宋体"/>
                <w:color w:val="auto"/>
                <w:lang w:val="en-US" w:eastAsia="zh-CN"/>
              </w:rPr>
            </w:pPr>
            <w:r>
              <w:rPr>
                <w:rFonts w:hint="eastAsia" w:ascii="宋体"/>
                <w:color w:val="auto"/>
                <w:lang w:val="en-US" w:eastAsia="zh-CN"/>
              </w:rPr>
              <w:t>6、演示</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rPr>
                <w:rFonts w:hint="default"/>
                <w:color w:val="auto"/>
                <w:highlight w:val="none"/>
                <w:lang w:val="en-US" w:eastAsia="zh-CN"/>
              </w:rPr>
            </w:pPr>
            <w:r>
              <w:rPr>
                <w:rFonts w:hint="eastAsia"/>
                <w:color w:val="auto"/>
                <w:highlight w:val="none"/>
                <w:lang w:val="en-US" w:eastAsia="zh-CN"/>
              </w:rPr>
              <w:t>（1）投标人针对升级改造技术方案和组织实施方案进行陈述，评委根据陈述内容与项目实际需求的贴合度与合理性进行横向评比，0-6分。</w:t>
            </w:r>
          </w:p>
          <w:p>
            <w:pPr>
              <w:rPr>
                <w:rFonts w:hint="eastAsia"/>
                <w:color w:val="auto"/>
                <w:highlight w:val="none"/>
                <w:lang w:val="en-US" w:eastAsia="zh-CN"/>
              </w:rPr>
            </w:pPr>
            <w:r>
              <w:rPr>
                <w:rFonts w:hint="eastAsia"/>
                <w:color w:val="auto"/>
                <w:highlight w:val="none"/>
                <w:lang w:val="en-US" w:eastAsia="zh-CN"/>
              </w:rPr>
              <w:t>（2）投标人对原设备（型号：FT-8700B）改造后与加装的舱外单元组成的插卡式AIS设备进行演示，演示内容须结合招标需求的以下主要功能：1、静态信息获取；2、设备工作状态监测；3、设备自检；4、拆卸报警；5、会遇避碰应急通话功能；6、值班点名。</w:t>
            </w:r>
            <w:r>
              <w:rPr>
                <w:rFonts w:hint="eastAsia" w:ascii="Times New Roman" w:hAnsi="Times New Roman" w:eastAsia="宋体" w:cs="Times New Roman"/>
                <w:color w:val="auto"/>
                <w:highlight w:val="none"/>
                <w:lang w:val="en-US" w:eastAsia="zh-CN"/>
              </w:rPr>
              <w:t>由评委会专家进行评审，每一项0-</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分，</w:t>
            </w:r>
            <w:r>
              <w:rPr>
                <w:rFonts w:hint="eastAsia"/>
                <w:color w:val="auto"/>
                <w:highlight w:val="none"/>
                <w:lang w:val="en-US" w:eastAsia="zh-CN"/>
              </w:rPr>
              <w:t>共6分。</w:t>
            </w:r>
          </w:p>
          <w:p>
            <w:pPr>
              <w:jc w:val="left"/>
              <w:rPr>
                <w:rFonts w:hint="eastAsia"/>
                <w:color w:val="auto"/>
                <w:lang w:val="en-US" w:eastAsia="zh-CN"/>
              </w:rPr>
            </w:pPr>
            <w:r>
              <w:rPr>
                <w:rFonts w:hint="eastAsia" w:ascii="宋体" w:hAnsi="宋体" w:eastAsia="宋体" w:cs="宋体"/>
                <w:b/>
                <w:bCs/>
                <w:color w:val="auto"/>
                <w:sz w:val="21"/>
                <w:szCs w:val="21"/>
                <w:lang w:val="en-US" w:eastAsia="zh-CN"/>
              </w:rPr>
              <w:t>演示说明：</w:t>
            </w:r>
            <w:r>
              <w:rPr>
                <w:rFonts w:hint="eastAsia" w:ascii="宋体" w:hAnsi="宋体" w:eastAsia="宋体" w:cs="宋体"/>
                <w:color w:val="auto"/>
                <w:sz w:val="21"/>
                <w:szCs w:val="21"/>
                <w:lang w:val="en-US" w:eastAsia="zh-CN"/>
              </w:rPr>
              <w:t>演示总时长时间控制在</w:t>
            </w:r>
            <w:r>
              <w:rPr>
                <w:rFonts w:hint="eastAsia" w:ascii="宋体" w:hAnsi="宋体" w:cs="宋体"/>
                <w:color w:val="auto"/>
                <w:sz w:val="21"/>
                <w:szCs w:val="21"/>
                <w:lang w:val="en-US" w:eastAsia="zh-CN"/>
              </w:rPr>
              <w:t>15</w:t>
            </w:r>
            <w:r>
              <w:rPr>
                <w:rFonts w:hint="eastAsia" w:ascii="宋体" w:hAnsi="宋体" w:eastAsia="宋体" w:cs="宋体"/>
                <w:color w:val="auto"/>
                <w:sz w:val="21"/>
                <w:szCs w:val="21"/>
                <w:lang w:val="en-US" w:eastAsia="zh-CN"/>
              </w:rPr>
              <w:t>分钟内。</w:t>
            </w:r>
            <w:r>
              <w:rPr>
                <w:rFonts w:hint="eastAsia" w:ascii="宋体" w:hAnsi="宋体" w:cs="宋体"/>
                <w:color w:val="auto"/>
                <w:sz w:val="21"/>
                <w:szCs w:val="21"/>
                <w:lang w:val="en-US" w:eastAsia="zh-CN"/>
              </w:rPr>
              <w:t>可以现场演示，也可以</w:t>
            </w:r>
            <w:r>
              <w:rPr>
                <w:rFonts w:hint="eastAsia" w:ascii="宋体" w:hAnsi="宋体" w:eastAsia="宋体" w:cs="宋体"/>
                <w:color w:val="auto"/>
                <w:sz w:val="21"/>
                <w:szCs w:val="21"/>
                <w:lang w:val="en-US" w:eastAsia="zh-CN"/>
              </w:rPr>
              <w:t>视频录像形式</w:t>
            </w:r>
            <w:r>
              <w:rPr>
                <w:rFonts w:hint="eastAsia" w:ascii="宋体" w:hAnsi="宋体" w:cs="宋体"/>
                <w:color w:val="auto"/>
                <w:sz w:val="21"/>
                <w:szCs w:val="21"/>
                <w:lang w:val="en-US" w:eastAsia="zh-CN"/>
              </w:rPr>
              <w:t>演示，演示视频须</w:t>
            </w:r>
            <w:r>
              <w:rPr>
                <w:rFonts w:hint="eastAsia" w:ascii="宋体" w:hAnsi="宋体" w:eastAsia="宋体" w:cs="宋体"/>
                <w:color w:val="auto"/>
                <w:sz w:val="21"/>
                <w:szCs w:val="21"/>
                <w:lang w:val="en-US" w:eastAsia="zh-CN"/>
              </w:rPr>
              <w:t>在开标截止时间前与</w:t>
            </w:r>
            <w:r>
              <w:rPr>
                <w:rFonts w:hint="eastAsia" w:ascii="宋体" w:hAnsi="宋体" w:cs="宋体"/>
                <w:color w:val="auto"/>
                <w:szCs w:val="21"/>
              </w:rPr>
              <w:t>电子备份文件</w:t>
            </w:r>
            <w:r>
              <w:rPr>
                <w:rFonts w:hint="eastAsia" w:ascii="宋体" w:hAnsi="宋体" w:cs="宋体"/>
                <w:color w:val="auto"/>
                <w:szCs w:val="21"/>
                <w:lang w:val="en-US" w:eastAsia="zh-CN"/>
              </w:rPr>
              <w:t>一并</w:t>
            </w:r>
            <w:r>
              <w:rPr>
                <w:rFonts w:hint="eastAsia" w:ascii="宋体" w:hAnsi="宋体" w:cs="宋体"/>
                <w:color w:val="auto"/>
                <w:szCs w:val="21"/>
              </w:rPr>
              <w:t>邮寄至招标代理机构</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因未递交演示视频或电子文件损坏或格式不匹配等原因导致无法读出的，本项不得分。</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tcBorders>
              <w:top w:val="single" w:color="auto" w:sz="4" w:space="0"/>
              <w:left w:val="single" w:color="auto" w:sz="4" w:space="0"/>
              <w:bottom w:val="single" w:color="auto" w:sz="4" w:space="0"/>
              <w:right w:val="single" w:color="auto" w:sz="2" w:space="0"/>
            </w:tcBorders>
            <w:noWrap w:val="0"/>
            <w:vAlign w:val="center"/>
          </w:tcPr>
          <w:p>
            <w:pPr>
              <w:rPr>
                <w:rFonts w:hint="default" w:ascii="宋体" w:hAnsi="Times New Roman" w:eastAsia="宋体"/>
                <w:color w:val="auto"/>
                <w:lang w:val="en-US" w:eastAsia="zh-CN"/>
              </w:rPr>
            </w:pPr>
            <w:r>
              <w:rPr>
                <w:rFonts w:hint="eastAsia" w:ascii="宋体" w:hAnsi="宋体" w:cs="宋体"/>
                <w:snapToGrid w:val="0"/>
                <w:color w:val="auto"/>
                <w:spacing w:val="-4"/>
                <w:lang w:val="en-US" w:eastAsia="zh-CN"/>
              </w:rPr>
              <w:t>7</w:t>
            </w:r>
            <w:r>
              <w:rPr>
                <w:rFonts w:hint="eastAsia" w:ascii="宋体" w:hAnsi="宋体" w:cs="宋体"/>
                <w:snapToGrid w:val="0"/>
                <w:color w:val="auto"/>
                <w:spacing w:val="-4"/>
              </w:rPr>
              <w:t>、</w:t>
            </w:r>
            <w:r>
              <w:rPr>
                <w:rFonts w:hint="eastAsia" w:ascii="宋体" w:hAnsi="宋体" w:cs="宋体"/>
                <w:snapToGrid w:val="0"/>
                <w:color w:val="auto"/>
                <w:spacing w:val="-4"/>
                <w:lang w:val="en-US" w:eastAsia="zh-CN"/>
              </w:rPr>
              <w:t>项目团队</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numPr>
                <w:ilvl w:val="0"/>
                <w:numId w:val="0"/>
              </w:numPr>
              <w:ind w:leftChars="0"/>
              <w:rPr>
                <w:rFonts w:ascii="宋体" w:hAnsi="宋体"/>
                <w:color w:val="auto"/>
                <w:szCs w:val="21"/>
              </w:rPr>
            </w:pPr>
            <w:r>
              <w:rPr>
                <w:rFonts w:hint="eastAsia" w:ascii="宋体" w:hAnsi="宋体"/>
                <w:color w:val="auto"/>
                <w:szCs w:val="21"/>
              </w:rPr>
              <w:t>根据投标人针对本项目配备人员的数量、专业、分工情况进行综合评议。</w:t>
            </w:r>
          </w:p>
          <w:p>
            <w:pPr>
              <w:widowControl/>
              <w:jc w:val="left"/>
              <w:rPr>
                <w:rFonts w:ascii="宋体" w:hAnsi="宋体" w:cs="宋体"/>
                <w:color w:val="auto"/>
                <w:szCs w:val="21"/>
              </w:rPr>
            </w:pPr>
            <w:r>
              <w:rPr>
                <w:rFonts w:hint="eastAsia" w:ascii="宋体" w:hAnsi="宋体" w:cs="宋体"/>
                <w:color w:val="auto"/>
                <w:szCs w:val="21"/>
              </w:rPr>
              <w:t>①投标人拟投入本项目团队人员数量配备合理，专业契合，分工合理的，得</w:t>
            </w:r>
            <w:r>
              <w:rPr>
                <w:rFonts w:hint="eastAsia" w:ascii="宋体" w:hAnsi="宋体" w:cs="宋体"/>
                <w:color w:val="auto"/>
                <w:szCs w:val="21"/>
                <w:lang w:val="en-US" w:eastAsia="zh-CN"/>
              </w:rPr>
              <w:t>4</w:t>
            </w:r>
            <w:r>
              <w:rPr>
                <w:rFonts w:hint="eastAsia" w:ascii="宋体" w:hAnsi="宋体" w:cs="宋体"/>
                <w:color w:val="auto"/>
                <w:szCs w:val="21"/>
              </w:rPr>
              <w:t>分。</w:t>
            </w:r>
          </w:p>
          <w:p>
            <w:pPr>
              <w:widowControl/>
              <w:jc w:val="left"/>
              <w:rPr>
                <w:rFonts w:ascii="宋体" w:hAnsi="宋体" w:cs="宋体"/>
                <w:color w:val="auto"/>
                <w:szCs w:val="21"/>
              </w:rPr>
            </w:pPr>
            <w:r>
              <w:rPr>
                <w:rFonts w:hint="eastAsia" w:ascii="宋体" w:hAnsi="宋体" w:cs="宋体"/>
                <w:color w:val="auto"/>
                <w:szCs w:val="21"/>
              </w:rPr>
              <w:t>②投标人拟投入本项目团队人员数量配备较为合理，专业基本契合，分工较为合理的，得</w:t>
            </w:r>
            <w:r>
              <w:rPr>
                <w:rFonts w:hint="eastAsia" w:ascii="宋体" w:hAnsi="宋体" w:cs="宋体"/>
                <w:color w:val="auto"/>
                <w:szCs w:val="21"/>
                <w:lang w:val="en-US" w:eastAsia="zh-CN"/>
              </w:rPr>
              <w:t>3</w:t>
            </w:r>
            <w:r>
              <w:rPr>
                <w:rFonts w:hint="eastAsia" w:ascii="宋体" w:hAnsi="宋体" w:cs="宋体"/>
                <w:color w:val="auto"/>
                <w:szCs w:val="21"/>
              </w:rPr>
              <w:t>分。</w:t>
            </w:r>
          </w:p>
          <w:p>
            <w:pPr>
              <w:widowControl/>
              <w:jc w:val="left"/>
              <w:rPr>
                <w:rFonts w:hint="default" w:ascii="宋体" w:hAnsi="宋体" w:eastAsia="宋体" w:cs="宋体"/>
                <w:color w:val="auto"/>
                <w:szCs w:val="21"/>
                <w:lang w:val="en-US" w:eastAsia="zh-CN"/>
              </w:rPr>
            </w:pPr>
            <w:r>
              <w:rPr>
                <w:rFonts w:hint="eastAsia" w:ascii="宋体" w:hAnsi="宋体" w:cs="宋体"/>
                <w:color w:val="auto"/>
                <w:szCs w:val="21"/>
              </w:rPr>
              <w:t>③投标人拟投入本项目团队人员数量配备合理性一般，专业契合度差，分工有明显不合理的，得</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不提供不得分。</w:t>
            </w:r>
          </w:p>
          <w:p>
            <w:pPr>
              <w:rPr>
                <w:color w:val="auto"/>
              </w:rPr>
            </w:pPr>
            <w:r>
              <w:rPr>
                <w:rFonts w:hint="eastAsia" w:ascii="宋体" w:hAnsi="宋体"/>
                <w:color w:val="auto"/>
                <w:szCs w:val="21"/>
              </w:rPr>
              <w:t>（提供配备人员的清单、专业及相关分工介绍等证明材料，</w:t>
            </w:r>
            <w:r>
              <w:rPr>
                <w:rFonts w:hint="eastAsia"/>
                <w:color w:val="auto"/>
              </w:rPr>
              <w:t>近半年内连续</w:t>
            </w:r>
            <w:r>
              <w:rPr>
                <w:color w:val="auto"/>
              </w:rPr>
              <w:t>3</w:t>
            </w:r>
            <w:r>
              <w:rPr>
                <w:rFonts w:hint="eastAsia"/>
                <w:color w:val="auto"/>
              </w:rPr>
              <w:t>个月社保缴纳证明</w:t>
            </w:r>
            <w:r>
              <w:rPr>
                <w:rFonts w:hint="eastAsia" w:ascii="宋体" w:hAnsi="宋体"/>
                <w:color w:val="auto"/>
                <w:szCs w:val="21"/>
              </w:rPr>
              <w:t>关证明资料</w:t>
            </w:r>
            <w:r>
              <w:rPr>
                <w:rFonts w:hint="eastAsia"/>
                <w:color w:val="auto"/>
              </w:rPr>
              <w:t>）</w:t>
            </w:r>
            <w:r>
              <w:rPr>
                <w:rFonts w:hint="eastAsia" w:ascii="宋体" w:hAnsi="宋体"/>
                <w:color w:val="auto"/>
                <w:szCs w:val="21"/>
              </w:rPr>
              <w:t>。</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宋体" w:hAnsi="宋体" w:eastAsia="宋体" w:cs="宋体"/>
                <w:color w:val="auto"/>
                <w:shd w:val="clear" w:color="auto" w:fill="auto"/>
                <w:lang w:val="en-US" w:eastAsia="zh-CN"/>
              </w:rPr>
            </w:pPr>
            <w:r>
              <w:rPr>
                <w:rFonts w:hint="eastAsia" w:ascii="宋体" w:hAnsi="宋体" w:cs="宋体"/>
                <w:color w:val="auto"/>
                <w:shd w:val="clear" w:color="auto" w:fil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restart"/>
            <w:tcBorders>
              <w:top w:val="single" w:color="auto" w:sz="4" w:space="0"/>
              <w:left w:val="single" w:color="auto" w:sz="4" w:space="0"/>
              <w:right w:val="single" w:color="auto" w:sz="2" w:space="0"/>
            </w:tcBorders>
            <w:noWrap w:val="0"/>
            <w:vAlign w:val="center"/>
          </w:tcPr>
          <w:p>
            <w:pPr>
              <w:rPr>
                <w:rFonts w:ascii="宋体" w:hAnsi="宋体" w:cs="宋体"/>
                <w:color w:val="auto"/>
              </w:rPr>
            </w:pPr>
            <w:r>
              <w:rPr>
                <w:rFonts w:hint="eastAsia" w:ascii="宋体" w:hAnsi="宋体" w:cs="宋体"/>
                <w:color w:val="auto"/>
                <w:lang w:val="en-US" w:eastAsia="zh-CN"/>
              </w:rPr>
              <w:t>8</w:t>
            </w:r>
            <w:r>
              <w:rPr>
                <w:rFonts w:hint="eastAsia" w:ascii="宋体" w:hAnsi="宋体" w:cs="宋体"/>
                <w:color w:val="auto"/>
              </w:rPr>
              <w:t>、履约能力</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pStyle w:val="244"/>
              <w:adjustRightInd w:val="0"/>
              <w:snapToGrid w:val="0"/>
              <w:spacing w:line="320" w:lineRule="exact"/>
              <w:ind w:left="31" w:firstLine="22"/>
              <w:jc w:val="left"/>
              <w:rPr>
                <w:rFonts w:hint="eastAsia" w:ascii="宋体" w:hAnsi="宋体"/>
                <w:color w:val="auto"/>
              </w:rPr>
            </w:pPr>
            <w:r>
              <w:rPr>
                <w:rFonts w:hint="eastAsia" w:cs="宋体"/>
                <w:color w:val="auto"/>
                <w:spacing w:val="4"/>
              </w:rPr>
              <w:t>投标人的海洋通信产品（项目）取得省级以上政府</w:t>
            </w:r>
            <w:r>
              <w:rPr>
                <w:rFonts w:hint="eastAsia" w:cs="宋体"/>
                <w:color w:val="auto"/>
                <w:spacing w:val="4"/>
                <w:lang w:val="en-US" w:eastAsia="zh-CN"/>
              </w:rPr>
              <w:t xml:space="preserve"> 部门</w:t>
            </w:r>
            <w:r>
              <w:rPr>
                <w:rFonts w:hint="eastAsia" w:cs="宋体"/>
                <w:color w:val="auto"/>
                <w:spacing w:val="4"/>
              </w:rPr>
              <w:t>颁发的科技奖项或者隶属国家部委的国家级行业组织颁发的科技奖项的，每一项得1分，最多得3分。</w:t>
            </w:r>
            <w:r>
              <w:rPr>
                <w:rFonts w:hint="eastAsia" w:cs="宋体"/>
                <w:color w:val="auto"/>
                <w:spacing w:val="4"/>
                <w:lang w:eastAsia="zh-CN"/>
              </w:rPr>
              <w:t>（</w:t>
            </w:r>
            <w:r>
              <w:rPr>
                <w:rFonts w:hint="eastAsia" w:cs="宋体"/>
                <w:color w:val="auto"/>
                <w:spacing w:val="4"/>
              </w:rPr>
              <w:t>提供证书复印件或公告文件复印件</w:t>
            </w:r>
            <w:r>
              <w:rPr>
                <w:rFonts w:hint="eastAsia" w:cs="宋体"/>
                <w:color w:val="auto"/>
                <w:spacing w:val="4"/>
                <w:lang w:eastAsia="zh-CN"/>
              </w:rPr>
              <w:t>，</w:t>
            </w:r>
            <w:r>
              <w:rPr>
                <w:rFonts w:hint="eastAsia" w:cs="宋体"/>
                <w:color w:val="auto"/>
                <w:spacing w:val="4"/>
                <w:lang w:val="en-US" w:eastAsia="zh-CN"/>
              </w:rPr>
              <w:t>加盖公章</w:t>
            </w:r>
            <w:r>
              <w:rPr>
                <w:rFonts w:hint="eastAsia" w:cs="宋体"/>
                <w:color w:val="auto"/>
                <w:spacing w:val="4"/>
              </w:rPr>
              <w:t>。</w:t>
            </w:r>
            <w:r>
              <w:rPr>
                <w:rFonts w:hint="eastAsia" w:cs="宋体"/>
                <w:color w:val="auto"/>
                <w:spacing w:val="4"/>
                <w:lang w:eastAsia="zh-CN"/>
              </w:rPr>
              <w:t>）</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宋体" w:hAnsi="宋体" w:cs="宋体"/>
                <w:color w:val="auto"/>
              </w:rPr>
            </w:pPr>
            <w:r>
              <w:rPr>
                <w:rFonts w:hint="eastAsia" w:ascii="宋体" w:hAnsi="宋体" w:cs="宋体"/>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5"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vMerge w:val="continue"/>
            <w:tcBorders>
              <w:top w:val="single" w:color="auto" w:sz="4" w:space="0"/>
              <w:left w:val="single" w:color="auto" w:sz="4" w:space="0"/>
              <w:bottom w:val="single" w:color="auto" w:sz="4" w:space="0"/>
              <w:right w:val="single" w:color="auto" w:sz="2" w:space="0"/>
            </w:tcBorders>
            <w:noWrap w:val="0"/>
            <w:vAlign w:val="center"/>
          </w:tcPr>
          <w:p>
            <w:pPr>
              <w:rPr>
                <w:rFonts w:ascii="宋体" w:hAnsi="宋体" w:cs="宋体"/>
                <w:color w:val="auto"/>
              </w:rPr>
            </w:pPr>
          </w:p>
        </w:tc>
        <w:tc>
          <w:tcPr>
            <w:tcW w:w="7501" w:type="dxa"/>
            <w:tcBorders>
              <w:top w:val="single" w:color="auto" w:sz="4" w:space="0"/>
              <w:left w:val="single" w:color="auto" w:sz="4" w:space="0"/>
              <w:bottom w:val="single" w:color="auto" w:sz="4" w:space="0"/>
              <w:right w:val="single" w:color="auto" w:sz="2" w:space="0"/>
            </w:tcBorders>
            <w:noWrap w:val="0"/>
            <w:vAlign w:val="center"/>
          </w:tcPr>
          <w:p>
            <w:pPr>
              <w:pStyle w:val="244"/>
              <w:adjustRightInd w:val="0"/>
              <w:snapToGrid w:val="0"/>
              <w:spacing w:line="320" w:lineRule="exact"/>
              <w:ind w:left="31" w:firstLine="22"/>
              <w:jc w:val="left"/>
              <w:rPr>
                <w:color w:val="auto"/>
              </w:rPr>
            </w:pPr>
            <w:r>
              <w:rPr>
                <w:rFonts w:hint="eastAsia" w:cs="宋体"/>
                <w:color w:val="auto"/>
                <w:spacing w:val="4"/>
              </w:rPr>
              <w:t>投标人提供的设备涉及的技术相关专利获得过地市级一等奖或省级二等奖或国家三等奖的，任意一个专利奖项得1.5分，比前述高等级的专利奖项每一项另外得0.5分。本项最多得3分。</w:t>
            </w:r>
            <w:r>
              <w:rPr>
                <w:rFonts w:hint="eastAsia" w:cs="宋体"/>
                <w:color w:val="auto"/>
                <w:spacing w:val="4"/>
                <w:lang w:eastAsia="zh-CN"/>
              </w:rPr>
              <w:t>（</w:t>
            </w:r>
            <w:r>
              <w:rPr>
                <w:rFonts w:hint="eastAsia" w:cs="宋体"/>
                <w:color w:val="auto"/>
                <w:spacing w:val="4"/>
              </w:rPr>
              <w:t>提供证书复印件或公告文件复印件，同一专利只计分一次。</w:t>
            </w:r>
            <w:r>
              <w:rPr>
                <w:rFonts w:hint="eastAsia" w:cs="宋体"/>
                <w:color w:val="auto"/>
                <w:spacing w:val="4"/>
                <w:lang w:eastAsia="zh-CN"/>
              </w:rPr>
              <w:t>）</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宋体" w:hAnsi="宋体" w:eastAsia="宋体" w:cs="宋体"/>
                <w:color w:val="auto"/>
                <w:lang w:eastAsia="zh-CN"/>
              </w:rPr>
            </w:pPr>
            <w:r>
              <w:rPr>
                <w:rFonts w:hint="eastAsia" w:ascii="宋体" w:hAnsi="宋体" w:cs="宋体"/>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71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cs="宋体"/>
                <w:snapToGrid w:val="0"/>
                <w:color w:val="auto"/>
                <w:spacing w:val="-4"/>
              </w:rPr>
            </w:pPr>
          </w:p>
        </w:tc>
        <w:tc>
          <w:tcPr>
            <w:tcW w:w="1077" w:type="dxa"/>
            <w:tcBorders>
              <w:top w:val="single" w:color="auto" w:sz="4" w:space="0"/>
              <w:left w:val="single" w:color="auto" w:sz="4" w:space="0"/>
              <w:bottom w:val="single" w:color="auto" w:sz="4" w:space="0"/>
              <w:right w:val="single" w:color="auto" w:sz="2" w:space="0"/>
            </w:tcBorders>
            <w:noWrap w:val="0"/>
            <w:vAlign w:val="center"/>
          </w:tcPr>
          <w:p>
            <w:pPr>
              <w:rPr>
                <w:rFonts w:hint="default" w:ascii="宋体" w:hAnsi="宋体" w:eastAsia="宋体"/>
                <w:color w:val="auto"/>
                <w:lang w:val="en-US" w:eastAsia="zh-CN"/>
              </w:rPr>
            </w:pPr>
            <w:r>
              <w:rPr>
                <w:rFonts w:hint="eastAsia" w:ascii="宋体" w:hAnsi="宋体"/>
                <w:color w:val="auto"/>
                <w:lang w:val="en-US" w:eastAsia="zh-CN"/>
              </w:rPr>
              <w:t>9、业绩</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bidi w:val="0"/>
              <w:jc w:val="left"/>
              <w:rPr>
                <w:rFonts w:hint="eastAsia"/>
                <w:color w:val="auto"/>
              </w:rPr>
            </w:pPr>
            <w:r>
              <w:rPr>
                <w:rFonts w:hint="eastAsia"/>
                <w:color w:val="auto"/>
              </w:rPr>
              <w:t>201</w:t>
            </w:r>
            <w:r>
              <w:rPr>
                <w:rFonts w:hint="eastAsia"/>
                <w:color w:val="auto"/>
                <w:lang w:val="en-US" w:eastAsia="zh-CN"/>
              </w:rPr>
              <w:t>9</w:t>
            </w:r>
            <w:r>
              <w:rPr>
                <w:rFonts w:hint="eastAsia"/>
                <w:color w:val="auto"/>
              </w:rPr>
              <w:t>年1月1日</w:t>
            </w:r>
            <w:r>
              <w:rPr>
                <w:rFonts w:hint="eastAsia"/>
                <w:color w:val="auto"/>
                <w:lang w:val="en-US" w:eastAsia="zh-CN"/>
              </w:rPr>
              <w:t>以来</w:t>
            </w:r>
            <w:r>
              <w:rPr>
                <w:rFonts w:hint="eastAsia"/>
                <w:color w:val="auto"/>
              </w:rPr>
              <w:t>（日期以验收报告为准），投标人在国内完成过AIS采购项目的，每个得0.5分，最多得3分。</w:t>
            </w:r>
          </w:p>
          <w:p>
            <w:pPr>
              <w:widowControl/>
              <w:jc w:val="left"/>
              <w:rPr>
                <w:rFonts w:hint="eastAsia" w:ascii="Times New Roman" w:hAnsi="Times New Roman" w:eastAsia="宋体"/>
                <w:color w:val="auto"/>
                <w:lang w:eastAsia="zh-CN"/>
              </w:rPr>
            </w:pPr>
            <w:r>
              <w:rPr>
                <w:rFonts w:hint="eastAsia" w:ascii="宋体" w:hAnsi="宋体"/>
                <w:color w:val="auto"/>
                <w:szCs w:val="21"/>
                <w:lang w:eastAsia="zh-CN"/>
              </w:rPr>
              <w:t>【</w:t>
            </w:r>
            <w:r>
              <w:rPr>
                <w:rFonts w:hint="eastAsia" w:ascii="宋体" w:hAnsi="宋体"/>
                <w:color w:val="0000FF"/>
                <w:szCs w:val="21"/>
              </w:rPr>
              <w:t>须提供采购合同复印件（须清晰反应合同的主要内容至少包含封面、首页、合同标</w:t>
            </w:r>
            <w:r>
              <w:rPr>
                <w:rFonts w:hint="eastAsia" w:ascii="宋体" w:hAnsi="宋体"/>
                <w:color w:val="0000FF"/>
                <w:szCs w:val="21"/>
                <w:lang w:val="en-US" w:eastAsia="zh-CN"/>
              </w:rPr>
              <w:t>的</w:t>
            </w:r>
            <w:r>
              <w:rPr>
                <w:rFonts w:hint="eastAsia" w:ascii="宋体" w:hAnsi="宋体"/>
                <w:color w:val="0000FF"/>
                <w:szCs w:val="21"/>
              </w:rPr>
              <w:t>完整页、签字盖章页)</w:t>
            </w:r>
            <w:r>
              <w:rPr>
                <w:rFonts w:hint="eastAsia" w:ascii="宋体" w:hAnsi="宋体"/>
                <w:color w:val="0000FF"/>
                <w:szCs w:val="21"/>
                <w:lang w:val="en-US" w:eastAsia="zh-CN"/>
              </w:rPr>
              <w:t>或</w:t>
            </w:r>
            <w:r>
              <w:rPr>
                <w:rFonts w:hint="eastAsia" w:ascii="宋体" w:hAnsi="宋体"/>
                <w:color w:val="0000FF"/>
                <w:szCs w:val="21"/>
              </w:rPr>
              <w:t>中标通知书复印件、</w:t>
            </w:r>
            <w:r>
              <w:rPr>
                <w:rFonts w:hint="eastAsia" w:ascii="宋体" w:hAnsi="宋体" w:eastAsia="宋体" w:cs="宋体"/>
                <w:color w:val="0000FF"/>
                <w:sz w:val="21"/>
                <w:szCs w:val="21"/>
                <w:lang w:val="en-US" w:eastAsia="zh-CN"/>
              </w:rPr>
              <w:t>项目合同对应的增值税专用发票复印件</w:t>
            </w:r>
            <w:r>
              <w:rPr>
                <w:rFonts w:hint="eastAsia" w:ascii="宋体" w:hAnsi="宋体" w:eastAsia="宋体" w:cs="宋体"/>
                <w:color w:val="0000FF"/>
                <w:sz w:val="22"/>
                <w:szCs w:val="22"/>
                <w:lang w:val="en-US" w:eastAsia="zh-CN"/>
              </w:rPr>
              <w:t>、</w:t>
            </w:r>
            <w:r>
              <w:rPr>
                <w:rFonts w:hint="eastAsia" w:ascii="宋体" w:hAnsi="宋体"/>
                <w:color w:val="0000FF"/>
                <w:szCs w:val="21"/>
              </w:rPr>
              <w:t>项目验收合格</w:t>
            </w:r>
            <w:r>
              <w:rPr>
                <w:rFonts w:hint="eastAsia" w:ascii="宋体" w:hAnsi="宋体"/>
                <w:color w:val="0000FF"/>
                <w:szCs w:val="21"/>
                <w:lang w:val="en-US" w:eastAsia="zh-CN"/>
              </w:rPr>
              <w:t>的</w:t>
            </w:r>
            <w:r>
              <w:rPr>
                <w:rFonts w:hint="eastAsia" w:ascii="宋体" w:hAnsi="宋体"/>
                <w:color w:val="0000FF"/>
                <w:szCs w:val="21"/>
              </w:rPr>
              <w:t>证明</w:t>
            </w:r>
            <w:r>
              <w:rPr>
                <w:rFonts w:hint="eastAsia" w:ascii="宋体" w:hAnsi="宋体"/>
                <w:color w:val="0000FF"/>
                <w:szCs w:val="21"/>
                <w:lang w:val="en-US" w:eastAsia="zh-CN"/>
              </w:rPr>
              <w:t>文件</w:t>
            </w:r>
            <w:r>
              <w:rPr>
                <w:rFonts w:hint="eastAsia" w:ascii="宋体" w:hAnsi="宋体"/>
                <w:color w:val="0000FF"/>
                <w:szCs w:val="21"/>
              </w:rPr>
              <w:t>复印件，未同时提供以上各项证明材料的，该项业绩不得分。</w:t>
            </w:r>
            <w:r>
              <w:rPr>
                <w:rFonts w:hint="eastAsia" w:ascii="宋体" w:hAnsi="宋体"/>
                <w:color w:val="auto"/>
                <w:szCs w:val="21"/>
                <w:lang w:eastAsia="zh-CN"/>
              </w:rPr>
              <w:t>】</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宋体" w:hAnsi="宋体" w:eastAsia="宋体" w:cs="宋体"/>
                <w:color w:val="auto"/>
                <w:lang w:eastAsia="zh-CN"/>
              </w:rPr>
            </w:pPr>
            <w:r>
              <w:rPr>
                <w:rFonts w:hint="eastAsia" w:ascii="宋体" w:hAnsi="宋体" w:cs="宋体"/>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787" w:type="dxa"/>
            <w:gridSpan w:val="2"/>
            <w:tcBorders>
              <w:top w:val="single" w:color="auto" w:sz="4" w:space="0"/>
              <w:left w:val="single" w:color="auto" w:sz="4" w:space="0"/>
              <w:bottom w:val="single" w:color="auto" w:sz="4" w:space="0"/>
              <w:right w:val="single" w:color="auto" w:sz="2" w:space="0"/>
            </w:tcBorders>
            <w:noWrap w:val="0"/>
            <w:tcMar>
              <w:top w:w="0" w:type="dxa"/>
              <w:left w:w="0" w:type="dxa"/>
              <w:bottom w:w="0" w:type="dxa"/>
              <w:right w:w="0" w:type="dxa"/>
            </w:tcMar>
            <w:vAlign w:val="center"/>
          </w:tcPr>
          <w:p>
            <w:pPr>
              <w:spacing w:before="156" w:beforeLines="50" w:line="360" w:lineRule="auto"/>
              <w:jc w:val="center"/>
              <w:rPr>
                <w:rFonts w:ascii="宋体" w:hAnsi="宋体" w:cs="宋体"/>
                <w:snapToGrid w:val="0"/>
                <w:color w:val="auto"/>
                <w:spacing w:val="-4"/>
              </w:rPr>
            </w:pPr>
            <w:r>
              <w:rPr>
                <w:rFonts w:hint="eastAsia" w:ascii="宋体" w:hAnsi="宋体" w:cs="宋体"/>
                <w:snapToGrid w:val="0"/>
                <w:color w:val="auto"/>
                <w:spacing w:val="-4"/>
              </w:rPr>
              <w:t>政策分（1分）</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bidi w:val="0"/>
              <w:rPr>
                <w:rFonts w:ascii="宋体" w:hAnsi="宋体" w:cs="宋体"/>
                <w:color w:val="auto"/>
              </w:rPr>
            </w:pPr>
            <w:r>
              <w:rPr>
                <w:rFonts w:hint="eastAsia"/>
                <w:color w:val="auto"/>
              </w:rPr>
              <w:t>投标人所提供的产品列入“节能产品政府采购清单” 或“环境标志产品政府采购清单”的，任意1种产品（强制节能产品除外）能提供节能（或环境标志）产品认证证书或中国政府采购网节能（或环境标志）产品查询截图的得1分，最多1分。</w:t>
            </w:r>
            <w:r>
              <w:rPr>
                <w:rFonts w:hint="eastAsia" w:cs="宋体"/>
                <w:color w:val="auto"/>
                <w:spacing w:val="4"/>
                <w:lang w:eastAsia="zh-CN"/>
              </w:rPr>
              <w:t>（</w:t>
            </w:r>
            <w:r>
              <w:rPr>
                <w:rFonts w:hint="eastAsia" w:cs="宋体"/>
                <w:color w:val="auto"/>
                <w:spacing w:val="4"/>
              </w:rPr>
              <w:t>提供证书复印件或中国政府采购网网页查询截图</w:t>
            </w:r>
            <w:r>
              <w:rPr>
                <w:rFonts w:hint="eastAsia" w:cs="宋体"/>
                <w:color w:val="auto"/>
                <w:spacing w:val="4"/>
                <w:lang w:eastAsia="zh-CN"/>
              </w:rPr>
              <w:t>，</w:t>
            </w:r>
            <w:r>
              <w:rPr>
                <w:rFonts w:hint="eastAsia" w:cs="宋体"/>
                <w:color w:val="auto"/>
                <w:spacing w:val="4"/>
                <w:lang w:val="en-US" w:eastAsia="zh-CN"/>
              </w:rPr>
              <w:t>加盖公章</w:t>
            </w:r>
            <w:r>
              <w:rPr>
                <w:rFonts w:hint="eastAsia" w:cs="宋体"/>
                <w:color w:val="auto"/>
                <w:spacing w:val="4"/>
              </w:rPr>
              <w:t>。</w:t>
            </w:r>
            <w:r>
              <w:rPr>
                <w:rFonts w:hint="eastAsia" w:cs="宋体"/>
                <w:color w:val="auto"/>
                <w:spacing w:val="4"/>
                <w:lang w:eastAsia="zh-CN"/>
              </w:rPr>
              <w:t>）</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ascii="宋体" w:hAnsi="宋体"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1787" w:type="dxa"/>
            <w:gridSpan w:val="2"/>
            <w:tcBorders>
              <w:top w:val="single" w:color="auto" w:sz="4" w:space="0"/>
              <w:left w:val="single" w:color="auto" w:sz="4" w:space="0"/>
              <w:bottom w:val="single" w:color="auto" w:sz="4" w:space="0"/>
              <w:right w:val="single" w:color="auto" w:sz="2" w:space="0"/>
            </w:tcBorders>
            <w:noWrap w:val="0"/>
            <w:tcMar>
              <w:top w:w="0" w:type="dxa"/>
              <w:left w:w="0" w:type="dxa"/>
              <w:bottom w:w="0" w:type="dxa"/>
              <w:right w:w="0" w:type="dxa"/>
            </w:tcMar>
            <w:vAlign w:val="center"/>
          </w:tcPr>
          <w:p>
            <w:pPr>
              <w:spacing w:before="156" w:beforeLines="50" w:line="360" w:lineRule="auto"/>
              <w:jc w:val="center"/>
              <w:rPr>
                <w:rFonts w:ascii="宋体" w:hAnsi="Times New Roman" w:cs="宋体"/>
                <w:snapToGrid w:val="0"/>
                <w:color w:val="auto"/>
                <w:spacing w:val="-4"/>
              </w:rPr>
            </w:pPr>
            <w:r>
              <w:rPr>
                <w:rFonts w:hint="eastAsia" w:ascii="宋体" w:hAnsi="宋体" w:cs="宋体"/>
                <w:snapToGrid w:val="0"/>
                <w:color w:val="auto"/>
                <w:spacing w:val="-4"/>
              </w:rPr>
              <w:t>报价分</w:t>
            </w:r>
          </w:p>
          <w:p>
            <w:pPr>
              <w:spacing w:before="156" w:beforeLines="50" w:line="360" w:lineRule="auto"/>
              <w:jc w:val="center"/>
              <w:rPr>
                <w:rFonts w:ascii="宋体" w:cs="宋体"/>
                <w:snapToGrid w:val="0"/>
                <w:color w:val="auto"/>
                <w:spacing w:val="-4"/>
              </w:rPr>
            </w:pPr>
            <w:r>
              <w:rPr>
                <w:rFonts w:hint="eastAsia" w:ascii="宋体" w:hAnsi="宋体" w:cs="宋体"/>
                <w:snapToGrid w:val="0"/>
                <w:color w:val="auto"/>
                <w:spacing w:val="-4"/>
              </w:rPr>
              <w:t>（</w:t>
            </w:r>
            <w:r>
              <w:rPr>
                <w:rFonts w:hint="eastAsia" w:ascii="宋体" w:hAnsi="宋体" w:cs="宋体"/>
                <w:snapToGrid w:val="0"/>
                <w:color w:val="auto"/>
                <w:spacing w:val="-4"/>
                <w:lang w:val="en-US" w:eastAsia="zh-CN"/>
              </w:rPr>
              <w:t>30</w:t>
            </w:r>
            <w:r>
              <w:rPr>
                <w:rFonts w:hint="eastAsia" w:ascii="宋体" w:hAnsi="宋体" w:cs="宋体"/>
                <w:snapToGrid w:val="0"/>
                <w:color w:val="auto"/>
                <w:spacing w:val="-4"/>
              </w:rPr>
              <w:t>分）</w:t>
            </w:r>
          </w:p>
        </w:tc>
        <w:tc>
          <w:tcPr>
            <w:tcW w:w="7501" w:type="dxa"/>
            <w:tcBorders>
              <w:top w:val="single" w:color="auto" w:sz="4" w:space="0"/>
              <w:left w:val="single" w:color="auto" w:sz="4" w:space="0"/>
              <w:bottom w:val="single" w:color="auto" w:sz="4" w:space="0"/>
              <w:right w:val="single" w:color="auto" w:sz="2" w:space="0"/>
            </w:tcBorders>
            <w:noWrap w:val="0"/>
            <w:vAlign w:val="center"/>
          </w:tcPr>
          <w:p>
            <w:pPr>
              <w:rPr>
                <w:rFonts w:hint="eastAsia" w:ascii="Times New Roman" w:eastAsia="宋体"/>
                <w:color w:val="auto"/>
                <w:lang w:eastAsia="zh-CN"/>
              </w:rPr>
            </w:pPr>
            <w:r>
              <w:rPr>
                <w:rFonts w:hint="eastAsia" w:cs="宋体"/>
                <w:color w:val="auto"/>
              </w:rPr>
              <w:t>评标基准价</w:t>
            </w:r>
            <w:r>
              <w:rPr>
                <w:color w:val="auto"/>
              </w:rPr>
              <w:t>=</w:t>
            </w:r>
            <w:r>
              <w:rPr>
                <w:rFonts w:hint="eastAsia" w:cs="宋体"/>
                <w:color w:val="auto"/>
              </w:rPr>
              <w:t>满足招标文件要求且投标价格最低的投标报价</w:t>
            </w:r>
          </w:p>
          <w:p>
            <w:pPr>
              <w:rPr>
                <w:color w:val="auto"/>
              </w:rPr>
            </w:pPr>
            <w:r>
              <w:rPr>
                <w:rFonts w:hint="eastAsia" w:cs="宋体"/>
                <w:color w:val="auto"/>
              </w:rPr>
              <w:t>投标报价等于基准价的得分为满分</w:t>
            </w:r>
            <w:r>
              <w:rPr>
                <w:rFonts w:hint="eastAsia"/>
                <w:color w:val="auto"/>
                <w:lang w:val="en-US" w:eastAsia="zh-CN"/>
              </w:rPr>
              <w:t>30</w:t>
            </w:r>
            <w:r>
              <w:rPr>
                <w:rFonts w:hint="eastAsia" w:cs="宋体"/>
                <w:color w:val="auto"/>
              </w:rPr>
              <w:t>分。</w:t>
            </w:r>
          </w:p>
          <w:p>
            <w:pPr>
              <w:rPr>
                <w:color w:val="auto"/>
              </w:rPr>
            </w:pPr>
            <w:r>
              <w:rPr>
                <w:rFonts w:hint="eastAsia" w:cs="宋体"/>
                <w:color w:val="auto"/>
              </w:rPr>
              <w:t>投标报价得分</w:t>
            </w:r>
            <w:r>
              <w:rPr>
                <w:color w:val="auto"/>
              </w:rPr>
              <w:t>=(</w:t>
            </w:r>
            <w:r>
              <w:rPr>
                <w:rFonts w:hint="eastAsia" w:cs="宋体"/>
                <w:color w:val="auto"/>
              </w:rPr>
              <w:t>评标基准价</w:t>
            </w:r>
            <w:r>
              <w:rPr>
                <w:color w:val="auto"/>
              </w:rPr>
              <w:t>/</w:t>
            </w:r>
            <w:r>
              <w:rPr>
                <w:rFonts w:hint="eastAsia" w:cs="宋体"/>
                <w:color w:val="auto"/>
              </w:rPr>
              <w:t>投标报价</w:t>
            </w:r>
            <w:r>
              <w:rPr>
                <w:color w:val="auto"/>
              </w:rPr>
              <w:t>)</w:t>
            </w:r>
            <w:r>
              <w:rPr>
                <w:rFonts w:hint="eastAsia" w:cs="宋体"/>
                <w:color w:val="auto"/>
              </w:rPr>
              <w:t>×价格权重（</w:t>
            </w:r>
            <w:r>
              <w:rPr>
                <w:rFonts w:hint="eastAsia"/>
                <w:color w:val="auto"/>
                <w:lang w:val="en-US" w:eastAsia="zh-CN"/>
              </w:rPr>
              <w:t>30</w:t>
            </w:r>
            <w:r>
              <w:rPr>
                <w:color w:val="auto"/>
              </w:rPr>
              <w:t>%</w:t>
            </w:r>
            <w:r>
              <w:rPr>
                <w:rFonts w:hint="eastAsia" w:cs="宋体"/>
                <w:color w:val="auto"/>
              </w:rPr>
              <w:t>）×</w:t>
            </w:r>
            <w:r>
              <w:rPr>
                <w:color w:val="auto"/>
              </w:rPr>
              <w:t>100</w:t>
            </w:r>
          </w:p>
          <w:p>
            <w:pPr>
              <w:rPr>
                <w:rFonts w:ascii="宋体" w:cs="宋体"/>
                <w:snapToGrid w:val="0"/>
                <w:color w:val="auto"/>
                <w:spacing w:val="-4"/>
              </w:rPr>
            </w:pPr>
            <w:r>
              <w:rPr>
                <w:rFonts w:hint="eastAsia" w:ascii="宋体" w:hAnsi="宋体" w:cs="宋体"/>
                <w:color w:val="auto"/>
              </w:rPr>
              <w:t>投标报价得分以四舍五入保留小数点后两位。</w:t>
            </w:r>
          </w:p>
        </w:tc>
        <w:tc>
          <w:tcPr>
            <w:tcW w:w="854" w:type="dxa"/>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eastAsia="宋体" w:cs="宋体"/>
                <w:color w:val="auto"/>
                <w:lang w:val="en-US" w:eastAsia="zh-CN"/>
              </w:rPr>
            </w:pPr>
            <w:r>
              <w:rPr>
                <w:rFonts w:hint="eastAsia" w:eastAsia="宋体" w:cs="宋体"/>
                <w:color w:val="auto"/>
                <w:lang w:val="en-US" w:eastAsia="zh-CN"/>
              </w:rPr>
              <w:t>30</w:t>
            </w:r>
          </w:p>
        </w:tc>
      </w:tr>
    </w:tbl>
    <w:p>
      <w:pPr>
        <w:rPr>
          <w:rFonts w:hint="eastAsia"/>
          <w:b/>
          <w:bCs/>
          <w:color w:val="auto"/>
        </w:rPr>
      </w:pPr>
    </w:p>
    <w:p>
      <w:pPr>
        <w:rPr>
          <w:rFonts w:hint="eastAsia"/>
          <w:b/>
          <w:bCs/>
          <w:color w:val="auto"/>
        </w:rPr>
      </w:pPr>
    </w:p>
    <w:p>
      <w:pPr>
        <w:rPr>
          <w:rFonts w:hint="eastAsia"/>
          <w:b/>
          <w:bCs/>
          <w:color w:val="auto"/>
        </w:rPr>
      </w:pPr>
      <w:r>
        <w:rPr>
          <w:rFonts w:hint="eastAsia"/>
          <w:b/>
          <w:bCs/>
          <w:color w:val="auto"/>
        </w:rPr>
        <w:t>七、定标</w:t>
      </w:r>
      <w:bookmarkEnd w:id="284"/>
      <w:bookmarkEnd w:id="285"/>
      <w:bookmarkEnd w:id="286"/>
      <w:bookmarkEnd w:id="287"/>
      <w:bookmarkEnd w:id="288"/>
      <w:bookmarkEnd w:id="289"/>
    </w:p>
    <w:p>
      <w:pPr>
        <w:pStyle w:val="19"/>
        <w:widowControl/>
        <w:spacing w:beforeLines="0" w:afterLines="0"/>
        <w:ind w:firstLine="420" w:firstLineChars="200"/>
        <w:jc w:val="left"/>
        <w:rPr>
          <w:rFonts w:hint="eastAsia" w:hAnsi="宋体" w:cs="宋体"/>
          <w:color w:val="auto"/>
          <w:sz w:val="21"/>
          <w:szCs w:val="21"/>
        </w:rPr>
      </w:pPr>
      <w:r>
        <w:rPr>
          <w:rFonts w:hint="eastAsia" w:hAnsi="宋体" w:cs="宋体"/>
          <w:color w:val="auto"/>
          <w:sz w:val="21"/>
          <w:szCs w:val="21"/>
        </w:rPr>
        <w:t>（一）本项目由评标委员会推荐中标候选人，采购人不得在评标委员会推荐的中标候选人以外确定中标候选人。</w:t>
      </w:r>
    </w:p>
    <w:p>
      <w:pPr>
        <w:pStyle w:val="19"/>
        <w:widowControl/>
        <w:spacing w:beforeLines="0" w:afterLines="0"/>
        <w:ind w:firstLine="420" w:firstLineChars="200"/>
        <w:jc w:val="left"/>
        <w:rPr>
          <w:rFonts w:hint="eastAsia" w:hAnsi="宋体" w:cs="宋体"/>
          <w:color w:val="auto"/>
          <w:sz w:val="21"/>
          <w:szCs w:val="21"/>
        </w:rPr>
      </w:pPr>
      <w:r>
        <w:rPr>
          <w:rFonts w:hint="eastAsia" w:hAnsi="宋体" w:cs="宋体"/>
          <w:color w:val="auto"/>
          <w:sz w:val="21"/>
          <w:szCs w:val="21"/>
        </w:rPr>
        <w:t>（二）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19"/>
        <w:widowControl/>
        <w:spacing w:beforeLines="0" w:afterLines="0"/>
        <w:ind w:firstLine="420" w:firstLineChars="200"/>
        <w:jc w:val="left"/>
        <w:rPr>
          <w:rFonts w:hint="eastAsia" w:hAnsi="宋体" w:cs="宋体"/>
          <w:color w:val="auto"/>
          <w:sz w:val="21"/>
          <w:szCs w:val="21"/>
        </w:rPr>
      </w:pPr>
      <w:r>
        <w:rPr>
          <w:rFonts w:hint="eastAsia" w:hAnsi="宋体" w:cs="宋体"/>
          <w:color w:val="auto"/>
          <w:sz w:val="21"/>
          <w:szCs w:val="21"/>
        </w:rPr>
        <w:t>（三）采购代理机构自中标人确定之日起2个工作日内，在发布招标公告的网站上对中标结果进行公示，中标结果公告期限为1个工作日。</w:t>
      </w:r>
    </w:p>
    <w:p>
      <w:pPr>
        <w:pStyle w:val="19"/>
        <w:widowControl/>
        <w:spacing w:beforeLines="0" w:afterLines="0"/>
        <w:ind w:firstLine="420" w:firstLineChars="200"/>
        <w:jc w:val="left"/>
        <w:rPr>
          <w:rFonts w:hint="eastAsia" w:hAnsi="宋体" w:cs="宋体"/>
          <w:color w:val="auto"/>
          <w:sz w:val="21"/>
          <w:szCs w:val="21"/>
        </w:rPr>
      </w:pPr>
      <w:r>
        <w:rPr>
          <w:rFonts w:hint="eastAsia" w:hAnsi="宋体" w:cs="宋体"/>
          <w:color w:val="auto"/>
          <w:sz w:val="21"/>
          <w:szCs w:val="21"/>
        </w:rPr>
        <w:t>（四）凡发现中标人有下列行为之一的，将移交政府采购监督管理部门依法处理：</w:t>
      </w:r>
    </w:p>
    <w:p>
      <w:pPr>
        <w:spacing w:line="400" w:lineRule="exact"/>
        <w:ind w:left="420" w:firstLine="210" w:firstLineChars="100"/>
        <w:rPr>
          <w:rFonts w:hint="eastAsia" w:ascii="宋体" w:hAnsi="宋体" w:cs="宋体"/>
          <w:color w:val="auto"/>
          <w:szCs w:val="21"/>
        </w:rPr>
      </w:pPr>
      <w:r>
        <w:rPr>
          <w:rFonts w:hint="eastAsia" w:ascii="宋体" w:hAnsi="宋体" w:cs="宋体"/>
          <w:color w:val="auto"/>
          <w:szCs w:val="21"/>
        </w:rPr>
        <w:t>1.提供虚假材料谋取中标的；</w:t>
      </w:r>
    </w:p>
    <w:p>
      <w:pPr>
        <w:spacing w:line="400" w:lineRule="exact"/>
        <w:ind w:left="420" w:firstLine="210" w:firstLineChars="100"/>
        <w:rPr>
          <w:rFonts w:hint="eastAsia" w:ascii="宋体" w:hAnsi="宋体" w:cs="宋体"/>
          <w:color w:val="auto"/>
          <w:szCs w:val="21"/>
        </w:rPr>
      </w:pPr>
      <w:r>
        <w:rPr>
          <w:rFonts w:hint="eastAsia" w:ascii="宋体" w:hAnsi="宋体" w:cs="宋体"/>
          <w:color w:val="auto"/>
          <w:szCs w:val="21"/>
        </w:rPr>
        <w:t>2.采取不正当手段诋毁、排挤其他投标人的；</w:t>
      </w:r>
    </w:p>
    <w:p>
      <w:pPr>
        <w:spacing w:line="400" w:lineRule="exact"/>
        <w:ind w:left="420" w:firstLine="210" w:firstLineChars="100"/>
        <w:rPr>
          <w:rFonts w:hint="eastAsia" w:ascii="宋体" w:hAnsi="宋体" w:cs="宋体"/>
          <w:color w:val="auto"/>
          <w:szCs w:val="21"/>
        </w:rPr>
      </w:pPr>
      <w:r>
        <w:rPr>
          <w:rFonts w:hint="eastAsia" w:ascii="宋体" w:hAnsi="宋体" w:cs="宋体"/>
          <w:color w:val="auto"/>
          <w:szCs w:val="21"/>
        </w:rPr>
        <w:t>3.与采购人、其他投标人或者采购代理机构工作人员恶意串通的；</w:t>
      </w:r>
    </w:p>
    <w:p>
      <w:pPr>
        <w:spacing w:line="400" w:lineRule="exact"/>
        <w:ind w:left="420" w:firstLine="210" w:firstLineChars="100"/>
        <w:rPr>
          <w:rFonts w:hint="eastAsia" w:ascii="宋体" w:hAnsi="宋体" w:cs="宋体"/>
          <w:color w:val="auto"/>
          <w:szCs w:val="21"/>
        </w:rPr>
      </w:pPr>
      <w:r>
        <w:rPr>
          <w:rFonts w:hint="eastAsia" w:ascii="宋体" w:hAnsi="宋体" w:cs="宋体"/>
          <w:color w:val="auto"/>
          <w:szCs w:val="21"/>
        </w:rPr>
        <w:t>4.向采购人或采购代理机构人员行贿或者提供其他不正当利益的；</w:t>
      </w:r>
    </w:p>
    <w:p>
      <w:pPr>
        <w:spacing w:line="400" w:lineRule="exact"/>
        <w:ind w:left="420" w:firstLine="210" w:firstLineChars="100"/>
        <w:rPr>
          <w:rFonts w:hint="eastAsia" w:ascii="宋体" w:hAnsi="宋体" w:cs="宋体"/>
          <w:color w:val="auto"/>
          <w:szCs w:val="21"/>
        </w:rPr>
      </w:pPr>
      <w:r>
        <w:rPr>
          <w:rFonts w:hint="eastAsia" w:ascii="宋体" w:hAnsi="宋体" w:cs="宋体"/>
          <w:color w:val="auto"/>
          <w:szCs w:val="21"/>
        </w:rPr>
        <w:t>5.拒绝有关部门监督检查或者提供虚假情况的；</w:t>
      </w:r>
    </w:p>
    <w:p>
      <w:pPr>
        <w:spacing w:line="400" w:lineRule="exact"/>
        <w:ind w:left="420" w:firstLine="210" w:firstLineChars="100"/>
        <w:rPr>
          <w:rFonts w:hint="eastAsia" w:ascii="宋体" w:hAnsi="宋体" w:cs="宋体"/>
          <w:color w:val="auto"/>
          <w:szCs w:val="21"/>
        </w:rPr>
      </w:pPr>
      <w:r>
        <w:rPr>
          <w:rFonts w:hint="eastAsia" w:ascii="宋体" w:hAnsi="宋体" w:cs="宋体"/>
          <w:color w:val="auto"/>
          <w:szCs w:val="21"/>
        </w:rPr>
        <w:t>6.有法律、法规规定的其他损害采购人利益和社会公共利益情形的。</w:t>
      </w:r>
    </w:p>
    <w:p>
      <w:pPr>
        <w:rPr>
          <w:rFonts w:hint="eastAsia"/>
          <w:b/>
          <w:bCs/>
          <w:color w:val="auto"/>
        </w:rPr>
      </w:pPr>
      <w:bookmarkStart w:id="290" w:name="_Toc28530"/>
      <w:bookmarkStart w:id="291" w:name="_Toc13820"/>
      <w:bookmarkStart w:id="292" w:name="_Toc17707947"/>
      <w:bookmarkStart w:id="293" w:name="_Toc79395470"/>
      <w:bookmarkStart w:id="294" w:name="_Toc13586"/>
      <w:r>
        <w:rPr>
          <w:rFonts w:hint="eastAsia"/>
          <w:b/>
          <w:bCs/>
          <w:color w:val="auto"/>
        </w:rPr>
        <w:t>八、评标过程的监控</w:t>
      </w:r>
      <w:bookmarkEnd w:id="290"/>
      <w:bookmarkEnd w:id="291"/>
      <w:bookmarkEnd w:id="292"/>
      <w:bookmarkEnd w:id="293"/>
      <w:bookmarkEnd w:id="294"/>
    </w:p>
    <w:p>
      <w:pPr>
        <w:snapToGrid w:val="0"/>
        <w:spacing w:line="400" w:lineRule="exact"/>
        <w:ind w:firstLine="420" w:firstLineChars="200"/>
        <w:jc w:val="left"/>
        <w:rPr>
          <w:rFonts w:hint="eastAsia" w:ascii="宋体" w:hAnsi="宋体" w:cs="宋体"/>
          <w:color w:val="auto"/>
          <w:szCs w:val="21"/>
          <w:highlight w:val="yellow"/>
        </w:rPr>
      </w:pPr>
      <w:r>
        <w:rPr>
          <w:rFonts w:hint="eastAsia" w:ascii="宋体" w:hAnsi="宋体" w:cs="宋体"/>
          <w:bCs/>
          <w:color w:val="auto"/>
          <w:szCs w:val="21"/>
        </w:rPr>
        <w:t>本项目评标过程实行全程录音、录像监控，投标人在评标过程中所进行的试图影响评标结果的不公正活动，可能导致其投标被拒绝。</w:t>
      </w:r>
    </w:p>
    <w:p>
      <w:pPr>
        <w:rPr>
          <w:rFonts w:hint="eastAsia"/>
          <w:b/>
          <w:bCs/>
          <w:color w:val="auto"/>
        </w:rPr>
      </w:pPr>
      <w:bookmarkStart w:id="295" w:name="_Toc17707948"/>
      <w:bookmarkStart w:id="296" w:name="_Toc460857934"/>
      <w:bookmarkStart w:id="297" w:name="_Toc30381"/>
      <w:bookmarkStart w:id="298" w:name="_Toc460416359"/>
      <w:bookmarkStart w:id="299" w:name="_Toc79395471"/>
      <w:bookmarkStart w:id="300" w:name="_Toc27507"/>
      <w:bookmarkStart w:id="301" w:name="_Toc460416664"/>
      <w:bookmarkStart w:id="302" w:name="_Toc8418"/>
      <w:r>
        <w:rPr>
          <w:rFonts w:hint="eastAsia"/>
          <w:b/>
          <w:bCs/>
          <w:color w:val="auto"/>
        </w:rPr>
        <w:t>九、合同授予</w:t>
      </w:r>
      <w:bookmarkEnd w:id="295"/>
      <w:bookmarkEnd w:id="296"/>
      <w:bookmarkEnd w:id="297"/>
      <w:bookmarkEnd w:id="298"/>
      <w:bookmarkEnd w:id="299"/>
      <w:bookmarkEnd w:id="300"/>
      <w:bookmarkEnd w:id="301"/>
      <w:bookmarkEnd w:id="302"/>
    </w:p>
    <w:p>
      <w:pPr>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1、采购人应当自中标通知书发出之日起30日内，按照采购文件和中标人投标文件的规定，与中标人签订书面合同。所签订的合同不得对采购文件确定的事项和中标人投标文件作实质性修改。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采购人不得向中标人提出任何不合理的要求作为签订合同的条件。</w:t>
      </w:r>
    </w:p>
    <w:p>
      <w:pPr>
        <w:pStyle w:val="19"/>
        <w:snapToGrid w:val="0"/>
        <w:spacing w:beforeLines="0" w:afterLines="0"/>
        <w:ind w:firstLine="411" w:firstLineChars="196"/>
        <w:rPr>
          <w:rFonts w:hint="eastAsia" w:hAnsi="宋体" w:cs="宋体"/>
          <w:color w:val="auto"/>
          <w:kern w:val="2"/>
          <w:sz w:val="21"/>
          <w:szCs w:val="21"/>
        </w:rPr>
      </w:pPr>
      <w:r>
        <w:rPr>
          <w:rFonts w:hint="eastAsia" w:hAnsi="宋体" w:cs="宋体"/>
          <w:color w:val="auto"/>
          <w:kern w:val="2"/>
          <w:sz w:val="21"/>
          <w:szCs w:val="21"/>
        </w:rPr>
        <w:t>2、采购人在签订合同时，在合同金额变更范围内，如需审批的办理相关审批手续。有权变更采购项目的数量和服务内容，但不能对单价或其他条款和条件作任何改变。</w:t>
      </w:r>
    </w:p>
    <w:p>
      <w:pPr>
        <w:pStyle w:val="19"/>
        <w:snapToGrid w:val="0"/>
        <w:spacing w:beforeLines="0" w:afterLines="0"/>
        <w:ind w:firstLine="411" w:firstLineChars="196"/>
        <w:rPr>
          <w:rFonts w:hint="eastAsia" w:hAnsi="宋体" w:cs="宋体"/>
          <w:color w:val="auto"/>
          <w:kern w:val="2"/>
          <w:sz w:val="21"/>
          <w:szCs w:val="21"/>
        </w:rPr>
      </w:pPr>
      <w:r>
        <w:rPr>
          <w:rFonts w:hint="eastAsia" w:hAnsi="宋体" w:cs="宋体"/>
          <w:color w:val="auto"/>
          <w:kern w:val="2"/>
          <w:sz w:val="21"/>
          <w:szCs w:val="21"/>
        </w:rPr>
        <w:t>3、采购文件、中标供应商的投标文件及评标过程中有关的澄清文件均应作为合同签订的附件。</w:t>
      </w:r>
    </w:p>
    <w:p>
      <w:pPr>
        <w:pStyle w:val="19"/>
        <w:snapToGrid w:val="0"/>
        <w:spacing w:beforeLines="0" w:afterLines="0"/>
        <w:ind w:firstLine="411" w:firstLineChars="196"/>
        <w:rPr>
          <w:rFonts w:hint="eastAsia" w:hAnsi="宋体" w:cs="宋体"/>
          <w:color w:val="auto"/>
          <w:kern w:val="2"/>
          <w:sz w:val="21"/>
          <w:szCs w:val="21"/>
        </w:rPr>
      </w:pPr>
      <w:r>
        <w:rPr>
          <w:rFonts w:hint="eastAsia" w:hAnsi="宋体" w:cs="宋体"/>
          <w:color w:val="auto"/>
          <w:kern w:val="2"/>
          <w:sz w:val="21"/>
          <w:szCs w:val="21"/>
        </w:rPr>
        <w:t>4、中标或者成交供应商拒绝与采购人签订合同的，采购人可以选择排名第二的候选供应商作为成交供应商并签订政府采购合同，也可以重新开展采购活动。排名第二的候选供应商拒绝签订政府采购合同的，采购人可以选择排名第三的候选供应商作为成交供应商并签订政府采购合同，也可以重新开展采购活动。拒绝签订政府采购合同的成交供应商不得参加对该项目重新开展的采购活动。</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hint="eastAsia" w:ascii="宋体" w:hAnsi="宋体" w:cs="宋体"/>
          <w:b/>
          <w:color w:val="auto"/>
          <w:szCs w:val="21"/>
        </w:rPr>
      </w:pPr>
      <w:r>
        <w:rPr>
          <w:rFonts w:hint="eastAsia" w:ascii="宋体" w:hAnsi="宋体" w:cs="宋体"/>
          <w:b/>
          <w:bCs/>
          <w:color w:val="auto"/>
          <w:szCs w:val="21"/>
        </w:rPr>
        <w:t>十、履约验收</w:t>
      </w:r>
      <w:r>
        <w:rPr>
          <w:rFonts w:hint="eastAsia" w:ascii="宋体" w:hAnsi="宋体" w:cs="宋体"/>
          <w:b/>
          <w:color w:val="auto"/>
          <w:szCs w:val="21"/>
        </w:rPr>
        <w:t>：</w:t>
      </w:r>
    </w:p>
    <w:p>
      <w:pPr>
        <w:pStyle w:val="10"/>
        <w:numPr>
          <w:ilvl w:val="0"/>
          <w:numId w:val="0"/>
        </w:numPr>
        <w:ind w:firstLine="420" w:firstLineChars="200"/>
        <w:rPr>
          <w:rFonts w:hint="eastAsia" w:ascii="宋体" w:hAnsi="宋体" w:cs="宋体"/>
          <w:color w:val="auto"/>
          <w:szCs w:val="21"/>
        </w:rPr>
      </w:pPr>
      <w:r>
        <w:rPr>
          <w:rFonts w:hint="eastAsia" w:ascii="宋体" w:hAnsi="宋体" w:cs="宋体"/>
          <w:color w:val="auto"/>
          <w:szCs w:val="21"/>
        </w:rPr>
        <w:t>采购人负责对中标人的履约行为进行验收。政府向社会公众提供的公共服务项目，验收时应当邀请服务对象参与并出具意见，验收结果应当向社会公告。</w:t>
      </w:r>
    </w:p>
    <w:p>
      <w:pPr>
        <w:rPr>
          <w:rFonts w:hint="eastAsia" w:ascii="宋体" w:hAnsi="宋体" w:cs="宋体"/>
          <w:color w:val="auto"/>
          <w:szCs w:val="21"/>
        </w:rPr>
      </w:pPr>
    </w:p>
    <w:p>
      <w:pPr>
        <w:pStyle w:val="3"/>
        <w:spacing w:before="0" w:after="0" w:line="360" w:lineRule="auto"/>
        <w:jc w:val="center"/>
        <w:rPr>
          <w:rFonts w:hint="eastAsia" w:ascii="宋体" w:hAnsi="宋体" w:cs="宋体"/>
          <w:color w:val="auto"/>
          <w:sz w:val="30"/>
        </w:rPr>
      </w:pPr>
      <w:r>
        <w:rPr>
          <w:rFonts w:hint="eastAsia" w:ascii="宋体" w:hAnsi="宋体" w:cs="宋体"/>
          <w:b w:val="0"/>
          <w:color w:val="auto"/>
          <w:sz w:val="24"/>
          <w:szCs w:val="21"/>
        </w:rPr>
        <w:br w:type="page"/>
      </w:r>
      <w:bookmarkStart w:id="303" w:name="_Toc3258"/>
      <w:bookmarkStart w:id="304" w:name="_Toc22500"/>
      <w:bookmarkStart w:id="305" w:name="_Toc24585"/>
      <w:bookmarkStart w:id="306" w:name="_Toc545"/>
      <w:bookmarkStart w:id="307" w:name="_Toc14636"/>
      <w:bookmarkStart w:id="308" w:name="_Toc68086648"/>
      <w:bookmarkStart w:id="309" w:name="_Toc26178"/>
      <w:r>
        <w:rPr>
          <w:rFonts w:hint="eastAsia" w:ascii="宋体" w:hAnsi="宋体" w:cs="宋体"/>
          <w:color w:val="auto"/>
          <w:sz w:val="30"/>
        </w:rPr>
        <w:t>第五章  采购合同主要条款</w:t>
      </w:r>
      <w:bookmarkEnd w:id="303"/>
      <w:bookmarkEnd w:id="304"/>
      <w:bookmarkEnd w:id="305"/>
      <w:bookmarkEnd w:id="306"/>
      <w:bookmarkEnd w:id="307"/>
      <w:bookmarkEnd w:id="308"/>
      <w:bookmarkEnd w:id="309"/>
    </w:p>
    <w:p>
      <w:pPr>
        <w:rPr>
          <w:rFonts w:hint="eastAsia" w:ascii="宋体" w:hAnsi="宋体" w:cs="宋体"/>
          <w:color w:val="auto"/>
        </w:rPr>
      </w:pPr>
    </w:p>
    <w:p>
      <w:pPr>
        <w:pStyle w:val="165"/>
        <w:spacing w:line="360" w:lineRule="auto"/>
        <w:ind w:firstLine="480"/>
        <w:jc w:val="center"/>
        <w:rPr>
          <w:rFonts w:hint="eastAsia" w:ascii="宋体" w:hAnsi="宋体" w:cs="宋体"/>
          <w:color w:val="auto"/>
          <w:sz w:val="21"/>
          <w:szCs w:val="21"/>
        </w:rPr>
      </w:pPr>
      <w:r>
        <w:rPr>
          <w:rFonts w:hint="eastAsia" w:ascii="宋体" w:hAnsi="宋体" w:cs="宋体"/>
          <w:color w:val="auto"/>
          <w:sz w:val="21"/>
          <w:szCs w:val="21"/>
        </w:rPr>
        <w:t>（参考合同，具体细则以采购人及中标人双方签订为准。）</w:t>
      </w:r>
    </w:p>
    <w:p>
      <w:pPr>
        <w:jc w:val="center"/>
        <w:rPr>
          <w:rFonts w:hint="eastAsia" w:ascii="宋体" w:hAnsi="宋体" w:cs="宋体"/>
          <w:b/>
          <w:bCs/>
          <w:color w:val="auto"/>
          <w:sz w:val="30"/>
          <w:szCs w:val="30"/>
        </w:rPr>
      </w:pPr>
    </w:p>
    <w:p>
      <w:pPr>
        <w:pStyle w:val="19"/>
        <w:snapToGrid w:val="0"/>
        <w:spacing w:before="120" w:after="120" w:line="360" w:lineRule="exact"/>
        <w:rPr>
          <w:rFonts w:hAnsi="宋体" w:eastAsia="宋体"/>
          <w:color w:val="auto"/>
          <w:sz w:val="21"/>
          <w:szCs w:val="21"/>
        </w:rPr>
      </w:pPr>
      <w:r>
        <w:rPr>
          <w:rFonts w:hint="eastAsia" w:ascii="宋体" w:hAnsi="宋体" w:eastAsia="宋体" w:cs="宋体"/>
          <w:color w:val="auto"/>
        </w:rPr>
        <w:t xml:space="preserve"> </w:t>
      </w:r>
      <w:r>
        <w:rPr>
          <w:rFonts w:hint="eastAsia" w:hAnsi="宋体" w:eastAsia="宋体"/>
          <w:color w:val="auto"/>
          <w:sz w:val="21"/>
          <w:szCs w:val="21"/>
        </w:rPr>
        <w:t xml:space="preserve">项目名称：                                       采购编号：    </w:t>
      </w:r>
    </w:p>
    <w:p>
      <w:pPr>
        <w:pStyle w:val="19"/>
        <w:snapToGrid w:val="0"/>
        <w:spacing w:before="120" w:after="120" w:line="360" w:lineRule="exact"/>
        <w:rPr>
          <w:rFonts w:hAnsi="宋体" w:eastAsia="宋体"/>
          <w:color w:val="auto"/>
          <w:sz w:val="21"/>
          <w:szCs w:val="21"/>
        </w:rPr>
      </w:pPr>
      <w:r>
        <w:rPr>
          <w:rFonts w:hint="eastAsia" w:hAnsi="宋体" w:eastAsia="宋体"/>
          <w:color w:val="auto"/>
          <w:sz w:val="21"/>
          <w:szCs w:val="21"/>
        </w:rPr>
        <w:t xml:space="preserve">甲方：                                                                      </w:t>
      </w:r>
    </w:p>
    <w:p>
      <w:pPr>
        <w:pStyle w:val="19"/>
        <w:snapToGrid w:val="0"/>
        <w:spacing w:before="120" w:after="120" w:line="360" w:lineRule="exact"/>
        <w:rPr>
          <w:rFonts w:hAnsi="宋体" w:eastAsia="宋体"/>
          <w:color w:val="auto"/>
          <w:sz w:val="21"/>
          <w:szCs w:val="21"/>
        </w:rPr>
      </w:pPr>
      <w:r>
        <w:rPr>
          <w:rFonts w:hint="eastAsia" w:hAnsi="宋体" w:eastAsia="宋体"/>
          <w:color w:val="auto"/>
          <w:sz w:val="21"/>
          <w:szCs w:val="21"/>
        </w:rPr>
        <w:t xml:space="preserve">乙方：                                                                 </w:t>
      </w:r>
    </w:p>
    <w:p>
      <w:pPr>
        <w:pStyle w:val="19"/>
        <w:snapToGrid w:val="0"/>
        <w:spacing w:before="120" w:after="120" w:line="360" w:lineRule="exact"/>
        <w:ind w:firstLine="420" w:firstLineChars="200"/>
        <w:rPr>
          <w:rFonts w:hAnsi="宋体" w:eastAsia="宋体"/>
          <w:color w:val="auto"/>
          <w:sz w:val="21"/>
          <w:szCs w:val="21"/>
        </w:rPr>
      </w:pPr>
      <w:r>
        <w:rPr>
          <w:rFonts w:hint="eastAsia" w:hAnsi="宋体" w:eastAsia="宋体"/>
          <w:color w:val="auto"/>
          <w:sz w:val="21"/>
          <w:szCs w:val="21"/>
        </w:rPr>
        <w:t>甲、乙双方根据关于</w:t>
      </w:r>
      <w:r>
        <w:rPr>
          <w:rFonts w:hint="eastAsia" w:hAnsi="宋体" w:eastAsia="宋体"/>
          <w:color w:val="auto"/>
          <w:sz w:val="21"/>
          <w:szCs w:val="21"/>
          <w:u w:val="single"/>
        </w:rPr>
        <w:t xml:space="preserve"> </w:t>
      </w:r>
      <w:r>
        <w:rPr>
          <w:rFonts w:hAnsi="宋体" w:eastAsia="宋体"/>
          <w:color w:val="auto"/>
          <w:sz w:val="21"/>
          <w:szCs w:val="21"/>
          <w:u w:val="single"/>
        </w:rPr>
        <w:t xml:space="preserve">                </w:t>
      </w:r>
      <w:r>
        <w:rPr>
          <w:rFonts w:hint="eastAsia" w:hAnsi="宋体" w:eastAsia="宋体"/>
          <w:color w:val="auto"/>
          <w:sz w:val="21"/>
          <w:szCs w:val="21"/>
        </w:rPr>
        <w:t>项目公开招标的结果，双方经协商签署本合同。乙方投标时的承诺均构成本合同有效组成部分。</w:t>
      </w:r>
    </w:p>
    <w:p>
      <w:pPr>
        <w:spacing w:line="360" w:lineRule="exact"/>
        <w:rPr>
          <w:rFonts w:ascii="宋体" w:hAnsi="宋体" w:cs="宋体"/>
          <w:b/>
          <w:bCs/>
          <w:color w:val="auto"/>
          <w:szCs w:val="21"/>
        </w:rPr>
      </w:pPr>
      <w:r>
        <w:rPr>
          <w:rFonts w:hint="eastAsia" w:ascii="宋体" w:hAnsi="宋体" w:cs="宋体"/>
          <w:b/>
          <w:bCs/>
          <w:color w:val="auto"/>
          <w:szCs w:val="21"/>
        </w:rPr>
        <w:t>一、采购内容（或为附件形式附后并双方盖章）</w:t>
      </w:r>
    </w:p>
    <w:tbl>
      <w:tblPr>
        <w:tblStyle w:val="39"/>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5"/>
        <w:gridCol w:w="2268"/>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产品名称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品牌</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10" w:firstLineChars="100"/>
              <w:jc w:val="center"/>
              <w:rPr>
                <w:rFonts w:ascii="宋体" w:hAnsi="宋体" w:cs="宋体"/>
                <w:color w:val="auto"/>
                <w:szCs w:val="21"/>
              </w:rPr>
            </w:pPr>
            <w:r>
              <w:rPr>
                <w:rFonts w:hint="eastAsia" w:ascii="宋体" w:hAnsi="宋体" w:cs="宋体"/>
                <w:color w:val="auto"/>
                <w:szCs w:val="21"/>
              </w:rPr>
              <w:t>数量</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5" w:firstLineChars="50"/>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0" w:leftChars="-200"/>
              <w:jc w:val="center"/>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s="宋体"/>
                <w:color w:val="auto"/>
                <w:szCs w:val="21"/>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s="宋体"/>
                <w:color w:val="auto"/>
                <w:szCs w:val="21"/>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auto"/>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s="宋体"/>
                <w:color w:val="auto"/>
                <w:szCs w:val="21"/>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s="宋体"/>
                <w:color w:val="auto"/>
                <w:szCs w:val="21"/>
              </w:rPr>
            </w:pPr>
          </w:p>
        </w:tc>
      </w:tr>
    </w:tbl>
    <w:p>
      <w:pPr>
        <w:spacing w:line="360" w:lineRule="exact"/>
        <w:rPr>
          <w:rFonts w:ascii="宋体" w:hAnsi="宋体" w:cs="宋体"/>
          <w:b/>
          <w:bCs/>
          <w:color w:val="auto"/>
          <w:szCs w:val="21"/>
        </w:rPr>
      </w:pPr>
      <w:r>
        <w:rPr>
          <w:rFonts w:hint="eastAsia" w:ascii="宋体" w:hAnsi="宋体" w:cs="宋体"/>
          <w:b/>
          <w:bCs/>
          <w:color w:val="auto"/>
          <w:szCs w:val="21"/>
        </w:rPr>
        <w:t>注：本项目采购内容需按照采购需求及甲方要求进行细化调整。</w:t>
      </w:r>
    </w:p>
    <w:p>
      <w:pPr>
        <w:spacing w:line="360" w:lineRule="exact"/>
        <w:rPr>
          <w:rFonts w:ascii="宋体" w:hAnsi="宋体" w:cs="宋体"/>
          <w:b/>
          <w:bCs/>
          <w:color w:val="auto"/>
          <w:szCs w:val="21"/>
        </w:rPr>
      </w:pPr>
      <w:r>
        <w:rPr>
          <w:rFonts w:hint="eastAsia" w:ascii="宋体" w:hAnsi="宋体" w:cs="宋体"/>
          <w:b/>
          <w:bCs/>
          <w:color w:val="auto"/>
          <w:szCs w:val="21"/>
        </w:rPr>
        <w:t xml:space="preserve">二、合同金额 </w:t>
      </w:r>
    </w:p>
    <w:p>
      <w:pPr>
        <w:pStyle w:val="245"/>
        <w:spacing w:line="380" w:lineRule="exact"/>
        <w:ind w:firstLine="420" w:firstLineChars="200"/>
        <w:rPr>
          <w:rFonts w:ascii="宋体" w:hAnsi="宋体" w:cs="宋体"/>
          <w:color w:val="auto"/>
        </w:rPr>
      </w:pPr>
      <w:r>
        <w:rPr>
          <w:rFonts w:hint="eastAsia" w:hAnsi="宋体" w:cs="宋体"/>
          <w:color w:val="auto"/>
          <w:szCs w:val="21"/>
        </w:rPr>
        <w:t>本合同金额为（大写）：_______________元（￥_______________ 元）人民币。</w:t>
      </w:r>
      <w:r>
        <w:rPr>
          <w:rFonts w:hint="eastAsia" w:ascii="宋体" w:hAnsi="宋体"/>
          <w:color w:val="auto"/>
        </w:rPr>
        <w:t>本项目为固定单价合同，结算时中标单价不变，数量按实调整。当最终采购数量与实际使用数量不一致时，乙方须经甲方确认后的实际使用量供货，合同的最终结算金额按实际使用量乘以成交单价进行计算。</w:t>
      </w:r>
    </w:p>
    <w:p>
      <w:pPr>
        <w:pStyle w:val="38"/>
        <w:spacing w:after="0" w:line="360" w:lineRule="exact"/>
        <w:ind w:left="0" w:leftChars="0" w:firstLine="0" w:firstLineChars="0"/>
        <w:rPr>
          <w:rFonts w:ascii="宋体" w:hAnsi="宋体" w:cs="宋体"/>
          <w:b/>
          <w:color w:val="auto"/>
          <w:szCs w:val="21"/>
        </w:rPr>
      </w:pPr>
      <w:r>
        <w:rPr>
          <w:rFonts w:hint="eastAsia" w:ascii="宋体" w:hAnsi="宋体" w:cs="宋体"/>
          <w:b/>
          <w:color w:val="auto"/>
          <w:szCs w:val="21"/>
        </w:rPr>
        <w:t>三、双方责任</w:t>
      </w:r>
    </w:p>
    <w:p>
      <w:pPr>
        <w:pStyle w:val="38"/>
        <w:spacing w:after="0" w:line="360" w:lineRule="exact"/>
        <w:ind w:left="0" w:leftChars="0" w:firstLine="303" w:firstLineChars="150"/>
        <w:rPr>
          <w:rFonts w:ascii="宋体" w:hAnsi="宋体" w:cs="宋体"/>
          <w:color w:val="auto"/>
          <w:szCs w:val="21"/>
        </w:rPr>
      </w:pPr>
      <w:r>
        <w:rPr>
          <w:rFonts w:hint="eastAsia" w:ascii="宋体" w:hAnsi="宋体" w:cs="宋体"/>
          <w:color w:val="auto"/>
          <w:szCs w:val="21"/>
        </w:rPr>
        <w:t>1、甲方应按时拨付项目款；</w:t>
      </w:r>
    </w:p>
    <w:p>
      <w:pPr>
        <w:pStyle w:val="38"/>
        <w:spacing w:after="0" w:line="360" w:lineRule="exact"/>
        <w:ind w:left="0" w:leftChars="0" w:firstLine="303" w:firstLineChars="150"/>
        <w:rPr>
          <w:rFonts w:ascii="宋体" w:hAnsi="宋体" w:cs="宋体"/>
          <w:color w:val="auto"/>
          <w:szCs w:val="21"/>
        </w:rPr>
      </w:pPr>
      <w:r>
        <w:rPr>
          <w:rFonts w:hint="eastAsia" w:ascii="宋体" w:hAnsi="宋体" w:cs="宋体"/>
          <w:color w:val="auto"/>
          <w:szCs w:val="21"/>
        </w:rPr>
        <w:t>2、甲方应负责对乙方所进行的工作进行监督和管理；</w:t>
      </w:r>
    </w:p>
    <w:p>
      <w:pPr>
        <w:pStyle w:val="245"/>
        <w:spacing w:line="360" w:lineRule="exact"/>
        <w:ind w:firstLine="315" w:firstLineChars="150"/>
        <w:rPr>
          <w:rFonts w:ascii="宋体" w:hAnsi="宋体"/>
          <w:color w:val="auto"/>
        </w:rPr>
      </w:pPr>
      <w:r>
        <w:rPr>
          <w:rFonts w:hint="eastAsia" w:ascii="宋体" w:hAnsi="宋体" w:cs="宋体"/>
          <w:color w:val="auto"/>
          <w:szCs w:val="21"/>
        </w:rPr>
        <w:t>3、乙方应</w:t>
      </w:r>
      <w:r>
        <w:rPr>
          <w:rFonts w:hint="eastAsia" w:ascii="宋体" w:hAnsi="宋体"/>
          <w:color w:val="auto"/>
        </w:rPr>
        <w:t>按法律规定和合同约定保质、保量、按时完成合同内工作，对工程质量、进度负责；</w:t>
      </w:r>
    </w:p>
    <w:p>
      <w:pPr>
        <w:pStyle w:val="245"/>
        <w:spacing w:line="360" w:lineRule="exact"/>
        <w:ind w:firstLine="315" w:firstLineChars="150"/>
        <w:rPr>
          <w:rFonts w:ascii="宋体" w:hAnsi="宋体"/>
          <w:color w:val="auto"/>
        </w:rPr>
      </w:pPr>
      <w:r>
        <w:rPr>
          <w:rFonts w:ascii="宋体" w:hAnsi="宋体"/>
          <w:color w:val="auto"/>
        </w:rPr>
        <w:t>4</w:t>
      </w:r>
      <w:r>
        <w:rPr>
          <w:rFonts w:hint="eastAsia" w:ascii="宋体" w:hAnsi="宋体"/>
          <w:color w:val="auto"/>
        </w:rPr>
        <w:t>、乙方应服从甲方的监督和管理；</w:t>
      </w:r>
    </w:p>
    <w:p>
      <w:pPr>
        <w:pStyle w:val="245"/>
        <w:spacing w:line="360" w:lineRule="exact"/>
        <w:ind w:firstLine="315" w:firstLineChars="150"/>
        <w:rPr>
          <w:rFonts w:ascii="宋体" w:hAnsi="宋体"/>
          <w:color w:val="auto"/>
        </w:rPr>
      </w:pPr>
      <w:r>
        <w:rPr>
          <w:rFonts w:hint="eastAsia" w:ascii="宋体" w:hAnsi="宋体"/>
          <w:color w:val="auto"/>
        </w:rPr>
        <w:t>6、乙方应保证项目人员的稳定性，不得随意更换；</w:t>
      </w:r>
    </w:p>
    <w:p>
      <w:pPr>
        <w:pStyle w:val="245"/>
        <w:spacing w:line="360" w:lineRule="exact"/>
        <w:ind w:firstLine="315" w:firstLineChars="150"/>
        <w:rPr>
          <w:rFonts w:ascii="宋体" w:hAnsi="宋体"/>
          <w:color w:val="auto"/>
        </w:rPr>
      </w:pPr>
      <w:r>
        <w:rPr>
          <w:rFonts w:hint="eastAsia" w:ascii="宋体" w:hAnsi="宋体"/>
          <w:color w:val="auto"/>
        </w:rPr>
        <w:t>7、乙方应在质保期内承担质保义务，</w:t>
      </w:r>
      <w:r>
        <w:rPr>
          <w:rFonts w:hint="eastAsia" w:ascii="宋体" w:hAnsi="宋体" w:cs="宋体"/>
          <w:bCs/>
          <w:color w:val="auto"/>
          <w:szCs w:val="21"/>
        </w:rPr>
        <w:t>保证设备的完整、顺畅运行；</w:t>
      </w:r>
    </w:p>
    <w:p>
      <w:pPr>
        <w:pStyle w:val="245"/>
        <w:spacing w:line="360" w:lineRule="exact"/>
        <w:ind w:firstLine="315" w:firstLineChars="150"/>
        <w:rPr>
          <w:rFonts w:ascii="宋体" w:hAnsi="宋体"/>
          <w:color w:val="auto"/>
        </w:rPr>
      </w:pPr>
      <w:r>
        <w:rPr>
          <w:rFonts w:hint="eastAsia" w:ascii="宋体" w:hAnsi="宋体"/>
          <w:color w:val="auto"/>
        </w:rPr>
        <w:t>8、乙方应按照规定编制竣工资料，完成竣工资料立卷及归档；</w:t>
      </w:r>
    </w:p>
    <w:p>
      <w:pPr>
        <w:pStyle w:val="245"/>
        <w:spacing w:line="360" w:lineRule="exact"/>
        <w:ind w:firstLine="315" w:firstLineChars="150"/>
        <w:rPr>
          <w:rFonts w:ascii="宋体" w:hAnsi="宋体" w:cs="宋体"/>
          <w:bCs/>
          <w:color w:val="auto"/>
          <w:szCs w:val="21"/>
        </w:rPr>
      </w:pPr>
      <w:r>
        <w:rPr>
          <w:rFonts w:hint="eastAsia" w:ascii="宋体" w:hAnsi="宋体" w:cs="宋体"/>
          <w:bCs/>
          <w:color w:val="auto"/>
          <w:szCs w:val="21"/>
        </w:rPr>
        <w:t>9、乙方应对甲方技术人员和操作人员进行使用操作和培训；</w:t>
      </w:r>
    </w:p>
    <w:p>
      <w:pPr>
        <w:pStyle w:val="245"/>
        <w:spacing w:line="360" w:lineRule="exact"/>
        <w:ind w:firstLine="315" w:firstLineChars="150"/>
        <w:jc w:val="left"/>
        <w:rPr>
          <w:rFonts w:ascii="宋体" w:hAnsi="宋体" w:cs="宋体"/>
          <w:bCs/>
          <w:color w:val="auto"/>
          <w:szCs w:val="21"/>
        </w:rPr>
      </w:pPr>
      <w:r>
        <w:rPr>
          <w:rFonts w:hint="eastAsia" w:ascii="宋体" w:hAnsi="宋体" w:cs="宋体"/>
          <w:bCs/>
          <w:color w:val="auto"/>
          <w:szCs w:val="21"/>
        </w:rPr>
        <w:t>10、乙方应按有关法律、法规规定和合同约定采取施工安全和环境保护措施，确保人员、材料、设备和设施的安全。为全部</w:t>
      </w:r>
      <w:r>
        <w:rPr>
          <w:rFonts w:ascii="宋体" w:hAnsi="宋体" w:cs="宋体"/>
          <w:bCs/>
          <w:color w:val="auto"/>
          <w:szCs w:val="21"/>
        </w:rPr>
        <w:t>工作人员</w:t>
      </w:r>
      <w:r>
        <w:rPr>
          <w:rFonts w:hint="eastAsia" w:ascii="宋体" w:hAnsi="宋体" w:cs="宋体"/>
          <w:bCs/>
          <w:color w:val="auto"/>
          <w:szCs w:val="21"/>
        </w:rPr>
        <w:t>办理工伤及保险意外伤害保险并支付保险费。</w:t>
      </w:r>
    </w:p>
    <w:p>
      <w:pPr>
        <w:pStyle w:val="245"/>
        <w:spacing w:line="360" w:lineRule="exact"/>
        <w:ind w:firstLine="315" w:firstLineChars="150"/>
        <w:jc w:val="left"/>
        <w:rPr>
          <w:rFonts w:ascii="宋体" w:hAnsi="宋体" w:cs="宋体"/>
          <w:bCs/>
          <w:color w:val="auto"/>
          <w:szCs w:val="21"/>
        </w:rPr>
      </w:pPr>
      <w:r>
        <w:rPr>
          <w:rFonts w:hint="eastAsia" w:ascii="宋体" w:hAnsi="宋体" w:cs="宋体"/>
          <w:bCs/>
          <w:color w:val="auto"/>
          <w:szCs w:val="21"/>
        </w:rPr>
        <w:t>11、其他未尽事项见采购需求。</w:t>
      </w:r>
    </w:p>
    <w:p>
      <w:pPr>
        <w:spacing w:line="360" w:lineRule="exact"/>
        <w:rPr>
          <w:rFonts w:ascii="宋体" w:hAnsi="宋体" w:cs="宋体"/>
          <w:b/>
          <w:bCs/>
          <w:color w:val="auto"/>
          <w:szCs w:val="21"/>
        </w:rPr>
      </w:pPr>
      <w:r>
        <w:rPr>
          <w:rFonts w:hint="eastAsia" w:ascii="宋体" w:hAnsi="宋体" w:cs="宋体"/>
          <w:b/>
          <w:bCs/>
          <w:color w:val="auto"/>
          <w:szCs w:val="21"/>
        </w:rPr>
        <w:t>四、款项支付</w:t>
      </w:r>
    </w:p>
    <w:p>
      <w:pPr>
        <w:spacing w:line="360" w:lineRule="exact"/>
        <w:ind w:firstLine="420" w:firstLineChars="200"/>
        <w:rPr>
          <w:rFonts w:hint="eastAsia" w:ascii="宋体" w:hAnsi="宋体" w:eastAsia="宋体" w:cs="Times New Roman"/>
          <w:color w:val="auto"/>
          <w:spacing w:val="0"/>
          <w:kern w:val="2"/>
          <w:sz w:val="21"/>
          <w:szCs w:val="21"/>
          <w:lang w:val="en-US" w:eastAsia="zh-CN" w:bidi="ar-SA"/>
        </w:rPr>
      </w:pPr>
      <w:r>
        <w:rPr>
          <w:rFonts w:hint="eastAsia" w:ascii="宋体" w:hAnsi="宋体" w:eastAsia="宋体" w:cs="Times New Roman"/>
          <w:color w:val="auto"/>
          <w:spacing w:val="0"/>
          <w:kern w:val="2"/>
          <w:sz w:val="21"/>
          <w:szCs w:val="21"/>
          <w:lang w:val="en-US" w:eastAsia="zh-CN" w:bidi="ar-SA"/>
        </w:rPr>
        <w:t>合同签订生效项目具备实施条件后</w:t>
      </w:r>
      <w:r>
        <w:rPr>
          <w:rFonts w:hint="eastAsia" w:ascii="宋体" w:hAnsi="宋体" w:cs="Times New Roman"/>
          <w:color w:val="auto"/>
          <w:spacing w:val="0"/>
          <w:kern w:val="2"/>
          <w:sz w:val="21"/>
          <w:szCs w:val="21"/>
          <w:lang w:val="en-US" w:eastAsia="zh-CN" w:bidi="ar-SA"/>
        </w:rPr>
        <w:t>七</w:t>
      </w:r>
      <w:r>
        <w:rPr>
          <w:rFonts w:hint="eastAsia" w:ascii="宋体" w:hAnsi="宋体" w:eastAsia="宋体" w:cs="Times New Roman"/>
          <w:color w:val="auto"/>
          <w:spacing w:val="0"/>
          <w:kern w:val="2"/>
          <w:sz w:val="21"/>
          <w:szCs w:val="21"/>
          <w:lang w:val="en-US" w:eastAsia="zh-CN" w:bidi="ar-SA"/>
        </w:rPr>
        <w:t>个工作日内，采购人支付合同约定金额的</w:t>
      </w:r>
      <w:r>
        <w:rPr>
          <w:rFonts w:hint="eastAsia" w:ascii="宋体" w:hAnsi="宋体" w:cs="Times New Roman"/>
          <w:color w:val="auto"/>
          <w:spacing w:val="0"/>
          <w:kern w:val="2"/>
          <w:sz w:val="21"/>
          <w:szCs w:val="21"/>
          <w:lang w:val="en-US" w:eastAsia="zh-CN" w:bidi="ar-SA"/>
        </w:rPr>
        <w:t>6</w:t>
      </w:r>
      <w:r>
        <w:rPr>
          <w:rFonts w:hint="eastAsia" w:ascii="宋体" w:hAnsi="宋体" w:eastAsia="宋体" w:cs="Times New Roman"/>
          <w:color w:val="auto"/>
          <w:spacing w:val="0"/>
          <w:kern w:val="2"/>
          <w:sz w:val="21"/>
          <w:szCs w:val="21"/>
          <w:lang w:val="en-US" w:eastAsia="zh-CN" w:bidi="ar-SA"/>
        </w:rPr>
        <w:t>0%作为预付款；完成所有设备的安装调试，通过</w:t>
      </w:r>
      <w:r>
        <w:rPr>
          <w:rFonts w:hint="eastAsia" w:ascii="宋体" w:hAnsi="宋体" w:cs="Times New Roman"/>
          <w:color w:val="auto"/>
          <w:spacing w:val="0"/>
          <w:kern w:val="2"/>
          <w:sz w:val="21"/>
          <w:szCs w:val="21"/>
          <w:lang w:val="en-US" w:eastAsia="zh-CN" w:bidi="ar-SA"/>
        </w:rPr>
        <w:t>初验后，支付</w:t>
      </w:r>
      <w:r>
        <w:rPr>
          <w:rFonts w:hint="eastAsia" w:ascii="宋体" w:hAnsi="宋体" w:eastAsia="宋体" w:cs="Times New Roman"/>
          <w:color w:val="auto"/>
          <w:spacing w:val="0"/>
          <w:kern w:val="2"/>
          <w:sz w:val="21"/>
          <w:szCs w:val="21"/>
          <w:lang w:val="en-US" w:eastAsia="zh-CN" w:bidi="ar-SA"/>
        </w:rPr>
        <w:t>合同约定金额的</w:t>
      </w:r>
      <w:r>
        <w:rPr>
          <w:rFonts w:hint="eastAsia" w:ascii="宋体" w:hAnsi="宋体" w:cs="Times New Roman"/>
          <w:color w:val="auto"/>
          <w:spacing w:val="0"/>
          <w:kern w:val="2"/>
          <w:sz w:val="21"/>
          <w:szCs w:val="21"/>
          <w:lang w:val="en-US" w:eastAsia="zh-CN" w:bidi="ar-SA"/>
        </w:rPr>
        <w:t>3</w:t>
      </w:r>
      <w:r>
        <w:rPr>
          <w:rFonts w:hint="eastAsia" w:ascii="宋体" w:hAnsi="宋体" w:eastAsia="宋体" w:cs="Times New Roman"/>
          <w:color w:val="auto"/>
          <w:spacing w:val="0"/>
          <w:kern w:val="2"/>
          <w:sz w:val="21"/>
          <w:szCs w:val="21"/>
          <w:lang w:val="en-US" w:eastAsia="zh-CN" w:bidi="ar-SA"/>
        </w:rPr>
        <w:t>0%</w:t>
      </w:r>
      <w:r>
        <w:rPr>
          <w:rFonts w:hint="eastAsia" w:ascii="宋体" w:hAnsi="宋体" w:cs="Times New Roman"/>
          <w:color w:val="auto"/>
          <w:spacing w:val="0"/>
          <w:kern w:val="2"/>
          <w:sz w:val="21"/>
          <w:szCs w:val="21"/>
          <w:lang w:val="en-US" w:eastAsia="zh-CN" w:bidi="ar-SA"/>
        </w:rPr>
        <w:t>，</w:t>
      </w:r>
      <w:r>
        <w:rPr>
          <w:rFonts w:hint="eastAsia" w:ascii="宋体" w:hAnsi="宋体" w:eastAsia="宋体" w:cs="Times New Roman"/>
          <w:color w:val="auto"/>
          <w:spacing w:val="0"/>
          <w:kern w:val="2"/>
          <w:sz w:val="21"/>
          <w:szCs w:val="21"/>
          <w:lang w:val="en-US" w:eastAsia="zh-CN" w:bidi="ar-SA"/>
        </w:rPr>
        <w:t>最终验收合格后</w:t>
      </w:r>
      <w:r>
        <w:rPr>
          <w:rFonts w:hint="eastAsia" w:ascii="宋体" w:hAnsi="宋体" w:cs="Times New Roman"/>
          <w:color w:val="auto"/>
          <w:spacing w:val="0"/>
          <w:kern w:val="2"/>
          <w:sz w:val="21"/>
          <w:szCs w:val="21"/>
          <w:lang w:val="en-US" w:eastAsia="zh-CN" w:bidi="ar-SA"/>
        </w:rPr>
        <w:t>十五个工作日内</w:t>
      </w:r>
      <w:r>
        <w:rPr>
          <w:rFonts w:hint="eastAsia" w:ascii="宋体" w:hAnsi="宋体" w:eastAsia="宋体" w:cs="Times New Roman"/>
          <w:color w:val="auto"/>
          <w:spacing w:val="0"/>
          <w:kern w:val="2"/>
          <w:sz w:val="21"/>
          <w:szCs w:val="21"/>
          <w:lang w:val="en-US" w:eastAsia="zh-CN" w:bidi="ar-SA"/>
        </w:rPr>
        <w:t>支付合同剩余金额。</w:t>
      </w:r>
    </w:p>
    <w:p>
      <w:pPr>
        <w:spacing w:line="360" w:lineRule="exact"/>
        <w:rPr>
          <w:rFonts w:ascii="宋体" w:hAnsi="宋体" w:cs="宋体"/>
          <w:b/>
          <w:bCs/>
          <w:color w:val="auto"/>
          <w:szCs w:val="21"/>
        </w:rPr>
      </w:pPr>
      <w:r>
        <w:rPr>
          <w:rFonts w:hint="eastAsia" w:ascii="宋体" w:hAnsi="宋体" w:cs="宋体"/>
          <w:b/>
          <w:bCs/>
          <w:color w:val="auto"/>
          <w:szCs w:val="21"/>
        </w:rPr>
        <w:t>五、税费</w:t>
      </w:r>
    </w:p>
    <w:p>
      <w:pPr>
        <w:ind w:firstLine="420" w:firstLineChars="200"/>
        <w:rPr>
          <w:color w:val="auto"/>
        </w:rPr>
      </w:pPr>
      <w:r>
        <w:rPr>
          <w:rFonts w:hint="eastAsia"/>
          <w:color w:val="auto"/>
        </w:rPr>
        <w:t>本合同执行中相关的一切税费均由乙方负担。</w:t>
      </w:r>
    </w:p>
    <w:p>
      <w:pPr>
        <w:spacing w:line="360" w:lineRule="exact"/>
        <w:rPr>
          <w:rFonts w:ascii="宋体" w:hAnsi="宋体" w:cs="宋体"/>
          <w:b/>
          <w:bCs/>
          <w:color w:val="auto"/>
          <w:szCs w:val="21"/>
        </w:rPr>
      </w:pPr>
      <w:r>
        <w:rPr>
          <w:rFonts w:hint="eastAsia" w:ascii="宋体" w:hAnsi="宋体" w:cs="宋体"/>
          <w:b/>
          <w:bCs/>
          <w:color w:val="auto"/>
          <w:szCs w:val="21"/>
        </w:rPr>
        <w:t>六、技术资料及保密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1、乙方应按采购文件规定的时间向甲方提供有关技术资料。</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如需签订保密协议的</w:t>
      </w:r>
      <w:r>
        <w:rPr>
          <w:rFonts w:hint="eastAsia" w:ascii="宋体" w:hAnsi="宋体" w:cs="宋体"/>
          <w:color w:val="auto"/>
          <w:szCs w:val="21"/>
        </w:rPr>
        <w:t>，</w:t>
      </w:r>
      <w:r>
        <w:rPr>
          <w:rFonts w:ascii="宋体" w:hAnsi="宋体" w:cs="宋体"/>
          <w:color w:val="auto"/>
          <w:szCs w:val="21"/>
        </w:rPr>
        <w:t>由</w:t>
      </w:r>
      <w:r>
        <w:rPr>
          <w:rFonts w:hint="eastAsia" w:ascii="宋体" w:hAnsi="宋体" w:cs="宋体"/>
          <w:color w:val="auto"/>
          <w:szCs w:val="21"/>
        </w:rPr>
        <w:t>双方另行签订，作为本合同的一部分，</w:t>
      </w:r>
      <w:r>
        <w:rPr>
          <w:rFonts w:ascii="宋体" w:hAnsi="宋体" w:cs="宋体"/>
          <w:color w:val="auto"/>
          <w:szCs w:val="21"/>
        </w:rPr>
        <w:t>同时</w:t>
      </w:r>
      <w:r>
        <w:rPr>
          <w:rFonts w:hint="eastAsia" w:ascii="宋体" w:hAnsi="宋体" w:cs="宋体"/>
          <w:color w:val="auto"/>
          <w:szCs w:val="21"/>
        </w:rPr>
        <w:t>乙方需与项目组成员签订保密承诺书，一份交甲方留存。</w:t>
      </w:r>
    </w:p>
    <w:p>
      <w:pPr>
        <w:spacing w:line="360" w:lineRule="exact"/>
        <w:rPr>
          <w:rFonts w:ascii="宋体" w:hAnsi="宋体" w:cs="宋体"/>
          <w:b/>
          <w:bCs/>
          <w:color w:val="auto"/>
          <w:szCs w:val="21"/>
        </w:rPr>
      </w:pPr>
      <w:r>
        <w:rPr>
          <w:rFonts w:hint="eastAsia" w:ascii="宋体" w:hAnsi="宋体" w:cs="宋体"/>
          <w:b/>
          <w:bCs/>
          <w:color w:val="auto"/>
          <w:szCs w:val="21"/>
        </w:rPr>
        <w:t>七、知识产权</w:t>
      </w:r>
    </w:p>
    <w:p>
      <w:pPr>
        <w:spacing w:line="360" w:lineRule="exact"/>
        <w:ind w:firstLine="420" w:firstLineChars="200"/>
        <w:rPr>
          <w:rFonts w:ascii="宋体" w:hAnsi="宋体" w:cs="宋体"/>
          <w:color w:val="auto"/>
          <w:szCs w:val="21"/>
        </w:rPr>
      </w:pPr>
      <w:r>
        <w:rPr>
          <w:rFonts w:hint="eastAsia" w:ascii="宋体" w:hAnsi="宋体" w:cs="宋体"/>
          <w:color w:val="auto"/>
          <w:szCs w:val="21"/>
        </w:rPr>
        <w:t>1、甲方对使用该系统或其任何一部分所涉知识产权享有合法权利。</w:t>
      </w:r>
    </w:p>
    <w:p>
      <w:pPr>
        <w:spacing w:line="360" w:lineRule="exact"/>
        <w:ind w:firstLine="420" w:firstLineChars="200"/>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乙方应保护甲方在使用该系统或其任何一部分时不受第三方提出侵犯专利权、商标权、著作权或工业设计权等知识产权等的指控。如果任何第三方提出侵权指控，乙方须与第三方交涉并承担可能发生的一切法律责任和费用。</w:t>
      </w:r>
    </w:p>
    <w:p>
      <w:pPr>
        <w:spacing w:line="360" w:lineRule="exact"/>
        <w:rPr>
          <w:rFonts w:ascii="宋体" w:hAnsi="宋体" w:cs="宋体"/>
          <w:b/>
          <w:bCs/>
          <w:color w:val="auto"/>
          <w:szCs w:val="21"/>
        </w:rPr>
      </w:pPr>
      <w:r>
        <w:rPr>
          <w:rFonts w:hint="eastAsia" w:ascii="宋体" w:hAnsi="宋体" w:cs="宋体"/>
          <w:b/>
          <w:bCs/>
          <w:color w:val="auto"/>
          <w:szCs w:val="21"/>
        </w:rPr>
        <w:t>八、产权担保</w:t>
      </w:r>
    </w:p>
    <w:p>
      <w:pPr>
        <w:spacing w:line="360" w:lineRule="exact"/>
        <w:ind w:firstLine="420" w:firstLineChars="200"/>
        <w:rPr>
          <w:rFonts w:ascii="宋体" w:hAnsi="宋体" w:cs="宋体"/>
          <w:color w:val="auto"/>
          <w:szCs w:val="21"/>
        </w:rPr>
      </w:pPr>
      <w:r>
        <w:rPr>
          <w:rFonts w:hint="eastAsia" w:ascii="宋体" w:hAnsi="宋体" w:cs="宋体"/>
          <w:color w:val="auto"/>
          <w:szCs w:val="21"/>
        </w:rPr>
        <w:t>乙方保证所交付的产品的所有权完全属于乙方且无任何抵押、查封等产权瑕疵。</w:t>
      </w:r>
    </w:p>
    <w:p>
      <w:pPr>
        <w:spacing w:line="360" w:lineRule="exact"/>
        <w:rPr>
          <w:rFonts w:ascii="宋体" w:hAnsi="宋体" w:cs="宋体"/>
          <w:b/>
          <w:bCs/>
          <w:color w:val="auto"/>
          <w:szCs w:val="21"/>
        </w:rPr>
      </w:pPr>
      <w:r>
        <w:rPr>
          <w:rFonts w:hint="eastAsia" w:ascii="宋体" w:hAnsi="宋体" w:cs="宋体"/>
          <w:b/>
          <w:bCs/>
          <w:color w:val="auto"/>
          <w:szCs w:val="21"/>
        </w:rPr>
        <w:t>九、履约保证金</w:t>
      </w:r>
    </w:p>
    <w:p>
      <w:pPr>
        <w:spacing w:line="360" w:lineRule="exact"/>
        <w:ind w:firstLine="420" w:firstLineChars="200"/>
        <w:rPr>
          <w:rFonts w:ascii="宋体" w:hAnsi="宋体" w:cs="宋体"/>
          <w:color w:val="auto"/>
          <w:szCs w:val="21"/>
        </w:rPr>
      </w:pPr>
      <w:r>
        <w:rPr>
          <w:rFonts w:hint="eastAsia" w:ascii="宋体" w:hAnsi="宋体" w:cs="宋体"/>
          <w:color w:val="auto"/>
          <w:szCs w:val="21"/>
        </w:rPr>
        <w:t>1、乙方应按合同总价的</w:t>
      </w:r>
      <w:r>
        <w:rPr>
          <w:rFonts w:ascii="宋体" w:hAnsi="宋体" w:cs="宋体"/>
          <w:color w:val="auto"/>
          <w:szCs w:val="21"/>
        </w:rPr>
        <w:t>1</w:t>
      </w:r>
      <w:r>
        <w:rPr>
          <w:rFonts w:hint="eastAsia" w:ascii="宋体" w:hAnsi="宋体" w:cs="宋体"/>
          <w:color w:val="auto"/>
          <w:szCs w:val="21"/>
        </w:rPr>
        <w:t>%在合同签订后5日内向甲方提交履约保证金。</w:t>
      </w:r>
    </w:p>
    <w:p>
      <w:pPr>
        <w:pStyle w:val="19"/>
        <w:snapToGrid w:val="0"/>
        <w:spacing w:line="360" w:lineRule="exact"/>
        <w:ind w:firstLine="415" w:firstLineChars="198"/>
        <w:rPr>
          <w:rFonts w:hAnsi="宋体" w:eastAsia="宋体"/>
          <w:color w:val="auto"/>
          <w:sz w:val="21"/>
          <w:szCs w:val="21"/>
        </w:rPr>
      </w:pPr>
      <w:r>
        <w:rPr>
          <w:rFonts w:hint="eastAsia" w:hAnsi="宋体" w:eastAsia="宋体"/>
          <w:color w:val="auto"/>
          <w:sz w:val="21"/>
          <w:szCs w:val="21"/>
        </w:rPr>
        <w:t>履约保证金形式：可采用支票、汇票、本票或者金融机构、担保机构出具的保函等非现金形式。</w:t>
      </w:r>
    </w:p>
    <w:p>
      <w:pPr>
        <w:spacing w:line="360" w:lineRule="exact"/>
        <w:ind w:firstLine="420" w:firstLineChars="200"/>
        <w:rPr>
          <w:rFonts w:ascii="宋体" w:hAnsi="宋体" w:cs="宋体"/>
          <w:color w:val="auto"/>
          <w:szCs w:val="21"/>
        </w:rPr>
      </w:pPr>
      <w:r>
        <w:rPr>
          <w:rFonts w:hint="eastAsia" w:ascii="宋体" w:hAnsi="宋体" w:cs="宋体"/>
          <w:color w:val="auto"/>
          <w:szCs w:val="21"/>
        </w:rPr>
        <w:t>2、验收合格后履约保证金一次性无息退还。</w:t>
      </w:r>
    </w:p>
    <w:p>
      <w:pPr>
        <w:spacing w:line="360" w:lineRule="exact"/>
        <w:rPr>
          <w:rFonts w:ascii="宋体" w:hAnsi="宋体" w:cs="宋体"/>
          <w:b/>
          <w:bCs/>
          <w:color w:val="auto"/>
          <w:szCs w:val="21"/>
        </w:rPr>
      </w:pPr>
      <w:r>
        <w:rPr>
          <w:rFonts w:hint="eastAsia" w:ascii="宋体" w:hAnsi="宋体" w:cs="宋体"/>
          <w:b/>
          <w:bCs/>
          <w:color w:val="auto"/>
          <w:szCs w:val="21"/>
        </w:rPr>
        <w:t>十、工期及质保期</w:t>
      </w:r>
    </w:p>
    <w:p>
      <w:pPr>
        <w:spacing w:line="360" w:lineRule="exact"/>
        <w:ind w:firstLine="420" w:firstLineChars="200"/>
        <w:rPr>
          <w:rFonts w:ascii="宋体" w:hAnsi="宋体" w:cs="宋体"/>
          <w:color w:val="auto"/>
          <w:szCs w:val="21"/>
        </w:rPr>
      </w:pPr>
      <w:r>
        <w:rPr>
          <w:rFonts w:hint="eastAsia" w:ascii="宋体" w:hAnsi="宋体" w:cs="宋体"/>
          <w:color w:val="auto"/>
          <w:szCs w:val="21"/>
        </w:rPr>
        <w:t>工期及质保期：</w:t>
      </w:r>
      <w:r>
        <w:rPr>
          <w:rFonts w:ascii="宋体" w:hAnsi="宋体"/>
          <w:color w:val="auto"/>
          <w:szCs w:val="21"/>
        </w:rPr>
        <w:t>合同签订后90天内供货安装并调试完成</w:t>
      </w:r>
      <w:r>
        <w:rPr>
          <w:rFonts w:hint="eastAsia" w:ascii="宋体" w:hAnsi="宋体"/>
          <w:color w:val="auto"/>
          <w:szCs w:val="21"/>
        </w:rPr>
        <w:t>。</w:t>
      </w:r>
      <w:r>
        <w:rPr>
          <w:rFonts w:hint="eastAsia" w:ascii="宋体" w:hAnsi="宋体" w:cs="宋体"/>
          <w:color w:val="auto"/>
          <w:szCs w:val="21"/>
        </w:rPr>
        <w:t>验收合格后进入质保期，质保期从项目通过终验之日起计不少于</w:t>
      </w:r>
      <w:r>
        <w:rPr>
          <w:rFonts w:hint="eastAsia" w:ascii="宋体" w:hAnsi="宋体" w:cs="宋体"/>
          <w:color w:val="auto"/>
          <w:szCs w:val="21"/>
          <w:u w:val="single"/>
        </w:rPr>
        <w:t xml:space="preserve">     </w:t>
      </w:r>
      <w:r>
        <w:rPr>
          <w:rFonts w:hint="eastAsia" w:ascii="宋体" w:hAnsi="宋体" w:cs="宋体"/>
          <w:color w:val="auto"/>
          <w:szCs w:val="21"/>
        </w:rPr>
        <w:t>年。</w:t>
      </w:r>
    </w:p>
    <w:p>
      <w:pPr>
        <w:spacing w:line="360" w:lineRule="exact"/>
        <w:rPr>
          <w:rFonts w:ascii="宋体" w:hAnsi="宋体" w:cs="宋体"/>
          <w:b/>
          <w:bCs/>
          <w:color w:val="auto"/>
          <w:szCs w:val="21"/>
        </w:rPr>
      </w:pPr>
      <w:r>
        <w:rPr>
          <w:rFonts w:hint="eastAsia" w:ascii="宋体" w:hAnsi="宋体" w:cs="宋体"/>
          <w:b/>
          <w:bCs/>
          <w:color w:val="auto"/>
          <w:szCs w:val="21"/>
        </w:rPr>
        <w:t>十一、转包或分包</w:t>
      </w:r>
    </w:p>
    <w:p>
      <w:pPr>
        <w:spacing w:line="360" w:lineRule="exact"/>
        <w:ind w:firstLine="420" w:firstLineChars="200"/>
        <w:rPr>
          <w:rFonts w:ascii="宋体" w:hAnsi="宋体" w:cs="宋体"/>
          <w:color w:val="auto"/>
          <w:szCs w:val="21"/>
        </w:rPr>
      </w:pPr>
      <w:r>
        <w:rPr>
          <w:rFonts w:hint="eastAsia" w:ascii="宋体" w:hAnsi="宋体" w:cs="宋体"/>
          <w:color w:val="auto"/>
          <w:szCs w:val="21"/>
        </w:rPr>
        <w:t>1、本合同范围的产品，应由乙方直接供应，不得转让他人供应；</w:t>
      </w:r>
    </w:p>
    <w:p>
      <w:pPr>
        <w:spacing w:line="360" w:lineRule="exact"/>
        <w:ind w:firstLine="420" w:firstLineChars="200"/>
        <w:rPr>
          <w:rFonts w:ascii="宋体" w:hAnsi="宋体" w:cs="宋体"/>
          <w:color w:val="auto"/>
          <w:szCs w:val="21"/>
        </w:rPr>
      </w:pPr>
      <w:r>
        <w:rPr>
          <w:rFonts w:hint="eastAsia" w:ascii="宋体" w:hAnsi="宋体" w:cs="宋体"/>
          <w:color w:val="auto"/>
          <w:szCs w:val="21"/>
        </w:rPr>
        <w:t>2、除非得到甲方的书面同意，乙方不得部分分包给他人供应。</w:t>
      </w:r>
    </w:p>
    <w:p>
      <w:pPr>
        <w:spacing w:line="360" w:lineRule="exact"/>
        <w:ind w:firstLine="420" w:firstLineChars="200"/>
        <w:rPr>
          <w:rFonts w:ascii="宋体" w:hAnsi="宋体" w:cs="宋体"/>
          <w:color w:val="auto"/>
          <w:szCs w:val="21"/>
        </w:rPr>
      </w:pPr>
      <w:r>
        <w:rPr>
          <w:rFonts w:hint="eastAsia" w:ascii="宋体" w:hAnsi="宋体" w:cs="宋体"/>
          <w:color w:val="auto"/>
          <w:szCs w:val="21"/>
        </w:rPr>
        <w:t>3、如有转让和未经甲方同意的分包行为，甲方有权给予终止合同。</w:t>
      </w:r>
    </w:p>
    <w:p>
      <w:pPr>
        <w:spacing w:line="360" w:lineRule="exact"/>
        <w:rPr>
          <w:rFonts w:ascii="宋体" w:hAnsi="宋体" w:cs="宋体"/>
          <w:b/>
          <w:bCs/>
          <w:color w:val="auto"/>
          <w:szCs w:val="21"/>
        </w:rPr>
      </w:pPr>
      <w:r>
        <w:rPr>
          <w:rFonts w:hint="eastAsia" w:ascii="宋体" w:hAnsi="宋体" w:cs="宋体"/>
          <w:b/>
          <w:bCs/>
          <w:color w:val="auto"/>
          <w:szCs w:val="21"/>
        </w:rPr>
        <w:t>十二、人员要求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1、本项目人员组成如下：</w:t>
      </w:r>
    </w:p>
    <w:tbl>
      <w:tblPr>
        <w:tblStyle w:val="3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1418"/>
        <w:gridCol w:w="850"/>
        <w:gridCol w:w="851"/>
        <w:gridCol w:w="99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岗位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姓名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性别</w:t>
            </w:r>
          </w:p>
        </w:tc>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年龄</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职称(如有)</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专业</w:t>
            </w:r>
          </w:p>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资质(如有)</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项目经理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2</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其他人员</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r>
              <w:rPr>
                <w:rFonts w:hint="eastAsia" w:ascii="宋体" w:hAnsi="宋体" w:cs="宋体"/>
                <w:color w:val="auto"/>
                <w:szCs w:val="21"/>
              </w:rPr>
              <w:t>...</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exact"/>
              <w:jc w:val="center"/>
              <w:rPr>
                <w:rFonts w:ascii="宋体" w:hAnsi="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2340"/>
                <w:tab w:val="left" w:pos="2520"/>
                <w:tab w:val="left" w:pos="2700"/>
                <w:tab w:val="left" w:pos="3060"/>
              </w:tabs>
              <w:spacing w:line="360" w:lineRule="exact"/>
              <w:jc w:val="center"/>
              <w:rPr>
                <w:rFonts w:ascii="宋体" w:hAnsi="宋体" w:cs="宋体"/>
                <w:color w:val="auto"/>
                <w:szCs w:val="21"/>
              </w:rPr>
            </w:pPr>
          </w:p>
        </w:tc>
      </w:tr>
    </w:tbl>
    <w:p>
      <w:pPr>
        <w:spacing w:line="360" w:lineRule="exact"/>
        <w:ind w:firstLine="420"/>
        <w:rPr>
          <w:rFonts w:ascii="宋体" w:hAnsi="宋体" w:cs="宋体"/>
          <w:color w:val="auto"/>
          <w:szCs w:val="21"/>
        </w:rPr>
      </w:pPr>
      <w:r>
        <w:rPr>
          <w:rFonts w:hint="eastAsia" w:ascii="宋体" w:hAnsi="宋体" w:cs="宋体"/>
          <w:color w:val="auto"/>
          <w:szCs w:val="21"/>
        </w:rPr>
        <w:t>2、本项目人员中的核心成员，需与投标文件中配备的人员一致，未经甲方书面同意，不得随意变更。</w:t>
      </w:r>
    </w:p>
    <w:p>
      <w:pPr>
        <w:spacing w:line="360" w:lineRule="auto"/>
        <w:rPr>
          <w:rFonts w:ascii="宋体" w:hAnsi="宋体" w:cs="宋体"/>
          <w:b/>
          <w:bCs/>
          <w:color w:val="auto"/>
          <w:szCs w:val="21"/>
        </w:rPr>
      </w:pPr>
      <w:r>
        <w:rPr>
          <w:rFonts w:hint="eastAsia" w:ascii="宋体" w:hAnsi="宋体"/>
          <w:b/>
          <w:bCs/>
          <w:color w:val="auto"/>
          <w:szCs w:val="21"/>
        </w:rPr>
        <w:t>十三、货物包装、发运及运输</w:t>
      </w:r>
      <w:r>
        <w:rPr>
          <w:rFonts w:hint="eastAsia" w:ascii="宋体" w:hAnsi="宋体" w:cs="宋体"/>
          <w:b/>
          <w:bCs/>
          <w:color w:val="auto"/>
          <w:szCs w:val="21"/>
        </w:rPr>
        <w:t>及安装</w:t>
      </w:r>
    </w:p>
    <w:p>
      <w:pPr>
        <w:spacing w:line="360" w:lineRule="exact"/>
        <w:ind w:firstLine="420" w:firstLineChars="200"/>
        <w:rPr>
          <w:rFonts w:ascii="宋体" w:hAnsi="宋体" w:cs="宋体"/>
          <w:color w:val="auto"/>
          <w:szCs w:val="21"/>
        </w:rPr>
      </w:pPr>
      <w:r>
        <w:rPr>
          <w:rFonts w:hint="eastAsia" w:ascii="宋体" w:hAnsi="宋体" w:cs="宋体"/>
          <w:color w:val="auto"/>
          <w:szCs w:val="21"/>
        </w:rPr>
        <w:t>1、乙方应在设备发运前对其进行满足运输距离、防潮、防震、防锈和防破损装卸等要求包装，以保证设备安全运达甲方指定地点。货物包装应符合《财办库【2020】123号文件》要求。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2、使用说明书、质量检验证明书、随配附件和工具以及清单一并附于货物内。</w:t>
      </w:r>
    </w:p>
    <w:p>
      <w:pPr>
        <w:spacing w:line="360" w:lineRule="exact"/>
        <w:ind w:firstLine="420" w:firstLineChars="200"/>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乙方在货物发运手续办理完毕后24小时内或货到甲方48小时前通知甲方。</w:t>
      </w:r>
    </w:p>
    <w:p>
      <w:pPr>
        <w:spacing w:line="360" w:lineRule="exact"/>
        <w:ind w:firstLine="420" w:firstLineChars="200"/>
        <w:rPr>
          <w:rFonts w:ascii="宋体" w:hAnsi="宋体" w:cs="宋体"/>
          <w:color w:val="auto"/>
          <w:szCs w:val="21"/>
        </w:rPr>
      </w:pPr>
      <w:r>
        <w:rPr>
          <w:rFonts w:hint="eastAsia" w:ascii="宋体" w:hAnsi="宋体" w:cs="宋体"/>
          <w:color w:val="auto"/>
          <w:szCs w:val="21"/>
        </w:rPr>
        <w:t>4、设备在运输及乙方现场保管期间发生的风险和责任均由乙方负责，直至</w:t>
      </w:r>
      <w:r>
        <w:rPr>
          <w:rFonts w:ascii="宋体" w:hAnsi="宋体" w:cs="宋体"/>
          <w:color w:val="auto"/>
          <w:szCs w:val="21"/>
        </w:rPr>
        <w:t>项目</w:t>
      </w:r>
      <w:r>
        <w:rPr>
          <w:rFonts w:hint="eastAsia" w:ascii="宋体" w:hAnsi="宋体" w:cs="宋体"/>
          <w:color w:val="auto"/>
          <w:szCs w:val="21"/>
        </w:rPr>
        <w:t>验收交付甲方止。</w:t>
      </w:r>
    </w:p>
    <w:p>
      <w:pPr>
        <w:spacing w:line="360" w:lineRule="exact"/>
        <w:ind w:firstLine="420" w:firstLineChars="200"/>
        <w:rPr>
          <w:rFonts w:ascii="宋体" w:hAnsi="宋体" w:cs="宋体"/>
          <w:color w:val="auto"/>
          <w:szCs w:val="21"/>
        </w:rPr>
      </w:pPr>
      <w:r>
        <w:rPr>
          <w:rFonts w:hint="eastAsia" w:ascii="宋体" w:hAnsi="宋体" w:cs="宋体"/>
          <w:color w:val="auto"/>
          <w:szCs w:val="21"/>
        </w:rPr>
        <w:t>5、货物在规定的交付期限内由乙方送达甲方指定的地点视为交付，乙方同时需通知甲方货物已送达。</w:t>
      </w:r>
    </w:p>
    <w:p>
      <w:pPr>
        <w:spacing w:line="360" w:lineRule="exact"/>
        <w:ind w:firstLine="420" w:firstLineChars="200"/>
        <w:rPr>
          <w:rFonts w:ascii="宋体" w:hAnsi="宋体" w:cs="宋体"/>
          <w:color w:val="auto"/>
          <w:szCs w:val="21"/>
        </w:rPr>
      </w:pPr>
      <w:r>
        <w:rPr>
          <w:rFonts w:hint="eastAsia" w:ascii="宋体" w:hAnsi="宋体" w:cs="宋体"/>
          <w:color w:val="auto"/>
          <w:szCs w:val="21"/>
        </w:rPr>
        <w:t>6、甲方对乙方提交的设备依据招标文件上的技术规格要求和国家有关质量标准进行现场初步验收，外观、说明书符合招标文件技术要求的，给予签收，验收不合格的不予签收，验收合格后才可进行安装。</w:t>
      </w:r>
    </w:p>
    <w:p>
      <w:pPr>
        <w:spacing w:line="360" w:lineRule="exact"/>
        <w:ind w:firstLine="420" w:firstLineChars="200"/>
        <w:rPr>
          <w:rFonts w:ascii="宋体" w:hAnsi="宋体" w:cs="宋体"/>
          <w:color w:val="auto"/>
          <w:szCs w:val="21"/>
        </w:rPr>
      </w:pPr>
      <w:r>
        <w:rPr>
          <w:rFonts w:hint="eastAsia" w:ascii="宋体" w:hAnsi="宋体" w:cs="宋体"/>
          <w:color w:val="auto"/>
          <w:szCs w:val="21"/>
        </w:rPr>
        <w:t>7、乙方必须按甲方进度计划进行安装，安装要满足有关规范要求。</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8、</w:t>
      </w:r>
      <w:r>
        <w:rPr>
          <w:rFonts w:ascii="宋体" w:hAnsi="宋体" w:cs="宋体"/>
          <w:color w:val="auto"/>
          <w:szCs w:val="21"/>
        </w:rPr>
        <w:t>乙方</w:t>
      </w:r>
      <w:r>
        <w:rPr>
          <w:rFonts w:hint="eastAsia" w:ascii="宋体" w:hAnsi="宋体" w:cs="宋体"/>
          <w:color w:val="auto"/>
          <w:szCs w:val="21"/>
        </w:rPr>
        <w:t>应根据需要派遣技术熟练的专业技术人员到现场按照国家有关标准进行安装，并负责进行产品检测、调试直至验收合格通过。</w:t>
      </w:r>
    </w:p>
    <w:p>
      <w:pPr>
        <w:spacing w:line="360" w:lineRule="exact"/>
        <w:ind w:firstLine="420" w:firstLineChars="200"/>
        <w:rPr>
          <w:rFonts w:ascii="宋体" w:hAnsi="宋体" w:cs="宋体"/>
          <w:color w:val="auto"/>
          <w:szCs w:val="21"/>
        </w:rPr>
      </w:pPr>
      <w:r>
        <w:rPr>
          <w:rFonts w:hint="eastAsia" w:ascii="宋体" w:hAnsi="宋体" w:cs="宋体"/>
          <w:color w:val="auto"/>
          <w:szCs w:val="21"/>
        </w:rPr>
        <w:t>9、交货时，提供设备的有关证明，如产地、出厂合格证、质量保证书和测试合格证等。舱外单元须另外提供产品的《船用产品（型式）认可证书》（由中国船级社颁发）。</w:t>
      </w:r>
    </w:p>
    <w:p>
      <w:pPr>
        <w:spacing w:line="360" w:lineRule="exact"/>
        <w:rPr>
          <w:rFonts w:ascii="宋体" w:hAnsi="宋体" w:cs="宋体"/>
          <w:b/>
          <w:bCs/>
          <w:color w:val="auto"/>
          <w:szCs w:val="21"/>
        </w:rPr>
      </w:pPr>
      <w:r>
        <w:rPr>
          <w:rFonts w:hint="eastAsia" w:ascii="宋体" w:hAnsi="宋体" w:cs="宋体"/>
          <w:b/>
          <w:bCs/>
          <w:color w:val="auto"/>
          <w:szCs w:val="21"/>
        </w:rPr>
        <w:t>十四、调试和验收</w:t>
      </w:r>
    </w:p>
    <w:p>
      <w:pPr>
        <w:spacing w:line="360" w:lineRule="exact"/>
        <w:ind w:firstLine="420" w:firstLineChars="200"/>
        <w:rPr>
          <w:rFonts w:ascii="宋体" w:hAnsi="宋体" w:cs="宋体"/>
          <w:color w:val="auto"/>
          <w:szCs w:val="21"/>
        </w:rPr>
      </w:pPr>
      <w:r>
        <w:rPr>
          <w:rFonts w:hint="eastAsia" w:ascii="宋体" w:hAnsi="宋体" w:cs="宋体"/>
          <w:color w:val="auto"/>
          <w:szCs w:val="21"/>
        </w:rPr>
        <w:t>1.甲方对乙方已完工程进行调试时，乙方应积极配合并协助甲方一起调试，对调试时出现的问题及时解决，直到符合甲方使用要求为止。</w:t>
      </w:r>
    </w:p>
    <w:p>
      <w:pPr>
        <w:spacing w:line="360" w:lineRule="exact"/>
        <w:ind w:firstLine="420" w:firstLineChars="200"/>
        <w:rPr>
          <w:rFonts w:ascii="宋体" w:hAnsi="宋体" w:cs="宋体"/>
          <w:color w:val="auto"/>
          <w:szCs w:val="21"/>
        </w:rPr>
      </w:pPr>
      <w:r>
        <w:rPr>
          <w:rFonts w:hint="eastAsia" w:ascii="宋体" w:hAnsi="宋体" w:cs="宋体"/>
          <w:color w:val="auto"/>
          <w:szCs w:val="21"/>
        </w:rPr>
        <w:t>2、甲方应按照招标文件上的技术规格要求和国家有关有关验收标准及有关文件要求对乙方已完工程进行现场验收，验收不合格的不予签收，并由乙方进行无条件整改，直到最终验收合格。</w:t>
      </w:r>
    </w:p>
    <w:p>
      <w:pPr>
        <w:spacing w:line="360" w:lineRule="exact"/>
        <w:ind w:firstLine="420" w:firstLineChars="200"/>
        <w:rPr>
          <w:rFonts w:ascii="宋体" w:hAnsi="宋体" w:cs="宋体"/>
          <w:color w:val="auto"/>
          <w:szCs w:val="21"/>
        </w:rPr>
      </w:pPr>
      <w:r>
        <w:rPr>
          <w:rFonts w:hint="eastAsia" w:ascii="宋体" w:hAnsi="宋体" w:cs="宋体"/>
          <w:color w:val="auto"/>
          <w:szCs w:val="21"/>
        </w:rPr>
        <w:t>3、最终验收通过之日起计算质保期。若验收不通过，应根据要求在甲方规定时间内整改完毕并通过复验，并从复验通过之次日起计算质保期。</w:t>
      </w:r>
    </w:p>
    <w:p>
      <w:pPr>
        <w:spacing w:line="360" w:lineRule="exact"/>
        <w:ind w:firstLine="420" w:firstLineChars="200"/>
        <w:rPr>
          <w:rFonts w:ascii="宋体" w:hAnsi="宋体" w:cs="宋体"/>
          <w:color w:val="auto"/>
          <w:szCs w:val="21"/>
        </w:rPr>
      </w:pPr>
      <w:r>
        <w:rPr>
          <w:rFonts w:hint="eastAsia" w:ascii="宋体" w:hAnsi="宋体" w:cs="宋体"/>
          <w:color w:val="auto"/>
          <w:szCs w:val="21"/>
        </w:rPr>
        <w:t>4、对技术复杂的技术服务，甲方可请国家认可的专业检测机构参与验收，并由其出具质量检测报告。</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5、验收时乙方必须在现场，验收完毕后作出验收结果报告；验收费用由乙方负责。</w:t>
      </w:r>
    </w:p>
    <w:p>
      <w:pPr>
        <w:spacing w:line="360" w:lineRule="exact"/>
        <w:rPr>
          <w:rFonts w:ascii="宋体" w:hAnsi="宋体" w:cs="宋体"/>
          <w:b/>
          <w:bCs/>
          <w:color w:val="auto"/>
          <w:szCs w:val="21"/>
        </w:rPr>
      </w:pPr>
      <w:r>
        <w:rPr>
          <w:rFonts w:hint="eastAsia" w:ascii="宋体" w:hAnsi="宋体" w:cs="宋体"/>
          <w:b/>
          <w:bCs/>
          <w:color w:val="auto"/>
          <w:szCs w:val="21"/>
        </w:rPr>
        <w:t>十五、培训要求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1、与本项目有关的甲方技术人员和操作人员都将根据本项目的要求进行充分的培训，以胜任</w:t>
      </w:r>
      <w:r>
        <w:rPr>
          <w:rFonts w:ascii="宋体" w:hAnsi="宋体" w:cs="宋体"/>
          <w:color w:val="auto"/>
          <w:szCs w:val="21"/>
        </w:rPr>
        <w:t>设备</w:t>
      </w:r>
      <w:r>
        <w:rPr>
          <w:rFonts w:hint="eastAsia" w:ascii="宋体" w:hAnsi="宋体" w:cs="宋体"/>
          <w:color w:val="auto"/>
          <w:szCs w:val="21"/>
        </w:rPr>
        <w:t>运行和维护的需要。</w:t>
      </w:r>
      <w:r>
        <w:rPr>
          <w:rFonts w:ascii="宋体" w:hAnsi="宋体" w:cs="宋体"/>
          <w:color w:val="auto"/>
          <w:szCs w:val="21"/>
        </w:rPr>
        <w:t>培训应分操作培训和维护培训两种；所有培训应以中文进行（或配备中文翻译）。</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乙方提供的培训指导人员应具有相同或相近设备运行和维护的经验，能够正确地进行培训服务。</w:t>
      </w:r>
    </w:p>
    <w:p>
      <w:pPr>
        <w:spacing w:line="360" w:lineRule="exact"/>
        <w:rPr>
          <w:rFonts w:ascii="宋体" w:hAnsi="宋体" w:cs="宋体"/>
          <w:b/>
          <w:bCs/>
          <w:color w:val="auto"/>
          <w:szCs w:val="21"/>
        </w:rPr>
      </w:pPr>
      <w:r>
        <w:rPr>
          <w:rFonts w:hint="eastAsia" w:ascii="宋体" w:hAnsi="宋体" w:cs="宋体"/>
          <w:b/>
          <w:bCs/>
          <w:color w:val="auto"/>
          <w:szCs w:val="21"/>
        </w:rPr>
        <w:t>十六、质量保证及售后服务</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1、乙方应按采购文件规定的货物性能、技术要求、质量标准向甲方提供未经使用的全新产品，同时提供详细操作手册和维修手册。如乙方投标时所提供的设备在实际供货时已经废型（不列入该厂家当时的产品系统），乙方须按原价提供</w:t>
      </w:r>
      <w:r>
        <w:rPr>
          <w:rFonts w:hint="eastAsia" w:ascii="宋体" w:hAnsi="宋体"/>
          <w:bCs/>
          <w:color w:val="auto"/>
        </w:rPr>
        <w:t>同等配置或</w:t>
      </w:r>
      <w:r>
        <w:rPr>
          <w:rFonts w:hint="eastAsia" w:ascii="宋体" w:hAnsi="宋体"/>
          <w:color w:val="auto"/>
          <w:szCs w:val="21"/>
        </w:rPr>
        <w:t>更高配置的设备。</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2、乙方提供的货物在</w:t>
      </w:r>
      <w:r>
        <w:rPr>
          <w:rFonts w:hint="eastAsia" w:ascii="宋体" w:hAnsi="宋体" w:cs="Helvetica"/>
          <w:color w:val="auto"/>
          <w:kern w:val="0"/>
          <w:szCs w:val="21"/>
        </w:rPr>
        <w:t>验收合格后</w:t>
      </w:r>
      <w:r>
        <w:rPr>
          <w:rFonts w:ascii="宋体" w:hAnsi="宋体" w:cs="Helvetica"/>
          <w:color w:val="auto"/>
          <w:kern w:val="0"/>
          <w:szCs w:val="21"/>
        </w:rPr>
        <w:t>30</w:t>
      </w:r>
      <w:r>
        <w:rPr>
          <w:rFonts w:hint="eastAsia" w:ascii="宋体" w:hAnsi="宋体" w:cs="Helvetica"/>
          <w:color w:val="auto"/>
          <w:kern w:val="0"/>
          <w:szCs w:val="21"/>
        </w:rPr>
        <w:t>天内发现有质量问题，中标人须负责更换。30天外</w:t>
      </w:r>
      <w:r>
        <w:rPr>
          <w:rFonts w:hint="eastAsia" w:ascii="宋体" w:hAnsi="宋体"/>
          <w:color w:val="auto"/>
          <w:szCs w:val="21"/>
        </w:rPr>
        <w:t>质保期内因货物本身的质量问题发生故障的，乙方应负责免费维修或更换。对达不到技术要求者，根据实际情况，经双方协商，可按以下办法处理：</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（1）更换：由乙方承担所发生的全部费用。</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（2）退货处理：乙方应退还甲方支付的合同款，同时应承担该货物的直接费用（运输、保险、检验、货款利息及银行手续费等），并承担对甲方造成损失。</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3、如在使用过程中发生质量问题，乙方在接到甲方通知后______小时内到达甲方现场，并提供提供7*24小时电话技术支持，对于24小时内不能排除系统故障的，应提供必要的备机备件，以确保各系统的正常运行。</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4、在质保期内，乙方应对货物出现的质量及安全问题负责处理解决并承担一切费用。</w:t>
      </w:r>
    </w:p>
    <w:p>
      <w:pPr>
        <w:shd w:val="clear" w:color="auto" w:fill="FFFFFF"/>
        <w:snapToGrid w:val="0"/>
        <w:spacing w:line="360" w:lineRule="exact"/>
        <w:ind w:firstLine="420" w:firstLineChars="200"/>
        <w:rPr>
          <w:rFonts w:ascii="宋体" w:hAnsi="宋体"/>
          <w:color w:val="auto"/>
          <w:szCs w:val="21"/>
        </w:rPr>
      </w:pPr>
      <w:r>
        <w:rPr>
          <w:rFonts w:ascii="宋体" w:hAnsi="宋体"/>
          <w:color w:val="auto"/>
          <w:szCs w:val="21"/>
        </w:rPr>
        <w:t>5</w:t>
      </w:r>
      <w:r>
        <w:rPr>
          <w:rFonts w:hint="eastAsia" w:ascii="宋体" w:hAnsi="宋体"/>
          <w:color w:val="auto"/>
          <w:szCs w:val="21"/>
        </w:rPr>
        <w:t>、上述的货物免费保修期为</w:t>
      </w:r>
      <w:r>
        <w:rPr>
          <w:rFonts w:hint="eastAsia" w:ascii="宋体" w:hAnsi="宋体"/>
          <w:color w:val="auto"/>
          <w:szCs w:val="21"/>
          <w:u w:val="single"/>
        </w:rPr>
        <w:t xml:space="preserve">    </w:t>
      </w:r>
      <w:r>
        <w:rPr>
          <w:rFonts w:hint="eastAsia" w:ascii="宋体" w:hAnsi="宋体"/>
          <w:color w:val="auto"/>
          <w:szCs w:val="21"/>
        </w:rPr>
        <w:t>年，因人为因素出现的故障不在免费保修范围内。超过保修期的机器设备，终生维修，维修时只收取成本费。质保期满后，采购人有权选择售后服务商，无论结果如何，投标人也必须配合采购人做好后续衔接工作。</w:t>
      </w:r>
    </w:p>
    <w:p>
      <w:pPr>
        <w:shd w:val="clear" w:color="auto" w:fill="FFFFFF"/>
        <w:snapToGrid w:val="0"/>
        <w:spacing w:line="360" w:lineRule="exact"/>
        <w:ind w:firstLine="420" w:firstLineChars="200"/>
        <w:rPr>
          <w:rFonts w:ascii="宋体" w:hAnsi="宋体"/>
          <w:color w:val="auto"/>
          <w:szCs w:val="21"/>
        </w:rPr>
      </w:pPr>
      <w:r>
        <w:rPr>
          <w:rFonts w:ascii="宋体" w:hAnsi="宋体"/>
          <w:color w:val="auto"/>
          <w:szCs w:val="21"/>
        </w:rPr>
        <w:t>6</w:t>
      </w:r>
      <w:r>
        <w:rPr>
          <w:rFonts w:hint="eastAsia" w:ascii="宋体" w:hAnsi="宋体"/>
          <w:color w:val="auto"/>
          <w:szCs w:val="21"/>
        </w:rPr>
        <w:t>、质保期外设备出现故障需要维修的，乙方应只收取成本费。质保期满后，采购人有权选择售后服务商，无论结果如何，投标人也必须配合采购人做好后续衔接工作。</w:t>
      </w:r>
    </w:p>
    <w:p>
      <w:pPr>
        <w:spacing w:line="360" w:lineRule="exact"/>
        <w:rPr>
          <w:rFonts w:ascii="宋体" w:hAnsi="宋体" w:cs="宋体"/>
          <w:b/>
          <w:bCs/>
          <w:color w:val="auto"/>
          <w:szCs w:val="21"/>
        </w:rPr>
      </w:pPr>
      <w:r>
        <w:rPr>
          <w:rFonts w:hint="eastAsia" w:ascii="宋体" w:hAnsi="宋体" w:cs="宋体"/>
          <w:b/>
          <w:bCs/>
          <w:color w:val="auto"/>
          <w:szCs w:val="21"/>
        </w:rPr>
        <w:t>十七、违约责任</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1、甲方无正当理由拒收货物的，甲方向乙方偿付拒收货款总值的百分之五违约金。</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2、甲方无故逾期验收和办理货款支付手续的,甲方应按逾期付款总额每日万分之五向乙方支付违约金。</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 xml:space="preserve">3、乙方逾期交付货物的，乙方应按逾期交货总额每日千分之六向甲方支付违约金，由甲方从待付货款中扣除。逾期超过约定日期10个工作日不能交货的，甲方可解除本合同。 </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4、乙方所交的货物品种、型号、规格、技术参数、质量不符合合同规定及采购文件规定标准的，甲方有权拒收该货物，乙方愿意更换货物但逾期交货的，按乙方逾期交货处理。乙方拒绝更换货物的，甲方可单方面解除合同。如乙方投标时所提供的设备在实际供货时已经废型（不列入该厂家当时的产品系统），但乙方未能按原价提供</w:t>
      </w:r>
      <w:r>
        <w:rPr>
          <w:rFonts w:hint="eastAsia" w:ascii="宋体" w:hAnsi="宋体"/>
          <w:bCs/>
          <w:color w:val="auto"/>
        </w:rPr>
        <w:t>同等配置或</w:t>
      </w:r>
      <w:r>
        <w:rPr>
          <w:rFonts w:hint="eastAsia" w:ascii="宋体" w:hAnsi="宋体"/>
          <w:color w:val="auto"/>
          <w:szCs w:val="21"/>
        </w:rPr>
        <w:t>更高配置设备的，按乙方违约处理，甲方可单方面解除合同。</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5、因乙方原因造成安全事故的，由乙方负责一切损失。</w:t>
      </w:r>
    </w:p>
    <w:p>
      <w:pPr>
        <w:shd w:val="clear" w:color="auto" w:fill="FFFFFF"/>
        <w:snapToGrid w:val="0"/>
        <w:spacing w:line="360" w:lineRule="exact"/>
        <w:ind w:firstLine="420" w:firstLineChars="200"/>
        <w:rPr>
          <w:color w:val="auto"/>
        </w:rPr>
      </w:pPr>
      <w:r>
        <w:rPr>
          <w:rFonts w:hint="eastAsia" w:ascii="宋体" w:hAnsi="宋体"/>
          <w:color w:val="auto"/>
          <w:szCs w:val="21"/>
        </w:rPr>
        <w:t>6、乙方因逾期交货、逾期完工或因其他违约行为导致甲方解除合同的，乙方应向甲方支付合同总值5%的违约金，如造成甲方损失超过违约金的，超出部分由乙方继续承担赔偿责任。</w:t>
      </w:r>
    </w:p>
    <w:p>
      <w:pPr>
        <w:spacing w:line="360" w:lineRule="exact"/>
        <w:rPr>
          <w:rFonts w:ascii="宋体" w:hAnsi="宋体" w:cs="宋体"/>
          <w:b/>
          <w:bCs/>
          <w:color w:val="auto"/>
          <w:szCs w:val="21"/>
        </w:rPr>
      </w:pPr>
      <w:r>
        <w:rPr>
          <w:rFonts w:hint="eastAsia" w:ascii="宋体" w:hAnsi="宋体" w:cs="宋体"/>
          <w:b/>
          <w:bCs/>
          <w:color w:val="auto"/>
          <w:szCs w:val="21"/>
        </w:rPr>
        <w:t>十八、不可抗力事件处理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1、在合同有效期内，任何一方因不可抗力事件导致不能履行合同，则合同履行期可延长，其延长期与不可抗力影响期相同。</w:t>
      </w:r>
    </w:p>
    <w:p>
      <w:pPr>
        <w:spacing w:line="360" w:lineRule="exact"/>
        <w:ind w:firstLine="420" w:firstLineChars="20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360" w:lineRule="exact"/>
        <w:ind w:firstLine="420" w:firstLineChars="200"/>
        <w:rPr>
          <w:rFonts w:ascii="宋体" w:hAnsi="宋体" w:cs="宋体"/>
          <w:color w:val="auto"/>
          <w:szCs w:val="21"/>
        </w:rPr>
      </w:pPr>
      <w:r>
        <w:rPr>
          <w:rFonts w:hint="eastAsia" w:ascii="宋体" w:hAnsi="宋体" w:cs="宋体"/>
          <w:color w:val="auto"/>
          <w:szCs w:val="21"/>
        </w:rPr>
        <w:t>3、不可抗力事件延续120天以上，双方应通过友好协商，确定是否继续履行合同。</w:t>
      </w:r>
    </w:p>
    <w:p>
      <w:pPr>
        <w:snapToGrid w:val="0"/>
        <w:spacing w:line="360" w:lineRule="exact"/>
        <w:rPr>
          <w:rFonts w:ascii="宋体" w:hAnsi="宋体" w:cs="宋体"/>
          <w:b/>
          <w:color w:val="auto"/>
          <w:szCs w:val="21"/>
        </w:rPr>
      </w:pPr>
      <w:r>
        <w:rPr>
          <w:rFonts w:hint="eastAsia" w:ascii="宋体" w:hAnsi="宋体" w:cs="宋体"/>
          <w:b/>
          <w:color w:val="auto"/>
          <w:szCs w:val="21"/>
        </w:rPr>
        <w:t>十九、政府采购合同贷款（该条款采用政府采购信用融资时可选）</w:t>
      </w:r>
    </w:p>
    <w:p>
      <w:pPr>
        <w:pStyle w:val="19"/>
        <w:snapToGrid w:val="0"/>
        <w:spacing w:line="360" w:lineRule="exact"/>
        <w:ind w:firstLine="420" w:firstLineChars="200"/>
        <w:rPr>
          <w:rFonts w:hAnsi="宋体" w:eastAsia="宋体"/>
          <w:color w:val="auto"/>
          <w:sz w:val="21"/>
          <w:szCs w:val="21"/>
        </w:rPr>
      </w:pPr>
      <w:r>
        <w:rPr>
          <w:rFonts w:hint="eastAsia" w:hAnsi="宋体" w:eastAsia="宋体"/>
          <w:color w:val="auto"/>
          <w:sz w:val="21"/>
          <w:szCs w:val="21"/>
        </w:rPr>
        <w:t>1、本合同同时用于乙方向</w:t>
      </w:r>
      <w:r>
        <w:rPr>
          <w:rFonts w:hint="eastAsia" w:hAnsi="宋体" w:eastAsia="宋体"/>
          <w:color w:val="auto"/>
          <w:sz w:val="21"/>
          <w:szCs w:val="21"/>
          <w:u w:val="single"/>
        </w:rPr>
        <w:t xml:space="preserve">            </w:t>
      </w:r>
      <w:r>
        <w:rPr>
          <w:rFonts w:hint="eastAsia" w:hAnsi="宋体" w:eastAsia="宋体"/>
          <w:color w:val="auto"/>
          <w:sz w:val="21"/>
          <w:szCs w:val="21"/>
        </w:rPr>
        <w:t>银行（金融机构）申请政府采购信用贷款。</w:t>
      </w:r>
    </w:p>
    <w:p>
      <w:pPr>
        <w:pStyle w:val="19"/>
        <w:snapToGrid w:val="0"/>
        <w:spacing w:line="360" w:lineRule="exact"/>
        <w:ind w:firstLine="420" w:firstLineChars="200"/>
        <w:rPr>
          <w:rFonts w:hAnsi="宋体" w:eastAsia="宋体"/>
          <w:color w:val="auto"/>
          <w:sz w:val="21"/>
          <w:szCs w:val="21"/>
        </w:rPr>
      </w:pPr>
      <w:r>
        <w:rPr>
          <w:rFonts w:hint="eastAsia" w:hAnsi="宋体" w:eastAsia="宋体"/>
          <w:color w:val="auto"/>
          <w:sz w:val="21"/>
          <w:szCs w:val="21"/>
        </w:rPr>
        <w:t>2、本合同一经签订，原则上不得更改乙方收款账户信息。确须更改的，乙方应取得原合同收款账户开户银行书面同意，否则修改后的合同不予备案，采购资金不予支付。</w:t>
      </w:r>
    </w:p>
    <w:p>
      <w:pPr>
        <w:pStyle w:val="19"/>
        <w:snapToGrid w:val="0"/>
        <w:spacing w:line="360" w:lineRule="exact"/>
        <w:ind w:firstLine="420" w:firstLineChars="200"/>
        <w:rPr>
          <w:rFonts w:hAnsi="宋体" w:eastAsia="宋体"/>
          <w:color w:val="auto"/>
          <w:sz w:val="21"/>
          <w:szCs w:val="21"/>
        </w:rPr>
      </w:pPr>
      <w:r>
        <w:rPr>
          <w:rFonts w:hAnsi="宋体" w:eastAsia="宋体"/>
          <w:color w:val="auto"/>
          <w:sz w:val="21"/>
          <w:szCs w:val="21"/>
        </w:rPr>
        <w:t>3</w:t>
      </w:r>
      <w:r>
        <w:rPr>
          <w:rFonts w:hint="eastAsia" w:hAnsi="宋体" w:eastAsia="宋体"/>
          <w:color w:val="auto"/>
          <w:sz w:val="21"/>
          <w:szCs w:val="21"/>
        </w:rPr>
        <w:t>、乙方需确保政府采购合同的收款账户与融资银行开户账户一致。</w:t>
      </w:r>
    </w:p>
    <w:p>
      <w:pPr>
        <w:spacing w:line="360" w:lineRule="exact"/>
        <w:rPr>
          <w:rFonts w:ascii="宋体" w:hAnsi="宋体" w:cs="宋体"/>
          <w:b/>
          <w:bCs/>
          <w:color w:val="auto"/>
          <w:szCs w:val="21"/>
        </w:rPr>
      </w:pPr>
      <w:r>
        <w:rPr>
          <w:rFonts w:hint="eastAsia" w:ascii="宋体" w:hAnsi="宋体" w:cs="宋体"/>
          <w:b/>
          <w:bCs/>
          <w:color w:val="auto"/>
          <w:szCs w:val="21"/>
        </w:rPr>
        <w:t>二十、诉讼</w:t>
      </w:r>
    </w:p>
    <w:p>
      <w:pPr>
        <w:spacing w:line="360" w:lineRule="exact"/>
        <w:ind w:firstLine="420" w:firstLineChars="200"/>
        <w:rPr>
          <w:rFonts w:ascii="宋体" w:hAnsi="宋体" w:cs="宋体"/>
          <w:color w:val="auto"/>
          <w:szCs w:val="21"/>
        </w:rPr>
      </w:pPr>
      <w:r>
        <w:rPr>
          <w:rFonts w:hint="eastAsia" w:ascii="宋体" w:hAnsi="宋体" w:cs="宋体"/>
          <w:color w:val="auto"/>
          <w:szCs w:val="21"/>
        </w:rPr>
        <w:t>双方在执行合同中所发生的一切争议，应通过协商解决；如协商不成，向舟山市普陀区人民法院起诉。</w:t>
      </w:r>
    </w:p>
    <w:p>
      <w:pPr>
        <w:spacing w:line="360" w:lineRule="exact"/>
        <w:rPr>
          <w:rFonts w:ascii="宋体" w:hAnsi="宋体" w:cs="宋体"/>
          <w:b/>
          <w:bCs/>
          <w:color w:val="auto"/>
          <w:szCs w:val="21"/>
        </w:rPr>
      </w:pPr>
      <w:r>
        <w:rPr>
          <w:rFonts w:hint="eastAsia" w:ascii="宋体" w:hAnsi="宋体" w:cs="宋体"/>
          <w:b/>
          <w:bCs/>
          <w:color w:val="auto"/>
          <w:szCs w:val="21"/>
        </w:rPr>
        <w:t>二十一、合同生效及其它</w:t>
      </w:r>
    </w:p>
    <w:p>
      <w:pPr>
        <w:spacing w:line="360" w:lineRule="exact"/>
        <w:ind w:firstLine="420" w:firstLineChars="200"/>
        <w:rPr>
          <w:rFonts w:ascii="宋体" w:hAnsi="宋体" w:cs="宋体"/>
          <w:color w:val="auto"/>
          <w:szCs w:val="21"/>
        </w:rPr>
      </w:pPr>
      <w:r>
        <w:rPr>
          <w:rFonts w:hint="eastAsia" w:ascii="宋体" w:hAnsi="宋体" w:cs="宋体"/>
          <w:color w:val="auto"/>
          <w:szCs w:val="21"/>
        </w:rPr>
        <w:t>1、合同经双方法定代表人或授权代表签字并加盖单位公章后生效。</w:t>
      </w:r>
    </w:p>
    <w:p>
      <w:pPr>
        <w:spacing w:line="360" w:lineRule="exact"/>
        <w:ind w:firstLine="420" w:firstLineChars="200"/>
        <w:rPr>
          <w:rFonts w:ascii="宋体" w:hAnsi="宋体" w:cs="宋体"/>
          <w:color w:val="auto"/>
          <w:szCs w:val="21"/>
        </w:rPr>
      </w:pPr>
      <w:r>
        <w:rPr>
          <w:rFonts w:hint="eastAsia" w:ascii="宋体" w:hAnsi="宋体" w:cs="宋体"/>
          <w:color w:val="auto"/>
          <w:szCs w:val="21"/>
        </w:rPr>
        <w:t>2、本合同未尽事宜，遵照《中华人民共和国民法典》有关条文执行。</w:t>
      </w:r>
    </w:p>
    <w:p>
      <w:pPr>
        <w:spacing w:line="360" w:lineRule="exact"/>
        <w:ind w:firstLine="420" w:firstLineChars="200"/>
        <w:rPr>
          <w:rFonts w:ascii="宋体" w:hAnsi="宋体" w:cs="宋体"/>
          <w:color w:val="auto"/>
          <w:szCs w:val="21"/>
        </w:rPr>
      </w:pPr>
      <w:r>
        <w:rPr>
          <w:rFonts w:hint="eastAsia" w:ascii="宋体" w:hAnsi="宋体" w:cs="宋体"/>
          <w:color w:val="auto"/>
          <w:szCs w:val="21"/>
        </w:rPr>
        <w:t>3、本次项目的采购文件、乙方的投标文件以及乙方其他投标时承诺等文件均为本合同的组成部分。</w:t>
      </w:r>
    </w:p>
    <w:p>
      <w:pPr>
        <w:spacing w:line="360" w:lineRule="exact"/>
        <w:ind w:firstLine="420" w:firstLineChars="200"/>
        <w:rPr>
          <w:rFonts w:ascii="宋体" w:hAnsi="宋体" w:cs="宋体"/>
          <w:color w:val="auto"/>
          <w:szCs w:val="21"/>
        </w:rPr>
      </w:pPr>
      <w:r>
        <w:rPr>
          <w:rFonts w:hint="eastAsia" w:ascii="宋体" w:hAnsi="宋体" w:cs="宋体"/>
          <w:color w:val="auto"/>
          <w:szCs w:val="21"/>
        </w:rPr>
        <w:t>4、本合同正本一式四份，具有同等法律效力，甲乙双方各执二份。</w:t>
      </w:r>
    </w:p>
    <w:p>
      <w:pPr>
        <w:pStyle w:val="19"/>
        <w:snapToGrid w:val="0"/>
        <w:spacing w:line="360" w:lineRule="exact"/>
        <w:ind w:left="420" w:hanging="420" w:hangingChars="200"/>
        <w:rPr>
          <w:rFonts w:hAnsi="宋体" w:eastAsia="宋体"/>
          <w:color w:val="auto"/>
          <w:sz w:val="21"/>
          <w:szCs w:val="21"/>
        </w:rPr>
      </w:pPr>
      <w:r>
        <w:rPr>
          <w:rFonts w:hint="eastAsia" w:hAnsi="宋体" w:eastAsia="宋体"/>
          <w:color w:val="auto"/>
          <w:sz w:val="21"/>
          <w:szCs w:val="21"/>
        </w:rPr>
        <w:t xml:space="preserve">  </w:t>
      </w:r>
    </w:p>
    <w:p>
      <w:pPr>
        <w:pStyle w:val="19"/>
        <w:snapToGrid w:val="0"/>
        <w:spacing w:line="360" w:lineRule="exact"/>
        <w:ind w:left="420" w:hanging="420" w:hangingChars="200"/>
        <w:rPr>
          <w:rFonts w:hAnsi="宋体" w:eastAsia="宋体"/>
          <w:color w:val="auto"/>
          <w:sz w:val="21"/>
          <w:szCs w:val="21"/>
        </w:rPr>
      </w:pPr>
    </w:p>
    <w:p>
      <w:pPr>
        <w:pStyle w:val="19"/>
        <w:snapToGrid w:val="0"/>
        <w:spacing w:line="360" w:lineRule="exact"/>
        <w:ind w:left="420" w:hanging="420" w:hangingChars="200"/>
        <w:rPr>
          <w:rFonts w:hAnsi="宋体" w:eastAsia="宋体"/>
          <w:color w:val="auto"/>
          <w:sz w:val="21"/>
          <w:szCs w:val="21"/>
        </w:rPr>
      </w:pPr>
    </w:p>
    <w:p>
      <w:pPr>
        <w:pStyle w:val="19"/>
        <w:snapToGrid w:val="0"/>
        <w:spacing w:line="360" w:lineRule="exact"/>
        <w:ind w:left="420" w:hanging="420" w:hangingChars="200"/>
        <w:rPr>
          <w:rFonts w:hAnsi="宋体" w:eastAsia="宋体"/>
          <w:color w:val="auto"/>
          <w:sz w:val="21"/>
          <w:szCs w:val="21"/>
        </w:rPr>
      </w:pPr>
      <w:r>
        <w:rPr>
          <w:rFonts w:hint="eastAsia" w:hAnsi="宋体" w:eastAsia="宋体"/>
          <w:color w:val="auto"/>
          <w:sz w:val="21"/>
          <w:szCs w:val="21"/>
        </w:rPr>
        <w:t xml:space="preserve">甲方：                                   乙方： </w:t>
      </w:r>
    </w:p>
    <w:p>
      <w:pPr>
        <w:pStyle w:val="19"/>
        <w:snapToGrid w:val="0"/>
        <w:spacing w:line="360" w:lineRule="exact"/>
        <w:rPr>
          <w:rFonts w:hAnsi="宋体" w:eastAsia="宋体"/>
          <w:color w:val="auto"/>
          <w:sz w:val="21"/>
          <w:szCs w:val="21"/>
        </w:rPr>
      </w:pPr>
      <w:r>
        <w:rPr>
          <w:rFonts w:hint="eastAsia" w:hAnsi="宋体" w:eastAsia="宋体"/>
          <w:color w:val="auto"/>
          <w:sz w:val="21"/>
          <w:szCs w:val="21"/>
        </w:rPr>
        <w:t xml:space="preserve">地址：                                   地址： </w:t>
      </w:r>
    </w:p>
    <w:p>
      <w:pPr>
        <w:pStyle w:val="19"/>
        <w:snapToGrid w:val="0"/>
        <w:spacing w:line="360" w:lineRule="exact"/>
        <w:rPr>
          <w:rFonts w:hAnsi="宋体" w:eastAsia="宋体"/>
          <w:color w:val="auto"/>
          <w:sz w:val="21"/>
          <w:szCs w:val="21"/>
        </w:rPr>
      </w:pPr>
      <w:r>
        <w:rPr>
          <w:rFonts w:hint="eastAsia" w:hAnsi="宋体" w:eastAsia="宋体"/>
          <w:color w:val="auto"/>
          <w:sz w:val="21"/>
          <w:szCs w:val="21"/>
        </w:rPr>
        <w:t>法定代表人：                             法定代表人：</w:t>
      </w:r>
    </w:p>
    <w:p>
      <w:pPr>
        <w:pStyle w:val="19"/>
        <w:snapToGrid w:val="0"/>
        <w:spacing w:line="360" w:lineRule="exact"/>
        <w:ind w:left="420" w:hanging="420" w:hangingChars="200"/>
        <w:rPr>
          <w:rFonts w:hAnsi="宋体" w:eastAsia="宋体"/>
          <w:color w:val="auto"/>
          <w:sz w:val="21"/>
          <w:szCs w:val="21"/>
        </w:rPr>
      </w:pPr>
      <w:r>
        <w:rPr>
          <w:rFonts w:hint="eastAsia" w:hAnsi="宋体" w:eastAsia="宋体"/>
          <w:color w:val="auto"/>
          <w:sz w:val="21"/>
          <w:szCs w:val="21"/>
        </w:rPr>
        <w:t xml:space="preserve">电话：                          </w:t>
      </w:r>
      <w:r>
        <w:rPr>
          <w:rFonts w:hAnsi="宋体" w:eastAsia="宋体"/>
          <w:color w:val="auto"/>
          <w:sz w:val="21"/>
          <w:szCs w:val="21"/>
        </w:rPr>
        <w:t xml:space="preserve">        </w:t>
      </w:r>
      <w:r>
        <w:rPr>
          <w:rFonts w:hint="eastAsia" w:hAnsi="宋体" w:eastAsia="宋体"/>
          <w:color w:val="auto"/>
          <w:sz w:val="21"/>
          <w:szCs w:val="21"/>
        </w:rPr>
        <w:t xml:space="preserve"> 电话：</w:t>
      </w:r>
    </w:p>
    <w:p>
      <w:pPr>
        <w:pStyle w:val="19"/>
        <w:snapToGrid w:val="0"/>
        <w:spacing w:line="360" w:lineRule="exact"/>
        <w:ind w:left="420" w:hanging="420" w:hangingChars="200"/>
        <w:rPr>
          <w:rFonts w:hAnsi="宋体" w:eastAsia="宋体"/>
          <w:color w:val="auto"/>
          <w:sz w:val="21"/>
          <w:szCs w:val="21"/>
        </w:rPr>
      </w:pPr>
      <w:r>
        <w:rPr>
          <w:rFonts w:hint="eastAsia" w:hAnsi="宋体" w:eastAsia="宋体"/>
          <w:color w:val="auto"/>
          <w:sz w:val="21"/>
          <w:szCs w:val="21"/>
        </w:rPr>
        <w:t xml:space="preserve">邮政编码：                     </w:t>
      </w:r>
      <w:r>
        <w:rPr>
          <w:rFonts w:hAnsi="宋体" w:eastAsia="宋体"/>
          <w:color w:val="auto"/>
          <w:sz w:val="21"/>
          <w:szCs w:val="21"/>
        </w:rPr>
        <w:t xml:space="preserve">        </w:t>
      </w:r>
      <w:r>
        <w:rPr>
          <w:rFonts w:hint="eastAsia" w:hAnsi="宋体" w:eastAsia="宋体"/>
          <w:color w:val="auto"/>
          <w:sz w:val="21"/>
          <w:szCs w:val="21"/>
        </w:rPr>
        <w:t xml:space="preserve">  邮政编码：</w:t>
      </w:r>
    </w:p>
    <w:p>
      <w:pPr>
        <w:pStyle w:val="19"/>
        <w:snapToGrid w:val="0"/>
        <w:spacing w:line="360" w:lineRule="exact"/>
        <w:ind w:left="420" w:hanging="420" w:hangingChars="200"/>
        <w:rPr>
          <w:rFonts w:hAnsi="宋体" w:eastAsia="宋体"/>
          <w:color w:val="auto"/>
          <w:sz w:val="21"/>
          <w:szCs w:val="21"/>
        </w:rPr>
      </w:pPr>
      <w:r>
        <w:rPr>
          <w:rFonts w:hint="eastAsia" w:hAnsi="宋体" w:eastAsia="宋体"/>
          <w:color w:val="auto"/>
          <w:sz w:val="21"/>
          <w:szCs w:val="21"/>
        </w:rPr>
        <w:t xml:space="preserve">开户银行：                   </w:t>
      </w:r>
      <w:r>
        <w:rPr>
          <w:rFonts w:hAnsi="宋体" w:eastAsia="宋体"/>
          <w:color w:val="auto"/>
          <w:sz w:val="21"/>
          <w:szCs w:val="21"/>
        </w:rPr>
        <w:t xml:space="preserve">        </w:t>
      </w:r>
      <w:r>
        <w:rPr>
          <w:rFonts w:hint="eastAsia" w:hAnsi="宋体" w:eastAsia="宋体"/>
          <w:color w:val="auto"/>
          <w:sz w:val="21"/>
          <w:szCs w:val="21"/>
        </w:rPr>
        <w:t xml:space="preserve">    开户银行：</w:t>
      </w:r>
    </w:p>
    <w:p>
      <w:pPr>
        <w:pStyle w:val="19"/>
        <w:snapToGrid w:val="0"/>
        <w:spacing w:line="360" w:lineRule="exact"/>
        <w:ind w:left="420" w:hanging="420" w:hangingChars="200"/>
        <w:rPr>
          <w:rFonts w:hint="eastAsia" w:hAnsi="宋体" w:eastAsia="宋体"/>
          <w:color w:val="auto"/>
          <w:sz w:val="21"/>
          <w:szCs w:val="21"/>
        </w:rPr>
      </w:pPr>
      <w:r>
        <w:rPr>
          <w:rFonts w:hint="eastAsia" w:hAnsi="宋体" w:eastAsia="宋体"/>
          <w:color w:val="auto"/>
          <w:sz w:val="21"/>
          <w:szCs w:val="21"/>
        </w:rPr>
        <w:t xml:space="preserve">帐号： </w:t>
      </w:r>
      <w:r>
        <w:rPr>
          <w:rFonts w:hAnsi="宋体" w:eastAsia="宋体"/>
          <w:color w:val="auto"/>
          <w:sz w:val="21"/>
          <w:szCs w:val="21"/>
        </w:rPr>
        <w:t xml:space="preserve">                                  </w:t>
      </w:r>
      <w:r>
        <w:rPr>
          <w:rFonts w:hint="eastAsia" w:hAnsi="宋体" w:eastAsia="宋体"/>
          <w:color w:val="auto"/>
          <w:sz w:val="21"/>
          <w:szCs w:val="21"/>
        </w:rPr>
        <w:t>帐号：</w:t>
      </w:r>
    </w:p>
    <w:p>
      <w:pPr>
        <w:pStyle w:val="19"/>
        <w:snapToGrid w:val="0"/>
        <w:spacing w:line="360" w:lineRule="exact"/>
        <w:ind w:left="420" w:hanging="420" w:hangingChars="200"/>
        <w:rPr>
          <w:rFonts w:hint="eastAsia" w:hAnsi="宋体"/>
          <w:b/>
          <w:color w:val="auto"/>
          <w:sz w:val="32"/>
          <w:szCs w:val="30"/>
        </w:rPr>
      </w:pPr>
      <w:r>
        <w:rPr>
          <w:rFonts w:hint="eastAsia" w:hAnsi="宋体" w:eastAsia="宋体"/>
          <w:color w:val="auto"/>
          <w:sz w:val="21"/>
          <w:szCs w:val="21"/>
        </w:rPr>
        <w:t>签订地点：                               签订日期：      年   月   日</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spacing w:line="240" w:lineRule="auto"/>
        <w:textAlignment w:val="auto"/>
        <w:rPr>
          <w:color w:val="auto"/>
        </w:rPr>
      </w:pPr>
      <w:r>
        <w:rPr>
          <w:rFonts w:hint="eastAsia" w:ascii="宋体" w:hAnsi="宋体" w:eastAsia="宋体" w:cs="宋体"/>
          <w:color w:val="auto"/>
        </w:rPr>
        <w:br w:type="page"/>
      </w:r>
    </w:p>
    <w:p>
      <w:pPr>
        <w:pStyle w:val="3"/>
        <w:numPr>
          <w:ilvl w:val="0"/>
          <w:numId w:val="23"/>
        </w:numPr>
        <w:spacing w:before="0" w:after="0" w:line="360" w:lineRule="auto"/>
        <w:jc w:val="center"/>
        <w:rPr>
          <w:rFonts w:hint="eastAsia" w:ascii="宋体" w:hAnsi="宋体" w:cs="宋体"/>
          <w:color w:val="auto"/>
          <w:sz w:val="30"/>
        </w:rPr>
      </w:pPr>
      <w:bookmarkStart w:id="310" w:name="_Toc7729"/>
      <w:bookmarkStart w:id="311" w:name="_Toc5495"/>
      <w:bookmarkStart w:id="312" w:name="_Toc76771840"/>
      <w:bookmarkStart w:id="313" w:name="_Toc79395485"/>
      <w:bookmarkStart w:id="314" w:name="_Toc18229"/>
      <w:r>
        <w:rPr>
          <w:rFonts w:hint="eastAsia" w:ascii="宋体" w:hAnsi="宋体" w:cs="宋体"/>
          <w:color w:val="auto"/>
          <w:sz w:val="30"/>
        </w:rPr>
        <w:t xml:space="preserve">  </w:t>
      </w:r>
      <w:bookmarkStart w:id="315" w:name="_Toc27017"/>
      <w:bookmarkStart w:id="316" w:name="_Toc21646"/>
      <w:bookmarkStart w:id="317" w:name="_Toc14922"/>
      <w:r>
        <w:rPr>
          <w:rFonts w:hint="eastAsia" w:ascii="宋体" w:hAnsi="宋体" w:cs="宋体"/>
          <w:color w:val="auto"/>
          <w:sz w:val="30"/>
        </w:rPr>
        <w:t>投标文件格式</w:t>
      </w:r>
      <w:bookmarkEnd w:id="310"/>
      <w:bookmarkEnd w:id="311"/>
      <w:bookmarkEnd w:id="312"/>
      <w:bookmarkEnd w:id="313"/>
      <w:bookmarkEnd w:id="314"/>
      <w:r>
        <w:rPr>
          <w:rFonts w:hint="eastAsia" w:ascii="宋体" w:hAnsi="宋体" w:cs="宋体"/>
          <w:color w:val="auto"/>
          <w:sz w:val="30"/>
        </w:rPr>
        <w:t>及附件</w:t>
      </w:r>
      <w:bookmarkEnd w:id="315"/>
      <w:bookmarkEnd w:id="316"/>
      <w:bookmarkEnd w:id="317"/>
    </w:p>
    <w:p>
      <w:pPr>
        <w:rPr>
          <w:rFonts w:hint="eastAsia" w:ascii="宋体" w:hAnsi="宋体" w:cs="宋体"/>
          <w:color w:val="auto"/>
        </w:rPr>
      </w:pPr>
    </w:p>
    <w:p>
      <w:pPr>
        <w:rPr>
          <w:rFonts w:hint="eastAsia" w:ascii="宋体" w:hAnsi="宋体" w:cs="宋体"/>
          <w:bCs/>
          <w:color w:val="auto"/>
          <w:szCs w:val="21"/>
        </w:rPr>
      </w:pPr>
      <w:bookmarkStart w:id="318" w:name="_Toc18324"/>
      <w:bookmarkStart w:id="319" w:name="_Toc4426"/>
      <w:bookmarkStart w:id="320" w:name="_Toc29895"/>
      <w:r>
        <w:rPr>
          <w:rFonts w:hint="eastAsia" w:ascii="宋体" w:hAnsi="宋体" w:cs="宋体"/>
          <w:b/>
          <w:color w:val="auto"/>
          <w:szCs w:val="21"/>
        </w:rPr>
        <w:t>1.外包装格式</w:t>
      </w:r>
      <w:bookmarkEnd w:id="318"/>
      <w:bookmarkEnd w:id="319"/>
      <w:bookmarkEnd w:id="320"/>
      <w:r>
        <w:rPr>
          <w:rFonts w:hint="eastAsia" w:ascii="宋体" w:hAnsi="宋体" w:cs="宋体"/>
          <w:bCs/>
          <w:color w:val="auto"/>
          <w:szCs w:val="21"/>
        </w:rPr>
        <w:t>（提供电子备份投标文件信封密封时使用）</w:t>
      </w:r>
    </w:p>
    <w:p>
      <w:pPr>
        <w:snapToGrid w:val="0"/>
        <w:spacing w:before="120" w:beforeLines="50" w:after="50" w:line="360" w:lineRule="auto"/>
        <w:jc w:val="center"/>
        <w:rPr>
          <w:rFonts w:hint="eastAsia" w:ascii="宋体" w:hAnsi="宋体" w:cs="宋体"/>
          <w:b/>
          <w:bCs/>
          <w:color w:val="auto"/>
          <w:szCs w:val="21"/>
        </w:rPr>
      </w:pPr>
      <w:r>
        <w:rPr>
          <w:rFonts w:hint="eastAsia" w:ascii="宋体" w:hAnsi="宋体" w:cs="宋体"/>
          <w:b/>
          <w:bCs/>
          <w:color w:val="auto"/>
          <w:szCs w:val="21"/>
        </w:rPr>
        <w:t>电子备份投标文件</w:t>
      </w:r>
    </w:p>
    <w:p>
      <w:pPr>
        <w:snapToGrid w:val="0"/>
        <w:spacing w:before="120" w:beforeLines="50" w:after="50" w:line="360" w:lineRule="auto"/>
        <w:ind w:firstLine="338" w:firstLineChars="161"/>
        <w:rPr>
          <w:rFonts w:hint="eastAsia" w:ascii="宋体" w:hAnsi="宋体" w:cs="宋体"/>
          <w:bCs/>
          <w:color w:val="auto"/>
          <w:szCs w:val="21"/>
        </w:rPr>
      </w:pPr>
      <w:r>
        <w:rPr>
          <w:rFonts w:hint="eastAsia" w:ascii="宋体" w:hAnsi="宋体" w:cs="宋体"/>
          <w:bCs/>
          <w:color w:val="auto"/>
          <w:szCs w:val="21"/>
        </w:rPr>
        <w:t>项目名称：</w:t>
      </w:r>
    </w:p>
    <w:p>
      <w:pPr>
        <w:snapToGrid w:val="0"/>
        <w:spacing w:before="120" w:beforeLines="50" w:after="50" w:line="360" w:lineRule="auto"/>
        <w:ind w:firstLine="338" w:firstLineChars="161"/>
        <w:rPr>
          <w:rFonts w:hint="eastAsia" w:ascii="宋体" w:hAnsi="宋体" w:cs="宋体"/>
          <w:color w:val="auto"/>
          <w:kern w:val="0"/>
          <w:szCs w:val="21"/>
        </w:rPr>
      </w:pPr>
      <w:r>
        <w:rPr>
          <w:rFonts w:hint="eastAsia" w:ascii="宋体" w:hAnsi="宋体" w:cs="宋体"/>
          <w:bCs/>
          <w:color w:val="auto"/>
          <w:szCs w:val="21"/>
        </w:rPr>
        <w:t>项目编号：</w:t>
      </w:r>
    </w:p>
    <w:p>
      <w:pPr>
        <w:snapToGrid w:val="0"/>
        <w:spacing w:before="120" w:beforeLines="50" w:after="50" w:line="360" w:lineRule="auto"/>
        <w:ind w:firstLine="338" w:firstLineChars="161"/>
        <w:rPr>
          <w:rFonts w:hint="eastAsia" w:ascii="宋体" w:hAnsi="宋体" w:cs="宋体"/>
          <w:bCs/>
          <w:color w:val="auto"/>
          <w:szCs w:val="21"/>
        </w:rPr>
      </w:pPr>
      <w:r>
        <w:rPr>
          <w:rFonts w:hint="eastAsia" w:ascii="宋体" w:hAnsi="宋体" w:cs="宋体"/>
          <w:bCs/>
          <w:color w:val="auto"/>
          <w:szCs w:val="21"/>
        </w:rPr>
        <w:t>投标人名称（加盖公章）：</w:t>
      </w:r>
    </w:p>
    <w:p>
      <w:pPr>
        <w:snapToGrid w:val="0"/>
        <w:spacing w:before="120" w:beforeLines="50" w:after="50" w:line="360" w:lineRule="auto"/>
        <w:ind w:firstLine="338" w:firstLineChars="161"/>
        <w:rPr>
          <w:rFonts w:hint="eastAsia" w:ascii="宋体" w:hAnsi="宋体" w:cs="宋体"/>
          <w:bCs/>
          <w:color w:val="auto"/>
          <w:szCs w:val="21"/>
        </w:rPr>
      </w:pPr>
      <w:r>
        <w:rPr>
          <w:rFonts w:hint="eastAsia" w:ascii="宋体" w:hAnsi="宋体" w:cs="宋体"/>
          <w:bCs/>
          <w:color w:val="auto"/>
          <w:szCs w:val="21"/>
        </w:rPr>
        <w:t>投标人地址：</w:t>
      </w:r>
    </w:p>
    <w:p>
      <w:pPr>
        <w:snapToGrid w:val="0"/>
        <w:spacing w:before="120" w:beforeLines="50" w:after="50" w:line="360" w:lineRule="auto"/>
        <w:ind w:firstLine="339" w:firstLineChars="161"/>
        <w:jc w:val="center"/>
        <w:rPr>
          <w:rFonts w:hint="eastAsia" w:ascii="宋体" w:hAnsi="宋体" w:cs="宋体"/>
          <w:b/>
          <w:color w:val="auto"/>
          <w:szCs w:val="21"/>
        </w:rPr>
      </w:pPr>
      <w:r>
        <w:rPr>
          <w:rFonts w:hint="eastAsia" w:ascii="宋体" w:hAnsi="宋体" w:cs="宋体"/>
          <w:b/>
          <w:color w:val="auto"/>
          <w:szCs w:val="21"/>
        </w:rPr>
        <w:t>（投标截止时间前不得启封）</w:t>
      </w:r>
    </w:p>
    <w:p>
      <w:pPr>
        <w:snapToGrid w:val="0"/>
        <w:spacing w:before="120" w:beforeLines="50" w:after="50" w:line="360" w:lineRule="auto"/>
        <w:rPr>
          <w:rFonts w:hint="eastAsia" w:ascii="宋体" w:hAnsi="宋体" w:cs="宋体"/>
          <w:bCs/>
          <w:color w:val="auto"/>
          <w:szCs w:val="21"/>
        </w:rPr>
      </w:pPr>
      <w:r>
        <w:rPr>
          <w:rFonts w:hint="eastAsia" w:ascii="宋体" w:hAnsi="宋体" w:cs="宋体"/>
          <w:bCs/>
          <w:color w:val="auto"/>
          <w:szCs w:val="21"/>
        </w:rPr>
        <w:t xml:space="preserve">                                                            年  月  日</w:t>
      </w:r>
    </w:p>
    <w:p>
      <w:pPr>
        <w:pStyle w:val="31"/>
        <w:ind w:left="420"/>
        <w:rPr>
          <w:rFonts w:hint="eastAsia" w:ascii="宋体" w:hAnsi="宋体" w:cs="宋体"/>
          <w:bCs/>
          <w:color w:val="auto"/>
          <w:szCs w:val="21"/>
        </w:rPr>
      </w:pPr>
    </w:p>
    <w:p>
      <w:pPr>
        <w:rPr>
          <w:rFonts w:hint="eastAsia" w:ascii="宋体" w:hAnsi="宋体" w:cs="宋体"/>
          <w:bCs/>
          <w:color w:val="auto"/>
          <w:szCs w:val="21"/>
        </w:rPr>
      </w:pPr>
    </w:p>
    <w:p>
      <w:pPr>
        <w:pStyle w:val="31"/>
        <w:ind w:left="420"/>
        <w:rPr>
          <w:rFonts w:hint="eastAsia" w:ascii="宋体" w:hAnsi="宋体" w:cs="宋体"/>
          <w:color w:val="auto"/>
        </w:rPr>
      </w:pPr>
    </w:p>
    <w:p>
      <w:pPr>
        <w:pStyle w:val="31"/>
        <w:ind w:left="420"/>
        <w:rPr>
          <w:rFonts w:hint="eastAsia" w:ascii="宋体" w:hAnsi="宋体" w:cs="宋体"/>
          <w:color w:val="auto"/>
        </w:rPr>
      </w:pPr>
    </w:p>
    <w:p>
      <w:pPr>
        <w:rPr>
          <w:b/>
          <w:bCs/>
          <w:color w:val="auto"/>
        </w:rPr>
      </w:pPr>
      <w:bookmarkStart w:id="321" w:name="_Toc22946"/>
      <w:bookmarkStart w:id="322" w:name="_Toc14932"/>
      <w:bookmarkStart w:id="323" w:name="_Toc28033"/>
      <w:bookmarkStart w:id="324" w:name="_Toc19186"/>
      <w:r>
        <w:rPr>
          <w:rFonts w:hint="eastAsia"/>
          <w:b/>
          <w:bCs/>
          <w:color w:val="auto"/>
        </w:rPr>
        <w:t>2.投标文件封面格式</w:t>
      </w:r>
      <w:bookmarkEnd w:id="321"/>
      <w:bookmarkEnd w:id="322"/>
      <w:bookmarkEnd w:id="323"/>
      <w:bookmarkEnd w:id="324"/>
      <w:r>
        <w:rPr>
          <w:rFonts w:hint="eastAsia"/>
          <w:b/>
          <w:bCs/>
          <w:color w:val="auto"/>
        </w:rPr>
        <w:t xml:space="preserve">                                                     正/副本</w:t>
      </w:r>
    </w:p>
    <w:p>
      <w:pPr>
        <w:snapToGrid w:val="0"/>
        <w:spacing w:before="120" w:beforeLines="50" w:after="50"/>
        <w:rPr>
          <w:rFonts w:hint="eastAsia" w:ascii="宋体" w:hAnsi="宋体" w:cs="宋体"/>
          <w:b/>
          <w:bCs/>
          <w:color w:val="auto"/>
          <w:szCs w:val="21"/>
        </w:rPr>
      </w:pPr>
      <w:r>
        <w:rPr>
          <w:rFonts w:hint="eastAsia" w:ascii="宋体" w:hAnsi="宋体" w:cs="宋体"/>
          <w:b/>
          <w:bCs/>
          <w:color w:val="auto"/>
          <w:szCs w:val="21"/>
        </w:rPr>
        <w:t xml:space="preserve">                                                                      </w:t>
      </w:r>
    </w:p>
    <w:p>
      <w:pPr>
        <w:snapToGrid w:val="0"/>
        <w:spacing w:before="120" w:beforeLines="50" w:after="50"/>
        <w:jc w:val="center"/>
        <w:rPr>
          <w:rFonts w:hint="eastAsia" w:ascii="宋体" w:hAnsi="宋体" w:cs="宋体"/>
          <w:b/>
          <w:bCs/>
          <w:color w:val="auto"/>
          <w:szCs w:val="21"/>
        </w:rPr>
      </w:pPr>
      <w:r>
        <w:rPr>
          <w:rFonts w:hint="eastAsia" w:ascii="宋体" w:hAnsi="宋体" w:cs="宋体"/>
          <w:b/>
          <w:bCs/>
          <w:color w:val="auto"/>
          <w:szCs w:val="21"/>
        </w:rPr>
        <w:t>资格文件/商务技术文件/报价文件</w:t>
      </w:r>
    </w:p>
    <w:p>
      <w:pPr>
        <w:snapToGrid w:val="0"/>
        <w:spacing w:before="120" w:beforeLines="50" w:after="50"/>
        <w:ind w:firstLine="6078" w:firstLineChars="2883"/>
        <w:jc w:val="center"/>
        <w:rPr>
          <w:rFonts w:hint="eastAsia" w:ascii="宋体" w:hAnsi="宋体" w:cs="宋体"/>
          <w:b/>
          <w:bCs/>
          <w:color w:val="auto"/>
          <w:szCs w:val="21"/>
        </w:rPr>
      </w:pPr>
    </w:p>
    <w:p>
      <w:pPr>
        <w:snapToGrid w:val="0"/>
        <w:spacing w:before="120" w:beforeLines="50" w:after="50" w:line="360" w:lineRule="auto"/>
        <w:ind w:firstLine="338" w:firstLineChars="161"/>
        <w:rPr>
          <w:rFonts w:hint="eastAsia" w:ascii="宋体" w:hAnsi="宋体" w:cs="宋体"/>
          <w:bCs/>
          <w:color w:val="auto"/>
          <w:szCs w:val="21"/>
        </w:rPr>
      </w:pPr>
      <w:r>
        <w:rPr>
          <w:rFonts w:hint="eastAsia" w:ascii="宋体" w:hAnsi="宋体" w:cs="宋体"/>
          <w:bCs/>
          <w:color w:val="auto"/>
          <w:szCs w:val="21"/>
        </w:rPr>
        <w:t>项目名称：</w:t>
      </w:r>
    </w:p>
    <w:p>
      <w:pPr>
        <w:snapToGrid w:val="0"/>
        <w:spacing w:before="120" w:beforeLines="50" w:after="50" w:line="360" w:lineRule="auto"/>
        <w:ind w:firstLine="338" w:firstLineChars="161"/>
        <w:rPr>
          <w:rFonts w:hint="eastAsia" w:ascii="宋体" w:hAnsi="宋体" w:cs="宋体"/>
          <w:color w:val="auto"/>
          <w:kern w:val="0"/>
          <w:szCs w:val="21"/>
        </w:rPr>
      </w:pPr>
      <w:r>
        <w:rPr>
          <w:rFonts w:hint="eastAsia" w:ascii="宋体" w:hAnsi="宋体" w:cs="宋体"/>
          <w:bCs/>
          <w:color w:val="auto"/>
          <w:szCs w:val="21"/>
        </w:rPr>
        <w:t>项目编号：</w:t>
      </w:r>
    </w:p>
    <w:p>
      <w:pPr>
        <w:snapToGrid w:val="0"/>
        <w:spacing w:before="120" w:beforeLines="50" w:after="50" w:line="360" w:lineRule="auto"/>
        <w:ind w:firstLine="338" w:firstLineChars="161"/>
        <w:rPr>
          <w:rFonts w:hint="eastAsia" w:ascii="宋体" w:hAnsi="宋体" w:cs="宋体"/>
          <w:bCs/>
          <w:color w:val="auto"/>
          <w:szCs w:val="21"/>
        </w:rPr>
      </w:pPr>
      <w:r>
        <w:rPr>
          <w:rFonts w:hint="eastAsia" w:ascii="宋体" w:hAnsi="宋体" w:cs="宋体"/>
          <w:bCs/>
          <w:color w:val="auto"/>
          <w:szCs w:val="21"/>
        </w:rPr>
        <w:t>投标人名称（加盖公章）：</w:t>
      </w:r>
    </w:p>
    <w:p>
      <w:pPr>
        <w:snapToGrid w:val="0"/>
        <w:spacing w:before="120" w:beforeLines="50" w:after="50" w:line="360" w:lineRule="auto"/>
        <w:ind w:firstLine="338" w:firstLineChars="161"/>
        <w:rPr>
          <w:rFonts w:hint="eastAsia" w:ascii="宋体" w:hAnsi="宋体" w:cs="宋体"/>
          <w:bCs/>
          <w:color w:val="auto"/>
          <w:szCs w:val="21"/>
        </w:rPr>
      </w:pPr>
      <w:r>
        <w:rPr>
          <w:rFonts w:hint="eastAsia" w:ascii="宋体" w:hAnsi="宋体" w:cs="宋体"/>
          <w:bCs/>
          <w:color w:val="auto"/>
          <w:szCs w:val="21"/>
        </w:rPr>
        <w:t>投标人地址：</w:t>
      </w:r>
    </w:p>
    <w:p>
      <w:pPr>
        <w:snapToGrid w:val="0"/>
        <w:spacing w:before="120" w:beforeLines="50" w:after="50" w:line="360" w:lineRule="auto"/>
        <w:ind w:firstLine="3570" w:firstLineChars="1700"/>
        <w:rPr>
          <w:rFonts w:hint="eastAsia" w:ascii="宋体" w:hAnsi="宋体" w:cs="宋体"/>
          <w:bCs/>
          <w:color w:val="auto"/>
          <w:szCs w:val="21"/>
        </w:rPr>
      </w:pPr>
    </w:p>
    <w:p>
      <w:pPr>
        <w:snapToGrid w:val="0"/>
        <w:spacing w:before="120" w:beforeLines="50" w:after="50" w:line="360" w:lineRule="auto"/>
        <w:ind w:firstLine="645"/>
        <w:jc w:val="center"/>
        <w:rPr>
          <w:rFonts w:hint="eastAsia" w:ascii="宋体" w:hAnsi="宋体" w:cs="宋体"/>
          <w:bCs/>
          <w:color w:val="auto"/>
          <w:szCs w:val="21"/>
        </w:rPr>
      </w:pPr>
      <w:r>
        <w:rPr>
          <w:rFonts w:hint="eastAsia" w:ascii="宋体" w:hAnsi="宋体" w:cs="宋体"/>
          <w:bCs/>
          <w:color w:val="auto"/>
          <w:szCs w:val="21"/>
        </w:rPr>
        <w:t xml:space="preserve">                                      年  月  日</w:t>
      </w:r>
    </w:p>
    <w:p>
      <w:pPr>
        <w:pStyle w:val="26"/>
        <w:tabs>
          <w:tab w:val="right" w:leader="dot" w:pos="8504"/>
        </w:tabs>
        <w:spacing w:line="500" w:lineRule="exact"/>
        <w:rPr>
          <w:rFonts w:hint="eastAsia" w:ascii="宋体" w:hAnsi="宋体" w:cs="宋体"/>
          <w:bCs/>
          <w:color w:val="auto"/>
          <w:szCs w:val="21"/>
        </w:rPr>
      </w:pPr>
      <w:bookmarkStart w:id="325" w:name="_Toc460857946"/>
    </w:p>
    <w:p>
      <w:pPr>
        <w:widowControl/>
        <w:adjustRightInd w:val="0"/>
        <w:spacing w:line="360" w:lineRule="auto"/>
        <w:jc w:val="center"/>
        <w:rPr>
          <w:rFonts w:hint="eastAsia" w:ascii="宋体" w:hAnsi="宋体" w:cs="宋体"/>
          <w:b/>
          <w:color w:val="auto"/>
          <w:szCs w:val="21"/>
        </w:rPr>
      </w:pPr>
      <w:r>
        <w:rPr>
          <w:rFonts w:hint="eastAsia" w:ascii="宋体" w:hAnsi="宋体" w:cs="宋体"/>
          <w:color w:val="auto"/>
          <w:szCs w:val="28"/>
        </w:rPr>
        <w:br w:type="page"/>
      </w:r>
      <w:r>
        <w:rPr>
          <w:rStyle w:val="50"/>
          <w:rFonts w:hint="eastAsia"/>
          <w:color w:val="auto"/>
          <w:sz w:val="32"/>
          <w:szCs w:val="32"/>
          <w:lang w:val="en-US" w:eastAsia="zh-CN"/>
        </w:rPr>
        <w:t>一、</w:t>
      </w:r>
      <w:r>
        <w:rPr>
          <w:rStyle w:val="50"/>
          <w:rFonts w:hint="eastAsia"/>
          <w:color w:val="auto"/>
          <w:sz w:val="32"/>
          <w:szCs w:val="32"/>
        </w:rPr>
        <w:t>资格证明文件</w:t>
      </w:r>
    </w:p>
    <w:p>
      <w:pPr>
        <w:spacing w:line="600" w:lineRule="exact"/>
        <w:jc w:val="both"/>
        <w:rPr>
          <w:rFonts w:hint="eastAsia" w:ascii="宋体" w:hAnsi="宋体" w:cs="宋体"/>
          <w:b/>
          <w:color w:val="auto"/>
          <w:szCs w:val="21"/>
          <w:lang w:val="en-US" w:eastAsia="zh-CN"/>
        </w:rPr>
      </w:pPr>
      <w:r>
        <w:rPr>
          <w:rFonts w:hint="eastAsia" w:ascii="宋体" w:hAnsi="宋体" w:cs="宋体"/>
          <w:b/>
          <w:color w:val="auto"/>
          <w:szCs w:val="21"/>
          <w:lang w:val="en-US" w:eastAsia="zh-CN"/>
        </w:rPr>
        <w:t>1.资格证明材料承诺函</w:t>
      </w:r>
    </w:p>
    <w:p>
      <w:pPr>
        <w:spacing w:line="600" w:lineRule="exact"/>
        <w:jc w:val="center"/>
        <w:rPr>
          <w:rFonts w:ascii="宋体" w:hAnsi="宋体"/>
          <w:b/>
          <w:bCs/>
          <w:color w:val="auto"/>
          <w:sz w:val="21"/>
          <w:szCs w:val="21"/>
        </w:rPr>
      </w:pPr>
      <w:r>
        <w:rPr>
          <w:rFonts w:hint="eastAsia" w:ascii="宋体" w:hAnsi="宋体"/>
          <w:b/>
          <w:bCs/>
          <w:color w:val="auto"/>
          <w:sz w:val="21"/>
          <w:szCs w:val="21"/>
        </w:rPr>
        <w:t>资格证明材料承诺函</w:t>
      </w:r>
    </w:p>
    <w:p>
      <w:pPr>
        <w:widowControl/>
        <w:adjustRightInd w:val="0"/>
        <w:snapToGrid w:val="0"/>
        <w:spacing w:line="48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rPr>
        <w:t>（采购人）</w:t>
      </w:r>
    </w:p>
    <w:p>
      <w:pPr>
        <w:widowControl/>
        <w:adjustRightInd w:val="0"/>
        <w:snapToGrid w:val="0"/>
        <w:spacing w:line="480" w:lineRule="exact"/>
        <w:ind w:firstLine="420"/>
        <w:rPr>
          <w:rFonts w:ascii="宋体" w:hAnsi="宋体"/>
          <w:color w:val="auto"/>
          <w:szCs w:val="21"/>
        </w:rPr>
      </w:pPr>
      <w:r>
        <w:rPr>
          <w:rFonts w:hint="eastAsia" w:ascii="宋体" w:hAnsi="宋体"/>
          <w:color w:val="auto"/>
          <w:szCs w:val="21"/>
        </w:rPr>
        <w:t>我，</w:t>
      </w:r>
      <w:r>
        <w:rPr>
          <w:rFonts w:ascii="宋体" w:hAnsi="宋体"/>
          <w:color w:val="auto"/>
          <w:szCs w:val="21"/>
          <w:u w:val="single"/>
        </w:rPr>
        <w:t xml:space="preserve">                       </w:t>
      </w:r>
      <w:r>
        <w:rPr>
          <w:rFonts w:hint="eastAsia" w:ascii="宋体" w:hAnsi="宋体"/>
          <w:color w:val="auto"/>
          <w:szCs w:val="21"/>
        </w:rPr>
        <w:t>（供应商名称）已认真阅读</w:t>
      </w:r>
      <w:r>
        <w:rPr>
          <w:rFonts w:hint="eastAsia" w:ascii="宋体" w:hAnsi="宋体" w:cs="宋体"/>
          <w:color w:val="auto"/>
          <w:kern w:val="0"/>
          <w:szCs w:val="21"/>
        </w:rPr>
        <w:t>《中华人民共和国政府采购法》及《采购</w:t>
      </w:r>
      <w:r>
        <w:rPr>
          <w:rFonts w:hint="eastAsia" w:ascii="宋体" w:hAnsi="宋体"/>
          <w:color w:val="auto"/>
          <w:szCs w:val="21"/>
        </w:rPr>
        <w:t>文件</w:t>
      </w:r>
      <w:r>
        <w:rPr>
          <w:rFonts w:hint="eastAsia" w:ascii="宋体" w:hAnsi="宋体" w:cs="宋体"/>
          <w:color w:val="auto"/>
          <w:kern w:val="0"/>
          <w:szCs w:val="21"/>
        </w:rPr>
        <w:t>》[</w:t>
      </w:r>
      <w:r>
        <w:rPr>
          <w:rFonts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lang w:val="en-US" w:eastAsia="zh-CN"/>
        </w:rPr>
        <w:t>项目</w:t>
      </w:r>
      <w:r>
        <w:rPr>
          <w:rFonts w:hint="eastAsia" w:ascii="宋体" w:hAnsi="宋体"/>
          <w:color w:val="auto"/>
          <w:szCs w:val="21"/>
        </w:rPr>
        <w:t>编号：</w:t>
      </w:r>
      <w:r>
        <w:rPr>
          <w:rFonts w:ascii="宋体" w:hAnsi="宋体"/>
          <w:color w:val="auto"/>
          <w:szCs w:val="21"/>
          <w:u w:val="single"/>
        </w:rPr>
        <w:t xml:space="preserve">          </w:t>
      </w:r>
      <w:r>
        <w:rPr>
          <w:rFonts w:hint="eastAsia" w:ascii="宋体" w:hAnsi="宋体"/>
          <w:color w:val="auto"/>
          <w:szCs w:val="21"/>
        </w:rPr>
        <w:t>]相关内容，知悉供应商参加政府采购活动应当具备的条件。此次按《采购文件》要求提交的供应商资格证明材料，已经认真核对和检查，全部内容真实、合法、准确和完整，我们对此负责，并愿承担由此引起的法律责任。</w:t>
      </w:r>
    </w:p>
    <w:p>
      <w:pPr>
        <w:adjustRightInd w:val="0"/>
        <w:snapToGrid w:val="0"/>
        <w:spacing w:line="480" w:lineRule="exact"/>
        <w:ind w:firstLine="420"/>
        <w:rPr>
          <w:rFonts w:ascii="宋体" w:hAnsi="宋体"/>
          <w:color w:val="auto"/>
          <w:szCs w:val="21"/>
        </w:rPr>
      </w:pPr>
      <w:r>
        <w:rPr>
          <w:rFonts w:hint="eastAsia" w:ascii="宋体" w:hAnsi="宋体"/>
          <w:color w:val="auto"/>
          <w:szCs w:val="21"/>
        </w:rPr>
        <w:t xml:space="preserve">一、我方在此声明： </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（一）我</w:t>
      </w:r>
      <w:r>
        <w:rPr>
          <w:rFonts w:ascii="宋体" w:hAnsi="宋体"/>
          <w:color w:val="auto"/>
          <w:szCs w:val="21"/>
        </w:rPr>
        <w:t>方</w:t>
      </w:r>
      <w:r>
        <w:rPr>
          <w:rFonts w:hint="eastAsia" w:ascii="宋体" w:hAnsi="宋体"/>
          <w:color w:val="auto"/>
          <w:szCs w:val="21"/>
        </w:rPr>
        <w:t>具有独立承担民事责任的能力；</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（二）我</w:t>
      </w:r>
      <w:r>
        <w:rPr>
          <w:rFonts w:ascii="宋体" w:hAnsi="宋体"/>
          <w:color w:val="auto"/>
          <w:szCs w:val="21"/>
        </w:rPr>
        <w:t>方</w:t>
      </w:r>
      <w:r>
        <w:rPr>
          <w:rFonts w:hint="eastAsia" w:ascii="宋体" w:hAnsi="宋体"/>
          <w:color w:val="auto"/>
          <w:szCs w:val="21"/>
        </w:rPr>
        <w:t>具有良好的商业信誉和健全的财务会计制度；</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（三）我</w:t>
      </w:r>
      <w:r>
        <w:rPr>
          <w:rFonts w:ascii="宋体" w:hAnsi="宋体"/>
          <w:color w:val="auto"/>
          <w:szCs w:val="21"/>
        </w:rPr>
        <w:t>方</w:t>
      </w:r>
      <w:r>
        <w:rPr>
          <w:rFonts w:hint="eastAsia" w:ascii="宋体" w:hAnsi="宋体"/>
          <w:color w:val="auto"/>
          <w:szCs w:val="21"/>
        </w:rPr>
        <w:t>具有履行合同所必需的设备和专业技术能力；</w:t>
      </w:r>
    </w:p>
    <w:p>
      <w:pPr>
        <w:adjustRightInd w:val="0"/>
        <w:snapToGrid w:val="0"/>
        <w:spacing w:line="480" w:lineRule="exact"/>
        <w:ind w:firstLine="420"/>
        <w:rPr>
          <w:rFonts w:ascii="宋体" w:hAnsi="宋体"/>
          <w:color w:val="auto"/>
          <w:szCs w:val="21"/>
        </w:rPr>
      </w:pPr>
      <w:r>
        <w:rPr>
          <w:rFonts w:hint="eastAsia" w:ascii="宋体" w:hAnsi="宋体"/>
          <w:color w:val="auto"/>
          <w:szCs w:val="21"/>
        </w:rPr>
        <w:t>（四）我方与采购人或采购代理机构不存在</w:t>
      </w:r>
      <w:r>
        <w:rPr>
          <w:rFonts w:hint="eastAsia" w:ascii="宋体" w:hAnsi="宋体"/>
          <w:bCs/>
          <w:color w:val="auto"/>
          <w:szCs w:val="21"/>
        </w:rPr>
        <w:t>隶属关系或者其他利害关系</w:t>
      </w:r>
      <w:r>
        <w:rPr>
          <w:rFonts w:hint="eastAsia" w:ascii="宋体" w:hAnsi="宋体"/>
          <w:color w:val="auto"/>
          <w:szCs w:val="21"/>
        </w:rPr>
        <w:t>。</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（五）我方与参加本项目的其他供应商不存在控股、关联关系，或者与其他供应商单位负责人（或者负责人）为同一人。</w:t>
      </w:r>
    </w:p>
    <w:p>
      <w:pPr>
        <w:adjustRightInd w:val="0"/>
        <w:snapToGrid w:val="0"/>
        <w:spacing w:line="480" w:lineRule="exact"/>
        <w:ind w:firstLine="420"/>
        <w:rPr>
          <w:rFonts w:ascii="宋体" w:hAnsi="宋体"/>
          <w:color w:val="auto"/>
          <w:szCs w:val="21"/>
        </w:rPr>
      </w:pPr>
      <w:r>
        <w:rPr>
          <w:rFonts w:hint="eastAsia" w:ascii="宋体" w:hAnsi="宋体"/>
          <w:color w:val="auto"/>
          <w:szCs w:val="21"/>
        </w:rPr>
        <w:t>（六）我方未为本项目前期准备提供设计或咨询服务。</w:t>
      </w:r>
    </w:p>
    <w:p>
      <w:pPr>
        <w:adjustRightInd w:val="0"/>
        <w:snapToGrid w:val="0"/>
        <w:spacing w:line="480" w:lineRule="exact"/>
        <w:ind w:firstLine="420"/>
        <w:rPr>
          <w:rFonts w:ascii="宋体" w:hAnsi="宋体" w:cs="Courier New"/>
          <w:color w:val="auto"/>
          <w:szCs w:val="21"/>
        </w:rPr>
      </w:pPr>
      <w:r>
        <w:rPr>
          <w:rFonts w:hint="eastAsia" w:ascii="宋体" w:hAnsi="宋体" w:cs="Courier New"/>
          <w:color w:val="auto"/>
          <w:szCs w:val="21"/>
        </w:rPr>
        <w:t>二、我方承诺：</w:t>
      </w:r>
    </w:p>
    <w:p>
      <w:pPr>
        <w:adjustRightInd w:val="0"/>
        <w:snapToGrid w:val="0"/>
        <w:spacing w:line="480" w:lineRule="exact"/>
        <w:ind w:left="1" w:firstLine="420"/>
        <w:rPr>
          <w:rFonts w:ascii="宋体" w:hAnsi="宋体"/>
          <w:color w:val="auto"/>
          <w:szCs w:val="21"/>
        </w:rPr>
      </w:pPr>
      <w:r>
        <w:rPr>
          <w:rFonts w:hint="eastAsia" w:ascii="宋体" w:hAnsi="宋体"/>
          <w:bCs/>
          <w:color w:val="auto"/>
          <w:szCs w:val="21"/>
        </w:rPr>
        <w:t>（一）我方</w:t>
      </w:r>
      <w:r>
        <w:rPr>
          <w:rFonts w:hint="eastAsia" w:ascii="宋体" w:hAnsi="宋体"/>
          <w:color w:val="auto"/>
          <w:szCs w:val="21"/>
        </w:rPr>
        <w:t>依法缴纳了各项税费及各项社会保障资金，没有偷税、漏税及欠缴行为。</w:t>
      </w:r>
    </w:p>
    <w:p>
      <w:pPr>
        <w:adjustRightInd w:val="0"/>
        <w:snapToGrid w:val="0"/>
        <w:spacing w:line="480" w:lineRule="exact"/>
        <w:ind w:firstLine="420"/>
        <w:rPr>
          <w:rFonts w:ascii="宋体" w:hAnsi="宋体"/>
          <w:bCs/>
          <w:color w:val="auto"/>
          <w:szCs w:val="21"/>
        </w:rPr>
      </w:pPr>
      <w:r>
        <w:rPr>
          <w:rFonts w:hint="eastAsia" w:ascii="宋体" w:hAnsi="宋体"/>
          <w:bCs/>
          <w:color w:val="auto"/>
          <w:szCs w:val="21"/>
        </w:rPr>
        <w:t>（二）我方（承诺期：成立三年以上的，为提交投标文件截止时间前三年内；成立不足三年的，为实际时间）在经营活动中没有存在下列重大违法记录：</w:t>
      </w:r>
    </w:p>
    <w:p>
      <w:pPr>
        <w:adjustRightInd w:val="0"/>
        <w:snapToGrid w:val="0"/>
        <w:spacing w:line="480" w:lineRule="exact"/>
        <w:ind w:firstLine="420"/>
        <w:rPr>
          <w:rFonts w:ascii="宋体" w:hAnsi="宋体"/>
          <w:bCs/>
          <w:color w:val="auto"/>
          <w:szCs w:val="21"/>
        </w:rPr>
      </w:pPr>
      <w:r>
        <w:rPr>
          <w:rFonts w:hint="eastAsia" w:ascii="宋体" w:hAnsi="宋体"/>
          <w:bCs/>
          <w:color w:val="auto"/>
          <w:szCs w:val="21"/>
        </w:rPr>
        <w:t>1、受到刑事处罚；</w:t>
      </w:r>
    </w:p>
    <w:p>
      <w:pPr>
        <w:adjustRightInd w:val="0"/>
        <w:snapToGrid w:val="0"/>
        <w:spacing w:line="480" w:lineRule="exact"/>
        <w:ind w:left="1" w:firstLine="420"/>
        <w:rPr>
          <w:rFonts w:ascii="宋体" w:hAnsi="宋体"/>
          <w:color w:val="auto"/>
          <w:szCs w:val="21"/>
        </w:rPr>
      </w:pPr>
      <w:r>
        <w:rPr>
          <w:rFonts w:hint="eastAsia" w:ascii="宋体" w:hAnsi="宋体"/>
          <w:color w:val="auto"/>
          <w:szCs w:val="21"/>
        </w:rPr>
        <w:t>2、责令停产停业、吊销许可证或者执照、较大数额罚款等行政处罚。</w:t>
      </w:r>
    </w:p>
    <w:p>
      <w:pPr>
        <w:adjustRightInd w:val="0"/>
        <w:snapToGrid w:val="0"/>
        <w:spacing w:line="480" w:lineRule="exact"/>
        <w:ind w:left="1" w:firstLine="420"/>
        <w:rPr>
          <w:rFonts w:ascii="宋体" w:hAnsi="宋体"/>
          <w:color w:val="auto"/>
          <w:szCs w:val="21"/>
        </w:rPr>
      </w:pPr>
      <w:r>
        <w:rPr>
          <w:rFonts w:hint="eastAsia" w:ascii="宋体" w:hAnsi="宋体"/>
          <w:color w:val="auto"/>
          <w:szCs w:val="21"/>
        </w:rPr>
        <w:t>（三）我方未被列入</w:t>
      </w:r>
      <w:r>
        <w:rPr>
          <w:rFonts w:ascii="宋体" w:hAnsi="宋体"/>
          <w:color w:val="auto"/>
          <w:szCs w:val="21"/>
        </w:rPr>
        <w:t>“信用中国”（www.creditchina.gov.cn）、中国政府采购网（www.ccgp.gov.cn）列入失信被执行人、重大税收违法案件当事人名单、政府采购严重违法失信行为记录名单</w:t>
      </w:r>
      <w:r>
        <w:rPr>
          <w:rFonts w:hint="eastAsia" w:ascii="宋体" w:hAnsi="宋体"/>
          <w:color w:val="auto"/>
          <w:szCs w:val="21"/>
        </w:rPr>
        <w:t>；</w:t>
      </w:r>
    </w:p>
    <w:p>
      <w:pPr>
        <w:pStyle w:val="237"/>
        <w:ind w:firstLine="420"/>
        <w:rPr>
          <w:rFonts w:ascii="宋体" w:hAnsi="宋体"/>
          <w:color w:val="auto"/>
        </w:rPr>
      </w:pPr>
    </w:p>
    <w:p>
      <w:pPr>
        <w:rPr>
          <w:rFonts w:hint="eastAsia" w:ascii="宋体" w:hAnsi="宋体"/>
          <w:color w:val="auto"/>
          <w:szCs w:val="21"/>
        </w:rPr>
      </w:pPr>
    </w:p>
    <w:p>
      <w:pPr>
        <w:ind w:firstLine="4830" w:firstLineChars="2300"/>
        <w:rPr>
          <w:rFonts w:hint="eastAsia" w:ascii="宋体" w:hAnsi="宋体"/>
          <w:color w:val="auto"/>
          <w:szCs w:val="21"/>
        </w:rPr>
      </w:pPr>
      <w:r>
        <w:rPr>
          <w:rFonts w:hint="eastAsia" w:ascii="宋体" w:hAnsi="宋体"/>
          <w:color w:val="auto"/>
          <w:szCs w:val="21"/>
        </w:rPr>
        <w:t>投标人（盖章）：</w:t>
      </w:r>
    </w:p>
    <w:p>
      <w:pPr>
        <w:pStyle w:val="15"/>
        <w:widowControl/>
        <w:spacing w:line="360" w:lineRule="auto"/>
        <w:ind w:firstLine="4918" w:firstLineChars="2342"/>
        <w:jc w:val="left"/>
        <w:rPr>
          <w:rFonts w:hint="eastAsia" w:ascii="宋体" w:hAnsi="宋体" w:eastAsia="宋体" w:cs="Times New Roman"/>
          <w:color w:val="auto"/>
          <w:spacing w:val="0"/>
          <w:kern w:val="2"/>
          <w:sz w:val="21"/>
          <w:szCs w:val="21"/>
          <w:lang w:val="en-US" w:eastAsia="zh-CN" w:bidi="ar-SA"/>
        </w:rPr>
      </w:pPr>
      <w:r>
        <w:rPr>
          <w:rFonts w:hint="eastAsia" w:ascii="宋体" w:hAnsi="宋体" w:eastAsia="宋体" w:cs="Times New Roman"/>
          <w:color w:val="auto"/>
          <w:spacing w:val="0"/>
          <w:kern w:val="2"/>
          <w:sz w:val="21"/>
          <w:szCs w:val="21"/>
          <w:lang w:val="en-US" w:eastAsia="zh-CN" w:bidi="ar-SA"/>
        </w:rPr>
        <w:t>日    期：</w:t>
      </w:r>
    </w:p>
    <w:p>
      <w:pPr>
        <w:spacing w:line="411" w:lineRule="exact"/>
        <w:ind w:right="6"/>
        <w:jc w:val="both"/>
        <w:rPr>
          <w:rFonts w:hint="eastAsia" w:ascii="宋体" w:hAnsi="宋体" w:cs="宋体"/>
          <w:b/>
          <w:color w:val="auto"/>
          <w:szCs w:val="21"/>
        </w:rPr>
      </w:pPr>
      <w:r>
        <w:rPr>
          <w:rFonts w:hint="eastAsia" w:ascii="宋体" w:hAnsi="宋体" w:cs="宋体"/>
          <w:b/>
          <w:color w:val="auto"/>
        </w:rPr>
        <w:br w:type="page"/>
      </w:r>
      <w:r>
        <w:rPr>
          <w:rFonts w:hint="eastAsia" w:ascii="宋体" w:hAnsi="宋体" w:cs="宋体"/>
          <w:b/>
          <w:color w:val="auto"/>
          <w:lang w:val="en-US" w:eastAsia="zh-CN"/>
        </w:rPr>
        <w:t>2.</w:t>
      </w:r>
      <w:r>
        <w:rPr>
          <w:rFonts w:hint="eastAsia" w:ascii="宋体" w:hAnsi="宋体" w:cs="宋体"/>
          <w:b/>
          <w:color w:val="auto"/>
          <w:szCs w:val="21"/>
        </w:rPr>
        <w:t>中小企业声明函</w:t>
      </w:r>
    </w:p>
    <w:p>
      <w:pPr>
        <w:rPr>
          <w:rFonts w:hint="eastAsia" w:ascii="宋体" w:hAnsi="宋体" w:cs="宋体"/>
          <w:b/>
          <w:color w:val="auto"/>
          <w:szCs w:val="21"/>
        </w:rPr>
      </w:pPr>
    </w:p>
    <w:p>
      <w:pPr>
        <w:pStyle w:val="15"/>
        <w:spacing w:line="520" w:lineRule="exact"/>
        <w:jc w:val="center"/>
        <w:rPr>
          <w:rFonts w:hint="eastAsia" w:hAnsi="宋体" w:cs="宋体"/>
          <w:b/>
          <w:color w:val="auto"/>
          <w:sz w:val="21"/>
          <w:szCs w:val="21"/>
        </w:rPr>
      </w:pPr>
    </w:p>
    <w:p>
      <w:pPr>
        <w:spacing w:line="411" w:lineRule="exact"/>
        <w:ind w:right="6"/>
        <w:jc w:val="center"/>
        <w:rPr>
          <w:rFonts w:hint="eastAsia" w:ascii="宋体" w:hAnsi="宋体" w:cs="宋体"/>
          <w:b/>
          <w:color w:val="auto"/>
          <w:szCs w:val="21"/>
        </w:rPr>
      </w:pPr>
      <w:r>
        <w:rPr>
          <w:rFonts w:hint="eastAsia" w:ascii="宋体" w:hAnsi="宋体" w:cs="宋体"/>
          <w:b/>
          <w:color w:val="auto"/>
          <w:szCs w:val="21"/>
        </w:rPr>
        <w:t>中小企业声明函</w:t>
      </w:r>
    </w:p>
    <w:p>
      <w:pPr>
        <w:spacing w:line="200" w:lineRule="exact"/>
        <w:rPr>
          <w:rFonts w:hint="eastAsia" w:ascii="宋体" w:hAnsi="宋体" w:cs="宋体"/>
          <w:color w:val="auto"/>
          <w:szCs w:val="21"/>
        </w:rPr>
      </w:pPr>
    </w:p>
    <w:p>
      <w:pPr>
        <w:spacing w:line="200" w:lineRule="exact"/>
        <w:rPr>
          <w:rFonts w:hint="eastAsia" w:ascii="宋体" w:hAnsi="宋体" w:cs="宋体"/>
          <w:color w:val="auto"/>
          <w:szCs w:val="21"/>
        </w:rPr>
      </w:pPr>
    </w:p>
    <w:p>
      <w:pPr>
        <w:spacing w:line="318" w:lineRule="exact"/>
        <w:rPr>
          <w:rFonts w:hint="eastAsia" w:ascii="宋体" w:hAnsi="宋体" w:cs="宋体"/>
          <w:color w:val="auto"/>
          <w:szCs w:val="21"/>
        </w:rPr>
      </w:pPr>
    </w:p>
    <w:p>
      <w:pPr>
        <w:spacing w:line="492" w:lineRule="exact"/>
        <w:ind w:left="360" w:right="366" w:firstLine="641"/>
        <w:rPr>
          <w:rFonts w:hint="eastAsia" w:ascii="宋体" w:hAnsi="宋体" w:cs="宋体"/>
          <w:color w:val="auto"/>
          <w:szCs w:val="21"/>
        </w:rPr>
      </w:pPr>
      <w:r>
        <w:rPr>
          <w:rFonts w:hint="eastAsia" w:ascii="宋体" w:hAnsi="宋体" w:cs="宋体"/>
          <w:color w:val="auto"/>
          <w:szCs w:val="21"/>
        </w:rPr>
        <w:t>本公司（联合体）郑重声明，根据《政府采购促进中小企业发展管理办法》（财库﹝2020﹞46号）的规定，本公司（联合体）参加</w:t>
      </w:r>
      <w:r>
        <w:rPr>
          <w:rFonts w:hint="eastAsia" w:ascii="宋体" w:hAnsi="宋体" w:cs="宋体"/>
          <w:color w:val="auto"/>
          <w:szCs w:val="21"/>
          <w:u w:val="single"/>
        </w:rPr>
        <w:t>（单位名称）</w:t>
      </w:r>
      <w:r>
        <w:rPr>
          <w:rFonts w:hint="eastAsia" w:ascii="宋体" w:hAnsi="宋体" w:cs="宋体"/>
          <w:color w:val="auto"/>
          <w:szCs w:val="21"/>
        </w:rPr>
        <w:t>的</w:t>
      </w:r>
      <w:r>
        <w:rPr>
          <w:rFonts w:hint="eastAsia" w:ascii="宋体" w:hAnsi="宋体" w:cs="宋体"/>
          <w:color w:val="auto"/>
          <w:szCs w:val="21"/>
          <w:u w:val="single"/>
        </w:rPr>
        <w:t>（项目名称）</w:t>
      </w:r>
      <w:r>
        <w:rPr>
          <w:rFonts w:hint="eastAsia" w:ascii="宋体" w:hAnsi="宋体" w:cs="宋体"/>
          <w:color w:val="auto"/>
          <w:szCs w:val="21"/>
        </w:rPr>
        <w:t>采购活动，服务全部由符合政策要求的中小企业承接）。相关企业（含联合体中的中小企业、签订分包意向协议的中小企业）的具体情况如下：</w:t>
      </w:r>
    </w:p>
    <w:p>
      <w:pPr>
        <w:spacing w:line="492" w:lineRule="exact"/>
        <w:ind w:left="360" w:right="366" w:firstLine="641"/>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（标的名称）</w:t>
      </w:r>
      <w:r>
        <w:rPr>
          <w:rFonts w:hint="eastAsia" w:ascii="宋体" w:hAnsi="宋体" w:cs="宋体"/>
          <w:color w:val="auto"/>
          <w:szCs w:val="21"/>
        </w:rPr>
        <w:t>，属于</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工业</w:t>
      </w:r>
      <w:r>
        <w:rPr>
          <w:rFonts w:hint="eastAsia" w:ascii="宋体" w:hAnsi="宋体" w:cs="宋体"/>
          <w:color w:val="auto"/>
          <w:szCs w:val="21"/>
          <w:u w:val="single"/>
        </w:rPr>
        <w:t xml:space="preserve"> </w:t>
      </w:r>
      <w:r>
        <w:rPr>
          <w:rFonts w:hint="eastAsia" w:ascii="宋体" w:hAnsi="宋体" w:cs="宋体"/>
          <w:color w:val="auto"/>
          <w:szCs w:val="21"/>
        </w:rPr>
        <w:t>；承接企业为</w:t>
      </w:r>
      <w:r>
        <w:rPr>
          <w:rFonts w:hint="eastAsia" w:ascii="宋体" w:hAnsi="宋体" w:cs="宋体"/>
          <w:color w:val="auto"/>
          <w:szCs w:val="21"/>
          <w:u w:val="single"/>
        </w:rPr>
        <w:t>（企业名称）</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rPr>
        <w:t>人，营业 收入为</w:t>
      </w:r>
      <w:r>
        <w:rPr>
          <w:rFonts w:hint="eastAsia" w:ascii="宋体" w:hAnsi="宋体" w:cs="宋体"/>
          <w:color w:val="auto"/>
          <w:szCs w:val="21"/>
          <w:u w:val="single"/>
        </w:rPr>
        <w:t xml:space="preserve">  </w:t>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rPr>
        <w:t xml:space="preserve">万元，属于 </w:t>
      </w:r>
      <w:r>
        <w:rPr>
          <w:rFonts w:hint="eastAsia" w:ascii="宋体" w:hAnsi="宋体" w:cs="宋体"/>
          <w:color w:val="auto"/>
          <w:szCs w:val="21"/>
          <w:u w:val="single"/>
        </w:rPr>
        <w:t>（中型企业、小型企业、微型企业）</w:t>
      </w:r>
      <w:r>
        <w:rPr>
          <w:rFonts w:hint="eastAsia" w:ascii="宋体" w:hAnsi="宋体" w:cs="宋体"/>
          <w:color w:val="auto"/>
          <w:szCs w:val="21"/>
        </w:rPr>
        <w:t xml:space="preserve">； </w:t>
      </w:r>
    </w:p>
    <w:p>
      <w:pPr>
        <w:spacing w:line="492" w:lineRule="exact"/>
        <w:ind w:left="360" w:right="366" w:firstLine="641"/>
        <w:rPr>
          <w:rFonts w:hint="eastAsia" w:ascii="宋体" w:hAnsi="宋体" w:cs="宋体"/>
          <w:color w:val="auto"/>
          <w:szCs w:val="21"/>
        </w:rPr>
      </w:pPr>
      <w:r>
        <w:rPr>
          <w:rFonts w:hint="eastAsia" w:ascii="宋体" w:hAnsi="宋体" w:cs="宋体"/>
          <w:color w:val="auto"/>
          <w:szCs w:val="21"/>
        </w:rPr>
        <w:t>……</w:t>
      </w:r>
    </w:p>
    <w:p>
      <w:pPr>
        <w:spacing w:line="455" w:lineRule="exact"/>
        <w:ind w:left="360" w:right="366" w:firstLine="646"/>
        <w:rPr>
          <w:rFonts w:hint="eastAsia" w:ascii="宋体" w:hAnsi="宋体" w:cs="宋体"/>
          <w:color w:val="auto"/>
          <w:szCs w:val="21"/>
        </w:rPr>
      </w:pPr>
      <w:r>
        <w:rPr>
          <w:rFonts w:hint="eastAsia" w:ascii="宋体" w:hAnsi="宋体" w:cs="宋体"/>
          <w:color w:val="auto"/>
          <w:szCs w:val="21"/>
        </w:rPr>
        <w:t>以上企业，不属于大企业的分支机构，不存在控股股东为大企业的情形，也不存在与大企业的负责人为同一人的情形。</w:t>
      </w:r>
    </w:p>
    <w:p>
      <w:pPr>
        <w:spacing w:line="196" w:lineRule="exact"/>
        <w:rPr>
          <w:rFonts w:hint="eastAsia" w:ascii="宋体" w:hAnsi="宋体" w:cs="宋体"/>
          <w:color w:val="auto"/>
          <w:szCs w:val="21"/>
        </w:rPr>
      </w:pPr>
    </w:p>
    <w:p>
      <w:pPr>
        <w:spacing w:line="423" w:lineRule="exact"/>
        <w:ind w:left="360" w:right="366" w:firstLine="641"/>
        <w:rPr>
          <w:rFonts w:hint="eastAsia" w:ascii="宋体" w:hAnsi="宋体" w:cs="宋体"/>
          <w:color w:val="auto"/>
          <w:szCs w:val="21"/>
        </w:rPr>
      </w:pPr>
      <w:r>
        <w:rPr>
          <w:rFonts w:hint="eastAsia" w:ascii="宋体" w:hAnsi="宋体" w:cs="宋体"/>
          <w:color w:val="auto"/>
          <w:szCs w:val="21"/>
        </w:rPr>
        <w:t>本企业对上述声明内容的真实性负责。如有虚假，将依法承担相应责任。</w:t>
      </w:r>
    </w:p>
    <w:p>
      <w:pPr>
        <w:spacing w:line="188" w:lineRule="exact"/>
        <w:rPr>
          <w:rFonts w:hint="eastAsia" w:ascii="宋体" w:hAnsi="宋体" w:cs="宋体"/>
          <w:color w:val="auto"/>
          <w:szCs w:val="21"/>
        </w:rPr>
      </w:pPr>
    </w:p>
    <w:p>
      <w:pPr>
        <w:spacing w:line="366" w:lineRule="exact"/>
        <w:ind w:left="4200" w:firstLine="210" w:firstLineChars="100"/>
        <w:rPr>
          <w:rFonts w:hint="eastAsia" w:ascii="宋体" w:hAnsi="宋体" w:cs="宋体"/>
          <w:color w:val="auto"/>
          <w:szCs w:val="21"/>
        </w:rPr>
      </w:pPr>
    </w:p>
    <w:p>
      <w:pPr>
        <w:spacing w:line="366" w:lineRule="exact"/>
        <w:ind w:left="4200" w:firstLine="210" w:firstLineChars="100"/>
        <w:rPr>
          <w:rFonts w:hint="eastAsia" w:ascii="宋体" w:hAnsi="宋体" w:cs="宋体"/>
          <w:color w:val="auto"/>
          <w:szCs w:val="21"/>
        </w:rPr>
      </w:pPr>
    </w:p>
    <w:p>
      <w:pPr>
        <w:spacing w:line="366" w:lineRule="exact"/>
        <w:ind w:left="4200" w:firstLine="210" w:firstLineChars="100"/>
        <w:rPr>
          <w:rFonts w:hint="eastAsia" w:ascii="宋体" w:hAnsi="宋体" w:cs="宋体"/>
          <w:color w:val="auto"/>
          <w:szCs w:val="21"/>
        </w:rPr>
      </w:pPr>
      <w:r>
        <w:rPr>
          <w:rFonts w:hint="eastAsia" w:ascii="宋体" w:hAnsi="宋体" w:cs="宋体"/>
          <w:color w:val="auto"/>
          <w:szCs w:val="21"/>
        </w:rPr>
        <w:t>企业名称（盖章）：</w:t>
      </w:r>
    </w:p>
    <w:p>
      <w:pPr>
        <w:spacing w:line="175" w:lineRule="exact"/>
        <w:rPr>
          <w:rFonts w:hint="eastAsia" w:ascii="宋体" w:hAnsi="宋体" w:cs="宋体"/>
          <w:color w:val="auto"/>
          <w:szCs w:val="21"/>
        </w:rPr>
      </w:pPr>
    </w:p>
    <w:p>
      <w:pPr>
        <w:spacing w:line="588" w:lineRule="exact"/>
        <w:ind w:firstLine="4410" w:firstLineChars="2100"/>
        <w:rPr>
          <w:rFonts w:hint="eastAsia" w:ascii="宋体" w:hAnsi="宋体" w:cs="宋体"/>
          <w:color w:val="auto"/>
          <w:szCs w:val="21"/>
        </w:rPr>
      </w:pPr>
      <w:r>
        <w:rPr>
          <w:rFonts w:hint="eastAsia" w:ascii="宋体" w:hAnsi="宋体" w:cs="宋体"/>
          <w:color w:val="auto"/>
          <w:szCs w:val="21"/>
        </w:rPr>
        <w:t>日  期：</w:t>
      </w:r>
    </w:p>
    <w:p>
      <w:pPr>
        <w:pStyle w:val="73"/>
        <w:rPr>
          <w:rFonts w:hint="eastAsia" w:ascii="宋体" w:hAnsi="宋体" w:cs="宋体"/>
          <w:color w:val="auto"/>
          <w:szCs w:val="21"/>
        </w:rPr>
      </w:pPr>
    </w:p>
    <w:p>
      <w:pPr>
        <w:pStyle w:val="73"/>
        <w:rPr>
          <w:rFonts w:hint="eastAsia" w:ascii="宋体" w:hAnsi="宋体" w:cs="宋体"/>
          <w:color w:val="auto"/>
          <w:szCs w:val="21"/>
        </w:rPr>
      </w:pPr>
    </w:p>
    <w:p>
      <w:pPr>
        <w:pStyle w:val="73"/>
        <w:rPr>
          <w:rFonts w:hint="eastAsia" w:ascii="宋体" w:hAnsi="宋体" w:cs="宋体"/>
          <w:color w:val="auto"/>
          <w:szCs w:val="21"/>
        </w:rPr>
      </w:pPr>
    </w:p>
    <w:p>
      <w:pPr>
        <w:pStyle w:val="73"/>
        <w:rPr>
          <w:rFonts w:hint="eastAsia" w:ascii="宋体" w:hAnsi="宋体" w:cs="宋体"/>
          <w:color w:val="auto"/>
          <w:szCs w:val="21"/>
        </w:rPr>
      </w:pPr>
    </w:p>
    <w:p>
      <w:pPr>
        <w:pStyle w:val="73"/>
        <w:rPr>
          <w:rFonts w:hint="eastAsia" w:ascii="宋体" w:hAnsi="宋体" w:cs="宋体"/>
          <w:color w:val="auto"/>
          <w:szCs w:val="21"/>
        </w:rPr>
      </w:pPr>
    </w:p>
    <w:p>
      <w:pPr>
        <w:pStyle w:val="73"/>
        <w:rPr>
          <w:rFonts w:hint="eastAsia" w:ascii="宋体" w:hAnsi="宋体" w:cs="宋体"/>
          <w:color w:val="auto"/>
          <w:szCs w:val="21"/>
        </w:rPr>
      </w:pPr>
    </w:p>
    <w:p>
      <w:pPr>
        <w:snapToGrid w:val="0"/>
        <w:spacing w:line="360" w:lineRule="auto"/>
        <w:jc w:val="left"/>
        <w:rPr>
          <w:rFonts w:hint="eastAsia" w:ascii="宋体" w:hAnsi="宋体" w:cs="宋体"/>
          <w:color w:val="auto"/>
          <w:spacing w:val="6"/>
          <w:szCs w:val="21"/>
        </w:rPr>
      </w:pPr>
      <w:r>
        <w:rPr>
          <w:rFonts w:hint="eastAsia" w:ascii="宋体" w:hAnsi="宋体" w:cs="宋体"/>
          <w:color w:val="auto"/>
          <w:spacing w:val="6"/>
          <w:szCs w:val="21"/>
        </w:rPr>
        <w:t xml:space="preserve"> 说明：</w:t>
      </w:r>
    </w:p>
    <w:p>
      <w:pPr>
        <w:snapToGrid w:val="0"/>
        <w:spacing w:line="360" w:lineRule="auto"/>
        <w:jc w:val="left"/>
        <w:rPr>
          <w:rFonts w:hint="eastAsia" w:ascii="宋体" w:hAnsi="宋体" w:cs="宋体"/>
          <w:color w:val="auto"/>
          <w:spacing w:val="6"/>
          <w:szCs w:val="21"/>
        </w:rPr>
      </w:pPr>
      <w:r>
        <w:rPr>
          <w:rFonts w:hint="eastAsia" w:ascii="宋体" w:hAnsi="宋体" w:cs="宋体"/>
          <w:color w:val="auto"/>
          <w:spacing w:val="6"/>
          <w:szCs w:val="21"/>
        </w:rPr>
        <w:t>1从业人员、营业收入、资产总额填报上一年度数据，无上一年度数据的新成立企业可不填报。</w:t>
      </w:r>
    </w:p>
    <w:p>
      <w:pPr>
        <w:snapToGrid w:val="0"/>
        <w:spacing w:line="360" w:lineRule="auto"/>
        <w:jc w:val="left"/>
        <w:rPr>
          <w:rFonts w:hint="eastAsia" w:ascii="宋体" w:hAnsi="宋体" w:cs="宋体"/>
          <w:color w:val="auto"/>
          <w:spacing w:val="6"/>
          <w:szCs w:val="21"/>
        </w:rPr>
      </w:pPr>
      <w:r>
        <w:rPr>
          <w:rFonts w:hint="eastAsia" w:ascii="宋体" w:hAnsi="宋体" w:cs="宋体"/>
          <w:color w:val="auto"/>
          <w:spacing w:val="6"/>
          <w:szCs w:val="21"/>
        </w:rPr>
        <w:t>2、供应商根据采购文件规定的采购标的对应的中小企业划分标准所属行业，对照中小微行业划型标准规定（根据工信部联企业〔2011〕300号制定）如实填写。</w:t>
      </w:r>
    </w:p>
    <w:p>
      <w:pPr>
        <w:snapToGrid w:val="0"/>
        <w:spacing w:line="360" w:lineRule="auto"/>
        <w:jc w:val="left"/>
        <w:rPr>
          <w:rFonts w:hint="eastAsia" w:ascii="宋体" w:hAnsi="宋体" w:cs="宋体"/>
          <w:color w:val="auto"/>
          <w:spacing w:val="6"/>
          <w:szCs w:val="21"/>
        </w:rPr>
        <w:sectPr>
          <w:headerReference r:id="rId9" w:type="default"/>
          <w:footerReference r:id="rId10" w:type="default"/>
          <w:pgSz w:w="11907" w:h="16840"/>
          <w:pgMar w:top="1276" w:right="1474" w:bottom="1242" w:left="1474" w:header="720" w:footer="720" w:gutter="0"/>
          <w:pgBorders>
            <w:top w:val="none" w:sz="0" w:space="0"/>
            <w:left w:val="none" w:sz="0" w:space="0"/>
            <w:bottom w:val="none" w:sz="0" w:space="0"/>
            <w:right w:val="none" w:sz="0" w:space="0"/>
          </w:pgBorders>
          <w:cols w:space="720" w:num="1"/>
          <w:docGrid w:linePitch="285" w:charSpace="0"/>
        </w:sectPr>
      </w:pPr>
      <w:r>
        <w:rPr>
          <w:rFonts w:hint="eastAsia" w:ascii="宋体" w:hAnsi="宋体" w:cs="宋体"/>
          <w:color w:val="auto"/>
          <w:spacing w:val="6"/>
          <w:szCs w:val="21"/>
        </w:rPr>
        <w:t>3、投标人提供的声明函与事实不符的，依据《政府采购法》第七十七条第一款的规定追究法律责任,如若中标本声明函随中标结果予以公示。</w:t>
      </w:r>
    </w:p>
    <w:p>
      <w:pPr>
        <w:jc w:val="center"/>
        <w:rPr>
          <w:rFonts w:hint="eastAsia" w:ascii="宋体" w:hAnsi="宋体" w:cs="宋体"/>
          <w:b/>
          <w:color w:val="auto"/>
          <w:sz w:val="30"/>
          <w:szCs w:val="30"/>
        </w:rPr>
      </w:pPr>
      <w:r>
        <w:rPr>
          <w:rFonts w:hint="eastAsia" w:ascii="宋体" w:hAnsi="宋体" w:cs="宋体"/>
          <w:b/>
          <w:color w:val="auto"/>
          <w:sz w:val="30"/>
          <w:szCs w:val="30"/>
        </w:rPr>
        <w:t>中小企业划型标准规定（工信部联企业[2011]300号）</w:t>
      </w:r>
    </w:p>
    <w:p>
      <w:pPr>
        <w:pStyle w:val="190"/>
        <w:snapToGrid w:val="0"/>
        <w:spacing w:before="120" w:after="120" w:line="440" w:lineRule="exact"/>
        <w:jc w:val="center"/>
        <w:rPr>
          <w:rFonts w:hint="eastAsia" w:hAnsi="宋体" w:cs="宋体"/>
          <w:b/>
          <w:color w:val="auto"/>
          <w:sz w:val="28"/>
          <w:szCs w:val="28"/>
          <w:shd w:val="clear" w:color="FFFFFF" w:fill="D9D9D9"/>
        </w:rPr>
      </w:pPr>
      <w:r>
        <w:rPr>
          <w:rFonts w:hint="eastAsia" w:hAnsi="宋体" w:cs="宋体"/>
          <w:color w:val="auto"/>
          <w:shd w:val="clear" w:color="FFFFFF" w:fill="D9D9D9"/>
        </w:rPr>
        <w:drawing>
          <wp:anchor distT="0" distB="0" distL="114300" distR="114300" simplePos="0" relativeHeight="251659264" behindDoc="1" locked="0" layoutInCell="1" allowOverlap="1">
            <wp:simplePos x="0" y="0"/>
            <wp:positionH relativeFrom="column">
              <wp:posOffset>265430</wp:posOffset>
            </wp:positionH>
            <wp:positionV relativeFrom="page">
              <wp:posOffset>1236980</wp:posOffset>
            </wp:positionV>
            <wp:extent cx="8989060" cy="5436870"/>
            <wp:effectExtent l="0" t="0" r="2540" b="11430"/>
            <wp:wrapNone/>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pic:cNvPicPr>
                      <a:picLocks noChangeAspect="1"/>
                    </pic:cNvPicPr>
                  </pic:nvPicPr>
                  <pic:blipFill>
                    <a:blip r:embed="rId16"/>
                    <a:stretch>
                      <a:fillRect/>
                    </a:stretch>
                  </pic:blipFill>
                  <pic:spPr>
                    <a:xfrm>
                      <a:off x="0" y="0"/>
                      <a:ext cx="8989060" cy="5436870"/>
                    </a:xfrm>
                    <a:prstGeom prst="rect">
                      <a:avLst/>
                    </a:prstGeom>
                    <a:noFill/>
                    <a:ln>
                      <a:noFill/>
                    </a:ln>
                  </pic:spPr>
                </pic:pic>
              </a:graphicData>
            </a:graphic>
          </wp:anchor>
        </w:drawing>
      </w:r>
    </w:p>
    <w:p>
      <w:pPr>
        <w:pStyle w:val="73"/>
        <w:rPr>
          <w:rFonts w:hint="eastAsia" w:ascii="宋体" w:hAnsi="宋体" w:cs="宋体"/>
          <w:color w:val="auto"/>
        </w:rPr>
        <w:sectPr>
          <w:pgSz w:w="16840" w:h="11907" w:orient="landscape"/>
          <w:pgMar w:top="1474" w:right="1276" w:bottom="1474" w:left="1242" w:header="720" w:footer="720" w:gutter="0"/>
          <w:pgBorders>
            <w:top w:val="none" w:sz="0" w:space="0"/>
            <w:left w:val="none" w:sz="0" w:space="0"/>
            <w:bottom w:val="none" w:sz="0" w:space="0"/>
            <w:right w:val="none" w:sz="0" w:space="0"/>
          </w:pgBorders>
          <w:cols w:space="720" w:num="1"/>
          <w:docGrid w:linePitch="285" w:charSpace="0"/>
        </w:sectPr>
      </w:pPr>
    </w:p>
    <w:p>
      <w:pPr>
        <w:numPr>
          <w:ilvl w:val="0"/>
          <w:numId w:val="0"/>
        </w:numPr>
        <w:spacing w:line="500" w:lineRule="exact"/>
        <w:jc w:val="center"/>
        <w:rPr>
          <w:rFonts w:hint="eastAsia" w:ascii="宋体" w:hAnsi="宋体" w:cs="宋体"/>
          <w:b/>
          <w:color w:val="auto"/>
          <w:kern w:val="0"/>
          <w:sz w:val="32"/>
          <w:szCs w:val="32"/>
        </w:rPr>
      </w:pPr>
      <w:bookmarkStart w:id="326" w:name="_Toc8697"/>
      <w:bookmarkStart w:id="327" w:name="_Toc14066"/>
      <w:bookmarkStart w:id="328" w:name="_Toc5093"/>
      <w:r>
        <w:rPr>
          <w:rFonts w:hint="eastAsia" w:ascii="宋体" w:hAnsi="宋体" w:cs="宋体"/>
          <w:color w:val="auto"/>
          <w:sz w:val="32"/>
          <w:szCs w:val="32"/>
          <w:lang w:val="en-US" w:eastAsia="zh-CN"/>
        </w:rPr>
        <w:t>二、</w:t>
      </w:r>
      <w:r>
        <w:rPr>
          <w:rFonts w:hint="eastAsia" w:ascii="宋体" w:hAnsi="宋体" w:cs="宋体"/>
          <w:b/>
          <w:color w:val="auto"/>
          <w:kern w:val="0"/>
          <w:sz w:val="32"/>
          <w:szCs w:val="32"/>
        </w:rPr>
        <w:t>商务技术文件</w:t>
      </w:r>
      <w:bookmarkEnd w:id="326"/>
      <w:bookmarkEnd w:id="327"/>
      <w:bookmarkEnd w:id="328"/>
    </w:p>
    <w:p>
      <w:pPr>
        <w:numPr>
          <w:ilvl w:val="0"/>
          <w:numId w:val="0"/>
        </w:numPr>
        <w:spacing w:line="500" w:lineRule="exact"/>
        <w:jc w:val="both"/>
        <w:rPr>
          <w:rFonts w:hint="eastAsia" w:ascii="宋体" w:hAnsi="宋体" w:cs="宋体"/>
          <w:b/>
          <w:bCs/>
          <w:color w:val="auto"/>
          <w:szCs w:val="21"/>
        </w:rPr>
      </w:pPr>
      <w:r>
        <w:rPr>
          <w:rFonts w:hint="eastAsia" w:ascii="宋体" w:hAnsi="宋体" w:cs="宋体"/>
          <w:b/>
          <w:bCs/>
          <w:color w:val="auto"/>
          <w:szCs w:val="21"/>
        </w:rPr>
        <w:t>1</w:t>
      </w:r>
      <w:r>
        <w:rPr>
          <w:rFonts w:hint="eastAsia" w:ascii="宋体" w:hAnsi="宋体" w:cs="宋体"/>
          <w:color w:val="auto"/>
          <w:szCs w:val="21"/>
        </w:rPr>
        <w:t>.</w:t>
      </w:r>
      <w:r>
        <w:rPr>
          <w:rFonts w:hint="eastAsia" w:ascii="宋体" w:hAnsi="宋体" w:cs="宋体"/>
          <w:b/>
          <w:bCs/>
          <w:color w:val="auto"/>
          <w:szCs w:val="21"/>
        </w:rPr>
        <w:t>评分索引表</w:t>
      </w:r>
    </w:p>
    <w:p>
      <w:pPr>
        <w:pStyle w:val="72"/>
        <w:spacing w:before="120" w:after="120"/>
        <w:jc w:val="center"/>
        <w:rPr>
          <w:rFonts w:hint="eastAsia"/>
          <w:color w:val="auto"/>
          <w:sz w:val="30"/>
          <w:szCs w:val="30"/>
          <w:lang w:val="en-US"/>
        </w:rPr>
      </w:pPr>
      <w:r>
        <w:rPr>
          <w:rFonts w:hint="eastAsia" w:ascii="宋体" w:hAnsi="宋体" w:cs="宋体"/>
          <w:b/>
          <w:bCs/>
          <w:color w:val="auto"/>
          <w:sz w:val="30"/>
          <w:szCs w:val="30"/>
          <w:lang w:val="en-US"/>
        </w:rPr>
        <w:t>评分索引表</w:t>
      </w:r>
    </w:p>
    <w:tbl>
      <w:tblPr>
        <w:tblStyle w:val="39"/>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319"/>
        <w:gridCol w:w="3542"/>
        <w:gridCol w:w="146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32" w:type="dxa"/>
            <w:noWrap w:val="0"/>
            <w:vAlign w:val="center"/>
          </w:tcPr>
          <w:p>
            <w:pPr>
              <w:pStyle w:val="37"/>
              <w:ind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序号</w:t>
            </w:r>
          </w:p>
        </w:tc>
        <w:tc>
          <w:tcPr>
            <w:tcW w:w="1319" w:type="dxa"/>
            <w:noWrap w:val="0"/>
            <w:vAlign w:val="center"/>
          </w:tcPr>
          <w:p>
            <w:pPr>
              <w:pStyle w:val="37"/>
              <w:ind w:firstLine="211"/>
              <w:jc w:val="center"/>
              <w:rPr>
                <w:rFonts w:hint="eastAsia" w:ascii="宋体" w:hAnsi="宋体" w:cs="宋体"/>
                <w:b/>
                <w:bCs/>
                <w:color w:val="auto"/>
                <w:sz w:val="21"/>
                <w:szCs w:val="21"/>
              </w:rPr>
            </w:pPr>
            <w:r>
              <w:rPr>
                <w:rFonts w:hint="eastAsia" w:ascii="宋体" w:hAnsi="宋体" w:cs="宋体"/>
                <w:b/>
                <w:bCs/>
                <w:color w:val="auto"/>
                <w:sz w:val="21"/>
                <w:szCs w:val="21"/>
              </w:rPr>
              <w:t>评分项</w:t>
            </w:r>
          </w:p>
        </w:tc>
        <w:tc>
          <w:tcPr>
            <w:tcW w:w="3542" w:type="dxa"/>
            <w:noWrap w:val="0"/>
            <w:vAlign w:val="center"/>
          </w:tcPr>
          <w:p>
            <w:pPr>
              <w:pStyle w:val="37"/>
              <w:ind w:firstLine="211"/>
              <w:jc w:val="center"/>
              <w:rPr>
                <w:rFonts w:hint="eastAsia" w:ascii="宋体" w:hAnsi="宋体" w:cs="宋体"/>
                <w:b/>
                <w:bCs/>
                <w:color w:val="auto"/>
                <w:sz w:val="21"/>
                <w:szCs w:val="21"/>
              </w:rPr>
            </w:pPr>
            <w:r>
              <w:rPr>
                <w:rFonts w:hint="eastAsia" w:ascii="宋体" w:hAnsi="宋体" w:cs="宋体"/>
                <w:b/>
                <w:bCs/>
                <w:color w:val="auto"/>
                <w:sz w:val="21"/>
                <w:szCs w:val="21"/>
              </w:rPr>
              <w:t>评分标准</w:t>
            </w:r>
          </w:p>
        </w:tc>
        <w:tc>
          <w:tcPr>
            <w:tcW w:w="1463" w:type="dxa"/>
            <w:noWrap w:val="0"/>
            <w:vAlign w:val="center"/>
          </w:tcPr>
          <w:p>
            <w:pPr>
              <w:pStyle w:val="37"/>
              <w:ind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分值</w:t>
            </w:r>
          </w:p>
        </w:tc>
        <w:tc>
          <w:tcPr>
            <w:tcW w:w="1352" w:type="dxa"/>
            <w:noWrap w:val="0"/>
            <w:vAlign w:val="center"/>
          </w:tcPr>
          <w:p>
            <w:pPr>
              <w:pStyle w:val="37"/>
              <w:ind w:firstLine="0" w:firstLineChars="0"/>
              <w:jc w:val="center"/>
              <w:rPr>
                <w:rFonts w:hint="eastAsia" w:ascii="宋体" w:hAnsi="宋体" w:cs="宋体"/>
                <w:b/>
                <w:bCs/>
                <w:color w:val="auto"/>
                <w:sz w:val="21"/>
                <w:szCs w:val="21"/>
              </w:rPr>
            </w:pPr>
            <w:r>
              <w:rPr>
                <w:rFonts w:hint="eastAsia" w:ascii="宋体" w:hAnsi="宋体" w:cs="宋体"/>
                <w:b/>
                <w:bCs/>
                <w:color w:val="auto"/>
                <w:sz w:val="21"/>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1</w:t>
            </w:r>
          </w:p>
        </w:tc>
        <w:tc>
          <w:tcPr>
            <w:tcW w:w="1319" w:type="dxa"/>
            <w:noWrap w:val="0"/>
            <w:vAlign w:val="center"/>
          </w:tcPr>
          <w:p>
            <w:pPr>
              <w:pStyle w:val="37"/>
              <w:ind w:firstLine="21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2</w:t>
            </w:r>
          </w:p>
        </w:tc>
        <w:tc>
          <w:tcPr>
            <w:tcW w:w="1319" w:type="dxa"/>
            <w:noWrap w:val="0"/>
            <w:vAlign w:val="center"/>
          </w:tcPr>
          <w:p>
            <w:pPr>
              <w:pStyle w:val="37"/>
              <w:ind w:left="210" w:hanging="210" w:hangingChars="10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3</w:t>
            </w:r>
          </w:p>
        </w:tc>
        <w:tc>
          <w:tcPr>
            <w:tcW w:w="1319" w:type="dxa"/>
            <w:noWrap w:val="0"/>
            <w:vAlign w:val="center"/>
          </w:tcPr>
          <w:p>
            <w:pPr>
              <w:pStyle w:val="37"/>
              <w:ind w:firstLine="0" w:firstLineChars="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4</w:t>
            </w:r>
          </w:p>
        </w:tc>
        <w:tc>
          <w:tcPr>
            <w:tcW w:w="1319" w:type="dxa"/>
            <w:noWrap w:val="0"/>
            <w:vAlign w:val="center"/>
          </w:tcPr>
          <w:p>
            <w:pPr>
              <w:pStyle w:val="37"/>
              <w:ind w:left="210" w:hanging="210" w:hangingChars="10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5</w:t>
            </w:r>
          </w:p>
        </w:tc>
        <w:tc>
          <w:tcPr>
            <w:tcW w:w="1319" w:type="dxa"/>
            <w:noWrap w:val="0"/>
            <w:vAlign w:val="center"/>
          </w:tcPr>
          <w:p>
            <w:pPr>
              <w:pStyle w:val="37"/>
              <w:ind w:left="210" w:hanging="210" w:hangingChars="10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6</w:t>
            </w:r>
          </w:p>
        </w:tc>
        <w:tc>
          <w:tcPr>
            <w:tcW w:w="1319" w:type="dxa"/>
            <w:noWrap w:val="0"/>
            <w:vAlign w:val="center"/>
          </w:tcPr>
          <w:p>
            <w:pPr>
              <w:pStyle w:val="37"/>
              <w:ind w:left="210" w:hanging="210" w:hangingChars="10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7</w:t>
            </w:r>
          </w:p>
        </w:tc>
        <w:tc>
          <w:tcPr>
            <w:tcW w:w="1319" w:type="dxa"/>
            <w:noWrap w:val="0"/>
            <w:vAlign w:val="center"/>
          </w:tcPr>
          <w:p>
            <w:pPr>
              <w:pStyle w:val="37"/>
              <w:ind w:left="210" w:hanging="210" w:hangingChars="10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8</w:t>
            </w:r>
          </w:p>
        </w:tc>
        <w:tc>
          <w:tcPr>
            <w:tcW w:w="1319" w:type="dxa"/>
            <w:noWrap w:val="0"/>
            <w:vAlign w:val="center"/>
          </w:tcPr>
          <w:p>
            <w:pPr>
              <w:pStyle w:val="37"/>
              <w:ind w:left="420" w:hanging="420" w:hangingChars="20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2" w:type="dxa"/>
            <w:noWrap w:val="0"/>
            <w:vAlign w:val="center"/>
          </w:tcPr>
          <w:p>
            <w:pPr>
              <w:pStyle w:val="37"/>
              <w:ind w:firstLine="210"/>
              <w:rPr>
                <w:rFonts w:hint="eastAsia" w:ascii="宋体" w:hAnsi="宋体" w:cs="宋体"/>
                <w:color w:val="auto"/>
                <w:sz w:val="21"/>
                <w:szCs w:val="21"/>
              </w:rPr>
            </w:pPr>
            <w:r>
              <w:rPr>
                <w:rFonts w:hint="eastAsia" w:ascii="宋体" w:hAnsi="宋体" w:cs="宋体"/>
                <w:color w:val="auto"/>
                <w:sz w:val="21"/>
                <w:szCs w:val="21"/>
              </w:rPr>
              <w:t>9</w:t>
            </w:r>
          </w:p>
        </w:tc>
        <w:tc>
          <w:tcPr>
            <w:tcW w:w="1319" w:type="dxa"/>
            <w:noWrap w:val="0"/>
            <w:vAlign w:val="center"/>
          </w:tcPr>
          <w:p>
            <w:pPr>
              <w:pStyle w:val="37"/>
              <w:ind w:firstLine="0" w:firstLineChars="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2" w:type="dxa"/>
            <w:noWrap w:val="0"/>
            <w:vAlign w:val="center"/>
          </w:tcPr>
          <w:p>
            <w:pPr>
              <w:pStyle w:val="37"/>
              <w:ind w:firstLine="210"/>
              <w:jc w:val="left"/>
              <w:rPr>
                <w:rFonts w:hint="eastAsia" w:ascii="宋体" w:hAnsi="宋体" w:cs="宋体"/>
                <w:color w:val="auto"/>
                <w:sz w:val="21"/>
                <w:szCs w:val="21"/>
              </w:rPr>
            </w:pPr>
            <w:r>
              <w:rPr>
                <w:rFonts w:hint="eastAsia" w:ascii="宋体" w:hAnsi="宋体" w:cs="宋体"/>
                <w:color w:val="auto"/>
                <w:sz w:val="21"/>
                <w:szCs w:val="21"/>
              </w:rPr>
              <w:t>10</w:t>
            </w:r>
          </w:p>
        </w:tc>
        <w:tc>
          <w:tcPr>
            <w:tcW w:w="1319" w:type="dxa"/>
            <w:noWrap w:val="0"/>
            <w:vAlign w:val="center"/>
          </w:tcPr>
          <w:p>
            <w:pPr>
              <w:pStyle w:val="37"/>
              <w:ind w:firstLine="0" w:firstLineChars="0"/>
              <w:rPr>
                <w:rFonts w:hint="eastAsia" w:ascii="宋体" w:hAnsi="宋体" w:cs="宋体"/>
                <w:color w:val="auto"/>
                <w:sz w:val="21"/>
                <w:szCs w:val="21"/>
              </w:rPr>
            </w:pPr>
          </w:p>
        </w:tc>
        <w:tc>
          <w:tcPr>
            <w:tcW w:w="3542" w:type="dxa"/>
            <w:noWrap w:val="0"/>
            <w:vAlign w:val="center"/>
          </w:tcPr>
          <w:p>
            <w:pPr>
              <w:rPr>
                <w:rFonts w:hint="eastAsia" w:ascii="宋体" w:hAnsi="宋体" w:cs="宋体"/>
                <w:color w:val="auto"/>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2" w:type="dxa"/>
            <w:noWrap w:val="0"/>
            <w:vAlign w:val="center"/>
          </w:tcPr>
          <w:p>
            <w:pPr>
              <w:pStyle w:val="37"/>
              <w:ind w:firstLine="210"/>
              <w:jc w:val="left"/>
              <w:rPr>
                <w:rFonts w:hint="eastAsia" w:ascii="宋体" w:hAnsi="宋体" w:cs="宋体"/>
                <w:color w:val="auto"/>
                <w:sz w:val="21"/>
                <w:szCs w:val="21"/>
              </w:rPr>
            </w:pPr>
            <w:r>
              <w:rPr>
                <w:rFonts w:hint="eastAsia" w:ascii="宋体" w:hAnsi="宋体" w:cs="宋体"/>
                <w:color w:val="auto"/>
                <w:sz w:val="21"/>
                <w:szCs w:val="21"/>
              </w:rPr>
              <w:t>11</w:t>
            </w:r>
          </w:p>
        </w:tc>
        <w:tc>
          <w:tcPr>
            <w:tcW w:w="1319" w:type="dxa"/>
            <w:noWrap w:val="0"/>
            <w:vAlign w:val="center"/>
          </w:tcPr>
          <w:p>
            <w:pPr>
              <w:pStyle w:val="37"/>
              <w:ind w:firstLine="0" w:firstLineChars="0"/>
              <w:rPr>
                <w:rFonts w:hint="eastAsia" w:ascii="宋体" w:hAnsi="宋体" w:cs="宋体"/>
                <w:color w:val="auto"/>
                <w:sz w:val="21"/>
                <w:szCs w:val="21"/>
              </w:rPr>
            </w:pPr>
          </w:p>
        </w:tc>
        <w:tc>
          <w:tcPr>
            <w:tcW w:w="3542" w:type="dxa"/>
            <w:noWrap w:val="0"/>
            <w:vAlign w:val="center"/>
          </w:tcPr>
          <w:p>
            <w:pPr>
              <w:rPr>
                <w:rFonts w:hint="eastAsia" w:ascii="宋体" w:hAnsi="宋体" w:cs="宋体"/>
                <w:color w:val="auto"/>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32" w:type="dxa"/>
            <w:noWrap w:val="0"/>
            <w:vAlign w:val="center"/>
          </w:tcPr>
          <w:p>
            <w:pPr>
              <w:pStyle w:val="37"/>
              <w:ind w:firstLine="210"/>
              <w:jc w:val="left"/>
              <w:rPr>
                <w:rFonts w:hint="eastAsia" w:ascii="宋体" w:hAnsi="宋体" w:cs="宋体"/>
                <w:color w:val="auto"/>
                <w:sz w:val="21"/>
                <w:szCs w:val="21"/>
              </w:rPr>
            </w:pPr>
            <w:r>
              <w:rPr>
                <w:rFonts w:hint="eastAsia" w:ascii="宋体" w:hAnsi="宋体" w:cs="宋体"/>
                <w:color w:val="auto"/>
                <w:sz w:val="21"/>
                <w:szCs w:val="21"/>
              </w:rPr>
              <w:t>12</w:t>
            </w:r>
          </w:p>
        </w:tc>
        <w:tc>
          <w:tcPr>
            <w:tcW w:w="1319" w:type="dxa"/>
            <w:noWrap w:val="0"/>
            <w:vAlign w:val="center"/>
          </w:tcPr>
          <w:p>
            <w:pPr>
              <w:pStyle w:val="37"/>
              <w:ind w:firstLine="0" w:firstLineChars="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32" w:type="dxa"/>
            <w:noWrap w:val="0"/>
            <w:vAlign w:val="center"/>
          </w:tcPr>
          <w:p>
            <w:pPr>
              <w:pStyle w:val="37"/>
              <w:ind w:firstLine="210"/>
              <w:jc w:val="left"/>
              <w:rPr>
                <w:rFonts w:hint="eastAsia" w:ascii="宋体" w:hAnsi="宋体" w:cs="宋体"/>
                <w:color w:val="auto"/>
                <w:sz w:val="21"/>
                <w:szCs w:val="21"/>
              </w:rPr>
            </w:pPr>
            <w:r>
              <w:rPr>
                <w:rFonts w:hint="eastAsia" w:ascii="宋体" w:hAnsi="宋体" w:cs="宋体"/>
                <w:color w:val="auto"/>
                <w:sz w:val="21"/>
                <w:szCs w:val="21"/>
              </w:rPr>
              <w:t>13</w:t>
            </w:r>
          </w:p>
        </w:tc>
        <w:tc>
          <w:tcPr>
            <w:tcW w:w="1319" w:type="dxa"/>
            <w:noWrap w:val="0"/>
            <w:vAlign w:val="center"/>
          </w:tcPr>
          <w:p>
            <w:pPr>
              <w:pStyle w:val="37"/>
              <w:ind w:firstLine="0" w:firstLineChars="0"/>
              <w:rPr>
                <w:rFonts w:hint="eastAsia" w:ascii="宋体" w:hAnsi="宋体" w:cs="宋体"/>
                <w:color w:val="auto"/>
                <w:sz w:val="21"/>
                <w:szCs w:val="21"/>
              </w:rPr>
            </w:pPr>
          </w:p>
        </w:tc>
        <w:tc>
          <w:tcPr>
            <w:tcW w:w="3542" w:type="dxa"/>
            <w:noWrap w:val="0"/>
            <w:vAlign w:val="center"/>
          </w:tcPr>
          <w:p>
            <w:pPr>
              <w:pStyle w:val="37"/>
              <w:ind w:firstLine="0" w:firstLineChars="0"/>
              <w:rPr>
                <w:rFonts w:hint="eastAsia" w:ascii="宋体" w:hAnsi="宋体" w:cs="宋体"/>
                <w:color w:val="auto"/>
                <w:sz w:val="21"/>
                <w:szCs w:val="21"/>
              </w:rPr>
            </w:pPr>
          </w:p>
        </w:tc>
        <w:tc>
          <w:tcPr>
            <w:tcW w:w="1463" w:type="dxa"/>
            <w:noWrap w:val="0"/>
            <w:vAlign w:val="center"/>
          </w:tcPr>
          <w:p>
            <w:pPr>
              <w:pStyle w:val="37"/>
              <w:ind w:firstLine="0" w:firstLineChars="0"/>
              <w:jc w:val="center"/>
              <w:rPr>
                <w:rFonts w:hint="eastAsia" w:ascii="宋体" w:hAnsi="宋体" w:cs="宋体"/>
                <w:color w:val="auto"/>
                <w:sz w:val="21"/>
                <w:szCs w:val="21"/>
              </w:rPr>
            </w:pPr>
          </w:p>
        </w:tc>
        <w:tc>
          <w:tcPr>
            <w:tcW w:w="1352" w:type="dxa"/>
            <w:noWrap w:val="0"/>
            <w:vAlign w:val="center"/>
          </w:tcPr>
          <w:p>
            <w:pPr>
              <w:pStyle w:val="37"/>
              <w:ind w:firstLine="0" w:firstLineChars="0"/>
              <w:jc w:val="center"/>
              <w:rPr>
                <w:rFonts w:hint="eastAsia" w:ascii="宋体" w:hAnsi="宋体" w:cs="宋体"/>
                <w:color w:val="auto"/>
                <w:sz w:val="21"/>
                <w:szCs w:val="21"/>
              </w:rPr>
            </w:pPr>
          </w:p>
        </w:tc>
      </w:tr>
    </w:tbl>
    <w:p>
      <w:pPr>
        <w:pStyle w:val="72"/>
        <w:spacing w:before="120" w:after="120"/>
        <w:ind w:firstLine="0"/>
        <w:rPr>
          <w:rFonts w:hint="eastAsia"/>
          <w:color w:val="auto"/>
        </w:rPr>
      </w:pPr>
    </w:p>
    <w:p>
      <w:pPr>
        <w:rPr>
          <w:rFonts w:hint="eastAsia" w:ascii="宋体" w:hAnsi="宋体" w:cs="宋体"/>
          <w:b/>
          <w:color w:val="auto"/>
        </w:rPr>
      </w:pPr>
    </w:p>
    <w:p>
      <w:pPr>
        <w:jc w:val="center"/>
        <w:rPr>
          <w:rFonts w:hint="eastAsia" w:ascii="宋体" w:hAnsi="宋体" w:cs="宋体"/>
          <w:color w:val="auto"/>
        </w:rPr>
      </w:pPr>
    </w:p>
    <w:bookmarkEnd w:id="325"/>
    <w:p>
      <w:pPr>
        <w:widowControl/>
        <w:jc w:val="left"/>
        <w:rPr>
          <w:rFonts w:hint="eastAsia" w:ascii="宋体" w:hAnsi="宋体" w:cs="宋体"/>
          <w:b/>
          <w:color w:val="auto"/>
        </w:rPr>
      </w:pPr>
    </w:p>
    <w:p>
      <w:pPr>
        <w:rPr>
          <w:rFonts w:hint="eastAsia" w:ascii="宋体" w:hAnsi="宋体" w:cs="宋体"/>
          <w:b/>
          <w:bCs/>
          <w:color w:val="auto"/>
        </w:rPr>
      </w:pPr>
      <w:r>
        <w:rPr>
          <w:rFonts w:hint="eastAsia" w:ascii="宋体" w:hAnsi="宋体" w:cs="宋体"/>
          <w:b/>
          <w:bCs/>
          <w:color w:val="auto"/>
        </w:rPr>
        <w:br w:type="page"/>
      </w:r>
      <w:r>
        <w:rPr>
          <w:rFonts w:hint="eastAsia" w:ascii="宋体" w:hAnsi="宋体" w:cs="宋体"/>
          <w:b/>
          <w:bCs/>
          <w:color w:val="auto"/>
        </w:rPr>
        <w:t>2.法定代表人的身份证明或法定代表人授权书</w:t>
      </w:r>
    </w:p>
    <w:p>
      <w:pPr>
        <w:jc w:val="center"/>
        <w:rPr>
          <w:rFonts w:hint="eastAsia" w:ascii="宋体" w:hAnsi="宋体" w:cs="宋体"/>
          <w:b/>
          <w:color w:val="auto"/>
          <w:sz w:val="30"/>
          <w:szCs w:val="30"/>
        </w:rPr>
      </w:pPr>
    </w:p>
    <w:p>
      <w:pPr>
        <w:spacing w:line="320" w:lineRule="exact"/>
        <w:jc w:val="center"/>
        <w:rPr>
          <w:rFonts w:hint="eastAsia" w:ascii="宋体" w:hAnsi="宋体" w:cs="宋体"/>
          <w:b/>
          <w:color w:val="auto"/>
          <w:sz w:val="30"/>
          <w:szCs w:val="30"/>
        </w:rPr>
      </w:pPr>
      <w:r>
        <w:rPr>
          <w:rFonts w:hint="eastAsia" w:ascii="宋体" w:hAnsi="宋体" w:cs="宋体"/>
          <w:b/>
          <w:color w:val="auto"/>
          <w:sz w:val="30"/>
          <w:szCs w:val="30"/>
        </w:rPr>
        <w:t>法定代表人身份证明</w:t>
      </w:r>
    </w:p>
    <w:p>
      <w:pPr>
        <w:spacing w:line="480" w:lineRule="auto"/>
        <w:jc w:val="center"/>
        <w:rPr>
          <w:rFonts w:hint="eastAsia" w:ascii="宋体" w:hAnsi="宋体" w:cs="宋体"/>
          <w:bCs/>
          <w:color w:val="auto"/>
          <w:sz w:val="24"/>
        </w:rPr>
      </w:pPr>
    </w:p>
    <w:p>
      <w:pPr>
        <w:spacing w:line="480" w:lineRule="auto"/>
        <w:ind w:firstLine="420" w:firstLineChars="200"/>
        <w:rPr>
          <w:rFonts w:hint="eastAsia" w:ascii="宋体" w:hAnsi="宋体" w:cs="宋体"/>
          <w:color w:val="auto"/>
          <w:szCs w:val="21"/>
        </w:rPr>
      </w:pPr>
      <w:r>
        <w:rPr>
          <w:rFonts w:hint="eastAsia" w:ascii="宋体" w:hAnsi="宋体" w:cs="宋体"/>
          <w:color w:val="auto"/>
          <w:szCs w:val="21"/>
        </w:rPr>
        <w:t>投标供应商名称：</w:t>
      </w:r>
    </w:p>
    <w:p>
      <w:pPr>
        <w:spacing w:line="480" w:lineRule="auto"/>
        <w:ind w:firstLine="420" w:firstLineChars="200"/>
        <w:rPr>
          <w:rFonts w:hint="eastAsia" w:ascii="宋体" w:hAnsi="宋体" w:cs="宋体"/>
          <w:color w:val="auto"/>
          <w:szCs w:val="21"/>
        </w:rPr>
      </w:pPr>
      <w:r>
        <w:rPr>
          <w:rFonts w:hint="eastAsia" w:ascii="宋体" w:hAnsi="宋体" w:cs="宋体"/>
          <w:color w:val="auto"/>
          <w:szCs w:val="21"/>
        </w:rPr>
        <w:t>单位性质：</w:t>
      </w:r>
    </w:p>
    <w:p>
      <w:pPr>
        <w:spacing w:line="480" w:lineRule="auto"/>
        <w:ind w:firstLine="420" w:firstLineChars="200"/>
        <w:rPr>
          <w:rFonts w:hint="eastAsia" w:ascii="宋体" w:hAnsi="宋体" w:cs="宋体"/>
          <w:color w:val="auto"/>
          <w:szCs w:val="21"/>
        </w:rPr>
      </w:pPr>
      <w:r>
        <w:rPr>
          <w:rFonts w:hint="eastAsia" w:ascii="宋体" w:hAnsi="宋体" w:cs="宋体"/>
          <w:color w:val="auto"/>
          <w:szCs w:val="21"/>
        </w:rPr>
        <w:t>地址：</w:t>
      </w:r>
    </w:p>
    <w:p>
      <w:pPr>
        <w:spacing w:line="480" w:lineRule="auto"/>
        <w:ind w:firstLine="420" w:firstLineChars="200"/>
        <w:rPr>
          <w:rFonts w:hint="eastAsia"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月＿日</w:t>
      </w:r>
    </w:p>
    <w:p>
      <w:pPr>
        <w:spacing w:line="480" w:lineRule="auto"/>
        <w:ind w:firstLine="420" w:firstLineChars="200"/>
        <w:rPr>
          <w:rFonts w:hint="eastAsia" w:ascii="宋体" w:hAnsi="宋体" w:cs="宋体"/>
          <w:color w:val="auto"/>
          <w:szCs w:val="21"/>
        </w:rPr>
      </w:pPr>
      <w:r>
        <w:rPr>
          <w:rFonts w:hint="eastAsia" w:ascii="宋体" w:hAnsi="宋体" w:cs="宋体"/>
          <w:color w:val="auto"/>
          <w:szCs w:val="21"/>
        </w:rPr>
        <w:t>经营期限：</w:t>
      </w:r>
    </w:p>
    <w:p>
      <w:pPr>
        <w:spacing w:line="480" w:lineRule="auto"/>
        <w:ind w:firstLine="420" w:firstLineChars="200"/>
        <w:rPr>
          <w:rFonts w:ascii="宋体" w:hAnsi="宋体" w:cs="宋体"/>
          <w:color w:val="auto"/>
          <w:szCs w:val="21"/>
          <w:u w:val="single"/>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周岁</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pacing w:line="480" w:lineRule="auto"/>
        <w:ind w:firstLine="420" w:firstLineChars="200"/>
        <w:rPr>
          <w:rFonts w:hint="eastAsia" w:ascii="宋体" w:hAnsi="宋体" w:cs="宋体"/>
          <w:color w:val="auto"/>
          <w:szCs w:val="21"/>
          <w:u w:val="single"/>
        </w:rPr>
      </w:pPr>
      <w:r>
        <w:rPr>
          <w:rFonts w:hint="eastAsia" w:ascii="宋体" w:hAnsi="宋体" w:cs="宋体"/>
          <w:color w:val="auto"/>
          <w:szCs w:val="21"/>
        </w:rPr>
        <w:t>身份证号码：</w:t>
      </w:r>
    </w:p>
    <w:p>
      <w:pPr>
        <w:spacing w:line="480" w:lineRule="auto"/>
        <w:ind w:firstLine="420" w:firstLineChars="200"/>
        <w:rPr>
          <w:rFonts w:hint="eastAsia" w:ascii="宋体" w:hAnsi="宋体" w:cs="宋体"/>
          <w:color w:val="auto"/>
          <w:szCs w:val="21"/>
        </w:rPr>
      </w:pPr>
      <w:r>
        <w:rPr>
          <w:rFonts w:hint="eastAsia" w:ascii="宋体" w:hAnsi="宋体" w:cs="宋体"/>
          <w:color w:val="auto"/>
          <w:szCs w:val="21"/>
        </w:rPr>
        <w:t>系（供应商名称）的法定代表人。</w:t>
      </w:r>
    </w:p>
    <w:p>
      <w:pPr>
        <w:spacing w:line="480" w:lineRule="auto"/>
        <w:ind w:firstLine="840" w:firstLineChars="400"/>
        <w:rPr>
          <w:rFonts w:hint="eastAsia" w:ascii="宋体" w:hAnsi="宋体" w:cs="宋体"/>
          <w:color w:val="auto"/>
          <w:szCs w:val="21"/>
        </w:rPr>
      </w:pPr>
      <w:r>
        <w:rPr>
          <w:rFonts w:hint="eastAsia" w:ascii="宋体" w:hAnsi="宋体" w:cs="宋体"/>
          <w:color w:val="auto"/>
          <w:szCs w:val="21"/>
        </w:rPr>
        <w:t>特此证明。</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法人签字：</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w:t>
      </w: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z w:val="21"/>
          <w:szCs w:val="21"/>
        </w:rPr>
      </w:pPr>
      <w:r>
        <w:rPr>
          <w:rFonts w:hint="eastAsia" w:hAnsi="宋体" w:cs="宋体"/>
          <w:color w:val="auto"/>
          <w:spacing w:val="0"/>
          <w:sz w:val="21"/>
          <w:szCs w:val="21"/>
        </w:rPr>
        <w:t>日    期：</w:t>
      </w:r>
    </w:p>
    <w:p>
      <w:pPr>
        <w:spacing w:line="360" w:lineRule="auto"/>
        <w:ind w:firstLine="3689" w:firstLineChars="1750"/>
        <w:rPr>
          <w:rFonts w:hint="eastAsia" w:ascii="宋体" w:hAnsi="宋体" w:cs="宋体"/>
          <w:b/>
          <w:color w:val="auto"/>
          <w:szCs w:val="21"/>
        </w:rPr>
      </w:pPr>
    </w:p>
    <w:p>
      <w:pPr>
        <w:spacing w:line="360" w:lineRule="auto"/>
        <w:ind w:firstLine="3689" w:firstLineChars="1750"/>
        <w:rPr>
          <w:rFonts w:hint="eastAsia" w:ascii="宋体" w:hAnsi="宋体" w:cs="宋体"/>
          <w:b/>
          <w:color w:val="auto"/>
          <w:szCs w:val="21"/>
        </w:rPr>
      </w:pPr>
    </w:p>
    <w:p>
      <w:pPr>
        <w:spacing w:line="360" w:lineRule="auto"/>
        <w:jc w:val="left"/>
        <w:rPr>
          <w:rFonts w:hint="eastAsia" w:ascii="宋体" w:hAnsi="宋体" w:cs="宋体"/>
          <w:b/>
          <w:color w:val="auto"/>
          <w:szCs w:val="21"/>
        </w:rPr>
      </w:pPr>
      <w:r>
        <w:rPr>
          <w:rFonts w:hint="eastAsia" w:ascii="宋体" w:hAnsi="宋体" w:cs="宋体"/>
          <w:b/>
          <w:color w:val="auto"/>
          <w:szCs w:val="21"/>
        </w:rPr>
        <w:t>附法定代表人身份证复印件加盖公章（正反面）：</w:t>
      </w:r>
    </w:p>
    <w:p>
      <w:pPr>
        <w:rPr>
          <w:rFonts w:hint="eastAsia" w:ascii="宋体" w:hAnsi="宋体" w:cs="宋体"/>
          <w:color w:val="auto"/>
        </w:rPr>
      </w:pPr>
    </w:p>
    <w:p>
      <w:pPr>
        <w:jc w:val="left"/>
        <w:rPr>
          <w:rFonts w:hint="eastAsia" w:ascii="宋体" w:hAnsi="宋体" w:cs="宋体"/>
          <w:b/>
          <w:color w:val="auto"/>
          <w:sz w:val="32"/>
          <w:szCs w:val="32"/>
        </w:rPr>
      </w:pPr>
    </w:p>
    <w:p>
      <w:pPr>
        <w:jc w:val="left"/>
        <w:rPr>
          <w:rFonts w:hint="eastAsia" w:ascii="宋体" w:hAnsi="宋体" w:cs="宋体"/>
          <w:b/>
          <w:color w:val="auto"/>
          <w:szCs w:val="21"/>
        </w:rPr>
      </w:pPr>
      <w:r>
        <w:rPr>
          <w:rFonts w:hint="eastAsia" w:ascii="宋体" w:hAnsi="宋体" w:cs="宋体"/>
          <w:color w:val="auto"/>
          <w:szCs w:val="21"/>
        </w:rPr>
        <w:br w:type="page"/>
      </w:r>
    </w:p>
    <w:p>
      <w:pPr>
        <w:pStyle w:val="73"/>
        <w:rPr>
          <w:rFonts w:hint="eastAsia" w:ascii="宋体" w:hAnsi="宋体" w:cs="宋体"/>
          <w:color w:val="auto"/>
          <w:sz w:val="30"/>
          <w:szCs w:val="30"/>
        </w:rPr>
      </w:pPr>
    </w:p>
    <w:p>
      <w:pPr>
        <w:spacing w:line="340" w:lineRule="exact"/>
        <w:jc w:val="center"/>
        <w:rPr>
          <w:rFonts w:hint="eastAsia" w:ascii="宋体" w:hAnsi="宋体" w:cs="宋体"/>
          <w:b/>
          <w:color w:val="auto"/>
          <w:sz w:val="30"/>
          <w:szCs w:val="30"/>
        </w:rPr>
      </w:pPr>
      <w:r>
        <w:rPr>
          <w:rFonts w:hint="eastAsia" w:ascii="宋体" w:hAnsi="宋体" w:cs="宋体"/>
          <w:b/>
          <w:color w:val="auto"/>
          <w:sz w:val="30"/>
          <w:szCs w:val="30"/>
        </w:rPr>
        <w:t>法定代表人授权委托书</w:t>
      </w:r>
    </w:p>
    <w:p>
      <w:pPr>
        <w:jc w:val="center"/>
        <w:rPr>
          <w:rFonts w:hint="eastAsia" w:ascii="宋体" w:hAnsi="宋体" w:cs="宋体"/>
          <w:bCs/>
          <w:color w:val="auto"/>
          <w:sz w:val="24"/>
        </w:rPr>
      </w:pPr>
    </w:p>
    <w:p>
      <w:pPr>
        <w:jc w:val="center"/>
        <w:rPr>
          <w:rFonts w:hint="eastAsia" w:ascii="宋体" w:hAnsi="宋体" w:cs="宋体"/>
          <w:b/>
          <w:color w:val="auto"/>
          <w:szCs w:val="21"/>
        </w:rPr>
      </w:pPr>
      <w:r>
        <w:rPr>
          <w:rFonts w:hint="eastAsia" w:ascii="宋体" w:hAnsi="宋体" w:cs="宋体"/>
          <w:bCs/>
          <w:color w:val="auto"/>
          <w:szCs w:val="21"/>
        </w:rPr>
        <w:t>（非法定代表人参与投标用此表）</w:t>
      </w:r>
    </w:p>
    <w:p>
      <w:pPr>
        <w:snapToGrid w:val="0"/>
        <w:spacing w:line="360" w:lineRule="auto"/>
        <w:rPr>
          <w:rFonts w:hint="eastAsia" w:ascii="宋体" w:hAnsi="宋体" w:cs="宋体"/>
          <w:b/>
          <w:color w:val="auto"/>
          <w:szCs w:val="21"/>
        </w:rPr>
      </w:pPr>
    </w:p>
    <w:p>
      <w:pPr>
        <w:snapToGrid w:val="0"/>
        <w:spacing w:line="360" w:lineRule="auto"/>
        <w:rPr>
          <w:rFonts w:hint="eastAsia" w:ascii="宋体" w:hAnsi="宋体" w:cs="宋体"/>
          <w:bCs/>
          <w:color w:val="auto"/>
          <w:szCs w:val="21"/>
        </w:rPr>
      </w:pPr>
      <w:r>
        <w:rPr>
          <w:rFonts w:hint="eastAsia" w:ascii="宋体" w:hAnsi="宋体" w:cs="宋体"/>
          <w:bCs/>
          <w:color w:val="auto"/>
          <w:szCs w:val="21"/>
        </w:rPr>
        <w:t>致：</w:t>
      </w:r>
      <w:r>
        <w:rPr>
          <w:rFonts w:hint="eastAsia" w:ascii="宋体" w:hAnsi="宋体" w:cs="宋体"/>
          <w:bCs/>
          <w:color w:val="auto"/>
          <w:u w:val="single"/>
        </w:rPr>
        <w:t>宁波中穗招标有限公司</w:t>
      </w:r>
      <w:r>
        <w:rPr>
          <w:rFonts w:hint="eastAsia" w:ascii="宋体" w:hAnsi="宋体" w:cs="宋体"/>
          <w:bCs/>
          <w:color w:val="auto"/>
          <w:szCs w:val="21"/>
        </w:rPr>
        <w:t>：</w:t>
      </w:r>
    </w:p>
    <w:p>
      <w:pPr>
        <w:snapToGrid w:val="0"/>
        <w:spacing w:line="360" w:lineRule="auto"/>
        <w:ind w:firstLine="525" w:firstLineChars="250"/>
        <w:rPr>
          <w:rFonts w:hint="eastAsia" w:ascii="宋体" w:hAnsi="宋体" w:cs="宋体"/>
          <w:color w:val="auto"/>
          <w:szCs w:val="21"/>
          <w:u w:val="single"/>
        </w:rPr>
      </w:pPr>
      <w:r>
        <w:rPr>
          <w:rFonts w:hint="eastAsia" w:ascii="宋体" w:hAnsi="宋体" w:cs="宋体"/>
          <w:color w:val="auto"/>
          <w:szCs w:val="21"/>
        </w:rPr>
        <w:t>我（姓名）系（供应商名称）的法定代表人，现授权委托本单位在职职工（姓名）以我方的名义参加</w:t>
      </w:r>
      <w:r>
        <w:rPr>
          <w:rFonts w:hint="eastAsia" w:ascii="宋体" w:hAnsi="宋体" w:cs="宋体"/>
          <w:color w:val="auto"/>
          <w:szCs w:val="21"/>
          <w:u w:val="single"/>
        </w:rPr>
        <w:t xml:space="preserve">  项目名称、项目编号  </w:t>
      </w:r>
      <w:r>
        <w:rPr>
          <w:rFonts w:hint="eastAsia" w:ascii="宋体" w:hAnsi="宋体" w:cs="宋体"/>
          <w:color w:val="auto"/>
          <w:szCs w:val="21"/>
        </w:rPr>
        <w:t>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color w:val="auto"/>
          <w:szCs w:val="21"/>
          <w:u w:val="single"/>
        </w:rPr>
      </w:pPr>
      <w:r>
        <w:rPr>
          <w:rFonts w:hint="eastAsia" w:ascii="宋体" w:hAnsi="宋体" w:cs="宋体"/>
          <w:color w:val="auto"/>
          <w:szCs w:val="21"/>
        </w:rPr>
        <w:t>我方对被授权人的签名事项负全部责任。</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cs="宋体"/>
          <w:color w:val="auto"/>
          <w:szCs w:val="21"/>
        </w:rPr>
      </w:pPr>
      <w:r>
        <w:rPr>
          <w:rFonts w:hint="eastAsia" w:ascii="宋体" w:hAnsi="宋体" w:cs="宋体"/>
          <w:color w:val="auto"/>
          <w:szCs w:val="21"/>
        </w:rPr>
        <w:t>被授权人无转委托权，特此委托。</w:t>
      </w: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u w:val="single"/>
        </w:rPr>
      </w:pPr>
      <w:r>
        <w:rPr>
          <w:rFonts w:hint="eastAsia" w:ascii="宋体" w:hAnsi="宋体" w:cs="宋体"/>
          <w:color w:val="auto"/>
          <w:szCs w:val="21"/>
        </w:rPr>
        <w:t>被授权人签名：</w:t>
      </w:r>
      <w:r>
        <w:rPr>
          <w:rFonts w:hint="eastAsia" w:ascii="宋体" w:hAnsi="宋体" w:cs="宋体"/>
          <w:color w:val="auto"/>
          <w:szCs w:val="21"/>
          <w:lang w:val="en-US" w:eastAsia="zh-CN"/>
        </w:rPr>
        <w:t xml:space="preserve">                             </w:t>
      </w:r>
      <w:r>
        <w:rPr>
          <w:rFonts w:hint="eastAsia" w:ascii="宋体" w:hAnsi="宋体" w:cs="宋体"/>
          <w:color w:val="auto"/>
          <w:szCs w:val="21"/>
        </w:rPr>
        <w:t>法定代表人签名：</w:t>
      </w:r>
    </w:p>
    <w:p>
      <w:pPr>
        <w:snapToGrid w:val="0"/>
        <w:spacing w:line="360" w:lineRule="auto"/>
        <w:ind w:firstLine="840" w:firstLineChars="400"/>
        <w:rPr>
          <w:rFonts w:hint="eastAsia" w:ascii="宋体" w:hAnsi="宋体" w:cs="宋体"/>
          <w:color w:val="auto"/>
          <w:szCs w:val="21"/>
        </w:rPr>
      </w:pPr>
      <w:r>
        <w:rPr>
          <w:rFonts w:hint="eastAsia" w:ascii="宋体" w:hAnsi="宋体" w:cs="宋体"/>
          <w:color w:val="auto"/>
          <w:szCs w:val="21"/>
          <w:lang w:val="en-US" w:eastAsia="zh-CN"/>
        </w:rPr>
        <w:t xml:space="preserve">                              </w:t>
      </w:r>
    </w:p>
    <w:p>
      <w:pPr>
        <w:snapToGrid w:val="0"/>
        <w:spacing w:line="360" w:lineRule="auto"/>
        <w:rPr>
          <w:rFonts w:hint="eastAsia" w:ascii="宋体" w:hAnsi="宋体" w:cs="宋体"/>
          <w:color w:val="auto"/>
          <w:szCs w:val="21"/>
        </w:rPr>
      </w:pPr>
      <w:r>
        <w:rPr>
          <w:rFonts w:hint="eastAsia" w:ascii="宋体" w:hAnsi="宋体" w:cs="宋体"/>
          <w:color w:val="auto"/>
          <w:szCs w:val="21"/>
        </w:rPr>
        <w:t>被授权人身份证号码：</w:t>
      </w:r>
    </w:p>
    <w:p>
      <w:pPr>
        <w:snapToGrid w:val="0"/>
        <w:spacing w:line="360" w:lineRule="auto"/>
        <w:ind w:firstLine="4830" w:firstLineChars="2300"/>
        <w:rPr>
          <w:rFonts w:hint="eastAsia" w:ascii="宋体" w:hAnsi="宋体" w:cs="宋体"/>
          <w:color w:val="auto"/>
          <w:szCs w:val="21"/>
        </w:rPr>
      </w:pP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z w:val="21"/>
          <w:szCs w:val="21"/>
        </w:rPr>
      </w:pPr>
      <w:r>
        <w:rPr>
          <w:rFonts w:hint="eastAsia" w:hAnsi="宋体" w:cs="宋体"/>
          <w:color w:val="auto"/>
          <w:spacing w:val="0"/>
          <w:sz w:val="21"/>
          <w:szCs w:val="21"/>
        </w:rPr>
        <w:t>日    期：</w:t>
      </w:r>
    </w:p>
    <w:p>
      <w:pPr>
        <w:pStyle w:val="73"/>
        <w:rPr>
          <w:rFonts w:hint="eastAsia" w:ascii="宋体" w:hAnsi="宋体" w:cs="宋体"/>
          <w:color w:val="auto"/>
          <w:szCs w:val="21"/>
        </w:rPr>
      </w:pPr>
    </w:p>
    <w:p>
      <w:pPr>
        <w:pStyle w:val="73"/>
        <w:rPr>
          <w:rFonts w:hint="eastAsia" w:ascii="宋体" w:hAnsi="宋体" w:cs="宋体"/>
          <w:color w:val="auto"/>
          <w:szCs w:val="21"/>
        </w:rPr>
      </w:pPr>
    </w:p>
    <w:p>
      <w:pPr>
        <w:spacing w:line="360" w:lineRule="auto"/>
        <w:ind w:firstLine="103" w:firstLineChars="49"/>
        <w:rPr>
          <w:rFonts w:hint="eastAsia" w:ascii="宋体" w:hAnsi="宋体" w:cs="宋体"/>
          <w:b/>
          <w:color w:val="auto"/>
          <w:szCs w:val="21"/>
        </w:rPr>
      </w:pPr>
      <w:r>
        <w:rPr>
          <w:rFonts w:hint="eastAsia" w:ascii="宋体" w:hAnsi="宋体" w:cs="宋体"/>
          <w:b/>
          <w:color w:val="auto"/>
          <w:szCs w:val="21"/>
        </w:rPr>
        <w:t>附：</w:t>
      </w:r>
      <w:r>
        <w:rPr>
          <w:rFonts w:hint="eastAsia" w:ascii="宋体" w:hAnsi="宋体" w:cs="宋体"/>
          <w:b/>
          <w:color w:val="auto"/>
          <w:szCs w:val="21"/>
          <w:lang w:val="en-US" w:eastAsia="zh-CN"/>
        </w:rPr>
        <w:t>法定代表人、被</w:t>
      </w:r>
      <w:r>
        <w:rPr>
          <w:rFonts w:hint="eastAsia" w:ascii="宋体" w:hAnsi="宋体" w:cs="宋体"/>
          <w:b/>
          <w:color w:val="auto"/>
          <w:szCs w:val="21"/>
        </w:rPr>
        <w:t>授权</w:t>
      </w:r>
      <w:r>
        <w:rPr>
          <w:rFonts w:hint="eastAsia" w:ascii="宋体" w:hAnsi="宋体" w:cs="宋体"/>
          <w:b/>
          <w:color w:val="auto"/>
          <w:szCs w:val="21"/>
          <w:lang w:val="en-US" w:eastAsia="zh-CN"/>
        </w:rPr>
        <w:t>人</w:t>
      </w:r>
      <w:r>
        <w:rPr>
          <w:rFonts w:hint="eastAsia" w:ascii="宋体" w:hAnsi="宋体" w:cs="宋体"/>
          <w:b/>
          <w:color w:val="auto"/>
          <w:szCs w:val="21"/>
        </w:rPr>
        <w:t>身份证复印件加盖公章（正反面）</w:t>
      </w:r>
    </w:p>
    <w:p>
      <w:pPr>
        <w:widowControl/>
        <w:jc w:val="left"/>
        <w:rPr>
          <w:rFonts w:hint="eastAsia" w:ascii="宋体" w:hAnsi="宋体" w:cs="宋体"/>
          <w:b/>
          <w:color w:val="auto"/>
          <w:szCs w:val="21"/>
        </w:rPr>
      </w:pPr>
      <w:r>
        <w:rPr>
          <w:rFonts w:hint="eastAsia" w:ascii="宋体" w:hAnsi="宋体" w:cs="宋体"/>
          <w:b/>
          <w:color w:val="auto"/>
          <w:szCs w:val="21"/>
        </w:rPr>
        <w:br w:type="page"/>
      </w:r>
      <w:bookmarkStart w:id="329" w:name="_Toc110393361"/>
      <w:bookmarkStart w:id="330" w:name="_Toc479927873"/>
      <w:bookmarkStart w:id="331" w:name="_Toc225223761"/>
      <w:bookmarkStart w:id="332" w:name="_Toc488936100"/>
      <w:bookmarkStart w:id="333" w:name="_Toc14746861"/>
      <w:bookmarkStart w:id="334" w:name="_Toc483379796"/>
      <w:r>
        <w:rPr>
          <w:rFonts w:hint="eastAsia" w:ascii="宋体" w:hAnsi="宋体" w:cs="宋体"/>
          <w:b/>
          <w:color w:val="auto"/>
          <w:szCs w:val="21"/>
        </w:rPr>
        <w:t>3.投标人基本情况说明</w:t>
      </w:r>
    </w:p>
    <w:bookmarkEnd w:id="329"/>
    <w:bookmarkEnd w:id="330"/>
    <w:bookmarkEnd w:id="331"/>
    <w:bookmarkEnd w:id="332"/>
    <w:bookmarkEnd w:id="333"/>
    <w:bookmarkEnd w:id="334"/>
    <w:p>
      <w:pPr>
        <w:spacing w:line="360" w:lineRule="auto"/>
        <w:jc w:val="center"/>
        <w:rPr>
          <w:b/>
          <w:color w:val="auto"/>
          <w:sz w:val="30"/>
          <w:szCs w:val="30"/>
        </w:rPr>
      </w:pPr>
      <w:r>
        <w:rPr>
          <w:b/>
          <w:color w:val="auto"/>
          <w:sz w:val="30"/>
          <w:szCs w:val="30"/>
        </w:rPr>
        <w:t>投标人基本情况说明</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单位名称</w:t>
            </w:r>
          </w:p>
        </w:tc>
        <w:tc>
          <w:tcPr>
            <w:tcW w:w="3675" w:type="dxa"/>
            <w:gridSpan w:val="3"/>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zCs w:val="21"/>
              </w:rPr>
            </w:pPr>
            <w:r>
              <w:rPr>
                <w:color w:val="auto"/>
                <w:szCs w:val="21"/>
              </w:rPr>
              <w:t>组织机构代码</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注册地址</w:t>
            </w:r>
          </w:p>
        </w:tc>
        <w:tc>
          <w:tcPr>
            <w:tcW w:w="3675" w:type="dxa"/>
            <w:gridSpan w:val="3"/>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zCs w:val="21"/>
              </w:rPr>
            </w:pPr>
            <w:r>
              <w:rPr>
                <w:color w:val="auto"/>
                <w:szCs w:val="21"/>
              </w:rPr>
              <w:t>注册登记号</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经营地址</w:t>
            </w:r>
          </w:p>
        </w:tc>
        <w:tc>
          <w:tcPr>
            <w:tcW w:w="3675" w:type="dxa"/>
            <w:gridSpan w:val="3"/>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pacing w:val="30"/>
                <w:szCs w:val="21"/>
              </w:rPr>
            </w:pPr>
            <w:r>
              <w:rPr>
                <w:color w:val="auto"/>
                <w:szCs w:val="21"/>
              </w:rPr>
              <w:t>税务登记证号</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单位性质</w:t>
            </w:r>
          </w:p>
        </w:tc>
        <w:tc>
          <w:tcPr>
            <w:tcW w:w="3675" w:type="dxa"/>
            <w:gridSpan w:val="3"/>
            <w:noWrap w:val="0"/>
            <w:vAlign w:val="center"/>
          </w:tcPr>
          <w:p>
            <w:pPr>
              <w:pStyle w:val="182"/>
              <w:widowControl w:val="0"/>
              <w:spacing w:before="0" w:beforeAutospacing="0" w:after="0" w:afterAutospacing="0" w:line="360" w:lineRule="auto"/>
              <w:ind w:left="1320" w:firstLine="420"/>
              <w:rPr>
                <w:rFonts w:ascii="Times New Roman" w:hAnsi="Times New Roman" w:eastAsia="宋体"/>
                <w:color w:val="auto"/>
                <w:kern w:val="2"/>
                <w:sz w:val="21"/>
                <w:szCs w:val="21"/>
              </w:rPr>
            </w:pPr>
          </w:p>
        </w:tc>
        <w:tc>
          <w:tcPr>
            <w:tcW w:w="1785" w:type="dxa"/>
            <w:noWrap w:val="0"/>
            <w:vAlign w:val="center"/>
          </w:tcPr>
          <w:p>
            <w:pPr>
              <w:spacing w:line="360" w:lineRule="auto"/>
              <w:jc w:val="center"/>
              <w:rPr>
                <w:color w:val="auto"/>
                <w:spacing w:val="34"/>
                <w:szCs w:val="21"/>
              </w:rPr>
            </w:pPr>
            <w:r>
              <w:rPr>
                <w:color w:val="auto"/>
                <w:spacing w:val="34"/>
                <w:szCs w:val="21"/>
              </w:rPr>
              <w:t>注册资本</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经营范围</w:t>
            </w:r>
          </w:p>
        </w:tc>
        <w:tc>
          <w:tcPr>
            <w:tcW w:w="3675" w:type="dxa"/>
            <w:gridSpan w:val="3"/>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zCs w:val="21"/>
              </w:rPr>
            </w:pPr>
            <w:r>
              <w:rPr>
                <w:color w:val="auto"/>
                <w:szCs w:val="21"/>
              </w:rPr>
              <w:t>营业期限</w:t>
            </w:r>
          </w:p>
        </w:tc>
        <w:tc>
          <w:tcPr>
            <w:tcW w:w="2234" w:type="dxa"/>
            <w:noWrap w:val="0"/>
            <w:vAlign w:val="center"/>
          </w:tcPr>
          <w:p>
            <w:pPr>
              <w:spacing w:line="360" w:lineRule="auto"/>
              <w:jc w:val="center"/>
              <w:rPr>
                <w:color w:val="auto"/>
                <w:szCs w:val="21"/>
              </w:rPr>
            </w:pPr>
            <w:r>
              <w:rPr>
                <w:color w:val="auto"/>
                <w:szCs w:val="21"/>
              </w:rPr>
              <w:t>年月-  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资质情况</w:t>
            </w:r>
          </w:p>
        </w:tc>
        <w:tc>
          <w:tcPr>
            <w:tcW w:w="7694" w:type="dxa"/>
            <w:gridSpan w:val="5"/>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员工数量</w:t>
            </w:r>
          </w:p>
        </w:tc>
        <w:tc>
          <w:tcPr>
            <w:tcW w:w="7694" w:type="dxa"/>
            <w:gridSpan w:val="5"/>
            <w:noWrap w:val="0"/>
            <w:vAlign w:val="center"/>
          </w:tcPr>
          <w:p>
            <w:pPr>
              <w:spacing w:line="360" w:lineRule="auto"/>
              <w:rPr>
                <w:color w:val="auto"/>
                <w:szCs w:val="21"/>
              </w:rPr>
            </w:pPr>
            <w:r>
              <w:rPr>
                <w:color w:val="auto"/>
                <w:szCs w:val="21"/>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联系电话</w:t>
            </w:r>
          </w:p>
        </w:tc>
        <w:tc>
          <w:tcPr>
            <w:tcW w:w="3675" w:type="dxa"/>
            <w:gridSpan w:val="3"/>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zCs w:val="21"/>
              </w:rPr>
            </w:pPr>
            <w:r>
              <w:rPr>
                <w:color w:val="auto"/>
                <w:szCs w:val="21"/>
              </w:rPr>
              <w:t>传真</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70" w:type="dxa"/>
            <w:noWrap w:val="0"/>
            <w:vAlign w:val="center"/>
          </w:tcPr>
          <w:p>
            <w:pPr>
              <w:spacing w:line="360" w:lineRule="auto"/>
              <w:jc w:val="center"/>
              <w:rPr>
                <w:color w:val="auto"/>
                <w:szCs w:val="21"/>
              </w:rPr>
            </w:pPr>
            <w:r>
              <w:rPr>
                <w:color w:val="auto"/>
                <w:szCs w:val="21"/>
              </w:rPr>
              <w:t>主要业绩</w:t>
            </w:r>
          </w:p>
        </w:tc>
        <w:tc>
          <w:tcPr>
            <w:tcW w:w="7694" w:type="dxa"/>
            <w:gridSpan w:val="5"/>
            <w:noWrap w:val="0"/>
            <w:vAlign w:val="center"/>
          </w:tcPr>
          <w:p>
            <w:pPr>
              <w:spacing w:line="360" w:lineRule="auto"/>
              <w:rPr>
                <w:color w:val="auto"/>
                <w:szCs w:val="21"/>
              </w:rPr>
            </w:pPr>
          </w:p>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4" w:type="dxa"/>
            <w:gridSpan w:val="6"/>
            <w:noWrap w:val="0"/>
            <w:vAlign w:val="center"/>
          </w:tcPr>
          <w:p>
            <w:pPr>
              <w:spacing w:line="360" w:lineRule="auto"/>
              <w:jc w:val="center"/>
              <w:rPr>
                <w:color w:val="auto"/>
                <w:szCs w:val="21"/>
              </w:rPr>
            </w:pPr>
            <w:r>
              <w:rPr>
                <w:color w:val="auto"/>
                <w:szCs w:val="21"/>
              </w:rPr>
              <w:t>法定代表人基本情况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姓名</w:t>
            </w:r>
          </w:p>
        </w:tc>
        <w:tc>
          <w:tcPr>
            <w:tcW w:w="3675" w:type="dxa"/>
            <w:gridSpan w:val="3"/>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zCs w:val="21"/>
              </w:rPr>
            </w:pPr>
            <w:r>
              <w:rPr>
                <w:color w:val="auto"/>
                <w:szCs w:val="21"/>
              </w:rPr>
              <w:t>身份证号码</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center"/>
          </w:tcPr>
          <w:p>
            <w:pPr>
              <w:spacing w:line="360" w:lineRule="auto"/>
              <w:jc w:val="center"/>
              <w:rPr>
                <w:color w:val="auto"/>
                <w:szCs w:val="21"/>
              </w:rPr>
            </w:pPr>
            <w:r>
              <w:rPr>
                <w:color w:val="auto"/>
                <w:szCs w:val="21"/>
              </w:rPr>
              <w:t>职务</w:t>
            </w:r>
          </w:p>
        </w:tc>
        <w:tc>
          <w:tcPr>
            <w:tcW w:w="1680" w:type="dxa"/>
            <w:noWrap w:val="0"/>
            <w:vAlign w:val="center"/>
          </w:tcPr>
          <w:p>
            <w:pPr>
              <w:spacing w:line="360" w:lineRule="auto"/>
              <w:jc w:val="center"/>
              <w:rPr>
                <w:color w:val="auto"/>
                <w:szCs w:val="21"/>
              </w:rPr>
            </w:pPr>
          </w:p>
        </w:tc>
        <w:tc>
          <w:tcPr>
            <w:tcW w:w="1050" w:type="dxa"/>
            <w:noWrap w:val="0"/>
            <w:vAlign w:val="center"/>
          </w:tcPr>
          <w:p>
            <w:pPr>
              <w:spacing w:line="360" w:lineRule="auto"/>
              <w:jc w:val="center"/>
              <w:rPr>
                <w:color w:val="auto"/>
                <w:szCs w:val="21"/>
              </w:rPr>
            </w:pPr>
            <w:r>
              <w:rPr>
                <w:color w:val="auto"/>
                <w:szCs w:val="21"/>
              </w:rPr>
              <w:t>职称</w:t>
            </w:r>
          </w:p>
        </w:tc>
        <w:tc>
          <w:tcPr>
            <w:tcW w:w="945" w:type="dxa"/>
            <w:noWrap w:val="0"/>
            <w:vAlign w:val="center"/>
          </w:tcPr>
          <w:p>
            <w:pPr>
              <w:spacing w:line="360" w:lineRule="auto"/>
              <w:jc w:val="center"/>
              <w:rPr>
                <w:color w:val="auto"/>
                <w:szCs w:val="21"/>
              </w:rPr>
            </w:pPr>
          </w:p>
        </w:tc>
        <w:tc>
          <w:tcPr>
            <w:tcW w:w="1785" w:type="dxa"/>
            <w:noWrap w:val="0"/>
            <w:vAlign w:val="center"/>
          </w:tcPr>
          <w:p>
            <w:pPr>
              <w:spacing w:line="360" w:lineRule="auto"/>
              <w:jc w:val="center"/>
              <w:rPr>
                <w:color w:val="auto"/>
                <w:szCs w:val="21"/>
              </w:rPr>
            </w:pPr>
            <w:r>
              <w:rPr>
                <w:color w:val="auto"/>
                <w:szCs w:val="21"/>
              </w:rPr>
              <w:t>学历</w:t>
            </w:r>
          </w:p>
        </w:tc>
        <w:tc>
          <w:tcPr>
            <w:tcW w:w="2234" w:type="dxa"/>
            <w:noWrap w:val="0"/>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64" w:type="dxa"/>
            <w:gridSpan w:val="6"/>
            <w:noWrap w:val="0"/>
            <w:vAlign w:val="top"/>
          </w:tcPr>
          <w:p>
            <w:pPr>
              <w:spacing w:line="360" w:lineRule="auto"/>
              <w:rPr>
                <w:color w:val="auto"/>
                <w:szCs w:val="21"/>
              </w:rPr>
            </w:pPr>
            <w:r>
              <w:rPr>
                <w:color w:val="auto"/>
                <w:szCs w:val="21"/>
              </w:rPr>
              <w:t>备注:</w:t>
            </w:r>
          </w:p>
        </w:tc>
      </w:tr>
    </w:tbl>
    <w:p>
      <w:pPr>
        <w:spacing w:line="360" w:lineRule="auto"/>
        <w:rPr>
          <w:b/>
          <w:color w:val="auto"/>
          <w:szCs w:val="21"/>
        </w:rPr>
      </w:pPr>
      <w:r>
        <w:rPr>
          <w:b/>
          <w:color w:val="auto"/>
          <w:szCs w:val="21"/>
        </w:rPr>
        <w:t>兹证明上述声明是真实、正确的，并提供了全部能提供的资料和数据，我们同意遵照贵方要求出示有关证明文件。</w:t>
      </w:r>
    </w:p>
    <w:p>
      <w:pPr>
        <w:spacing w:line="360" w:lineRule="auto"/>
        <w:rPr>
          <w:b/>
          <w:color w:val="auto"/>
        </w:rPr>
      </w:pPr>
    </w:p>
    <w:p>
      <w:pPr>
        <w:spacing w:line="360" w:lineRule="auto"/>
        <w:rPr>
          <w:b/>
          <w:color w:val="auto"/>
        </w:rPr>
      </w:pPr>
    </w:p>
    <w:p>
      <w:pPr>
        <w:rPr>
          <w:color w:val="auto"/>
          <w:szCs w:val="21"/>
        </w:rPr>
      </w:pP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z w:val="21"/>
          <w:szCs w:val="21"/>
        </w:rPr>
      </w:pPr>
      <w:r>
        <w:rPr>
          <w:rFonts w:hint="eastAsia" w:hAnsi="宋体" w:cs="宋体"/>
          <w:color w:val="auto"/>
          <w:spacing w:val="0"/>
          <w:sz w:val="21"/>
          <w:szCs w:val="21"/>
        </w:rPr>
        <w:t>日    期：</w:t>
      </w:r>
    </w:p>
    <w:p>
      <w:pPr>
        <w:pStyle w:val="73"/>
        <w:rPr>
          <w:rFonts w:hint="eastAsia" w:ascii="宋体" w:hAnsi="宋体" w:cs="宋体"/>
          <w:color w:val="auto"/>
          <w:szCs w:val="21"/>
        </w:rPr>
      </w:pPr>
    </w:p>
    <w:p>
      <w:pPr>
        <w:numPr>
          <w:ilvl w:val="0"/>
          <w:numId w:val="17"/>
        </w:numPr>
        <w:rPr>
          <w:rFonts w:hint="eastAsia" w:ascii="宋体" w:hAnsi="宋体" w:cs="宋体"/>
          <w:b/>
          <w:bCs/>
          <w:color w:val="auto"/>
        </w:rPr>
      </w:pPr>
      <w:r>
        <w:rPr>
          <w:rFonts w:hint="eastAsia" w:ascii="宋体" w:hAnsi="宋体" w:cs="宋体"/>
          <w:color w:val="auto"/>
          <w:szCs w:val="21"/>
        </w:rPr>
        <w:br w:type="page"/>
      </w:r>
      <w:r>
        <w:rPr>
          <w:rFonts w:hint="eastAsia" w:ascii="宋体" w:hAnsi="宋体" w:cs="宋体"/>
          <w:b/>
          <w:bCs/>
          <w:color w:val="auto"/>
          <w:szCs w:val="21"/>
        </w:rPr>
        <w:t>类似项目业绩表</w:t>
      </w:r>
    </w:p>
    <w:p>
      <w:pPr>
        <w:spacing w:before="120" w:after="120"/>
        <w:jc w:val="center"/>
        <w:rPr>
          <w:rFonts w:hint="eastAsia" w:ascii="宋体" w:hAnsi="宋体" w:cs="宋体"/>
          <w:b/>
          <w:bCs/>
          <w:color w:val="auto"/>
          <w:spacing w:val="20"/>
          <w:sz w:val="30"/>
          <w:szCs w:val="30"/>
        </w:rPr>
      </w:pPr>
      <w:r>
        <w:rPr>
          <w:rFonts w:hint="eastAsia" w:ascii="宋体" w:hAnsi="宋体" w:cs="宋体"/>
          <w:b/>
          <w:bCs/>
          <w:color w:val="auto"/>
          <w:spacing w:val="20"/>
          <w:sz w:val="30"/>
          <w:szCs w:val="30"/>
        </w:rPr>
        <w:t>类似项目业绩表</w:t>
      </w:r>
    </w:p>
    <w:p>
      <w:pPr>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 xml:space="preserve">项目名称：                                           项目编号：              </w:t>
      </w:r>
    </w:p>
    <w:tbl>
      <w:tblPr>
        <w:tblStyle w:val="39"/>
        <w:tblW w:w="0" w:type="auto"/>
        <w:tblInd w:w="-29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6"/>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716"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auto"/>
                <w:szCs w:val="21"/>
              </w:rPr>
            </w:pPr>
            <w:r>
              <w:rPr>
                <w:rFonts w:hint="eastAsia" w:ascii="宋体" w:hAnsi="宋体" w:cs="宋体"/>
                <w:color w:val="auto"/>
                <w:szCs w:val="21"/>
              </w:rPr>
              <w:t>序号</w:t>
            </w:r>
          </w:p>
        </w:tc>
        <w:tc>
          <w:tcPr>
            <w:tcW w:w="1932" w:type="dxa"/>
            <w:tcBorders>
              <w:top w:val="single" w:color="auto" w:sz="4" w:space="0"/>
              <w:bottom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r>
              <w:rPr>
                <w:rFonts w:hint="eastAsia" w:ascii="宋体" w:hAnsi="宋体" w:cs="宋体"/>
                <w:color w:val="auto"/>
                <w:szCs w:val="21"/>
              </w:rPr>
              <w:t>项目名称</w:t>
            </w:r>
          </w:p>
        </w:tc>
        <w:tc>
          <w:tcPr>
            <w:tcW w:w="2028"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auto"/>
                <w:szCs w:val="21"/>
              </w:rPr>
            </w:pPr>
            <w:r>
              <w:rPr>
                <w:rFonts w:hint="eastAsia" w:ascii="宋体" w:hAnsi="宋体" w:cs="宋体"/>
                <w:color w:val="auto"/>
                <w:szCs w:val="21"/>
              </w:rPr>
              <w:t>用户名称</w:t>
            </w:r>
          </w:p>
        </w:tc>
        <w:tc>
          <w:tcPr>
            <w:tcW w:w="114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auto"/>
                <w:szCs w:val="21"/>
              </w:rPr>
            </w:pPr>
            <w:r>
              <w:rPr>
                <w:rFonts w:hint="eastAsia" w:ascii="宋体" w:hAnsi="宋体" w:cs="宋体"/>
                <w:color w:val="auto"/>
                <w:szCs w:val="21"/>
              </w:rPr>
              <w:t>合同金额</w:t>
            </w:r>
          </w:p>
        </w:tc>
        <w:tc>
          <w:tcPr>
            <w:tcW w:w="1260"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auto"/>
                <w:szCs w:val="21"/>
              </w:rPr>
            </w:pPr>
            <w:r>
              <w:rPr>
                <w:rFonts w:hint="eastAsia" w:ascii="宋体" w:hAnsi="宋体" w:cs="宋体"/>
                <w:color w:val="auto"/>
                <w:szCs w:val="21"/>
              </w:rPr>
              <w:t>合同签订时间</w:t>
            </w:r>
          </w:p>
        </w:tc>
        <w:tc>
          <w:tcPr>
            <w:tcW w:w="2052"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auto"/>
                <w:szCs w:val="21"/>
              </w:rPr>
            </w:pPr>
            <w:r>
              <w:rPr>
                <w:rFonts w:hint="eastAsia" w:ascii="宋体" w:hAnsi="宋体" w:cs="宋体"/>
                <w:color w:val="auto"/>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auto"/>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auto"/>
                <w:szCs w:val="21"/>
              </w:rPr>
            </w:pPr>
          </w:p>
        </w:tc>
      </w:tr>
    </w:tbl>
    <w:p>
      <w:pPr>
        <w:spacing w:line="0" w:lineRule="atLeast"/>
        <w:rPr>
          <w:rFonts w:hint="eastAsia" w:ascii="宋体" w:hAnsi="宋体" w:cs="宋体"/>
          <w:color w:val="auto"/>
          <w:szCs w:val="21"/>
        </w:rPr>
      </w:pPr>
    </w:p>
    <w:p>
      <w:pPr>
        <w:spacing w:line="0" w:lineRule="atLeast"/>
        <w:rPr>
          <w:rFonts w:hint="eastAsia" w:ascii="宋体" w:hAnsi="宋体" w:cs="宋体"/>
          <w:color w:val="auto"/>
          <w:szCs w:val="21"/>
        </w:rPr>
      </w:pP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z w:val="21"/>
          <w:szCs w:val="21"/>
        </w:rPr>
      </w:pPr>
      <w:r>
        <w:rPr>
          <w:rFonts w:hint="eastAsia" w:hAnsi="宋体" w:cs="宋体"/>
          <w:color w:val="auto"/>
          <w:spacing w:val="0"/>
          <w:sz w:val="21"/>
          <w:szCs w:val="21"/>
        </w:rPr>
        <w:t>日    期：</w:t>
      </w:r>
    </w:p>
    <w:p>
      <w:pPr>
        <w:rPr>
          <w:rFonts w:hint="eastAsia"/>
          <w:color w:val="auto"/>
        </w:rPr>
      </w:pPr>
    </w:p>
    <w:p>
      <w:pPr>
        <w:pStyle w:val="10"/>
        <w:numPr>
          <w:ilvl w:val="0"/>
          <w:numId w:val="0"/>
        </w:numPr>
        <w:ind w:left="420"/>
        <w:rPr>
          <w:rFonts w:hint="eastAsia" w:ascii="宋体" w:hAnsi="宋体" w:cs="宋体"/>
          <w:color w:val="auto"/>
        </w:rPr>
      </w:pPr>
    </w:p>
    <w:p>
      <w:pPr>
        <w:rPr>
          <w:rFonts w:hint="eastAsia" w:ascii="宋体" w:hAnsi="宋体" w:cs="宋体"/>
          <w:color w:val="auto"/>
        </w:rPr>
      </w:pPr>
    </w:p>
    <w:p>
      <w:pPr>
        <w:pStyle w:val="15"/>
        <w:widowControl/>
        <w:spacing w:line="360" w:lineRule="auto"/>
        <w:ind w:firstLine="4498" w:firstLineChars="2142"/>
        <w:jc w:val="left"/>
        <w:rPr>
          <w:rFonts w:hint="eastAsia" w:hAnsi="宋体" w:cs="宋体"/>
          <w:color w:val="auto"/>
          <w:spacing w:val="0"/>
          <w:sz w:val="21"/>
          <w:szCs w:val="21"/>
        </w:rPr>
      </w:pPr>
    </w:p>
    <w:p>
      <w:pPr>
        <w:rPr>
          <w:rFonts w:hint="eastAsia" w:ascii="宋体" w:hAnsi="宋体" w:cs="宋体"/>
          <w:color w:val="auto"/>
        </w:rPr>
      </w:pPr>
    </w:p>
    <w:p>
      <w:pPr>
        <w:spacing w:line="360" w:lineRule="auto"/>
        <w:ind w:firstLine="103" w:firstLineChars="49"/>
        <w:rPr>
          <w:rFonts w:hint="eastAsia" w:ascii="宋体" w:hAnsi="宋体" w:cs="宋体"/>
          <w:b/>
          <w:color w:val="auto"/>
          <w:szCs w:val="21"/>
        </w:rPr>
      </w:pPr>
    </w:p>
    <w:p>
      <w:pPr>
        <w:spacing w:line="360" w:lineRule="auto"/>
        <w:rPr>
          <w:rFonts w:hint="eastAsia" w:ascii="宋体" w:hAnsi="宋体" w:cs="宋体"/>
          <w:color w:val="auto"/>
          <w:sz w:val="24"/>
          <w:szCs w:val="21"/>
        </w:rPr>
        <w:sectPr>
          <w:headerReference r:id="rId11" w:type="default"/>
          <w:footerReference r:id="rId12" w:type="default"/>
          <w:pgSz w:w="11907" w:h="16840"/>
          <w:pgMar w:top="1440" w:right="1800" w:bottom="1440" w:left="1800" w:header="720" w:footer="720" w:gutter="0"/>
          <w:pgBorders>
            <w:top w:val="none" w:sz="0" w:space="0"/>
            <w:left w:val="none" w:sz="0" w:space="0"/>
            <w:bottom w:val="none" w:sz="0" w:space="0"/>
            <w:right w:val="none" w:sz="0" w:space="0"/>
          </w:pgBorders>
          <w:cols w:space="720" w:num="1"/>
          <w:docGrid w:linePitch="285" w:charSpace="0"/>
        </w:sectPr>
      </w:pPr>
    </w:p>
    <w:p>
      <w:pPr>
        <w:spacing w:line="360" w:lineRule="auto"/>
        <w:jc w:val="left"/>
        <w:rPr>
          <w:rFonts w:hint="eastAsia" w:ascii="宋体" w:hAnsi="宋体" w:cs="宋体"/>
          <w:b/>
          <w:bCs/>
          <w:color w:val="auto"/>
          <w:szCs w:val="21"/>
        </w:rPr>
      </w:pPr>
      <w:r>
        <w:rPr>
          <w:rFonts w:hint="eastAsia" w:ascii="宋体" w:hAnsi="宋体" w:cs="宋体"/>
          <w:b/>
          <w:bCs/>
          <w:color w:val="auto"/>
          <w:szCs w:val="21"/>
        </w:rPr>
        <w:t>5.商务条款偏离表</w:t>
      </w:r>
    </w:p>
    <w:p>
      <w:pPr>
        <w:pStyle w:val="15"/>
        <w:spacing w:line="400" w:lineRule="exact"/>
        <w:ind w:firstLine="0"/>
        <w:rPr>
          <w:rFonts w:hint="eastAsia" w:hAnsi="宋体" w:cs="宋体"/>
          <w:color w:val="auto"/>
          <w:sz w:val="30"/>
          <w:szCs w:val="30"/>
        </w:rPr>
      </w:pPr>
    </w:p>
    <w:p>
      <w:pPr>
        <w:spacing w:line="360" w:lineRule="auto"/>
        <w:jc w:val="center"/>
        <w:rPr>
          <w:rFonts w:hint="eastAsia" w:ascii="宋体" w:hAnsi="宋体" w:cs="宋体"/>
          <w:b/>
          <w:color w:val="auto"/>
          <w:sz w:val="30"/>
          <w:szCs w:val="30"/>
        </w:rPr>
      </w:pPr>
      <w:r>
        <w:rPr>
          <w:rFonts w:hint="eastAsia" w:ascii="宋体" w:hAnsi="宋体" w:cs="宋体"/>
          <w:b/>
          <w:color w:val="auto"/>
          <w:sz w:val="30"/>
          <w:szCs w:val="30"/>
        </w:rPr>
        <w:t>商务条款偏离表</w:t>
      </w:r>
    </w:p>
    <w:p>
      <w:pPr>
        <w:spacing w:line="360" w:lineRule="auto"/>
        <w:ind w:firstLine="3089"/>
        <w:rPr>
          <w:rFonts w:hint="eastAsia" w:ascii="宋体" w:hAnsi="宋体" w:cs="宋体"/>
          <w:b/>
          <w:color w:val="auto"/>
          <w:szCs w:val="21"/>
        </w:rPr>
      </w:pPr>
    </w:p>
    <w:p>
      <w:pPr>
        <w:spacing w:after="120" w:afterLines="50" w:line="360" w:lineRule="auto"/>
        <w:rPr>
          <w:rFonts w:hint="eastAsia" w:ascii="宋体" w:hAnsi="宋体" w:cs="宋体"/>
          <w:color w:val="auto"/>
          <w:szCs w:val="21"/>
        </w:rPr>
      </w:pPr>
      <w:r>
        <w:rPr>
          <w:rFonts w:hint="eastAsia" w:ascii="宋体" w:hAnsi="宋体" w:cs="宋体"/>
          <w:color w:val="auto"/>
          <w:szCs w:val="21"/>
        </w:rPr>
        <w:t xml:space="preserve">项目名称：                                     项目编号：                 </w:t>
      </w:r>
    </w:p>
    <w:tbl>
      <w:tblPr>
        <w:tblStyle w:val="39"/>
        <w:tblW w:w="9213"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0"/>
        <w:gridCol w:w="3098"/>
        <w:gridCol w:w="2694"/>
        <w:gridCol w:w="25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noWrap w:val="0"/>
            <w:vAlign w:val="center"/>
          </w:tcPr>
          <w:p>
            <w:pPr>
              <w:pStyle w:val="19"/>
              <w:spacing w:beforeLines="0" w:afterLines="0"/>
              <w:rPr>
                <w:rFonts w:hint="eastAsia" w:hAnsi="宋体" w:cs="宋体"/>
                <w:color w:val="auto"/>
                <w:sz w:val="21"/>
                <w:szCs w:val="21"/>
              </w:rPr>
            </w:pPr>
            <w:r>
              <w:rPr>
                <w:rFonts w:hint="eastAsia" w:hAnsi="宋体" w:cs="宋体"/>
                <w:color w:val="auto"/>
                <w:sz w:val="21"/>
                <w:szCs w:val="21"/>
              </w:rPr>
              <w:t>序号</w:t>
            </w:r>
          </w:p>
        </w:tc>
        <w:tc>
          <w:tcPr>
            <w:tcW w:w="3098" w:type="dxa"/>
            <w:noWrap w:val="0"/>
            <w:vAlign w:val="center"/>
          </w:tcPr>
          <w:p>
            <w:pPr>
              <w:pStyle w:val="19"/>
              <w:spacing w:beforeLines="0" w:afterLines="0"/>
              <w:rPr>
                <w:rFonts w:hint="eastAsia" w:hAnsi="宋体" w:cs="宋体"/>
                <w:color w:val="auto"/>
                <w:sz w:val="21"/>
                <w:szCs w:val="21"/>
              </w:rPr>
            </w:pPr>
            <w:r>
              <w:rPr>
                <w:rFonts w:hint="eastAsia" w:hAnsi="宋体" w:cs="宋体"/>
                <w:color w:val="auto"/>
                <w:sz w:val="21"/>
                <w:szCs w:val="21"/>
              </w:rPr>
              <w:t>招标文件的商务条款</w:t>
            </w:r>
          </w:p>
        </w:tc>
        <w:tc>
          <w:tcPr>
            <w:tcW w:w="2694" w:type="dxa"/>
            <w:noWrap w:val="0"/>
            <w:vAlign w:val="center"/>
          </w:tcPr>
          <w:p>
            <w:pPr>
              <w:pStyle w:val="19"/>
              <w:spacing w:beforeLines="0" w:afterLines="0"/>
              <w:rPr>
                <w:rFonts w:hint="eastAsia" w:hAnsi="宋体" w:cs="宋体"/>
                <w:color w:val="auto"/>
                <w:sz w:val="21"/>
                <w:szCs w:val="21"/>
              </w:rPr>
            </w:pPr>
            <w:r>
              <w:rPr>
                <w:rFonts w:hint="eastAsia" w:hAnsi="宋体" w:cs="宋体"/>
                <w:color w:val="auto"/>
                <w:sz w:val="21"/>
                <w:szCs w:val="21"/>
              </w:rPr>
              <w:t>投标文件的商务条款</w:t>
            </w:r>
          </w:p>
        </w:tc>
        <w:tc>
          <w:tcPr>
            <w:tcW w:w="2551" w:type="dxa"/>
            <w:noWrap w:val="0"/>
            <w:vAlign w:val="center"/>
          </w:tcPr>
          <w:p>
            <w:pPr>
              <w:pStyle w:val="19"/>
              <w:spacing w:beforeLines="0" w:afterLines="0"/>
              <w:rPr>
                <w:rFonts w:hint="eastAsia" w:hAnsi="宋体" w:cs="宋体"/>
                <w:color w:val="auto"/>
                <w:sz w:val="21"/>
                <w:szCs w:val="21"/>
              </w:rPr>
            </w:pPr>
            <w:r>
              <w:rPr>
                <w:rFonts w:hint="eastAsia" w:hAnsi="宋体" w:cs="宋体"/>
                <w:color w:val="auto"/>
                <w:sz w:val="21"/>
                <w:szCs w:val="21"/>
              </w:rPr>
              <w:t>说明（填写：正偏离/负偏离/无偏离）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3098"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694"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c>
          <w:tcPr>
            <w:tcW w:w="2551" w:type="dxa"/>
            <w:noWrap w:val="0"/>
            <w:vAlign w:val="top"/>
          </w:tcPr>
          <w:p>
            <w:pPr>
              <w:pStyle w:val="19"/>
              <w:snapToGrid w:val="0"/>
              <w:spacing w:before="120" w:beforeLines="0" w:after="120" w:afterLines="0"/>
              <w:ind w:firstLine="542"/>
              <w:rPr>
                <w:rFonts w:hint="eastAsia" w:hAnsi="宋体" w:cs="宋体"/>
                <w:color w:val="auto"/>
                <w:sz w:val="21"/>
                <w:szCs w:val="21"/>
                <w:u w:val="single"/>
              </w:rPr>
            </w:pPr>
          </w:p>
        </w:tc>
      </w:tr>
    </w:tbl>
    <w:p>
      <w:pPr>
        <w:snapToGrid w:val="0"/>
        <w:spacing w:line="360" w:lineRule="auto"/>
        <w:rPr>
          <w:rFonts w:hint="eastAsia" w:ascii="宋体" w:hAnsi="宋体" w:cs="宋体"/>
          <w:b/>
          <w:color w:val="auto"/>
          <w:szCs w:val="21"/>
        </w:rPr>
      </w:pPr>
      <w:r>
        <w:rPr>
          <w:rFonts w:hint="eastAsia" w:ascii="宋体" w:hAnsi="宋体" w:cs="宋体"/>
          <w:b/>
          <w:color w:val="auto"/>
          <w:szCs w:val="21"/>
        </w:rPr>
        <w:t>注：对照招标文件第二章采购需求中“商务需求”要求逐条填写，并在“偏离情况”栏注明“正偏离”、“负偏离”或“无偏离”。</w:t>
      </w:r>
    </w:p>
    <w:p>
      <w:pPr>
        <w:pStyle w:val="15"/>
        <w:spacing w:line="360" w:lineRule="auto"/>
        <w:ind w:left="404" w:hanging="404" w:hangingChars="200"/>
        <w:rPr>
          <w:rFonts w:hint="eastAsia" w:hAnsi="宋体" w:cs="宋体"/>
          <w:color w:val="auto"/>
          <w:sz w:val="21"/>
          <w:szCs w:val="21"/>
        </w:rPr>
      </w:pPr>
    </w:p>
    <w:p>
      <w:pPr>
        <w:widowControl/>
        <w:spacing w:line="360" w:lineRule="auto"/>
        <w:jc w:val="left"/>
        <w:rPr>
          <w:rFonts w:hint="eastAsia" w:ascii="宋体" w:hAnsi="宋体" w:cs="宋体"/>
          <w:color w:val="auto"/>
          <w:sz w:val="24"/>
        </w:rPr>
      </w:pP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pacing w:val="0"/>
          <w:sz w:val="21"/>
          <w:szCs w:val="21"/>
        </w:rPr>
      </w:pPr>
      <w:r>
        <w:rPr>
          <w:rFonts w:hint="eastAsia" w:hAnsi="宋体" w:cs="宋体"/>
          <w:color w:val="auto"/>
          <w:spacing w:val="0"/>
          <w:sz w:val="21"/>
          <w:szCs w:val="21"/>
        </w:rPr>
        <w:t>日    期：</w:t>
      </w:r>
    </w:p>
    <w:p>
      <w:pPr>
        <w:spacing w:line="360" w:lineRule="auto"/>
        <w:jc w:val="left"/>
        <w:rPr>
          <w:rFonts w:hint="eastAsia" w:ascii="宋体" w:hAnsi="宋体" w:cs="宋体"/>
          <w:b/>
          <w:bCs/>
          <w:color w:val="auto"/>
          <w:szCs w:val="21"/>
        </w:rPr>
      </w:pPr>
      <w:r>
        <w:rPr>
          <w:rFonts w:hint="eastAsia" w:ascii="宋体" w:hAnsi="宋体" w:cs="宋体"/>
          <w:color w:val="auto"/>
          <w:szCs w:val="21"/>
        </w:rPr>
        <w:br w:type="page"/>
      </w:r>
      <w:r>
        <w:rPr>
          <w:rFonts w:hint="eastAsia" w:ascii="宋体" w:hAnsi="宋体" w:cs="宋体"/>
          <w:b/>
          <w:bCs/>
          <w:color w:val="auto"/>
          <w:szCs w:val="21"/>
        </w:rPr>
        <w:t>6.项目负责人简介</w:t>
      </w:r>
    </w:p>
    <w:p>
      <w:pPr>
        <w:spacing w:before="120" w:after="120"/>
        <w:jc w:val="center"/>
        <w:rPr>
          <w:rFonts w:hint="eastAsia" w:ascii="宋体" w:hAnsi="宋体" w:cs="宋体"/>
          <w:color w:val="auto"/>
          <w:sz w:val="30"/>
          <w:szCs w:val="30"/>
        </w:rPr>
      </w:pPr>
    </w:p>
    <w:p>
      <w:pPr>
        <w:spacing w:before="120" w:after="120"/>
        <w:jc w:val="center"/>
        <w:rPr>
          <w:rFonts w:hint="eastAsia" w:ascii="宋体" w:hAnsi="宋体" w:cs="宋体"/>
          <w:b/>
          <w:bCs/>
          <w:color w:val="auto"/>
          <w:spacing w:val="20"/>
          <w:sz w:val="30"/>
          <w:szCs w:val="30"/>
        </w:rPr>
      </w:pPr>
      <w:r>
        <w:rPr>
          <w:rFonts w:hint="eastAsia" w:ascii="宋体" w:hAnsi="宋体" w:cs="宋体"/>
          <w:b/>
          <w:bCs/>
          <w:color w:val="auto"/>
          <w:spacing w:val="20"/>
          <w:sz w:val="30"/>
          <w:szCs w:val="30"/>
        </w:rPr>
        <w:t>项目负责人简历表</w:t>
      </w:r>
    </w:p>
    <w:p>
      <w:pPr>
        <w:spacing w:before="120" w:after="120"/>
        <w:jc w:val="center"/>
        <w:rPr>
          <w:rFonts w:hint="eastAsia" w:ascii="宋体" w:hAnsi="宋体" w:cs="宋体"/>
          <w:b/>
          <w:bCs/>
          <w:color w:val="auto"/>
          <w:spacing w:val="20"/>
          <w:szCs w:val="21"/>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姓    名</w:t>
            </w:r>
          </w:p>
        </w:tc>
        <w:tc>
          <w:tcPr>
            <w:tcW w:w="1420" w:type="dxa"/>
            <w:noWrap w:val="0"/>
            <w:vAlign w:val="top"/>
          </w:tcPr>
          <w:p>
            <w:pPr>
              <w:spacing w:line="500" w:lineRule="exact"/>
              <w:ind w:right="25" w:rightChars="12"/>
              <w:jc w:val="center"/>
              <w:rPr>
                <w:rFonts w:hint="eastAsia" w:ascii="宋体" w:hAnsi="宋体" w:cs="宋体"/>
                <w:color w:val="auto"/>
                <w:szCs w:val="21"/>
              </w:rPr>
            </w:pPr>
          </w:p>
        </w:tc>
        <w:tc>
          <w:tcPr>
            <w:tcW w:w="1421" w:type="dxa"/>
            <w:gridSpan w:val="3"/>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性   别</w:t>
            </w:r>
          </w:p>
        </w:tc>
        <w:tc>
          <w:tcPr>
            <w:tcW w:w="1420" w:type="dxa"/>
            <w:noWrap w:val="0"/>
            <w:vAlign w:val="top"/>
          </w:tcPr>
          <w:p>
            <w:pPr>
              <w:spacing w:line="500" w:lineRule="exact"/>
              <w:ind w:right="25" w:rightChars="12"/>
              <w:jc w:val="center"/>
              <w:rPr>
                <w:rFonts w:hint="eastAsia" w:ascii="宋体" w:hAnsi="宋体" w:cs="宋体"/>
                <w:color w:val="auto"/>
                <w:szCs w:val="21"/>
              </w:rPr>
            </w:pPr>
          </w:p>
        </w:tc>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出生年月</w:t>
            </w:r>
          </w:p>
        </w:tc>
        <w:tc>
          <w:tcPr>
            <w:tcW w:w="1421" w:type="dxa"/>
            <w:noWrap w:val="0"/>
            <w:vAlign w:val="top"/>
          </w:tcPr>
          <w:p>
            <w:pPr>
              <w:spacing w:line="500" w:lineRule="exact"/>
              <w:ind w:right="25" w:rightChars="12"/>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专    业</w:t>
            </w:r>
          </w:p>
        </w:tc>
        <w:tc>
          <w:tcPr>
            <w:tcW w:w="1420" w:type="dxa"/>
            <w:noWrap w:val="0"/>
            <w:vAlign w:val="top"/>
          </w:tcPr>
          <w:p>
            <w:pPr>
              <w:spacing w:line="500" w:lineRule="exact"/>
              <w:ind w:right="25" w:rightChars="12"/>
              <w:jc w:val="center"/>
              <w:rPr>
                <w:rFonts w:hint="eastAsia" w:ascii="宋体" w:hAnsi="宋体" w:cs="宋体"/>
                <w:color w:val="auto"/>
                <w:szCs w:val="21"/>
              </w:rPr>
            </w:pPr>
          </w:p>
        </w:tc>
        <w:tc>
          <w:tcPr>
            <w:tcW w:w="1421" w:type="dxa"/>
            <w:gridSpan w:val="3"/>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学   历</w:t>
            </w:r>
          </w:p>
        </w:tc>
        <w:tc>
          <w:tcPr>
            <w:tcW w:w="1420" w:type="dxa"/>
            <w:noWrap w:val="0"/>
            <w:vAlign w:val="top"/>
          </w:tcPr>
          <w:p>
            <w:pPr>
              <w:spacing w:line="500" w:lineRule="exact"/>
              <w:ind w:right="25" w:rightChars="12"/>
              <w:jc w:val="center"/>
              <w:rPr>
                <w:rFonts w:hint="eastAsia" w:ascii="宋体" w:hAnsi="宋体" w:cs="宋体"/>
                <w:color w:val="auto"/>
                <w:szCs w:val="21"/>
              </w:rPr>
            </w:pPr>
          </w:p>
        </w:tc>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职     称</w:t>
            </w:r>
          </w:p>
        </w:tc>
        <w:tc>
          <w:tcPr>
            <w:tcW w:w="1421" w:type="dxa"/>
            <w:noWrap w:val="0"/>
            <w:vAlign w:val="top"/>
          </w:tcPr>
          <w:p>
            <w:pPr>
              <w:spacing w:line="500" w:lineRule="exact"/>
              <w:ind w:right="25" w:rightChars="12"/>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何时参加工作</w:t>
            </w:r>
          </w:p>
        </w:tc>
        <w:tc>
          <w:tcPr>
            <w:tcW w:w="7102" w:type="dxa"/>
            <w:gridSpan w:val="7"/>
            <w:noWrap w:val="0"/>
            <w:vAlign w:val="top"/>
          </w:tcPr>
          <w:p>
            <w:pPr>
              <w:spacing w:line="500" w:lineRule="exact"/>
              <w:ind w:right="25" w:rightChars="12"/>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何时进入公司</w:t>
            </w:r>
          </w:p>
        </w:tc>
        <w:tc>
          <w:tcPr>
            <w:tcW w:w="7102" w:type="dxa"/>
            <w:gridSpan w:val="7"/>
            <w:noWrap w:val="0"/>
            <w:vAlign w:val="top"/>
          </w:tcPr>
          <w:p>
            <w:pPr>
              <w:spacing w:line="500" w:lineRule="exact"/>
              <w:ind w:right="25" w:rightChars="12"/>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从事项目年限</w:t>
            </w:r>
          </w:p>
        </w:tc>
        <w:tc>
          <w:tcPr>
            <w:tcW w:w="7102" w:type="dxa"/>
            <w:gridSpan w:val="7"/>
            <w:noWrap w:val="0"/>
            <w:vAlign w:val="top"/>
          </w:tcPr>
          <w:p>
            <w:pPr>
              <w:spacing w:line="500" w:lineRule="exact"/>
              <w:ind w:right="25" w:rightChars="12"/>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gridSpan w:val="8"/>
            <w:noWrap w:val="0"/>
            <w:vAlign w:val="top"/>
          </w:tcPr>
          <w:p>
            <w:pPr>
              <w:spacing w:line="500" w:lineRule="exact"/>
              <w:ind w:right="25" w:rightChars="12"/>
              <w:jc w:val="center"/>
              <w:rPr>
                <w:rFonts w:hint="eastAsia" w:ascii="宋体" w:hAnsi="宋体" w:cs="宋体"/>
                <w:b/>
                <w:color w:val="auto"/>
                <w:szCs w:val="21"/>
              </w:rPr>
            </w:pPr>
            <w:r>
              <w:rPr>
                <w:rFonts w:hint="eastAsia" w:ascii="宋体" w:hAnsi="宋体" w:cs="宋体"/>
                <w:color w:val="auto"/>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业主单位</w:t>
            </w:r>
          </w:p>
        </w:tc>
        <w:tc>
          <w:tcPr>
            <w:tcW w:w="1928" w:type="dxa"/>
            <w:gridSpan w:val="2"/>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项目名称</w:t>
            </w:r>
          </w:p>
        </w:tc>
        <w:tc>
          <w:tcPr>
            <w:tcW w:w="720" w:type="dxa"/>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规模</w:t>
            </w:r>
          </w:p>
        </w:tc>
        <w:tc>
          <w:tcPr>
            <w:tcW w:w="1613" w:type="dxa"/>
            <w:gridSpan w:val="2"/>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合同时间</w:t>
            </w:r>
          </w:p>
        </w:tc>
        <w:tc>
          <w:tcPr>
            <w:tcW w:w="2841" w:type="dxa"/>
            <w:gridSpan w:val="2"/>
            <w:noWrap w:val="0"/>
            <w:vAlign w:val="top"/>
          </w:tcPr>
          <w:p>
            <w:pPr>
              <w:spacing w:line="500" w:lineRule="exact"/>
              <w:ind w:right="25" w:rightChars="12"/>
              <w:jc w:val="center"/>
              <w:rPr>
                <w:rFonts w:hint="eastAsia" w:ascii="宋体" w:hAnsi="宋体" w:cs="宋体"/>
                <w:color w:val="auto"/>
                <w:szCs w:val="21"/>
              </w:rPr>
            </w:pPr>
            <w:r>
              <w:rPr>
                <w:rFonts w:hint="eastAsia" w:ascii="宋体" w:hAnsi="宋体" w:cs="宋体"/>
                <w:color w:val="auto"/>
                <w:szCs w:val="21"/>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360" w:lineRule="auto"/>
              <w:ind w:right="25" w:rightChars="12"/>
              <w:jc w:val="center"/>
              <w:rPr>
                <w:rFonts w:hint="eastAsia" w:ascii="宋体" w:hAnsi="宋体" w:cs="宋体"/>
                <w:b/>
                <w:color w:val="auto"/>
                <w:szCs w:val="21"/>
              </w:rPr>
            </w:pPr>
          </w:p>
        </w:tc>
        <w:tc>
          <w:tcPr>
            <w:tcW w:w="1928" w:type="dxa"/>
            <w:gridSpan w:val="2"/>
            <w:noWrap w:val="0"/>
            <w:vAlign w:val="top"/>
          </w:tcPr>
          <w:p>
            <w:pPr>
              <w:spacing w:line="360" w:lineRule="auto"/>
              <w:ind w:right="25" w:rightChars="12"/>
              <w:jc w:val="center"/>
              <w:rPr>
                <w:rFonts w:hint="eastAsia" w:ascii="宋体" w:hAnsi="宋体" w:cs="宋体"/>
                <w:b/>
                <w:color w:val="auto"/>
                <w:szCs w:val="21"/>
              </w:rPr>
            </w:pPr>
          </w:p>
        </w:tc>
        <w:tc>
          <w:tcPr>
            <w:tcW w:w="720" w:type="dxa"/>
            <w:noWrap w:val="0"/>
            <w:vAlign w:val="top"/>
          </w:tcPr>
          <w:p>
            <w:pPr>
              <w:spacing w:line="360" w:lineRule="auto"/>
              <w:ind w:right="25" w:rightChars="12"/>
              <w:jc w:val="center"/>
              <w:rPr>
                <w:rFonts w:hint="eastAsia" w:ascii="宋体" w:hAnsi="宋体" w:cs="宋体"/>
                <w:b/>
                <w:color w:val="auto"/>
                <w:szCs w:val="21"/>
              </w:rPr>
            </w:pPr>
          </w:p>
        </w:tc>
        <w:tc>
          <w:tcPr>
            <w:tcW w:w="1613" w:type="dxa"/>
            <w:gridSpan w:val="2"/>
            <w:noWrap w:val="0"/>
            <w:vAlign w:val="top"/>
          </w:tcPr>
          <w:p>
            <w:pPr>
              <w:spacing w:line="360" w:lineRule="auto"/>
              <w:ind w:right="25" w:rightChars="12"/>
              <w:jc w:val="center"/>
              <w:rPr>
                <w:rFonts w:hint="eastAsia" w:ascii="宋体" w:hAnsi="宋体" w:cs="宋体"/>
                <w:b/>
                <w:color w:val="auto"/>
                <w:szCs w:val="21"/>
              </w:rPr>
            </w:pPr>
          </w:p>
        </w:tc>
        <w:tc>
          <w:tcPr>
            <w:tcW w:w="2841" w:type="dxa"/>
            <w:gridSpan w:val="2"/>
            <w:noWrap w:val="0"/>
            <w:vAlign w:val="top"/>
          </w:tcPr>
          <w:p>
            <w:pPr>
              <w:spacing w:line="360" w:lineRule="auto"/>
              <w:ind w:right="25" w:rightChars="12"/>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80" w:lineRule="exact"/>
              <w:ind w:right="25" w:rightChars="12"/>
              <w:jc w:val="center"/>
              <w:rPr>
                <w:rFonts w:hint="eastAsia" w:ascii="宋体" w:hAnsi="宋体" w:cs="宋体"/>
                <w:b/>
                <w:color w:val="auto"/>
                <w:szCs w:val="21"/>
              </w:rPr>
            </w:pPr>
          </w:p>
        </w:tc>
        <w:tc>
          <w:tcPr>
            <w:tcW w:w="1928" w:type="dxa"/>
            <w:gridSpan w:val="2"/>
            <w:noWrap w:val="0"/>
            <w:vAlign w:val="top"/>
          </w:tcPr>
          <w:p>
            <w:pPr>
              <w:spacing w:line="580" w:lineRule="exact"/>
              <w:ind w:right="25" w:rightChars="12"/>
              <w:jc w:val="center"/>
              <w:rPr>
                <w:rFonts w:hint="eastAsia" w:ascii="宋体" w:hAnsi="宋体" w:cs="宋体"/>
                <w:b/>
                <w:color w:val="auto"/>
                <w:szCs w:val="21"/>
              </w:rPr>
            </w:pPr>
          </w:p>
        </w:tc>
        <w:tc>
          <w:tcPr>
            <w:tcW w:w="720" w:type="dxa"/>
            <w:noWrap w:val="0"/>
            <w:vAlign w:val="top"/>
          </w:tcPr>
          <w:p>
            <w:pPr>
              <w:spacing w:line="580" w:lineRule="exact"/>
              <w:ind w:right="25" w:rightChars="12"/>
              <w:jc w:val="center"/>
              <w:rPr>
                <w:rFonts w:hint="eastAsia" w:ascii="宋体" w:hAnsi="宋体" w:cs="宋体"/>
                <w:b/>
                <w:color w:val="auto"/>
                <w:szCs w:val="21"/>
              </w:rPr>
            </w:pPr>
          </w:p>
        </w:tc>
        <w:tc>
          <w:tcPr>
            <w:tcW w:w="1613" w:type="dxa"/>
            <w:gridSpan w:val="2"/>
            <w:noWrap w:val="0"/>
            <w:vAlign w:val="top"/>
          </w:tcPr>
          <w:p>
            <w:pPr>
              <w:spacing w:line="580" w:lineRule="exact"/>
              <w:ind w:right="25" w:rightChars="12"/>
              <w:jc w:val="center"/>
              <w:rPr>
                <w:rFonts w:hint="eastAsia" w:ascii="宋体" w:hAnsi="宋体" w:cs="宋体"/>
                <w:b/>
                <w:color w:val="auto"/>
                <w:szCs w:val="21"/>
              </w:rPr>
            </w:pPr>
          </w:p>
        </w:tc>
        <w:tc>
          <w:tcPr>
            <w:tcW w:w="2841" w:type="dxa"/>
            <w:gridSpan w:val="2"/>
            <w:noWrap w:val="0"/>
            <w:vAlign w:val="top"/>
          </w:tcPr>
          <w:p>
            <w:pPr>
              <w:spacing w:line="580" w:lineRule="exact"/>
              <w:ind w:right="25" w:rightChars="12"/>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80" w:lineRule="exact"/>
              <w:ind w:right="25" w:rightChars="12"/>
              <w:jc w:val="center"/>
              <w:rPr>
                <w:rFonts w:hint="eastAsia" w:ascii="宋体" w:hAnsi="宋体" w:cs="宋体"/>
                <w:b/>
                <w:color w:val="auto"/>
                <w:szCs w:val="21"/>
              </w:rPr>
            </w:pPr>
          </w:p>
        </w:tc>
        <w:tc>
          <w:tcPr>
            <w:tcW w:w="1928" w:type="dxa"/>
            <w:gridSpan w:val="2"/>
            <w:noWrap w:val="0"/>
            <w:vAlign w:val="top"/>
          </w:tcPr>
          <w:p>
            <w:pPr>
              <w:spacing w:line="580" w:lineRule="exact"/>
              <w:ind w:right="25" w:rightChars="12"/>
              <w:jc w:val="center"/>
              <w:rPr>
                <w:rFonts w:hint="eastAsia" w:ascii="宋体" w:hAnsi="宋体" w:cs="宋体"/>
                <w:b/>
                <w:color w:val="auto"/>
                <w:szCs w:val="21"/>
              </w:rPr>
            </w:pPr>
          </w:p>
        </w:tc>
        <w:tc>
          <w:tcPr>
            <w:tcW w:w="720" w:type="dxa"/>
            <w:noWrap w:val="0"/>
            <w:vAlign w:val="top"/>
          </w:tcPr>
          <w:p>
            <w:pPr>
              <w:spacing w:line="580" w:lineRule="exact"/>
              <w:ind w:right="25" w:rightChars="12"/>
              <w:jc w:val="center"/>
              <w:rPr>
                <w:rFonts w:hint="eastAsia" w:ascii="宋体" w:hAnsi="宋体" w:cs="宋体"/>
                <w:b/>
                <w:color w:val="auto"/>
                <w:szCs w:val="21"/>
              </w:rPr>
            </w:pPr>
          </w:p>
        </w:tc>
        <w:tc>
          <w:tcPr>
            <w:tcW w:w="1613" w:type="dxa"/>
            <w:gridSpan w:val="2"/>
            <w:noWrap w:val="0"/>
            <w:vAlign w:val="top"/>
          </w:tcPr>
          <w:p>
            <w:pPr>
              <w:spacing w:line="580" w:lineRule="exact"/>
              <w:ind w:right="25" w:rightChars="12"/>
              <w:jc w:val="center"/>
              <w:rPr>
                <w:rFonts w:hint="eastAsia" w:ascii="宋体" w:hAnsi="宋体" w:cs="宋体"/>
                <w:b/>
                <w:color w:val="auto"/>
                <w:szCs w:val="21"/>
              </w:rPr>
            </w:pPr>
          </w:p>
        </w:tc>
        <w:tc>
          <w:tcPr>
            <w:tcW w:w="2841" w:type="dxa"/>
            <w:gridSpan w:val="2"/>
            <w:noWrap w:val="0"/>
            <w:vAlign w:val="top"/>
          </w:tcPr>
          <w:p>
            <w:pPr>
              <w:spacing w:line="580" w:lineRule="exact"/>
              <w:ind w:right="25" w:rightChars="12"/>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80" w:lineRule="exact"/>
              <w:ind w:right="25" w:rightChars="12"/>
              <w:jc w:val="center"/>
              <w:rPr>
                <w:rFonts w:hint="eastAsia" w:ascii="宋体" w:hAnsi="宋体" w:cs="宋体"/>
                <w:b/>
                <w:color w:val="auto"/>
                <w:szCs w:val="21"/>
              </w:rPr>
            </w:pPr>
          </w:p>
        </w:tc>
        <w:tc>
          <w:tcPr>
            <w:tcW w:w="1928" w:type="dxa"/>
            <w:gridSpan w:val="2"/>
            <w:noWrap w:val="0"/>
            <w:vAlign w:val="top"/>
          </w:tcPr>
          <w:p>
            <w:pPr>
              <w:spacing w:line="580" w:lineRule="exact"/>
              <w:ind w:right="25" w:rightChars="12"/>
              <w:jc w:val="center"/>
              <w:rPr>
                <w:rFonts w:hint="eastAsia" w:ascii="宋体" w:hAnsi="宋体" w:cs="宋体"/>
                <w:b/>
                <w:color w:val="auto"/>
                <w:szCs w:val="21"/>
              </w:rPr>
            </w:pPr>
          </w:p>
        </w:tc>
        <w:tc>
          <w:tcPr>
            <w:tcW w:w="720" w:type="dxa"/>
            <w:noWrap w:val="0"/>
            <w:vAlign w:val="top"/>
          </w:tcPr>
          <w:p>
            <w:pPr>
              <w:spacing w:line="580" w:lineRule="exact"/>
              <w:ind w:right="25" w:rightChars="12"/>
              <w:jc w:val="center"/>
              <w:rPr>
                <w:rFonts w:hint="eastAsia" w:ascii="宋体" w:hAnsi="宋体" w:cs="宋体"/>
                <w:b/>
                <w:color w:val="auto"/>
                <w:szCs w:val="21"/>
              </w:rPr>
            </w:pPr>
          </w:p>
        </w:tc>
        <w:tc>
          <w:tcPr>
            <w:tcW w:w="1613" w:type="dxa"/>
            <w:gridSpan w:val="2"/>
            <w:noWrap w:val="0"/>
            <w:vAlign w:val="top"/>
          </w:tcPr>
          <w:p>
            <w:pPr>
              <w:spacing w:line="580" w:lineRule="exact"/>
              <w:ind w:right="25" w:rightChars="12"/>
              <w:jc w:val="center"/>
              <w:rPr>
                <w:rFonts w:hint="eastAsia" w:ascii="宋体" w:hAnsi="宋体" w:cs="宋体"/>
                <w:b/>
                <w:color w:val="auto"/>
                <w:szCs w:val="21"/>
              </w:rPr>
            </w:pPr>
          </w:p>
        </w:tc>
        <w:tc>
          <w:tcPr>
            <w:tcW w:w="2841" w:type="dxa"/>
            <w:gridSpan w:val="2"/>
            <w:noWrap w:val="0"/>
            <w:vAlign w:val="top"/>
          </w:tcPr>
          <w:p>
            <w:pPr>
              <w:spacing w:line="580" w:lineRule="exact"/>
              <w:ind w:right="25" w:rightChars="12"/>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80" w:lineRule="exact"/>
              <w:ind w:right="25" w:rightChars="12"/>
              <w:jc w:val="center"/>
              <w:rPr>
                <w:rFonts w:hint="eastAsia" w:ascii="宋体" w:hAnsi="宋体" w:cs="宋体"/>
                <w:b/>
                <w:color w:val="auto"/>
                <w:szCs w:val="21"/>
              </w:rPr>
            </w:pPr>
          </w:p>
        </w:tc>
        <w:tc>
          <w:tcPr>
            <w:tcW w:w="1928" w:type="dxa"/>
            <w:gridSpan w:val="2"/>
            <w:noWrap w:val="0"/>
            <w:vAlign w:val="top"/>
          </w:tcPr>
          <w:p>
            <w:pPr>
              <w:spacing w:line="580" w:lineRule="exact"/>
              <w:ind w:right="25" w:rightChars="12"/>
              <w:jc w:val="center"/>
              <w:rPr>
                <w:rFonts w:hint="eastAsia" w:ascii="宋体" w:hAnsi="宋体" w:cs="宋体"/>
                <w:b/>
                <w:color w:val="auto"/>
                <w:szCs w:val="21"/>
              </w:rPr>
            </w:pPr>
          </w:p>
        </w:tc>
        <w:tc>
          <w:tcPr>
            <w:tcW w:w="720" w:type="dxa"/>
            <w:noWrap w:val="0"/>
            <w:vAlign w:val="top"/>
          </w:tcPr>
          <w:p>
            <w:pPr>
              <w:spacing w:line="580" w:lineRule="exact"/>
              <w:ind w:right="25" w:rightChars="12"/>
              <w:jc w:val="center"/>
              <w:rPr>
                <w:rFonts w:hint="eastAsia" w:ascii="宋体" w:hAnsi="宋体" w:cs="宋体"/>
                <w:b/>
                <w:color w:val="auto"/>
                <w:szCs w:val="21"/>
              </w:rPr>
            </w:pPr>
          </w:p>
        </w:tc>
        <w:tc>
          <w:tcPr>
            <w:tcW w:w="1613" w:type="dxa"/>
            <w:gridSpan w:val="2"/>
            <w:noWrap w:val="0"/>
            <w:vAlign w:val="top"/>
          </w:tcPr>
          <w:p>
            <w:pPr>
              <w:spacing w:line="580" w:lineRule="exact"/>
              <w:ind w:right="25" w:rightChars="12"/>
              <w:jc w:val="center"/>
              <w:rPr>
                <w:rFonts w:hint="eastAsia" w:ascii="宋体" w:hAnsi="宋体" w:cs="宋体"/>
                <w:b/>
                <w:color w:val="auto"/>
                <w:szCs w:val="21"/>
              </w:rPr>
            </w:pPr>
          </w:p>
        </w:tc>
        <w:tc>
          <w:tcPr>
            <w:tcW w:w="2841" w:type="dxa"/>
            <w:gridSpan w:val="2"/>
            <w:noWrap w:val="0"/>
            <w:vAlign w:val="top"/>
          </w:tcPr>
          <w:p>
            <w:pPr>
              <w:spacing w:line="580" w:lineRule="exact"/>
              <w:ind w:right="25" w:rightChars="12"/>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80" w:lineRule="exact"/>
              <w:ind w:right="25" w:rightChars="12"/>
              <w:jc w:val="center"/>
              <w:rPr>
                <w:rFonts w:hint="eastAsia" w:ascii="宋体" w:hAnsi="宋体" w:cs="宋体"/>
                <w:b/>
                <w:color w:val="auto"/>
                <w:szCs w:val="21"/>
              </w:rPr>
            </w:pPr>
          </w:p>
        </w:tc>
        <w:tc>
          <w:tcPr>
            <w:tcW w:w="1928" w:type="dxa"/>
            <w:gridSpan w:val="2"/>
            <w:noWrap w:val="0"/>
            <w:vAlign w:val="top"/>
          </w:tcPr>
          <w:p>
            <w:pPr>
              <w:spacing w:line="580" w:lineRule="exact"/>
              <w:ind w:right="25" w:rightChars="12"/>
              <w:jc w:val="center"/>
              <w:rPr>
                <w:rFonts w:hint="eastAsia" w:ascii="宋体" w:hAnsi="宋体" w:cs="宋体"/>
                <w:b/>
                <w:color w:val="auto"/>
                <w:szCs w:val="21"/>
              </w:rPr>
            </w:pPr>
          </w:p>
        </w:tc>
        <w:tc>
          <w:tcPr>
            <w:tcW w:w="720" w:type="dxa"/>
            <w:noWrap w:val="0"/>
            <w:vAlign w:val="top"/>
          </w:tcPr>
          <w:p>
            <w:pPr>
              <w:spacing w:line="580" w:lineRule="exact"/>
              <w:ind w:right="25" w:rightChars="12"/>
              <w:jc w:val="center"/>
              <w:rPr>
                <w:rFonts w:hint="eastAsia" w:ascii="宋体" w:hAnsi="宋体" w:cs="宋体"/>
                <w:b/>
                <w:color w:val="auto"/>
                <w:szCs w:val="21"/>
              </w:rPr>
            </w:pPr>
          </w:p>
        </w:tc>
        <w:tc>
          <w:tcPr>
            <w:tcW w:w="1613" w:type="dxa"/>
            <w:gridSpan w:val="2"/>
            <w:noWrap w:val="0"/>
            <w:vAlign w:val="top"/>
          </w:tcPr>
          <w:p>
            <w:pPr>
              <w:spacing w:line="580" w:lineRule="exact"/>
              <w:ind w:right="25" w:rightChars="12"/>
              <w:jc w:val="center"/>
              <w:rPr>
                <w:rFonts w:hint="eastAsia" w:ascii="宋体" w:hAnsi="宋体" w:cs="宋体"/>
                <w:b/>
                <w:color w:val="auto"/>
                <w:szCs w:val="21"/>
              </w:rPr>
            </w:pPr>
          </w:p>
        </w:tc>
        <w:tc>
          <w:tcPr>
            <w:tcW w:w="2841" w:type="dxa"/>
            <w:gridSpan w:val="2"/>
            <w:noWrap w:val="0"/>
            <w:vAlign w:val="top"/>
          </w:tcPr>
          <w:p>
            <w:pPr>
              <w:spacing w:line="580" w:lineRule="exact"/>
              <w:ind w:right="25" w:rightChars="12"/>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noWrap w:val="0"/>
            <w:vAlign w:val="top"/>
          </w:tcPr>
          <w:p>
            <w:pPr>
              <w:spacing w:line="580" w:lineRule="exact"/>
              <w:ind w:right="25" w:rightChars="12"/>
              <w:jc w:val="center"/>
              <w:rPr>
                <w:rFonts w:hint="eastAsia" w:ascii="宋体" w:hAnsi="宋体" w:cs="宋体"/>
                <w:b/>
                <w:color w:val="auto"/>
                <w:szCs w:val="21"/>
              </w:rPr>
            </w:pPr>
          </w:p>
        </w:tc>
        <w:tc>
          <w:tcPr>
            <w:tcW w:w="1928" w:type="dxa"/>
            <w:gridSpan w:val="2"/>
            <w:noWrap w:val="0"/>
            <w:vAlign w:val="top"/>
          </w:tcPr>
          <w:p>
            <w:pPr>
              <w:spacing w:line="580" w:lineRule="exact"/>
              <w:ind w:right="25" w:rightChars="12"/>
              <w:jc w:val="center"/>
              <w:rPr>
                <w:rFonts w:hint="eastAsia" w:ascii="宋体" w:hAnsi="宋体" w:cs="宋体"/>
                <w:b/>
                <w:color w:val="auto"/>
                <w:szCs w:val="21"/>
              </w:rPr>
            </w:pPr>
          </w:p>
        </w:tc>
        <w:tc>
          <w:tcPr>
            <w:tcW w:w="720" w:type="dxa"/>
            <w:noWrap w:val="0"/>
            <w:vAlign w:val="top"/>
          </w:tcPr>
          <w:p>
            <w:pPr>
              <w:spacing w:line="580" w:lineRule="exact"/>
              <w:ind w:right="25" w:rightChars="12"/>
              <w:jc w:val="center"/>
              <w:rPr>
                <w:rFonts w:hint="eastAsia" w:ascii="宋体" w:hAnsi="宋体" w:cs="宋体"/>
                <w:b/>
                <w:color w:val="auto"/>
                <w:szCs w:val="21"/>
              </w:rPr>
            </w:pPr>
          </w:p>
        </w:tc>
        <w:tc>
          <w:tcPr>
            <w:tcW w:w="1613" w:type="dxa"/>
            <w:gridSpan w:val="2"/>
            <w:noWrap w:val="0"/>
            <w:vAlign w:val="top"/>
          </w:tcPr>
          <w:p>
            <w:pPr>
              <w:spacing w:line="580" w:lineRule="exact"/>
              <w:ind w:right="25" w:rightChars="12"/>
              <w:jc w:val="center"/>
              <w:rPr>
                <w:rFonts w:hint="eastAsia" w:ascii="宋体" w:hAnsi="宋体" w:cs="宋体"/>
                <w:b/>
                <w:color w:val="auto"/>
                <w:szCs w:val="21"/>
              </w:rPr>
            </w:pPr>
          </w:p>
        </w:tc>
        <w:tc>
          <w:tcPr>
            <w:tcW w:w="2841" w:type="dxa"/>
            <w:gridSpan w:val="2"/>
            <w:noWrap w:val="0"/>
            <w:vAlign w:val="top"/>
          </w:tcPr>
          <w:p>
            <w:pPr>
              <w:spacing w:line="580" w:lineRule="exact"/>
              <w:ind w:right="25" w:rightChars="12"/>
              <w:jc w:val="center"/>
              <w:rPr>
                <w:rFonts w:hint="eastAsia" w:ascii="宋体" w:hAnsi="宋体" w:cs="宋体"/>
                <w:b/>
                <w:color w:val="auto"/>
                <w:szCs w:val="21"/>
              </w:rPr>
            </w:pPr>
          </w:p>
        </w:tc>
      </w:tr>
    </w:tbl>
    <w:p>
      <w:pPr>
        <w:rPr>
          <w:rFonts w:hint="eastAsia" w:ascii="宋体" w:hAnsi="宋体" w:cs="宋体"/>
          <w:color w:val="auto"/>
          <w:szCs w:val="21"/>
        </w:rPr>
      </w:pPr>
    </w:p>
    <w:p>
      <w:pPr>
        <w:spacing w:line="0" w:lineRule="atLeast"/>
        <w:rPr>
          <w:rFonts w:hint="eastAsia" w:ascii="宋体" w:hAnsi="宋体" w:cs="宋体"/>
          <w:color w:val="auto"/>
          <w:szCs w:val="21"/>
        </w:rPr>
      </w:pP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pacing w:val="0"/>
          <w:sz w:val="21"/>
          <w:szCs w:val="21"/>
        </w:rPr>
      </w:pPr>
      <w:r>
        <w:rPr>
          <w:rFonts w:hint="eastAsia" w:hAnsi="宋体" w:cs="宋体"/>
          <w:color w:val="auto"/>
          <w:spacing w:val="0"/>
          <w:sz w:val="21"/>
          <w:szCs w:val="21"/>
        </w:rPr>
        <w:t>日    期：</w:t>
      </w:r>
    </w:p>
    <w:p>
      <w:pPr>
        <w:pStyle w:val="15"/>
        <w:spacing w:line="360" w:lineRule="auto"/>
        <w:rPr>
          <w:rFonts w:hint="eastAsia" w:hAnsi="宋体" w:cs="宋体"/>
          <w:color w:val="auto"/>
          <w:sz w:val="21"/>
          <w:szCs w:val="21"/>
        </w:rPr>
      </w:pPr>
      <w:r>
        <w:rPr>
          <w:rFonts w:hint="eastAsia" w:hAnsi="宋体" w:cs="宋体"/>
          <w:color w:val="auto"/>
          <w:sz w:val="21"/>
          <w:szCs w:val="21"/>
        </w:rPr>
        <w:br w:type="page"/>
      </w:r>
      <w:r>
        <w:rPr>
          <w:rFonts w:hint="eastAsia" w:hAnsi="宋体" w:cs="宋体"/>
          <w:b/>
          <w:bCs/>
          <w:color w:val="auto"/>
          <w:sz w:val="21"/>
          <w:szCs w:val="21"/>
        </w:rPr>
        <w:t>7.项目人员配置</w:t>
      </w:r>
    </w:p>
    <w:p>
      <w:pPr>
        <w:spacing w:before="120" w:after="120"/>
        <w:jc w:val="center"/>
        <w:rPr>
          <w:b/>
          <w:bCs/>
          <w:color w:val="auto"/>
          <w:spacing w:val="20"/>
          <w:sz w:val="30"/>
          <w:szCs w:val="30"/>
        </w:rPr>
      </w:pPr>
      <w:r>
        <w:rPr>
          <w:b/>
          <w:bCs/>
          <w:color w:val="auto"/>
          <w:spacing w:val="20"/>
          <w:sz w:val="30"/>
          <w:szCs w:val="30"/>
        </w:rPr>
        <w:t>项目人员配置表</w:t>
      </w:r>
    </w:p>
    <w:tbl>
      <w:tblPr>
        <w:tblStyle w:val="39"/>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567"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序号</w:t>
            </w:r>
          </w:p>
        </w:tc>
        <w:tc>
          <w:tcPr>
            <w:tcW w:w="1134"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姓名</w:t>
            </w:r>
          </w:p>
        </w:tc>
        <w:tc>
          <w:tcPr>
            <w:tcW w:w="709"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性别</w:t>
            </w:r>
          </w:p>
        </w:tc>
        <w:tc>
          <w:tcPr>
            <w:tcW w:w="1418"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职称</w:t>
            </w:r>
          </w:p>
        </w:tc>
        <w:tc>
          <w:tcPr>
            <w:tcW w:w="1559"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专业</w:t>
            </w:r>
          </w:p>
        </w:tc>
        <w:tc>
          <w:tcPr>
            <w:tcW w:w="1984"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联系电话</w:t>
            </w:r>
          </w:p>
        </w:tc>
        <w:tc>
          <w:tcPr>
            <w:tcW w:w="1560"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r>
              <w:rPr>
                <w:color w:val="auto"/>
                <w:szCs w:val="21"/>
              </w:rPr>
              <w:t>1</w:t>
            </w:r>
          </w:p>
        </w:tc>
        <w:tc>
          <w:tcPr>
            <w:tcW w:w="1134"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p>
        </w:tc>
        <w:tc>
          <w:tcPr>
            <w:tcW w:w="709"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p>
        </w:tc>
        <w:tc>
          <w:tcPr>
            <w:tcW w:w="1418"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p>
        </w:tc>
        <w:tc>
          <w:tcPr>
            <w:tcW w:w="1559"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p>
        </w:tc>
        <w:tc>
          <w:tcPr>
            <w:tcW w:w="1984"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p>
        </w:tc>
        <w:tc>
          <w:tcPr>
            <w:tcW w:w="1560" w:type="dxa"/>
            <w:tcBorders>
              <w:top w:val="single" w:color="auto" w:sz="4" w:space="0"/>
            </w:tcBorders>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color w:val="auto"/>
                <w:szCs w:val="21"/>
              </w:rPr>
              <w:t>2</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color w:val="auto"/>
                <w:szCs w:val="21"/>
              </w:rPr>
              <w:t>3</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color w:val="auto"/>
                <w:szCs w:val="21"/>
              </w:rPr>
              <w:t>4</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color w:val="auto"/>
                <w:szCs w:val="21"/>
              </w:rPr>
              <w:t>5</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color w:val="auto"/>
                <w:szCs w:val="21"/>
              </w:rPr>
              <w:t>6</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color w:val="auto"/>
                <w:szCs w:val="21"/>
              </w:rPr>
              <w:t>7</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567" w:type="dxa"/>
            <w:noWrap w:val="0"/>
            <w:tcMar>
              <w:left w:w="28" w:type="dxa"/>
              <w:right w:w="28" w:type="dxa"/>
            </w:tcMar>
            <w:vAlign w:val="center"/>
          </w:tcPr>
          <w:p>
            <w:pPr>
              <w:spacing w:line="500" w:lineRule="exact"/>
              <w:ind w:right="25" w:rightChars="12"/>
              <w:jc w:val="center"/>
              <w:rPr>
                <w:rFonts w:hint="eastAsia"/>
                <w:color w:val="auto"/>
                <w:szCs w:val="21"/>
              </w:rPr>
            </w:pPr>
            <w:r>
              <w:rPr>
                <w:rFonts w:hint="eastAsia"/>
                <w:color w:val="auto"/>
                <w:szCs w:val="21"/>
              </w:rPr>
              <w:t>9</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rFonts w:hint="eastAsia"/>
                <w:color w:val="auto"/>
                <w:szCs w:val="21"/>
              </w:rPr>
            </w:pPr>
            <w:r>
              <w:rPr>
                <w:rFonts w:hint="eastAsia"/>
                <w:color w:val="auto"/>
                <w:szCs w:val="21"/>
              </w:rPr>
              <w:t>9</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noWrap w:val="0"/>
            <w:tcMar>
              <w:left w:w="28" w:type="dxa"/>
              <w:right w:w="28" w:type="dxa"/>
            </w:tcMar>
            <w:vAlign w:val="center"/>
          </w:tcPr>
          <w:p>
            <w:pPr>
              <w:spacing w:line="500" w:lineRule="exact"/>
              <w:ind w:right="25" w:rightChars="12"/>
              <w:jc w:val="center"/>
              <w:rPr>
                <w:color w:val="auto"/>
                <w:szCs w:val="21"/>
              </w:rPr>
            </w:pPr>
            <w:r>
              <w:rPr>
                <w:rFonts w:hint="eastAsia"/>
                <w:color w:val="auto"/>
                <w:szCs w:val="21"/>
              </w:rPr>
              <w:t>10</w:t>
            </w:r>
          </w:p>
        </w:tc>
        <w:tc>
          <w:tcPr>
            <w:tcW w:w="1134" w:type="dxa"/>
            <w:noWrap w:val="0"/>
            <w:tcMar>
              <w:left w:w="28" w:type="dxa"/>
              <w:right w:w="28" w:type="dxa"/>
            </w:tcMar>
            <w:vAlign w:val="center"/>
          </w:tcPr>
          <w:p>
            <w:pPr>
              <w:spacing w:line="500" w:lineRule="exact"/>
              <w:ind w:right="25" w:rightChars="12"/>
              <w:jc w:val="center"/>
              <w:rPr>
                <w:color w:val="auto"/>
                <w:szCs w:val="21"/>
              </w:rPr>
            </w:pPr>
          </w:p>
        </w:tc>
        <w:tc>
          <w:tcPr>
            <w:tcW w:w="709" w:type="dxa"/>
            <w:noWrap w:val="0"/>
            <w:tcMar>
              <w:left w:w="28" w:type="dxa"/>
              <w:right w:w="28" w:type="dxa"/>
            </w:tcMar>
            <w:vAlign w:val="center"/>
          </w:tcPr>
          <w:p>
            <w:pPr>
              <w:spacing w:line="500" w:lineRule="exact"/>
              <w:ind w:right="25" w:rightChars="12"/>
              <w:jc w:val="center"/>
              <w:rPr>
                <w:color w:val="auto"/>
                <w:szCs w:val="21"/>
              </w:rPr>
            </w:pPr>
          </w:p>
        </w:tc>
        <w:tc>
          <w:tcPr>
            <w:tcW w:w="1418" w:type="dxa"/>
            <w:noWrap w:val="0"/>
            <w:tcMar>
              <w:left w:w="28" w:type="dxa"/>
              <w:right w:w="28" w:type="dxa"/>
            </w:tcMar>
            <w:vAlign w:val="center"/>
          </w:tcPr>
          <w:p>
            <w:pPr>
              <w:spacing w:line="500" w:lineRule="exact"/>
              <w:ind w:right="25" w:rightChars="12"/>
              <w:jc w:val="center"/>
              <w:rPr>
                <w:color w:val="auto"/>
                <w:szCs w:val="21"/>
              </w:rPr>
            </w:pPr>
          </w:p>
        </w:tc>
        <w:tc>
          <w:tcPr>
            <w:tcW w:w="1559" w:type="dxa"/>
            <w:noWrap w:val="0"/>
            <w:tcMar>
              <w:left w:w="28" w:type="dxa"/>
              <w:right w:w="28" w:type="dxa"/>
            </w:tcMar>
            <w:vAlign w:val="center"/>
          </w:tcPr>
          <w:p>
            <w:pPr>
              <w:spacing w:line="500" w:lineRule="exact"/>
              <w:ind w:right="25" w:rightChars="12"/>
              <w:jc w:val="center"/>
              <w:rPr>
                <w:color w:val="auto"/>
                <w:szCs w:val="21"/>
              </w:rPr>
            </w:pPr>
          </w:p>
        </w:tc>
        <w:tc>
          <w:tcPr>
            <w:tcW w:w="1984" w:type="dxa"/>
            <w:noWrap w:val="0"/>
            <w:tcMar>
              <w:left w:w="28" w:type="dxa"/>
              <w:right w:w="28" w:type="dxa"/>
            </w:tcMar>
            <w:vAlign w:val="center"/>
          </w:tcPr>
          <w:p>
            <w:pPr>
              <w:spacing w:line="500" w:lineRule="exact"/>
              <w:ind w:right="25" w:rightChars="12"/>
              <w:jc w:val="center"/>
              <w:rPr>
                <w:color w:val="auto"/>
                <w:szCs w:val="21"/>
              </w:rPr>
            </w:pPr>
          </w:p>
        </w:tc>
        <w:tc>
          <w:tcPr>
            <w:tcW w:w="1560" w:type="dxa"/>
            <w:noWrap w:val="0"/>
            <w:tcMar>
              <w:left w:w="28" w:type="dxa"/>
              <w:right w:w="28" w:type="dxa"/>
            </w:tcMar>
            <w:vAlign w:val="center"/>
          </w:tcPr>
          <w:p>
            <w:pPr>
              <w:spacing w:line="500" w:lineRule="exact"/>
              <w:ind w:right="25" w:rightChars="12"/>
              <w:jc w:val="center"/>
              <w:rPr>
                <w:color w:val="auto"/>
                <w:szCs w:val="21"/>
              </w:rPr>
            </w:pPr>
          </w:p>
        </w:tc>
      </w:tr>
    </w:tbl>
    <w:p>
      <w:pPr>
        <w:pStyle w:val="15"/>
        <w:widowControl/>
        <w:spacing w:line="360" w:lineRule="auto"/>
        <w:ind w:firstLine="0"/>
        <w:jc w:val="left"/>
        <w:rPr>
          <w:rFonts w:ascii="Times New Roman"/>
          <w:b/>
          <w:color w:val="auto"/>
        </w:rPr>
      </w:pPr>
    </w:p>
    <w:p>
      <w:pPr>
        <w:pStyle w:val="15"/>
        <w:widowControl/>
        <w:spacing w:line="360" w:lineRule="auto"/>
        <w:ind w:firstLine="0"/>
        <w:jc w:val="left"/>
        <w:rPr>
          <w:rFonts w:ascii="Times New Roman"/>
          <w:b/>
          <w:color w:val="auto"/>
        </w:rPr>
      </w:pPr>
    </w:p>
    <w:p>
      <w:pPr>
        <w:spacing w:line="0" w:lineRule="atLeast"/>
        <w:rPr>
          <w:rFonts w:eastAsia="仿宋_GB2312"/>
          <w:color w:val="auto"/>
          <w:sz w:val="24"/>
        </w:rPr>
      </w:pPr>
    </w:p>
    <w:p>
      <w:pPr>
        <w:widowControl/>
        <w:spacing w:line="360" w:lineRule="auto"/>
        <w:ind w:firstLine="5460" w:firstLineChars="26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5548" w:firstLineChars="2642"/>
        <w:rPr>
          <w:rFonts w:hint="eastAsia" w:hAnsi="宋体" w:cs="宋体"/>
          <w:color w:val="auto"/>
          <w:spacing w:val="0"/>
          <w:sz w:val="21"/>
          <w:szCs w:val="21"/>
        </w:rPr>
      </w:pPr>
      <w:r>
        <w:rPr>
          <w:rFonts w:hint="eastAsia" w:hAnsi="宋体" w:cs="宋体"/>
          <w:color w:val="auto"/>
          <w:spacing w:val="0"/>
          <w:sz w:val="21"/>
          <w:szCs w:val="21"/>
        </w:rPr>
        <w:t>日    期：</w:t>
      </w:r>
    </w:p>
    <w:p>
      <w:pPr>
        <w:rPr>
          <w:rFonts w:hint="eastAsia" w:ascii="宋体" w:hAnsi="宋体" w:cs="宋体"/>
          <w:b/>
          <w:color w:val="auto"/>
          <w:szCs w:val="21"/>
        </w:rPr>
        <w:sectPr>
          <w:pgSz w:w="11907" w:h="16840"/>
          <w:pgMar w:top="1276" w:right="1474" w:bottom="1242" w:left="1474" w:header="851" w:footer="851" w:gutter="0"/>
          <w:pgBorders>
            <w:top w:val="none" w:sz="0" w:space="0"/>
            <w:left w:val="none" w:sz="0" w:space="0"/>
            <w:bottom w:val="none" w:sz="0" w:space="0"/>
            <w:right w:val="none" w:sz="0" w:space="0"/>
          </w:pgBorders>
          <w:cols w:space="720" w:num="1"/>
          <w:docGrid w:linePitch="312" w:charSpace="0"/>
        </w:sectPr>
      </w:pPr>
    </w:p>
    <w:p>
      <w:pPr>
        <w:rPr>
          <w:rFonts w:hint="eastAsia" w:ascii="宋体" w:hAnsi="宋体" w:cs="宋体"/>
          <w:b/>
          <w:color w:val="auto"/>
          <w:szCs w:val="21"/>
        </w:rPr>
      </w:pPr>
      <w:r>
        <w:rPr>
          <w:rFonts w:hint="eastAsia" w:ascii="宋体" w:hAnsi="宋体" w:cs="宋体"/>
          <w:b/>
          <w:color w:val="auto"/>
          <w:szCs w:val="21"/>
        </w:rPr>
        <w:t>8.技术条款偏离表</w:t>
      </w:r>
    </w:p>
    <w:p>
      <w:pPr>
        <w:snapToGrid w:val="0"/>
        <w:spacing w:line="360" w:lineRule="auto"/>
        <w:jc w:val="center"/>
        <w:rPr>
          <w:rFonts w:hint="eastAsia" w:ascii="宋体" w:hAnsi="宋体" w:cs="宋体"/>
          <w:b/>
          <w:color w:val="auto"/>
          <w:szCs w:val="21"/>
        </w:rPr>
      </w:pPr>
    </w:p>
    <w:p>
      <w:pPr>
        <w:snapToGrid w:val="0"/>
        <w:spacing w:line="360" w:lineRule="auto"/>
        <w:jc w:val="center"/>
        <w:outlineLvl w:val="1"/>
        <w:rPr>
          <w:rFonts w:hint="eastAsia" w:ascii="宋体" w:hAnsi="宋体" w:cs="宋体"/>
          <w:b/>
          <w:color w:val="auto"/>
          <w:sz w:val="30"/>
          <w:szCs w:val="30"/>
        </w:rPr>
      </w:pPr>
      <w:r>
        <w:rPr>
          <w:rFonts w:hint="eastAsia" w:ascii="宋体" w:hAnsi="宋体" w:cs="宋体"/>
          <w:b/>
          <w:color w:val="auto"/>
          <w:sz w:val="30"/>
          <w:szCs w:val="30"/>
        </w:rPr>
        <w:t>技术条款偏离表</w:t>
      </w:r>
    </w:p>
    <w:p>
      <w:pPr>
        <w:snapToGrid w:val="0"/>
        <w:spacing w:line="360" w:lineRule="auto"/>
        <w:rPr>
          <w:rFonts w:hint="eastAsia" w:ascii="宋体" w:hAnsi="宋体" w:cs="宋体"/>
          <w:b/>
          <w:bCs/>
          <w:color w:val="auto"/>
          <w:szCs w:val="21"/>
        </w:rPr>
      </w:pPr>
      <w:r>
        <w:rPr>
          <w:rFonts w:hint="eastAsia" w:ascii="宋体" w:hAnsi="宋体" w:cs="宋体"/>
          <w:color w:val="auto"/>
          <w:szCs w:val="21"/>
        </w:rPr>
        <w:t xml:space="preserve">项目名称：                                     项目编号：                           </w:t>
      </w:r>
    </w:p>
    <w:tbl>
      <w:tblPr>
        <w:tblStyle w:val="39"/>
        <w:tblW w:w="1478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74"/>
        <w:gridCol w:w="909"/>
        <w:gridCol w:w="4503"/>
        <w:gridCol w:w="3233"/>
        <w:gridCol w:w="1449"/>
        <w:gridCol w:w="1651"/>
        <w:gridCol w:w="20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8" w:hRule="atLeast"/>
          <w:tblHeader/>
          <w:jc w:val="center"/>
        </w:trPr>
        <w:tc>
          <w:tcPr>
            <w:tcW w:w="974" w:type="dxa"/>
            <w:noWrap w:val="0"/>
            <w:vAlign w:val="center"/>
          </w:tcPr>
          <w:p>
            <w:pPr>
              <w:spacing w:line="400" w:lineRule="exact"/>
              <w:jc w:val="center"/>
              <w:rPr>
                <w:rFonts w:hint="eastAsia" w:ascii="宋体" w:hAnsi="宋体" w:cs="宋体"/>
                <w:color w:val="auto"/>
              </w:rPr>
            </w:pPr>
            <w:r>
              <w:rPr>
                <w:rFonts w:hint="eastAsia" w:ascii="宋体" w:hAnsi="宋体" w:cs="宋体"/>
                <w:b/>
                <w:bCs/>
                <w:color w:val="auto"/>
                <w:szCs w:val="21"/>
                <w:lang w:val="en-US" w:eastAsia="zh-CN"/>
              </w:rPr>
              <w:t>名称</w:t>
            </w:r>
          </w:p>
        </w:tc>
        <w:tc>
          <w:tcPr>
            <w:tcW w:w="909" w:type="dxa"/>
            <w:noWrap w:val="0"/>
            <w:vAlign w:val="center"/>
          </w:tcPr>
          <w:p>
            <w:pPr>
              <w:spacing w:line="400" w:lineRule="exac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val="en-US" w:eastAsia="zh-CN"/>
              </w:rPr>
              <w:t>序号</w:t>
            </w:r>
          </w:p>
        </w:tc>
        <w:tc>
          <w:tcPr>
            <w:tcW w:w="4503" w:type="dxa"/>
            <w:noWrap w:val="0"/>
            <w:vAlign w:val="center"/>
          </w:tcPr>
          <w:p>
            <w:pPr>
              <w:spacing w:line="400" w:lineRule="exact"/>
              <w:jc w:val="center"/>
              <w:rPr>
                <w:rFonts w:hint="eastAsia" w:ascii="宋体" w:hAnsi="宋体" w:cs="宋体"/>
                <w:color w:val="auto"/>
              </w:rPr>
            </w:pPr>
            <w:r>
              <w:rPr>
                <w:rFonts w:hint="eastAsia" w:ascii="宋体" w:hAnsi="宋体" w:cs="宋体"/>
                <w:b/>
                <w:bCs/>
                <w:color w:val="auto"/>
                <w:szCs w:val="21"/>
              </w:rPr>
              <w:t>招标要求</w:t>
            </w:r>
          </w:p>
        </w:tc>
        <w:tc>
          <w:tcPr>
            <w:tcW w:w="3233" w:type="dxa"/>
            <w:noWrap w:val="0"/>
            <w:vAlign w:val="center"/>
          </w:tcPr>
          <w:p>
            <w:pPr>
              <w:spacing w:line="400" w:lineRule="exact"/>
              <w:jc w:val="center"/>
              <w:rPr>
                <w:rFonts w:hint="eastAsia" w:ascii="宋体" w:hAnsi="宋体" w:cs="宋体"/>
                <w:b/>
                <w:bCs/>
                <w:color w:val="auto"/>
                <w:szCs w:val="21"/>
              </w:rPr>
            </w:pPr>
            <w:r>
              <w:rPr>
                <w:rFonts w:hint="eastAsia" w:ascii="宋体" w:hAnsi="宋体" w:cs="宋体"/>
                <w:b/>
                <w:bCs/>
                <w:color w:val="auto"/>
                <w:szCs w:val="21"/>
              </w:rPr>
              <w:t>投标响应</w:t>
            </w:r>
          </w:p>
        </w:tc>
        <w:tc>
          <w:tcPr>
            <w:tcW w:w="1449" w:type="dxa"/>
            <w:noWrap w:val="0"/>
            <w:vAlign w:val="center"/>
          </w:tcPr>
          <w:p>
            <w:pPr>
              <w:spacing w:line="400" w:lineRule="exact"/>
              <w:jc w:val="center"/>
              <w:rPr>
                <w:rFonts w:hint="eastAsia" w:ascii="宋体" w:hAnsi="宋体" w:cs="宋体"/>
                <w:b/>
                <w:bCs/>
                <w:color w:val="auto"/>
                <w:szCs w:val="21"/>
              </w:rPr>
            </w:pPr>
            <w:r>
              <w:rPr>
                <w:rFonts w:hint="eastAsia" w:ascii="宋体" w:hAnsi="宋体" w:cs="宋体"/>
                <w:b/>
                <w:bCs/>
                <w:color w:val="auto"/>
                <w:szCs w:val="21"/>
              </w:rPr>
              <w:t>偏离情况</w:t>
            </w:r>
          </w:p>
        </w:tc>
        <w:tc>
          <w:tcPr>
            <w:tcW w:w="1651" w:type="dxa"/>
            <w:noWrap w:val="0"/>
            <w:vAlign w:val="center"/>
          </w:tcPr>
          <w:p>
            <w:pPr>
              <w:spacing w:line="400" w:lineRule="exact"/>
              <w:jc w:val="center"/>
              <w:rPr>
                <w:rFonts w:hint="eastAsia" w:ascii="宋体" w:hAnsi="宋体" w:cs="宋体"/>
                <w:b/>
                <w:bCs/>
                <w:color w:val="auto"/>
                <w:szCs w:val="21"/>
                <w:lang w:val="en-US" w:eastAsia="zh-CN"/>
              </w:rPr>
            </w:pPr>
            <w:r>
              <w:rPr>
                <w:rFonts w:hint="eastAsia" w:ascii="宋体" w:hAnsi="宋体" w:cs="宋体"/>
                <w:b/>
                <w:bCs/>
                <w:color w:val="auto"/>
                <w:szCs w:val="21"/>
                <w:lang w:val="en-US" w:eastAsia="zh-CN"/>
              </w:rPr>
              <w:t>证明材料页</w:t>
            </w:r>
          </w:p>
          <w:p>
            <w:pPr>
              <w:spacing w:line="400" w:lineRule="exac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val="en-US" w:eastAsia="zh-CN"/>
              </w:rPr>
              <w:t>第（）页</w:t>
            </w:r>
          </w:p>
        </w:tc>
        <w:tc>
          <w:tcPr>
            <w:tcW w:w="2064" w:type="dxa"/>
            <w:noWrap w:val="0"/>
            <w:vAlign w:val="center"/>
          </w:tcPr>
          <w:p>
            <w:pPr>
              <w:spacing w:line="400" w:lineRule="exact"/>
              <w:jc w:val="center"/>
              <w:rPr>
                <w:rFonts w:hint="eastAsia" w:ascii="宋体" w:hAnsi="宋体" w:eastAsia="宋体" w:cs="宋体"/>
                <w:b/>
                <w:bCs/>
                <w:color w:val="auto"/>
                <w:szCs w:val="21"/>
                <w:lang w:val="en-US" w:eastAsia="zh-CN"/>
              </w:rPr>
            </w:pPr>
            <w:r>
              <w:rPr>
                <w:rFonts w:hint="eastAsia" w:ascii="宋体" w:hAnsi="宋体" w:cs="宋体"/>
                <w:b/>
                <w:bCs/>
                <w:color w:val="auto"/>
                <w:szCs w:val="21"/>
                <w:lang w:val="en-US" w:eastAsia="zh-CN"/>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jc w:val="center"/>
        </w:trPr>
        <w:tc>
          <w:tcPr>
            <w:tcW w:w="974" w:type="dxa"/>
            <w:vMerge w:val="restart"/>
            <w:noWrap w:val="0"/>
            <w:vAlign w:val="center"/>
          </w:tcPr>
          <w:p>
            <w:pPr>
              <w:widowControl/>
              <w:tabs>
                <w:tab w:val="left" w:pos="180"/>
                <w:tab w:val="left" w:pos="540"/>
              </w:tabs>
              <w:spacing w:line="400" w:lineRule="exact"/>
              <w:jc w:val="center"/>
              <w:rPr>
                <w:rFonts w:hint="default" w:ascii="宋体" w:hAnsi="宋体" w:eastAsia="宋体" w:cs="宋体"/>
                <w:color w:val="auto"/>
                <w:lang w:val="en-US" w:eastAsia="zh-CN"/>
              </w:rPr>
            </w:pPr>
            <w:r>
              <w:rPr>
                <w:rFonts w:hint="eastAsia" w:ascii="宋体" w:hAnsi="宋体" w:cs="宋体"/>
                <w:color w:val="auto"/>
                <w:lang w:val="en-US" w:eastAsia="zh-CN"/>
              </w:rPr>
              <w:t>一、重要技术条款</w:t>
            </w:r>
          </w:p>
        </w:tc>
        <w:tc>
          <w:tcPr>
            <w:tcW w:w="909" w:type="dxa"/>
            <w:noWrap w:val="0"/>
            <w:vAlign w:val="top"/>
          </w:tcPr>
          <w:p>
            <w:pPr>
              <w:numPr>
                <w:ilvl w:val="0"/>
                <w:numId w:val="24"/>
              </w:numPr>
              <w:spacing w:line="360" w:lineRule="exact"/>
              <w:ind w:left="425" w:leftChars="0" w:hanging="425" w:firstLineChars="0"/>
              <w:jc w:val="center"/>
              <w:rPr>
                <w:rFonts w:hint="eastAsia" w:ascii="宋体" w:hAnsi="宋体" w:eastAsia="宋体"/>
                <w:szCs w:val="21"/>
                <w:lang w:val="zh-CN" w:eastAsia="zh-CN"/>
              </w:rPr>
            </w:pPr>
          </w:p>
        </w:tc>
        <w:tc>
          <w:tcPr>
            <w:tcW w:w="4503" w:type="dxa"/>
            <w:noWrap w:val="0"/>
            <w:vAlign w:val="top"/>
          </w:tcPr>
          <w:p>
            <w:pPr>
              <w:spacing w:line="360" w:lineRule="exact"/>
              <w:rPr>
                <w:rFonts w:hint="eastAsia" w:ascii="宋体" w:hAnsi="宋体" w:cs="宋体"/>
                <w:color w:val="auto"/>
              </w:rPr>
            </w:pPr>
            <w:r>
              <w:rPr>
                <w:rFonts w:hint="eastAsia" w:ascii="宋体" w:hAnsi="宋体"/>
                <w:szCs w:val="21"/>
                <w:lang w:val="zh-CN"/>
              </w:rPr>
              <w:t>★</w:t>
            </w:r>
            <w:r>
              <w:rPr>
                <w:rFonts w:hint="eastAsia" w:ascii="宋体" w:hAnsi="宋体"/>
                <w:szCs w:val="21"/>
              </w:rPr>
              <w:t>(2)</w:t>
            </w:r>
            <w:r>
              <w:rPr>
                <w:rFonts w:hint="eastAsia" w:ascii="宋体" w:hAnsi="宋体"/>
                <w:szCs w:val="21"/>
                <w:lang w:val="zh-CN"/>
              </w:rPr>
              <w:t>在电池电量充满，且无太阳能补充情况下，设备在无源模式工作至少</w:t>
            </w:r>
            <w:r>
              <w:rPr>
                <w:rFonts w:hint="eastAsia" w:ascii="宋体" w:hAnsi="宋体"/>
                <w:szCs w:val="21"/>
                <w:lang w:val="en-US" w:eastAsia="zh-CN"/>
              </w:rPr>
              <w:t>2</w:t>
            </w:r>
            <w:r>
              <w:rPr>
                <w:rFonts w:hint="eastAsia" w:ascii="宋体" w:hAnsi="宋体"/>
                <w:szCs w:val="21"/>
                <w:lang w:val="zh-CN"/>
              </w:rPr>
              <w:t>0天；</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tabs>
                <w:tab w:val="left" w:pos="180"/>
                <w:tab w:val="left" w:pos="540"/>
              </w:tabs>
              <w:spacing w:line="400" w:lineRule="exact"/>
              <w:jc w:val="center"/>
              <w:rPr>
                <w:rFonts w:hint="eastAsia" w:ascii="宋体" w:hAnsi="宋体" w:cs="宋体"/>
                <w:color w:val="auto"/>
              </w:rPr>
            </w:pPr>
          </w:p>
        </w:tc>
        <w:tc>
          <w:tcPr>
            <w:tcW w:w="909" w:type="dxa"/>
            <w:noWrap w:val="0"/>
            <w:vAlign w:val="center"/>
          </w:tcPr>
          <w:p>
            <w:pPr>
              <w:numPr>
                <w:ilvl w:val="0"/>
                <w:numId w:val="24"/>
              </w:numPr>
              <w:autoSpaceDE w:val="0"/>
              <w:autoSpaceDN w:val="0"/>
              <w:adjustRightInd w:val="0"/>
              <w:spacing w:line="360" w:lineRule="exact"/>
              <w:ind w:left="425" w:leftChars="0" w:hanging="425" w:firstLineChars="0"/>
              <w:jc w:val="center"/>
              <w:rPr>
                <w:rFonts w:hint="eastAsia" w:ascii="宋体" w:hAnsi="宋体"/>
                <w:szCs w:val="21"/>
                <w:lang w:val="zh-CN"/>
              </w:rPr>
            </w:pPr>
          </w:p>
        </w:tc>
        <w:tc>
          <w:tcPr>
            <w:tcW w:w="4503" w:type="dxa"/>
            <w:noWrap w:val="0"/>
            <w:vAlign w:val="center"/>
          </w:tcPr>
          <w:p>
            <w:pPr>
              <w:autoSpaceDE w:val="0"/>
              <w:autoSpaceDN w:val="0"/>
              <w:adjustRightInd w:val="0"/>
              <w:spacing w:line="360" w:lineRule="exact"/>
              <w:rPr>
                <w:rFonts w:hint="eastAsia" w:ascii="宋体" w:hAnsi="宋体" w:cs="宋体"/>
                <w:color w:val="auto"/>
              </w:rPr>
            </w:pPr>
            <w:r>
              <w:rPr>
                <w:rFonts w:hint="eastAsia" w:ascii="宋体" w:hAnsi="宋体"/>
                <w:szCs w:val="21"/>
                <w:lang w:val="zh-CN"/>
              </w:rPr>
              <w:t>★</w:t>
            </w:r>
            <w:r>
              <w:rPr>
                <w:rFonts w:hint="eastAsia" w:ascii="宋体" w:hAnsi="宋体"/>
                <w:szCs w:val="21"/>
              </w:rPr>
              <w:t>(2)能够存储1年的定位数据和其他系统状态信息；</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tabs>
                <w:tab w:val="left" w:pos="180"/>
                <w:tab w:val="left" w:pos="540"/>
              </w:tabs>
              <w:spacing w:line="400" w:lineRule="exact"/>
              <w:jc w:val="center"/>
              <w:rPr>
                <w:rFonts w:hint="eastAsia" w:ascii="宋体" w:hAnsi="宋体" w:cs="宋体"/>
                <w:color w:val="auto"/>
              </w:rPr>
            </w:pPr>
          </w:p>
        </w:tc>
        <w:tc>
          <w:tcPr>
            <w:tcW w:w="909" w:type="dxa"/>
            <w:noWrap w:val="0"/>
            <w:vAlign w:val="center"/>
          </w:tcPr>
          <w:p>
            <w:pPr>
              <w:numPr>
                <w:ilvl w:val="0"/>
                <w:numId w:val="24"/>
              </w:numPr>
              <w:autoSpaceDE w:val="0"/>
              <w:autoSpaceDN w:val="0"/>
              <w:adjustRightInd w:val="0"/>
              <w:spacing w:line="360" w:lineRule="exact"/>
              <w:ind w:left="425" w:leftChars="0" w:hanging="425" w:firstLineChars="0"/>
              <w:jc w:val="center"/>
              <w:rPr>
                <w:rFonts w:hint="eastAsia" w:ascii="宋体" w:hAnsi="宋体"/>
                <w:szCs w:val="21"/>
                <w:lang w:val="zh-CN"/>
              </w:rPr>
            </w:pPr>
          </w:p>
        </w:tc>
        <w:tc>
          <w:tcPr>
            <w:tcW w:w="4503" w:type="dxa"/>
            <w:noWrap w:val="0"/>
            <w:vAlign w:val="center"/>
          </w:tcPr>
          <w:p>
            <w:pPr>
              <w:tabs>
                <w:tab w:val="left" w:pos="1560"/>
              </w:tabs>
              <w:autoSpaceDE w:val="0"/>
              <w:autoSpaceDN w:val="0"/>
              <w:adjustRightInd w:val="0"/>
              <w:spacing w:line="360" w:lineRule="exact"/>
              <w:outlineLvl w:val="3"/>
              <w:rPr>
                <w:rFonts w:ascii="宋体" w:hAnsi="宋体"/>
                <w:szCs w:val="21"/>
                <w:lang w:val="zh-CN"/>
              </w:rPr>
            </w:pPr>
            <w:r>
              <w:rPr>
                <w:rFonts w:hint="eastAsia" w:ascii="宋体" w:hAnsi="宋体"/>
                <w:szCs w:val="21"/>
                <w:lang w:val="zh-CN"/>
              </w:rPr>
              <w:t>★</w:t>
            </w:r>
            <w:r>
              <w:rPr>
                <w:rFonts w:hint="eastAsia" w:ascii="宋体" w:hAnsi="宋体"/>
                <w:szCs w:val="21"/>
              </w:rPr>
              <w:t>8</w:t>
            </w:r>
            <w:r>
              <w:rPr>
                <w:rFonts w:hint="eastAsia" w:ascii="宋体" w:hAnsi="宋体"/>
                <w:szCs w:val="21"/>
                <w:lang w:val="zh-CN"/>
              </w:rPr>
              <w:t>.通讯功能</w:t>
            </w:r>
          </w:p>
          <w:p>
            <w:pPr>
              <w:autoSpaceDE w:val="0"/>
              <w:autoSpaceDN w:val="0"/>
              <w:adjustRightInd w:val="0"/>
              <w:spacing w:line="360" w:lineRule="exact"/>
              <w:rPr>
                <w:rFonts w:hint="eastAsia" w:ascii="宋体" w:hAnsi="宋体" w:cs="宋体"/>
                <w:color w:val="auto"/>
              </w:rPr>
            </w:pPr>
            <w:r>
              <w:rPr>
                <w:rFonts w:hint="eastAsia" w:ascii="宋体" w:hAnsi="宋体"/>
                <w:szCs w:val="21"/>
                <w:lang w:val="zh-CN"/>
              </w:rPr>
              <w:t>除应具备</w:t>
            </w:r>
            <w:r>
              <w:rPr>
                <w:rFonts w:hint="eastAsia" w:ascii="宋体" w:hAnsi="宋体"/>
                <w:szCs w:val="21"/>
              </w:rPr>
              <w:t>AIS功能外，</w:t>
            </w:r>
            <w:r>
              <w:rPr>
                <w:rFonts w:hint="eastAsia" w:ascii="宋体" w:hAnsi="宋体"/>
                <w:szCs w:val="21"/>
                <w:lang w:val="zh-CN"/>
              </w:rPr>
              <w:t>能通过</w:t>
            </w:r>
            <w:r>
              <w:rPr>
                <w:rFonts w:hint="eastAsia" w:ascii="宋体" w:hAnsi="宋体"/>
                <w:szCs w:val="21"/>
              </w:rPr>
              <w:t>GSM通信</w:t>
            </w:r>
            <w:r>
              <w:rPr>
                <w:rFonts w:hint="eastAsia" w:ascii="宋体" w:hAnsi="宋体"/>
                <w:szCs w:val="21"/>
                <w:lang w:val="zh-CN"/>
              </w:rPr>
              <w:t>实现定时将船位、设备电池电量、安装状态、航行状态、通信状态等工作状态回传至采购人岸上管理平台；能依据进出港识别线自动判断渔船进港和出港状态，在进港或出港3分钟之内向岸上管理平台发送进出港报告信息。在无船电时仍应支持不大于30分钟的不间断船位报告。</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tabs>
                <w:tab w:val="left" w:pos="180"/>
                <w:tab w:val="left" w:pos="540"/>
              </w:tabs>
              <w:spacing w:line="400" w:lineRule="exact"/>
              <w:jc w:val="center"/>
              <w:rPr>
                <w:rFonts w:hint="eastAsia" w:ascii="宋体" w:hAnsi="宋体" w:cs="宋体"/>
                <w:color w:val="auto"/>
              </w:rPr>
            </w:pPr>
          </w:p>
        </w:tc>
        <w:tc>
          <w:tcPr>
            <w:tcW w:w="909" w:type="dxa"/>
            <w:noWrap w:val="0"/>
            <w:vAlign w:val="center"/>
          </w:tcPr>
          <w:p>
            <w:pPr>
              <w:numPr>
                <w:ilvl w:val="0"/>
                <w:numId w:val="24"/>
              </w:numPr>
              <w:spacing w:line="360" w:lineRule="exact"/>
              <w:ind w:left="425" w:leftChars="0" w:hanging="425" w:firstLineChars="0"/>
              <w:jc w:val="center"/>
              <w:rPr>
                <w:rFonts w:hint="eastAsia" w:ascii="宋体" w:hAnsi="宋体"/>
                <w:szCs w:val="21"/>
              </w:rPr>
            </w:pPr>
          </w:p>
        </w:tc>
        <w:tc>
          <w:tcPr>
            <w:tcW w:w="4503" w:type="dxa"/>
            <w:noWrap w:val="0"/>
            <w:vAlign w:val="center"/>
          </w:tcPr>
          <w:p>
            <w:pPr>
              <w:tabs>
                <w:tab w:val="left" w:pos="1560"/>
              </w:tabs>
              <w:autoSpaceDE w:val="0"/>
              <w:autoSpaceDN w:val="0"/>
              <w:adjustRightInd w:val="0"/>
              <w:spacing w:line="360" w:lineRule="exact"/>
              <w:outlineLvl w:val="3"/>
              <w:rPr>
                <w:rFonts w:ascii="宋体" w:hAnsi="宋体"/>
                <w:szCs w:val="21"/>
              </w:rPr>
            </w:pPr>
            <w:r>
              <w:rPr>
                <w:rFonts w:hint="eastAsia" w:ascii="宋体" w:hAnsi="宋体"/>
                <w:szCs w:val="21"/>
                <w:lang w:val="zh-CN"/>
              </w:rPr>
              <w:t>★</w:t>
            </w:r>
            <w:r>
              <w:rPr>
                <w:rFonts w:hint="eastAsia" w:ascii="宋体" w:hAnsi="宋体"/>
                <w:szCs w:val="21"/>
              </w:rPr>
              <w:t>9、终端工作状态监测</w:t>
            </w:r>
          </w:p>
          <w:p>
            <w:pPr>
              <w:spacing w:line="360" w:lineRule="exact"/>
              <w:rPr>
                <w:rFonts w:hint="eastAsia" w:ascii="宋体" w:hAnsi="宋体" w:cs="宋体"/>
                <w:color w:val="auto"/>
              </w:rPr>
            </w:pPr>
            <w:r>
              <w:rPr>
                <w:rFonts w:hint="eastAsia" w:ascii="宋体" w:hAnsi="宋体"/>
                <w:szCs w:val="21"/>
              </w:rPr>
              <w:t>舱外单元能对电池电量、安装状态、航行状态、通信状态等工作状态进行实行监测，并定时回传至采购人岸上管理平台。</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numPr>
                <w:ilvl w:val="0"/>
                <w:numId w:val="24"/>
              </w:numPr>
              <w:autoSpaceDE w:val="0"/>
              <w:autoSpaceDN w:val="0"/>
              <w:adjustRightInd w:val="0"/>
              <w:spacing w:line="360" w:lineRule="exact"/>
              <w:ind w:left="425" w:leftChars="0" w:hanging="425" w:firstLineChars="0"/>
              <w:jc w:val="center"/>
              <w:outlineLvl w:val="3"/>
              <w:rPr>
                <w:rFonts w:hint="eastAsia" w:ascii="宋体" w:hAnsi="宋体"/>
                <w:szCs w:val="21"/>
                <w:lang w:val="zh-CN"/>
              </w:rPr>
            </w:pPr>
          </w:p>
        </w:tc>
        <w:tc>
          <w:tcPr>
            <w:tcW w:w="4503" w:type="dxa"/>
            <w:noWrap w:val="0"/>
            <w:vAlign w:val="center"/>
          </w:tcPr>
          <w:p>
            <w:pPr>
              <w:autoSpaceDE w:val="0"/>
              <w:autoSpaceDN w:val="0"/>
              <w:adjustRightInd w:val="0"/>
              <w:spacing w:line="360" w:lineRule="exact"/>
              <w:outlineLvl w:val="3"/>
              <w:rPr>
                <w:rFonts w:hint="eastAsia" w:ascii="宋体" w:hAnsi="宋体" w:cs="宋体"/>
                <w:color w:val="auto"/>
              </w:rPr>
            </w:pPr>
            <w:r>
              <w:rPr>
                <w:rFonts w:hint="eastAsia" w:ascii="宋体" w:hAnsi="宋体"/>
                <w:szCs w:val="21"/>
                <w:lang w:val="zh-CN"/>
              </w:rPr>
              <w:t>★</w:t>
            </w:r>
            <w:r>
              <w:rPr>
                <w:rFonts w:hint="eastAsia" w:ascii="宋体" w:hAnsi="宋体"/>
                <w:szCs w:val="21"/>
              </w:rPr>
              <w:t>1</w:t>
            </w: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舱外单元应具有手动重启功能。</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11" w:hRule="atLeast"/>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spacing w:line="360" w:lineRule="exact"/>
              <w:rPr>
                <w:rFonts w:ascii="宋体" w:hAnsi="宋体"/>
                <w:szCs w:val="21"/>
                <w:lang w:val="zh-CN"/>
              </w:rPr>
            </w:pPr>
            <w:r>
              <w:rPr>
                <w:rFonts w:hint="eastAsia" w:ascii="宋体" w:hAnsi="宋体"/>
                <w:szCs w:val="21"/>
                <w:lang w:val="zh-CN"/>
              </w:rPr>
              <w:t>★</w:t>
            </w:r>
            <w:r>
              <w:rPr>
                <w:rFonts w:hint="eastAsia" w:ascii="宋体" w:hAnsi="宋体"/>
                <w:szCs w:val="21"/>
              </w:rPr>
              <w:t>(1)</w:t>
            </w:r>
            <w:r>
              <w:rPr>
                <w:rFonts w:hint="eastAsia" w:ascii="宋体" w:hAnsi="宋体"/>
                <w:szCs w:val="21"/>
                <w:lang w:val="zh-CN"/>
              </w:rPr>
              <w:t>设备应能根据AIS信息和本船位置，对周边相邻距离不小于3nm的船舶的DCPA和TCPA进行连续监视。按表1要求进行会遇报警；</w:t>
            </w:r>
          </w:p>
          <w:p>
            <w:pPr>
              <w:autoSpaceDE w:val="0"/>
              <w:autoSpaceDN w:val="0"/>
              <w:adjustRightInd w:val="0"/>
              <w:spacing w:line="360" w:lineRule="exact"/>
              <w:ind w:firstLine="420" w:firstLineChars="200"/>
              <w:jc w:val="center"/>
              <w:rPr>
                <w:rFonts w:ascii="宋体" w:hAnsi="宋体"/>
                <w:szCs w:val="21"/>
                <w:lang w:val="zh-CN"/>
              </w:rPr>
            </w:pPr>
            <w:r>
              <w:rPr>
                <w:rFonts w:hint="eastAsia" w:ascii="宋体" w:hAnsi="宋体"/>
                <w:szCs w:val="21"/>
                <w:lang w:val="zh-CN"/>
              </w:rPr>
              <w:t>表1 会遇报警分类表</w:t>
            </w:r>
          </w:p>
          <w:tbl>
            <w:tblPr>
              <w:tblStyle w:val="39"/>
              <w:tblW w:w="3852"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8"/>
              <w:gridCol w:w="185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blHeader/>
              </w:trPr>
              <w:tc>
                <w:tcPr>
                  <w:tcW w:w="808"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报警级別</w:t>
                  </w:r>
                </w:p>
              </w:tc>
              <w:tc>
                <w:tcPr>
                  <w:tcW w:w="1856"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报警要求</w:t>
                  </w:r>
                </w:p>
              </w:tc>
              <w:tc>
                <w:tcPr>
                  <w:tcW w:w="1188"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报警方法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trPr>
              <w:tc>
                <w:tcPr>
                  <w:tcW w:w="808"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预警</w:t>
                  </w:r>
                </w:p>
              </w:tc>
              <w:tc>
                <w:tcPr>
                  <w:tcW w:w="1856" w:type="dxa"/>
                  <w:noWrap w:val="0"/>
                  <w:vAlign w:val="center"/>
                </w:tcPr>
                <w:p>
                  <w:pPr>
                    <w:autoSpaceDE w:val="0"/>
                    <w:autoSpaceDN w:val="0"/>
                    <w:adjustRightInd w:val="0"/>
                    <w:spacing w:line="360" w:lineRule="exact"/>
                    <w:ind w:left="42" w:leftChars="20" w:right="42" w:rightChars="20"/>
                    <w:jc w:val="left"/>
                    <w:rPr>
                      <w:rFonts w:ascii="宋体" w:hAnsi="宋体"/>
                      <w:szCs w:val="21"/>
                      <w:lang w:val="zh-CN"/>
                    </w:rPr>
                  </w:pPr>
                  <w:r>
                    <w:rPr>
                      <w:rFonts w:hint="eastAsia" w:ascii="宋体" w:hAnsi="宋体"/>
                      <w:szCs w:val="21"/>
                      <w:lang w:val="zh-CN"/>
                    </w:rPr>
                    <w:t>预警的DCPA最大值为3nm（系统默认值），最小值为1nm，用户可在范围内自行调节。</w:t>
                  </w:r>
                </w:p>
              </w:tc>
              <w:tc>
                <w:tcPr>
                  <w:tcW w:w="1188"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光学报警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trPr>
              <w:tc>
                <w:tcPr>
                  <w:tcW w:w="808"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告警</w:t>
                  </w:r>
                </w:p>
              </w:tc>
              <w:tc>
                <w:tcPr>
                  <w:tcW w:w="1856" w:type="dxa"/>
                  <w:noWrap w:val="0"/>
                  <w:vAlign w:val="center"/>
                </w:tcPr>
                <w:p>
                  <w:pPr>
                    <w:autoSpaceDE w:val="0"/>
                    <w:autoSpaceDN w:val="0"/>
                    <w:adjustRightInd w:val="0"/>
                    <w:spacing w:line="360" w:lineRule="exact"/>
                    <w:ind w:left="42" w:leftChars="20" w:right="42" w:rightChars="20"/>
                    <w:jc w:val="left"/>
                    <w:rPr>
                      <w:rFonts w:ascii="宋体" w:hAnsi="宋体"/>
                      <w:szCs w:val="21"/>
                      <w:lang w:val="zh-CN"/>
                    </w:rPr>
                  </w:pPr>
                  <w:r>
                    <w:rPr>
                      <w:rFonts w:hint="eastAsia" w:ascii="宋体" w:hAnsi="宋体"/>
                      <w:szCs w:val="21"/>
                      <w:lang w:val="zh-CN"/>
                    </w:rPr>
                    <w:t>告警的DCPA最大值为1nm 且TCPA为15min（系统默认值），最小值为0.5nm且TCPA为15min，用户可在范围内自行调节。</w:t>
                  </w:r>
                </w:p>
              </w:tc>
              <w:tc>
                <w:tcPr>
                  <w:tcW w:w="1188" w:type="dxa"/>
                  <w:noWrap w:val="0"/>
                  <w:vAlign w:val="center"/>
                </w:tcPr>
                <w:p>
                  <w:pPr>
                    <w:autoSpaceDE w:val="0"/>
                    <w:autoSpaceDN w:val="0"/>
                    <w:adjustRightInd w:val="0"/>
                    <w:spacing w:line="360" w:lineRule="exact"/>
                    <w:ind w:left="42" w:leftChars="20" w:right="42" w:rightChars="20"/>
                    <w:jc w:val="center"/>
                    <w:rPr>
                      <w:rFonts w:ascii="宋体" w:hAnsi="宋体"/>
                      <w:szCs w:val="21"/>
                      <w:lang w:val="zh-CN"/>
                    </w:rPr>
                  </w:pPr>
                  <w:r>
                    <w:rPr>
                      <w:rFonts w:hint="eastAsia" w:ascii="宋体" w:hAnsi="宋体"/>
                      <w:szCs w:val="21"/>
                      <w:lang w:val="zh-CN"/>
                    </w:rPr>
                    <w:t>声光报警</w:t>
                  </w:r>
                </w:p>
              </w:tc>
            </w:tr>
          </w:tbl>
          <w:p>
            <w:pPr>
              <w:widowControl/>
              <w:spacing w:line="400" w:lineRule="exact"/>
              <w:rPr>
                <w:rFonts w:hint="eastAsia" w:ascii="宋体" w:hAnsi="宋体" w:cs="宋体"/>
                <w:color w:val="auto"/>
              </w:rPr>
            </w:pP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widowControl/>
              <w:spacing w:line="360" w:lineRule="exact"/>
              <w:rPr>
                <w:rFonts w:hint="eastAsia" w:ascii="宋体" w:hAnsi="宋体" w:cs="宋体"/>
                <w:color w:val="auto"/>
              </w:rPr>
            </w:pPr>
            <w:r>
              <w:rPr>
                <w:rFonts w:hint="eastAsia" w:ascii="宋体" w:hAnsi="宋体"/>
                <w:szCs w:val="21"/>
                <w:lang w:val="zh-CN"/>
              </w:rPr>
              <w:t>★</w:t>
            </w:r>
            <w:r>
              <w:rPr>
                <w:rFonts w:hint="eastAsia" w:ascii="宋体" w:hAnsi="宋体"/>
                <w:szCs w:val="21"/>
              </w:rPr>
              <w:t>(4)</w:t>
            </w:r>
            <w:r>
              <w:rPr>
                <w:rFonts w:hint="eastAsia" w:ascii="宋体" w:hAnsi="宋体"/>
                <w:szCs w:val="21"/>
                <w:lang w:val="zh-CN"/>
              </w:rPr>
              <w:t>当会遇报警达到告警级别时，在图形AIS目标显示画面下，可自动调节的显示比例，以便观察本船和会遇船舶的相对位置。</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widowControl/>
              <w:spacing w:line="360" w:lineRule="exact"/>
              <w:rPr>
                <w:rFonts w:hint="eastAsia" w:ascii="宋体" w:hAnsi="宋体" w:cs="宋体"/>
                <w:color w:val="auto"/>
              </w:rPr>
            </w:pPr>
            <w:r>
              <w:rPr>
                <w:rFonts w:hint="eastAsia" w:ascii="宋体" w:hAnsi="宋体"/>
                <w:szCs w:val="21"/>
                <w:lang w:val="zh-CN"/>
              </w:rPr>
              <w:t>★</w:t>
            </w:r>
            <w:r>
              <w:rPr>
                <w:rFonts w:hint="eastAsia" w:ascii="宋体" w:hAnsi="宋体"/>
                <w:szCs w:val="21"/>
              </w:rPr>
              <w:t>(5)会遇避碰应急通话功能。当与商船发生会遇报警时，</w:t>
            </w:r>
            <w:r>
              <w:rPr>
                <w:rFonts w:hint="eastAsia" w:ascii="宋体" w:hAnsi="宋体"/>
                <w:szCs w:val="21"/>
                <w:lang w:val="en-US" w:eastAsia="zh-CN"/>
              </w:rPr>
              <w:t>支持</w:t>
            </w:r>
            <w:r>
              <w:rPr>
                <w:rFonts w:hint="eastAsia" w:ascii="宋体" w:hAnsi="宋体"/>
                <w:szCs w:val="21"/>
              </w:rPr>
              <w:t>自动启动甚高频16频道进行应急双向语音通话，2分钟内没有通话，自动关闭甚高频16频道。</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widowControl/>
              <w:spacing w:line="360" w:lineRule="exact"/>
              <w:rPr>
                <w:rFonts w:hint="eastAsia" w:ascii="宋体" w:hAnsi="宋体" w:cs="宋体"/>
                <w:color w:val="auto"/>
              </w:rPr>
            </w:pPr>
            <w:r>
              <w:rPr>
                <w:rFonts w:hint="eastAsia" w:ascii="宋体" w:hAnsi="宋体"/>
                <w:szCs w:val="21"/>
                <w:lang w:val="zh-CN"/>
              </w:rPr>
              <w:t>★</w:t>
            </w:r>
            <w:r>
              <w:rPr>
                <w:rFonts w:hint="eastAsia" w:ascii="宋体" w:hAnsi="宋体"/>
                <w:szCs w:val="21"/>
              </w:rPr>
              <w:t>(6)会遇避碰语音播报。当与外轮发生会遇报警时，可手动启动海事16频道播发英文安全语音避让告警信息。</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tabs>
                <w:tab w:val="left" w:pos="1560"/>
              </w:tabs>
              <w:autoSpaceDE w:val="0"/>
              <w:autoSpaceDN w:val="0"/>
              <w:adjustRightInd w:val="0"/>
              <w:spacing w:line="360" w:lineRule="exact"/>
              <w:outlineLvl w:val="3"/>
              <w:rPr>
                <w:rFonts w:ascii="宋体" w:hAnsi="宋体"/>
                <w:szCs w:val="21"/>
                <w:lang w:val="zh-CN"/>
              </w:rPr>
            </w:pPr>
            <w:r>
              <w:rPr>
                <w:rFonts w:hint="eastAsia" w:ascii="宋体" w:hAnsi="宋体"/>
                <w:szCs w:val="21"/>
                <w:lang w:val="zh-CN"/>
              </w:rPr>
              <w:t>★</w:t>
            </w:r>
            <w:r>
              <w:rPr>
                <w:rFonts w:hint="eastAsia" w:ascii="宋体" w:hAnsi="宋体"/>
                <w:szCs w:val="21"/>
              </w:rPr>
              <w:t>7、</w:t>
            </w:r>
            <w:r>
              <w:rPr>
                <w:rFonts w:hint="eastAsia" w:ascii="宋体" w:hAnsi="宋体"/>
                <w:szCs w:val="21"/>
                <w:lang w:val="zh-CN"/>
              </w:rPr>
              <w:t>特定水域告警提示</w:t>
            </w:r>
          </w:p>
          <w:p>
            <w:pPr>
              <w:autoSpaceDE w:val="0"/>
              <w:autoSpaceDN w:val="0"/>
              <w:adjustRightInd w:val="0"/>
              <w:spacing w:line="360" w:lineRule="exact"/>
              <w:rPr>
                <w:rFonts w:hint="eastAsia" w:ascii="宋体" w:hAnsi="宋体" w:cs="宋体"/>
                <w:color w:val="auto"/>
              </w:rPr>
            </w:pPr>
            <w:r>
              <w:rPr>
                <w:rFonts w:hint="eastAsia" w:ascii="宋体" w:hAnsi="宋体"/>
                <w:szCs w:val="21"/>
                <w:lang w:val="zh-CN"/>
              </w:rPr>
              <w:t>渔船进入有关水域，自动播放语音提示。特定海域有：商船国内海域的推荐航道、商船国内海域的主要锚地、中韩（日）渔业协定暂定措施水域（韩日水域过线报警）、钓鱼岛等，如“本船已进入商船航道水域，请加强值班瞭望，尽快驶离，严禁在此作业、锚泊”或其他水域的特定内容语音提示。</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tabs>
                <w:tab w:val="left" w:pos="1560"/>
              </w:tabs>
              <w:autoSpaceDE w:val="0"/>
              <w:autoSpaceDN w:val="0"/>
              <w:adjustRightInd w:val="0"/>
              <w:spacing w:line="360" w:lineRule="exact"/>
              <w:outlineLvl w:val="3"/>
              <w:rPr>
                <w:rFonts w:ascii="宋体" w:hAnsi="宋体"/>
                <w:szCs w:val="21"/>
                <w:lang w:val="zh-CN"/>
              </w:rPr>
            </w:pPr>
            <w:r>
              <w:rPr>
                <w:rFonts w:hint="eastAsia" w:ascii="宋体" w:hAnsi="宋体"/>
                <w:szCs w:val="21"/>
                <w:lang w:val="zh-CN"/>
              </w:rPr>
              <w:t>★</w:t>
            </w:r>
            <w:r>
              <w:rPr>
                <w:rFonts w:hint="eastAsia" w:ascii="宋体" w:hAnsi="宋体"/>
                <w:szCs w:val="21"/>
              </w:rPr>
              <w:t>8、</w:t>
            </w:r>
            <w:r>
              <w:rPr>
                <w:rFonts w:hint="eastAsia" w:ascii="宋体" w:hAnsi="宋体"/>
                <w:szCs w:val="21"/>
                <w:lang w:val="zh-CN"/>
              </w:rPr>
              <w:t>遇险手动报警</w:t>
            </w:r>
          </w:p>
          <w:p>
            <w:pPr>
              <w:autoSpaceDE w:val="0"/>
              <w:autoSpaceDN w:val="0"/>
              <w:adjustRightInd w:val="0"/>
              <w:spacing w:line="360" w:lineRule="exact"/>
              <w:rPr>
                <w:rFonts w:hint="eastAsia" w:ascii="宋体" w:hAnsi="宋体" w:cs="宋体"/>
                <w:color w:val="auto"/>
              </w:rPr>
            </w:pPr>
            <w:r>
              <w:rPr>
                <w:rFonts w:hint="eastAsia" w:ascii="宋体" w:hAnsi="宋体"/>
                <w:szCs w:val="21"/>
                <w:lang w:val="zh-CN"/>
              </w:rPr>
              <w:t>在遇到险情时，通过专用按键通过舱外主机单元快速向周边船舶和岸上管理平台发送遇险报警信息，信息包括本船MMSI、船名、位置；报警操作需要两个独立动作（先按报警键，再按确认键），报警按键需加装保护盖，用于防止意外操作。</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tabs>
                <w:tab w:val="left" w:pos="1560"/>
              </w:tabs>
              <w:autoSpaceDE w:val="0"/>
              <w:autoSpaceDN w:val="0"/>
              <w:adjustRightInd w:val="0"/>
              <w:spacing w:line="360" w:lineRule="exact"/>
              <w:outlineLvl w:val="3"/>
              <w:rPr>
                <w:rFonts w:ascii="宋体" w:hAnsi="宋体"/>
                <w:szCs w:val="21"/>
              </w:rPr>
            </w:pPr>
            <w:r>
              <w:rPr>
                <w:rFonts w:hint="eastAsia" w:ascii="宋体" w:hAnsi="宋体"/>
                <w:szCs w:val="21"/>
                <w:lang w:val="zh-CN"/>
              </w:rPr>
              <w:t>★</w:t>
            </w:r>
            <w:r>
              <w:rPr>
                <w:rFonts w:hint="eastAsia" w:ascii="宋体" w:hAnsi="宋体"/>
                <w:szCs w:val="21"/>
              </w:rPr>
              <w:t>9、值班点名</w:t>
            </w:r>
          </w:p>
          <w:p>
            <w:pPr>
              <w:tabs>
                <w:tab w:val="left" w:pos="1560"/>
              </w:tabs>
              <w:autoSpaceDE w:val="0"/>
              <w:autoSpaceDN w:val="0"/>
              <w:adjustRightInd w:val="0"/>
              <w:spacing w:line="360" w:lineRule="exact"/>
              <w:ind w:firstLine="420" w:firstLineChars="200"/>
              <w:outlineLvl w:val="3"/>
              <w:rPr>
                <w:rFonts w:ascii="宋体" w:hAnsi="宋体"/>
                <w:szCs w:val="21"/>
              </w:rPr>
            </w:pPr>
            <w:r>
              <w:rPr>
                <w:rFonts w:hint="eastAsia" w:ascii="宋体" w:hAnsi="宋体"/>
                <w:szCs w:val="21"/>
              </w:rPr>
              <w:t>(1)终端定时语音提醒。当值班人员在规定的时间没有手动对设备进行复位，设备自动声光报警，提醒值班人员履行值班职责。</w:t>
            </w:r>
          </w:p>
          <w:p>
            <w:pPr>
              <w:tabs>
                <w:tab w:val="left" w:pos="1560"/>
              </w:tabs>
              <w:autoSpaceDE w:val="0"/>
              <w:autoSpaceDN w:val="0"/>
              <w:adjustRightInd w:val="0"/>
              <w:spacing w:line="360" w:lineRule="exact"/>
              <w:ind w:firstLine="420" w:firstLineChars="200"/>
              <w:outlineLvl w:val="3"/>
              <w:rPr>
                <w:rFonts w:hint="eastAsia" w:ascii="宋体" w:hAnsi="宋体" w:cs="宋体"/>
                <w:color w:val="auto"/>
              </w:rPr>
            </w:pPr>
            <w:r>
              <w:rPr>
                <w:rFonts w:hint="eastAsia" w:ascii="宋体" w:hAnsi="宋体"/>
                <w:szCs w:val="21"/>
              </w:rPr>
              <w:t>(2)管理平台点名。在信号覆盖范围内，管理平台可向终端发送点名指令，终端接收后屏幕弹窗提示，需人工手动确认回执。</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tabs>
                <w:tab w:val="left" w:pos="1560"/>
              </w:tabs>
              <w:autoSpaceDE w:val="0"/>
              <w:autoSpaceDN w:val="0"/>
              <w:adjustRightInd w:val="0"/>
              <w:spacing w:line="360" w:lineRule="exact"/>
              <w:outlineLvl w:val="3"/>
              <w:rPr>
                <w:rFonts w:hint="eastAsia" w:ascii="宋体" w:hAnsi="宋体" w:cs="宋体"/>
                <w:color w:val="auto"/>
              </w:rPr>
            </w:pPr>
            <w:r>
              <w:rPr>
                <w:rFonts w:hint="eastAsia" w:ascii="宋体" w:hAnsi="宋体"/>
                <w:szCs w:val="21"/>
                <w:lang w:val="zh-CN"/>
              </w:rPr>
              <w:t>★</w:t>
            </w:r>
            <w:r>
              <w:rPr>
                <w:rFonts w:hint="eastAsia" w:ascii="宋体" w:hAnsi="宋体"/>
                <w:szCs w:val="21"/>
              </w:rPr>
              <w:t>（2）自动记录本船接收到的周边船舶AIS动态数据3个月以上（数据记录方式采用AIS标准语句，能在救助信息平台直接显示回放）。</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numPr>
                <w:ilvl w:val="0"/>
                <w:numId w:val="24"/>
              </w:numPr>
              <w:spacing w:line="400" w:lineRule="exact"/>
              <w:ind w:left="425" w:leftChars="0" w:hanging="425" w:firstLineChars="0"/>
              <w:jc w:val="center"/>
              <w:rPr>
                <w:rFonts w:hint="eastAsia" w:ascii="宋体" w:hAnsi="宋体" w:cs="宋体"/>
                <w:color w:val="auto"/>
              </w:rPr>
            </w:pPr>
          </w:p>
        </w:tc>
        <w:tc>
          <w:tcPr>
            <w:tcW w:w="4503" w:type="dxa"/>
            <w:noWrap w:val="0"/>
            <w:vAlign w:val="center"/>
          </w:tcPr>
          <w:p>
            <w:pPr>
              <w:tabs>
                <w:tab w:val="left" w:pos="1560"/>
              </w:tabs>
              <w:autoSpaceDE w:val="0"/>
              <w:autoSpaceDN w:val="0"/>
              <w:adjustRightInd w:val="0"/>
              <w:spacing w:line="360" w:lineRule="exact"/>
              <w:outlineLvl w:val="3"/>
              <w:rPr>
                <w:rFonts w:ascii="宋体" w:hAnsi="宋体"/>
                <w:szCs w:val="21"/>
                <w:lang w:val="zh-CN"/>
              </w:rPr>
            </w:pPr>
            <w:r>
              <w:rPr>
                <w:rFonts w:hint="eastAsia" w:ascii="宋体" w:hAnsi="宋体"/>
                <w:szCs w:val="21"/>
                <w:lang w:val="zh-CN"/>
              </w:rPr>
              <w:t>★</w:t>
            </w:r>
            <w:r>
              <w:rPr>
                <w:rFonts w:hint="eastAsia" w:ascii="宋体" w:hAnsi="宋体"/>
                <w:szCs w:val="21"/>
              </w:rPr>
              <w:t>12、</w:t>
            </w:r>
            <w:r>
              <w:rPr>
                <w:rFonts w:hint="eastAsia" w:ascii="宋体" w:hAnsi="宋体"/>
                <w:szCs w:val="21"/>
                <w:lang w:val="zh-CN"/>
              </w:rPr>
              <w:t>自检功能</w:t>
            </w:r>
          </w:p>
          <w:p>
            <w:pPr>
              <w:autoSpaceDE w:val="0"/>
              <w:autoSpaceDN w:val="0"/>
              <w:adjustRightInd w:val="0"/>
              <w:spacing w:line="360" w:lineRule="exact"/>
              <w:rPr>
                <w:rFonts w:hint="eastAsia" w:ascii="宋体" w:hAnsi="宋体" w:cs="宋体"/>
                <w:color w:val="auto"/>
              </w:rPr>
            </w:pPr>
            <w:r>
              <w:rPr>
                <w:rFonts w:hint="eastAsia" w:ascii="宋体" w:hAnsi="宋体"/>
                <w:szCs w:val="21"/>
                <w:lang w:val="zh-CN"/>
              </w:rPr>
              <w:t>终端具有自检功能，通过界面显示终端的工作状态，简单判断终端是否工作正常。</w:t>
            </w: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restart"/>
            <w:noWrap w:val="0"/>
            <w:vAlign w:val="center"/>
          </w:tcPr>
          <w:p>
            <w:pPr>
              <w:widowControl/>
              <w:spacing w:line="400" w:lineRule="exact"/>
              <w:jc w:val="center"/>
              <w:rPr>
                <w:rFonts w:hint="default" w:ascii="宋体" w:hAnsi="宋体" w:eastAsia="宋体" w:cs="宋体"/>
                <w:color w:val="auto"/>
                <w:lang w:val="en-US" w:eastAsia="zh-CN"/>
              </w:rPr>
            </w:pPr>
            <w:r>
              <w:rPr>
                <w:rFonts w:hint="eastAsia" w:ascii="宋体" w:hAnsi="宋体" w:cs="宋体"/>
                <w:color w:val="auto"/>
                <w:lang w:val="en-US" w:eastAsia="zh-CN"/>
              </w:rPr>
              <w:t>二、其他技术条款</w:t>
            </w:r>
          </w:p>
        </w:tc>
        <w:tc>
          <w:tcPr>
            <w:tcW w:w="909" w:type="dxa"/>
            <w:noWrap w:val="0"/>
            <w:vAlign w:val="center"/>
          </w:tcPr>
          <w:p>
            <w:pPr>
              <w:widowControl/>
              <w:spacing w:line="400" w:lineRule="exact"/>
              <w:jc w:val="center"/>
              <w:rPr>
                <w:rFonts w:hint="default" w:ascii="宋体" w:hAnsi="宋体" w:eastAsia="宋体" w:cs="宋体"/>
                <w:color w:val="auto"/>
                <w:lang w:val="en-US" w:eastAsia="zh-CN"/>
              </w:rPr>
            </w:pPr>
            <w:r>
              <w:rPr>
                <w:rFonts w:hint="eastAsia" w:ascii="宋体" w:hAnsi="宋体" w:cs="宋体"/>
                <w:color w:val="auto"/>
                <w:lang w:val="en-US" w:eastAsia="zh-CN"/>
              </w:rPr>
              <w:t>1.</w:t>
            </w:r>
          </w:p>
        </w:tc>
        <w:tc>
          <w:tcPr>
            <w:tcW w:w="4503" w:type="dxa"/>
            <w:noWrap w:val="0"/>
            <w:vAlign w:val="center"/>
          </w:tcPr>
          <w:p>
            <w:pPr>
              <w:widowControl/>
              <w:spacing w:line="400" w:lineRule="exact"/>
              <w:rPr>
                <w:rFonts w:hint="eastAsia" w:ascii="宋体" w:hAnsi="宋体" w:cs="宋体"/>
                <w:color w:val="auto"/>
              </w:rPr>
            </w:pP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spacing w:line="400" w:lineRule="exact"/>
              <w:jc w:val="center"/>
              <w:rPr>
                <w:rFonts w:hint="default" w:ascii="宋体" w:hAnsi="宋体" w:eastAsia="宋体" w:cs="宋体"/>
                <w:color w:val="auto"/>
                <w:lang w:val="en-US" w:eastAsia="zh-CN"/>
              </w:rPr>
            </w:pPr>
            <w:r>
              <w:rPr>
                <w:rFonts w:hint="eastAsia" w:ascii="宋体" w:hAnsi="宋体" w:cs="宋体"/>
                <w:color w:val="auto"/>
                <w:lang w:val="en-US" w:eastAsia="zh-CN"/>
              </w:rPr>
              <w:t>2.</w:t>
            </w:r>
          </w:p>
        </w:tc>
        <w:tc>
          <w:tcPr>
            <w:tcW w:w="4503" w:type="dxa"/>
            <w:noWrap w:val="0"/>
            <w:vAlign w:val="center"/>
          </w:tcPr>
          <w:p>
            <w:pPr>
              <w:widowControl/>
              <w:spacing w:line="400" w:lineRule="exact"/>
              <w:rPr>
                <w:rFonts w:hint="eastAsia" w:ascii="宋体" w:hAnsi="宋体" w:cs="宋体"/>
                <w:color w:val="auto"/>
              </w:rPr>
            </w:pP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spacing w:line="400" w:lineRule="exact"/>
              <w:jc w:val="center"/>
              <w:rPr>
                <w:rFonts w:hint="default" w:ascii="宋体" w:hAnsi="宋体" w:eastAsia="宋体" w:cs="宋体"/>
                <w:color w:val="auto"/>
                <w:lang w:val="en-US" w:eastAsia="zh-CN"/>
              </w:rPr>
            </w:pPr>
            <w:r>
              <w:rPr>
                <w:rFonts w:hint="eastAsia" w:ascii="宋体" w:hAnsi="宋体" w:cs="宋体"/>
                <w:color w:val="auto"/>
                <w:lang w:val="en-US" w:eastAsia="zh-CN"/>
              </w:rPr>
              <w:t>3.</w:t>
            </w:r>
          </w:p>
        </w:tc>
        <w:tc>
          <w:tcPr>
            <w:tcW w:w="4503" w:type="dxa"/>
            <w:noWrap w:val="0"/>
            <w:vAlign w:val="center"/>
          </w:tcPr>
          <w:p>
            <w:pPr>
              <w:widowControl/>
              <w:spacing w:line="400" w:lineRule="exact"/>
              <w:rPr>
                <w:rFonts w:hint="eastAsia" w:ascii="宋体" w:hAnsi="宋体" w:cs="宋体"/>
                <w:color w:val="auto"/>
              </w:rPr>
            </w:pP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4" w:type="dxa"/>
            <w:vMerge w:val="continue"/>
            <w:noWrap w:val="0"/>
            <w:vAlign w:val="center"/>
          </w:tcPr>
          <w:p>
            <w:pPr>
              <w:widowControl/>
              <w:spacing w:line="400" w:lineRule="exact"/>
              <w:jc w:val="center"/>
              <w:rPr>
                <w:rFonts w:hint="eastAsia" w:ascii="宋体" w:hAnsi="宋体" w:cs="宋体"/>
                <w:color w:val="auto"/>
              </w:rPr>
            </w:pPr>
          </w:p>
        </w:tc>
        <w:tc>
          <w:tcPr>
            <w:tcW w:w="909" w:type="dxa"/>
            <w:noWrap w:val="0"/>
            <w:vAlign w:val="center"/>
          </w:tcPr>
          <w:p>
            <w:pPr>
              <w:widowControl/>
              <w:spacing w:line="400" w:lineRule="exact"/>
              <w:jc w:val="center"/>
              <w:rPr>
                <w:rFonts w:hint="default" w:ascii="宋体" w:hAnsi="宋体" w:eastAsia="宋体" w:cs="宋体"/>
                <w:color w:val="auto"/>
                <w:lang w:val="en-US" w:eastAsia="zh-CN"/>
              </w:rPr>
            </w:pPr>
            <w:r>
              <w:rPr>
                <w:rFonts w:hint="eastAsia" w:ascii="宋体" w:hAnsi="宋体" w:cs="宋体"/>
                <w:color w:val="auto"/>
                <w:lang w:val="en-US" w:eastAsia="zh-CN"/>
              </w:rPr>
              <w:t>...</w:t>
            </w:r>
          </w:p>
        </w:tc>
        <w:tc>
          <w:tcPr>
            <w:tcW w:w="4503" w:type="dxa"/>
            <w:noWrap w:val="0"/>
            <w:vAlign w:val="center"/>
          </w:tcPr>
          <w:p>
            <w:pPr>
              <w:widowControl/>
              <w:spacing w:line="400" w:lineRule="exact"/>
              <w:rPr>
                <w:rFonts w:hint="eastAsia" w:ascii="宋体" w:hAnsi="宋体" w:cs="宋体"/>
                <w:color w:val="auto"/>
              </w:rPr>
            </w:pPr>
          </w:p>
        </w:tc>
        <w:tc>
          <w:tcPr>
            <w:tcW w:w="3233" w:type="dxa"/>
            <w:noWrap w:val="0"/>
            <w:vAlign w:val="top"/>
          </w:tcPr>
          <w:p>
            <w:pPr>
              <w:widowControl/>
              <w:spacing w:line="400" w:lineRule="exact"/>
              <w:rPr>
                <w:rFonts w:hint="eastAsia" w:ascii="宋体" w:hAnsi="宋体" w:cs="宋体"/>
                <w:b/>
                <w:bCs/>
                <w:color w:val="auto"/>
                <w:szCs w:val="21"/>
              </w:rPr>
            </w:pPr>
          </w:p>
        </w:tc>
        <w:tc>
          <w:tcPr>
            <w:tcW w:w="1449" w:type="dxa"/>
            <w:noWrap w:val="0"/>
            <w:vAlign w:val="top"/>
          </w:tcPr>
          <w:p>
            <w:pPr>
              <w:widowControl/>
              <w:spacing w:line="400" w:lineRule="exact"/>
              <w:rPr>
                <w:rFonts w:hint="eastAsia" w:ascii="宋体" w:hAnsi="宋体" w:cs="宋体"/>
                <w:b/>
                <w:bCs/>
                <w:color w:val="auto"/>
                <w:szCs w:val="21"/>
              </w:rPr>
            </w:pPr>
          </w:p>
        </w:tc>
        <w:tc>
          <w:tcPr>
            <w:tcW w:w="1651" w:type="dxa"/>
            <w:noWrap w:val="0"/>
            <w:vAlign w:val="top"/>
          </w:tcPr>
          <w:p>
            <w:pPr>
              <w:widowControl/>
              <w:spacing w:line="400" w:lineRule="exact"/>
              <w:rPr>
                <w:rFonts w:hint="eastAsia" w:ascii="宋体" w:hAnsi="宋体" w:cs="宋体"/>
                <w:b/>
                <w:bCs/>
                <w:color w:val="auto"/>
                <w:szCs w:val="21"/>
              </w:rPr>
            </w:pPr>
          </w:p>
        </w:tc>
        <w:tc>
          <w:tcPr>
            <w:tcW w:w="2064" w:type="dxa"/>
            <w:noWrap w:val="0"/>
            <w:vAlign w:val="top"/>
          </w:tcPr>
          <w:p>
            <w:pPr>
              <w:widowControl/>
              <w:spacing w:line="400" w:lineRule="exact"/>
              <w:rPr>
                <w:rFonts w:hint="eastAsia" w:ascii="宋体" w:hAnsi="宋体" w:cs="宋体"/>
                <w:b/>
                <w:bCs/>
                <w:color w:val="auto"/>
                <w:szCs w:val="21"/>
              </w:rPr>
            </w:pPr>
          </w:p>
        </w:tc>
      </w:tr>
    </w:tbl>
    <w:p>
      <w:pPr>
        <w:snapToGrid w:val="0"/>
        <w:spacing w:line="360" w:lineRule="auto"/>
        <w:rPr>
          <w:rFonts w:hint="eastAsia" w:ascii="宋体" w:hAnsi="宋体" w:cs="宋体"/>
          <w:b/>
          <w:color w:val="auto"/>
          <w:szCs w:val="21"/>
        </w:rPr>
      </w:pPr>
      <w:r>
        <w:rPr>
          <w:rFonts w:hint="eastAsia" w:ascii="宋体" w:hAnsi="宋体" w:cs="宋体"/>
          <w:b/>
          <w:color w:val="auto"/>
          <w:szCs w:val="21"/>
        </w:rPr>
        <w:t>注：投标人应根据投标产品的性能指标</w:t>
      </w:r>
      <w:r>
        <w:rPr>
          <w:rFonts w:hint="eastAsia" w:ascii="宋体" w:hAnsi="宋体" w:cs="宋体"/>
          <w:b/>
          <w:color w:val="auto"/>
          <w:szCs w:val="21"/>
          <w:lang w:val="en-US" w:eastAsia="zh-CN"/>
        </w:rPr>
        <w:t>并</w:t>
      </w:r>
      <w:r>
        <w:rPr>
          <w:rFonts w:hint="eastAsia" w:ascii="宋体" w:hAnsi="宋体" w:cs="宋体"/>
          <w:b/>
          <w:color w:val="auto"/>
          <w:szCs w:val="21"/>
        </w:rPr>
        <w:t>对照招标文件第二章采购需求中“技术</w:t>
      </w:r>
      <w:r>
        <w:rPr>
          <w:rFonts w:hint="eastAsia" w:ascii="宋体" w:hAnsi="宋体" w:cs="宋体"/>
          <w:b/>
          <w:color w:val="auto"/>
          <w:szCs w:val="21"/>
          <w:lang w:val="en-US" w:eastAsia="zh-CN"/>
        </w:rPr>
        <w:t>要</w:t>
      </w:r>
      <w:r>
        <w:rPr>
          <w:rFonts w:hint="eastAsia" w:ascii="宋体" w:hAnsi="宋体" w:cs="宋体"/>
          <w:b/>
          <w:color w:val="auto"/>
          <w:szCs w:val="21"/>
        </w:rPr>
        <w:t>求”</w:t>
      </w:r>
      <w:r>
        <w:rPr>
          <w:rFonts w:hint="eastAsia" w:ascii="宋体" w:hAnsi="宋体" w:cs="宋体"/>
          <w:b/>
          <w:color w:val="auto"/>
          <w:szCs w:val="21"/>
          <w:lang w:eastAsia="zh-CN"/>
        </w:rPr>
        <w:t>，</w:t>
      </w:r>
      <w:r>
        <w:rPr>
          <w:rFonts w:hint="eastAsia" w:ascii="宋体" w:hAnsi="宋体" w:cs="宋体"/>
          <w:b/>
          <w:color w:val="auto"/>
          <w:szCs w:val="21"/>
          <w:lang w:val="en-US" w:eastAsia="zh-CN"/>
        </w:rPr>
        <w:t>将技术需求分为重要技术指标及其他技术条款，</w:t>
      </w:r>
      <w:r>
        <w:rPr>
          <w:rFonts w:hint="eastAsia" w:ascii="宋体" w:hAnsi="宋体" w:cs="宋体"/>
          <w:b/>
          <w:color w:val="auto"/>
          <w:szCs w:val="21"/>
        </w:rPr>
        <w:t>逐条填写，并在“偏离情况”栏注明“正偏离”、“负偏离”或“无偏离”。</w:t>
      </w:r>
    </w:p>
    <w:p>
      <w:pPr>
        <w:snapToGrid w:val="0"/>
        <w:spacing w:line="360" w:lineRule="auto"/>
        <w:jc w:val="center"/>
        <w:rPr>
          <w:rFonts w:hint="eastAsia" w:ascii="宋体" w:hAnsi="宋体" w:cs="宋体"/>
          <w:b/>
          <w:bCs/>
          <w:color w:val="auto"/>
          <w:sz w:val="24"/>
          <w:szCs w:val="21"/>
        </w:rPr>
      </w:pPr>
    </w:p>
    <w:p>
      <w:pPr>
        <w:widowControl/>
        <w:spacing w:line="360" w:lineRule="auto"/>
        <w:ind w:firstLine="10920" w:firstLineChars="5200"/>
        <w:jc w:val="left"/>
        <w:rPr>
          <w:rFonts w:hint="eastAsia" w:ascii="宋体" w:hAnsi="宋体" w:cs="宋体"/>
          <w:color w:val="auto"/>
          <w:szCs w:val="21"/>
        </w:rPr>
      </w:pPr>
      <w:r>
        <w:rPr>
          <w:rFonts w:hint="eastAsia" w:ascii="宋体" w:hAnsi="宋体" w:cs="宋体"/>
          <w:color w:val="auto"/>
          <w:szCs w:val="21"/>
        </w:rPr>
        <w:t>投 标 人（盖章）：</w:t>
      </w:r>
    </w:p>
    <w:p>
      <w:pPr>
        <w:pStyle w:val="15"/>
        <w:spacing w:line="360" w:lineRule="auto"/>
        <w:ind w:firstLine="11004" w:firstLineChars="5240"/>
        <w:rPr>
          <w:rFonts w:hint="eastAsia" w:hAnsi="宋体" w:cs="宋体"/>
          <w:color w:val="auto"/>
          <w:spacing w:val="0"/>
          <w:sz w:val="21"/>
          <w:szCs w:val="21"/>
        </w:rPr>
      </w:pPr>
      <w:r>
        <w:rPr>
          <w:rFonts w:hint="eastAsia" w:hAnsi="宋体" w:cs="宋体"/>
          <w:color w:val="auto"/>
          <w:spacing w:val="0"/>
          <w:sz w:val="21"/>
          <w:szCs w:val="21"/>
        </w:rPr>
        <w:t>日    期</w:t>
      </w:r>
    </w:p>
    <w:p>
      <w:pPr>
        <w:pStyle w:val="15"/>
        <w:spacing w:line="360" w:lineRule="auto"/>
        <w:ind w:left="0" w:leftChars="0" w:firstLine="0" w:firstLineChars="0"/>
        <w:rPr>
          <w:rFonts w:hint="eastAsia" w:hAnsi="宋体" w:cs="宋体"/>
          <w:color w:val="auto"/>
          <w:spacing w:val="0"/>
          <w:sz w:val="21"/>
          <w:szCs w:val="21"/>
        </w:rPr>
        <w:sectPr>
          <w:headerReference r:id="rId13" w:type="default"/>
          <w:footerReference r:id="rId14" w:type="default"/>
          <w:pgSz w:w="16840" w:h="11907" w:orient="landscape"/>
          <w:pgMar w:top="1474" w:right="1276" w:bottom="1474" w:left="1242" w:header="720" w:footer="720" w:gutter="0"/>
          <w:pgBorders>
            <w:top w:val="none" w:sz="0" w:space="0"/>
            <w:left w:val="none" w:sz="0" w:space="0"/>
            <w:bottom w:val="none" w:sz="0" w:space="0"/>
            <w:right w:val="none" w:sz="0" w:space="0"/>
          </w:pgBorders>
          <w:cols w:space="720" w:num="1"/>
          <w:docGrid w:linePitch="285" w:charSpace="0"/>
        </w:sectPr>
      </w:pPr>
    </w:p>
    <w:p>
      <w:pPr>
        <w:pStyle w:val="15"/>
        <w:spacing w:line="360" w:lineRule="auto"/>
        <w:ind w:left="0" w:leftChars="0" w:firstLine="0" w:firstLineChars="0"/>
        <w:rPr>
          <w:rFonts w:hint="eastAsia" w:ascii="宋体" w:hAnsi="宋体" w:eastAsia="宋体" w:cs="宋体"/>
          <w:b/>
          <w:bCs/>
          <w:color w:val="auto"/>
          <w:spacing w:val="0"/>
          <w:kern w:val="2"/>
          <w:sz w:val="21"/>
          <w:szCs w:val="24"/>
          <w:lang w:val="en-US" w:eastAsia="zh-CN" w:bidi="ar-SA"/>
        </w:rPr>
      </w:pPr>
      <w:r>
        <w:rPr>
          <w:rFonts w:hint="eastAsia" w:ascii="宋体" w:hAnsi="宋体" w:eastAsia="宋体" w:cs="宋体"/>
          <w:b/>
          <w:bCs/>
          <w:color w:val="auto"/>
          <w:spacing w:val="0"/>
          <w:kern w:val="2"/>
          <w:sz w:val="21"/>
          <w:szCs w:val="24"/>
          <w:lang w:val="en-US" w:eastAsia="zh-CN" w:bidi="ar-SA"/>
        </w:rPr>
        <w:t>9.评分标准或采购文件需要提供的证明材料（具体详见评分标准，格式自拟）</w:t>
      </w:r>
    </w:p>
    <w:p>
      <w:pPr>
        <w:pStyle w:val="10"/>
        <w:numPr>
          <w:ilvl w:val="0"/>
          <w:numId w:val="0"/>
        </w:numPr>
        <w:ind w:left="420"/>
        <w:rPr>
          <w:rFonts w:hint="eastAsia" w:ascii="宋体" w:hAnsi="宋体" w:cs="宋体"/>
          <w:color w:val="auto"/>
        </w:rPr>
      </w:pPr>
    </w:p>
    <w:p>
      <w:pPr>
        <w:snapToGrid w:val="0"/>
        <w:spacing w:before="50" w:after="50"/>
        <w:rPr>
          <w:rFonts w:hint="eastAsia" w:ascii="宋体" w:hAnsi="宋体" w:cs="宋体"/>
          <w:b/>
          <w:bCs/>
          <w:color w:val="auto"/>
          <w:szCs w:val="21"/>
        </w:rPr>
      </w:pPr>
      <w:r>
        <w:rPr>
          <w:rFonts w:hint="eastAsia" w:ascii="宋体" w:hAnsi="宋体" w:cs="宋体"/>
          <w:b/>
          <w:bCs/>
          <w:color w:val="auto"/>
        </w:rPr>
        <w:t>10.投标人认为有必要提交的其他商务技术说明文件和资料</w:t>
      </w:r>
    </w:p>
    <w:p>
      <w:pPr>
        <w:tabs>
          <w:tab w:val="left" w:pos="606"/>
        </w:tabs>
        <w:rPr>
          <w:rFonts w:hint="eastAsia" w:ascii="宋体" w:hAnsi="宋体" w:cs="宋体"/>
          <w:color w:val="auto"/>
          <w:szCs w:val="21"/>
        </w:rPr>
      </w:pPr>
    </w:p>
    <w:p>
      <w:pPr>
        <w:tabs>
          <w:tab w:val="left" w:pos="606"/>
        </w:tabs>
        <w:rPr>
          <w:rFonts w:hint="eastAsia" w:ascii="宋体" w:hAnsi="宋体" w:cs="宋体"/>
          <w:color w:val="auto"/>
          <w:szCs w:val="21"/>
        </w:rPr>
      </w:pPr>
    </w:p>
    <w:p>
      <w:pPr>
        <w:jc w:val="center"/>
        <w:rPr>
          <w:rFonts w:hint="eastAsia" w:ascii="宋体" w:hAnsi="宋体" w:cs="宋体"/>
          <w:color w:val="auto"/>
          <w:szCs w:val="21"/>
        </w:rPr>
      </w:pPr>
      <w:r>
        <w:rPr>
          <w:rFonts w:hint="eastAsia" w:ascii="宋体" w:hAnsi="宋体" w:cs="宋体"/>
          <w:color w:val="auto"/>
        </w:rPr>
        <w:br w:type="page"/>
      </w:r>
      <w:r>
        <w:rPr>
          <w:rFonts w:hint="eastAsia" w:ascii="宋体" w:hAnsi="宋体" w:cs="宋体"/>
          <w:color w:val="auto"/>
          <w:sz w:val="32"/>
          <w:szCs w:val="32"/>
          <w:lang w:val="en-US" w:eastAsia="zh-CN"/>
        </w:rPr>
        <w:t>三、</w:t>
      </w:r>
      <w:r>
        <w:rPr>
          <w:rFonts w:hint="eastAsia" w:ascii="宋体" w:hAnsi="宋体" w:cs="宋体"/>
          <w:b/>
          <w:color w:val="auto"/>
          <w:kern w:val="0"/>
          <w:sz w:val="32"/>
          <w:szCs w:val="32"/>
        </w:rPr>
        <w:t>报价文件</w:t>
      </w:r>
    </w:p>
    <w:p>
      <w:pPr>
        <w:widowControl/>
        <w:spacing w:line="400" w:lineRule="exact"/>
        <w:rPr>
          <w:rFonts w:hint="eastAsia" w:ascii="宋体" w:hAnsi="宋体" w:cs="宋体"/>
          <w:b/>
          <w:color w:val="auto"/>
          <w:szCs w:val="21"/>
        </w:rPr>
      </w:pPr>
      <w:bookmarkStart w:id="335" w:name="_Toc16851"/>
      <w:bookmarkStart w:id="336" w:name="_Toc27584"/>
      <w:bookmarkStart w:id="337" w:name="_Toc9902"/>
      <w:r>
        <w:rPr>
          <w:rFonts w:hint="eastAsia" w:ascii="宋体" w:hAnsi="宋体" w:cs="宋体"/>
          <w:b/>
          <w:color w:val="auto"/>
          <w:szCs w:val="21"/>
        </w:rPr>
        <w:t>1.投标函</w:t>
      </w:r>
    </w:p>
    <w:bookmarkEnd w:id="335"/>
    <w:bookmarkEnd w:id="336"/>
    <w:bookmarkEnd w:id="337"/>
    <w:p>
      <w:pPr>
        <w:rPr>
          <w:rFonts w:hint="eastAsia" w:ascii="宋体" w:hAnsi="宋体" w:cs="宋体"/>
          <w:b/>
          <w:color w:val="auto"/>
        </w:rPr>
      </w:pPr>
    </w:p>
    <w:p>
      <w:pPr>
        <w:widowControl/>
        <w:spacing w:line="400" w:lineRule="exact"/>
        <w:jc w:val="center"/>
        <w:rPr>
          <w:rFonts w:hint="eastAsia" w:ascii="宋体" w:hAnsi="宋体" w:cs="宋体"/>
          <w:b/>
          <w:color w:val="auto"/>
          <w:sz w:val="30"/>
          <w:szCs w:val="30"/>
        </w:rPr>
      </w:pPr>
      <w:r>
        <w:rPr>
          <w:rFonts w:hint="eastAsia" w:ascii="宋体" w:hAnsi="宋体" w:cs="宋体"/>
          <w:b/>
          <w:color w:val="auto"/>
          <w:sz w:val="30"/>
          <w:szCs w:val="30"/>
        </w:rPr>
        <w:t>投标函</w:t>
      </w:r>
    </w:p>
    <w:p>
      <w:pPr>
        <w:widowControl/>
        <w:spacing w:line="400" w:lineRule="exact"/>
        <w:jc w:val="center"/>
        <w:rPr>
          <w:rFonts w:hint="eastAsia" w:ascii="宋体" w:hAnsi="宋体" w:cs="宋体"/>
          <w:b/>
          <w:color w:val="auto"/>
          <w:sz w:val="24"/>
        </w:rPr>
      </w:pPr>
    </w:p>
    <w:p>
      <w:pPr>
        <w:pStyle w:val="15"/>
        <w:widowControl/>
        <w:spacing w:line="360" w:lineRule="auto"/>
        <w:ind w:firstLine="0"/>
        <w:jc w:val="left"/>
        <w:rPr>
          <w:rFonts w:hint="eastAsia" w:hAnsi="宋体" w:cs="宋体"/>
          <w:color w:val="auto"/>
          <w:sz w:val="21"/>
          <w:szCs w:val="21"/>
        </w:rPr>
      </w:pPr>
      <w:r>
        <w:rPr>
          <w:rFonts w:hint="eastAsia" w:hAnsi="宋体" w:cs="宋体"/>
          <w:color w:val="auto"/>
          <w:sz w:val="21"/>
          <w:szCs w:val="21"/>
        </w:rPr>
        <w:t>致：宁波中穗招标有限公司</w:t>
      </w:r>
    </w:p>
    <w:p>
      <w:pPr>
        <w:pStyle w:val="15"/>
        <w:widowControl/>
        <w:spacing w:line="360" w:lineRule="auto"/>
        <w:ind w:firstLine="404" w:firstLineChars="200"/>
        <w:jc w:val="left"/>
        <w:rPr>
          <w:rFonts w:hint="eastAsia" w:hAnsi="宋体" w:cs="宋体"/>
          <w:color w:val="auto"/>
          <w:sz w:val="21"/>
          <w:szCs w:val="21"/>
        </w:rPr>
      </w:pPr>
      <w:r>
        <w:rPr>
          <w:rFonts w:hint="eastAsia" w:hAnsi="宋体" w:cs="宋体"/>
          <w:color w:val="auto"/>
          <w:sz w:val="21"/>
          <w:szCs w:val="21"/>
          <w:u w:val="single"/>
        </w:rPr>
        <w:t>（投标人全称）</w:t>
      </w:r>
      <w:r>
        <w:rPr>
          <w:rFonts w:hint="eastAsia" w:hAnsi="宋体" w:cs="宋体"/>
          <w:color w:val="auto"/>
          <w:sz w:val="21"/>
          <w:szCs w:val="21"/>
        </w:rPr>
        <w:t>授权</w:t>
      </w:r>
      <w:r>
        <w:rPr>
          <w:rFonts w:hint="eastAsia" w:hAnsi="宋体" w:cs="宋体"/>
          <w:color w:val="auto"/>
          <w:sz w:val="21"/>
          <w:szCs w:val="21"/>
          <w:u w:val="single"/>
        </w:rPr>
        <w:t>（授权代表姓名、职务）</w:t>
      </w:r>
      <w:r>
        <w:rPr>
          <w:rFonts w:hint="eastAsia" w:hAnsi="宋体" w:cs="宋体"/>
          <w:color w:val="auto"/>
          <w:sz w:val="21"/>
          <w:szCs w:val="21"/>
        </w:rPr>
        <w:t>为本公司合法代理人，参加贵方组织的</w:t>
      </w:r>
      <w:r>
        <w:rPr>
          <w:rFonts w:hint="eastAsia" w:hAnsi="宋体" w:cs="宋体"/>
          <w:color w:val="auto"/>
          <w:sz w:val="21"/>
          <w:szCs w:val="21"/>
          <w:u w:val="single"/>
        </w:rPr>
        <w:t>（项目编号、项目名称）</w:t>
      </w:r>
      <w:r>
        <w:rPr>
          <w:rFonts w:hint="eastAsia" w:hAnsi="宋体" w:cs="宋体"/>
          <w:color w:val="auto"/>
          <w:sz w:val="21"/>
          <w:szCs w:val="21"/>
        </w:rPr>
        <w:t>招投标活动，代表本公司（单位）处理招投标活动中的一切事宜，在此：</w:t>
      </w:r>
    </w:p>
    <w:p>
      <w:pPr>
        <w:pStyle w:val="15"/>
        <w:widowControl/>
        <w:spacing w:line="360" w:lineRule="auto"/>
        <w:ind w:firstLine="0"/>
        <w:jc w:val="left"/>
        <w:rPr>
          <w:rFonts w:hint="eastAsia" w:hAnsi="宋体" w:cs="宋体"/>
          <w:color w:val="auto"/>
          <w:sz w:val="21"/>
          <w:szCs w:val="21"/>
        </w:rPr>
      </w:pPr>
      <w:r>
        <w:rPr>
          <w:rFonts w:hint="eastAsia" w:hAnsi="宋体" w:cs="宋体"/>
          <w:color w:val="auto"/>
          <w:sz w:val="21"/>
          <w:szCs w:val="21"/>
        </w:rPr>
        <w:t>1、提供招标文件中“投标须知”规定的全部投标文件：</w:t>
      </w:r>
    </w:p>
    <w:p>
      <w:pPr>
        <w:pStyle w:val="15"/>
        <w:widowControl/>
        <w:spacing w:line="360" w:lineRule="auto"/>
        <w:jc w:val="left"/>
        <w:rPr>
          <w:rFonts w:hint="eastAsia" w:hAnsi="宋体" w:cs="宋体"/>
          <w:color w:val="auto"/>
          <w:sz w:val="21"/>
          <w:szCs w:val="21"/>
        </w:rPr>
      </w:pPr>
      <w:r>
        <w:rPr>
          <w:rFonts w:hint="eastAsia" w:hAnsi="宋体" w:cs="宋体"/>
          <w:color w:val="auto"/>
          <w:sz w:val="21"/>
          <w:szCs w:val="21"/>
        </w:rPr>
        <w:t>（1）上传到政府采购云平台的电子投标文件（含资格证明文件、商务技术文件、报价文件）1份。</w:t>
      </w:r>
    </w:p>
    <w:p>
      <w:pPr>
        <w:pStyle w:val="15"/>
        <w:widowControl/>
        <w:spacing w:line="360" w:lineRule="auto"/>
        <w:jc w:val="left"/>
        <w:rPr>
          <w:rFonts w:hint="eastAsia" w:hAnsi="宋体" w:cs="宋体"/>
          <w:color w:val="auto"/>
          <w:sz w:val="21"/>
          <w:szCs w:val="21"/>
        </w:rPr>
      </w:pPr>
      <w:r>
        <w:rPr>
          <w:rFonts w:hint="eastAsia" w:hAnsi="宋体" w:cs="宋体"/>
          <w:color w:val="auto"/>
          <w:sz w:val="21"/>
          <w:szCs w:val="21"/>
        </w:rPr>
        <w:t>（2）以U盘存储的电子备份投标文件（含资格证明文件、商务技术文件、报价文件）1份。</w:t>
      </w:r>
    </w:p>
    <w:p>
      <w:pPr>
        <w:pStyle w:val="15"/>
        <w:widowControl/>
        <w:spacing w:line="360" w:lineRule="auto"/>
        <w:ind w:firstLine="0"/>
        <w:jc w:val="left"/>
        <w:rPr>
          <w:rFonts w:hint="eastAsia" w:hAnsi="宋体" w:cs="宋体"/>
          <w:color w:val="auto"/>
          <w:sz w:val="21"/>
          <w:szCs w:val="21"/>
        </w:rPr>
      </w:pPr>
      <w:r>
        <w:rPr>
          <w:rFonts w:hint="eastAsia" w:hAnsi="宋体" w:cs="宋体"/>
          <w:color w:val="auto"/>
          <w:sz w:val="21"/>
          <w:szCs w:val="21"/>
        </w:rPr>
        <w:t>2、据此函，签字代表宣布并承诺如下：</w:t>
      </w:r>
    </w:p>
    <w:p>
      <w:pPr>
        <w:pStyle w:val="15"/>
        <w:widowControl/>
        <w:numPr>
          <w:ilvl w:val="0"/>
          <w:numId w:val="25"/>
        </w:numPr>
        <w:spacing w:line="360" w:lineRule="auto"/>
        <w:jc w:val="left"/>
        <w:rPr>
          <w:rFonts w:hint="eastAsia" w:hAnsi="宋体" w:cs="宋体"/>
          <w:color w:val="auto"/>
          <w:sz w:val="21"/>
          <w:szCs w:val="21"/>
          <w:u w:val="single"/>
        </w:rPr>
      </w:pPr>
      <w:r>
        <w:rPr>
          <w:rFonts w:hint="eastAsia" w:hAnsi="宋体" w:cs="宋体"/>
          <w:color w:val="auto"/>
          <w:sz w:val="21"/>
          <w:szCs w:val="21"/>
        </w:rPr>
        <w:t>我方对招标项目愿以投标价为（大写）：</w:t>
      </w:r>
      <w:r>
        <w:rPr>
          <w:rFonts w:hint="eastAsia" w:hAnsi="宋体" w:cs="宋体"/>
          <w:color w:val="auto"/>
          <w:sz w:val="21"/>
          <w:szCs w:val="21"/>
          <w:u w:val="single"/>
        </w:rPr>
        <w:t xml:space="preserve">     </w:t>
      </w:r>
      <w:r>
        <w:rPr>
          <w:rFonts w:hint="eastAsia" w:hAnsi="宋体" w:cs="宋体"/>
          <w:color w:val="auto"/>
          <w:sz w:val="21"/>
          <w:szCs w:val="21"/>
        </w:rPr>
        <w:t>、（小写）：</w:t>
      </w:r>
      <w:r>
        <w:rPr>
          <w:rFonts w:hint="eastAsia" w:hAnsi="宋体" w:cs="宋体"/>
          <w:color w:val="auto"/>
          <w:sz w:val="21"/>
          <w:szCs w:val="21"/>
          <w:u w:val="single"/>
        </w:rPr>
        <w:t xml:space="preserve">      </w:t>
      </w:r>
      <w:r>
        <w:rPr>
          <w:rFonts w:hint="eastAsia" w:hAnsi="宋体" w:cs="宋体"/>
          <w:color w:val="auto"/>
          <w:sz w:val="21"/>
          <w:szCs w:val="21"/>
        </w:rPr>
        <w:t>承担招标文件规定内容。</w:t>
      </w:r>
    </w:p>
    <w:p>
      <w:pPr>
        <w:pStyle w:val="15"/>
        <w:widowControl/>
        <w:spacing w:line="360" w:lineRule="auto"/>
        <w:ind w:left="715" w:leftChars="100" w:hanging="505" w:hangingChars="250"/>
        <w:jc w:val="left"/>
        <w:rPr>
          <w:rFonts w:hint="eastAsia" w:hAnsi="宋体" w:cs="宋体"/>
          <w:color w:val="auto"/>
          <w:sz w:val="21"/>
          <w:szCs w:val="21"/>
        </w:rPr>
      </w:pPr>
      <w:r>
        <w:rPr>
          <w:rFonts w:hint="eastAsia" w:hAnsi="宋体" w:cs="宋体"/>
          <w:color w:val="auto"/>
          <w:sz w:val="21"/>
          <w:szCs w:val="21"/>
        </w:rPr>
        <w:t>（2）本报价已经包含了所供货物应纳的税金及招标文件规定的报价方式应包含的其它费用。本报价在投标有效期内固定不变，并在合同有效期内不受利率波动的影响。</w:t>
      </w:r>
    </w:p>
    <w:p>
      <w:pPr>
        <w:pStyle w:val="15"/>
        <w:widowControl/>
        <w:spacing w:line="360" w:lineRule="auto"/>
        <w:ind w:firstLine="202" w:firstLineChars="100"/>
        <w:jc w:val="left"/>
        <w:rPr>
          <w:rFonts w:hint="eastAsia" w:hAnsi="宋体" w:cs="宋体"/>
          <w:color w:val="auto"/>
          <w:sz w:val="21"/>
          <w:szCs w:val="21"/>
        </w:rPr>
      </w:pPr>
      <w:r>
        <w:rPr>
          <w:rFonts w:hint="eastAsia" w:hAnsi="宋体" w:cs="宋体"/>
          <w:color w:val="auto"/>
          <w:sz w:val="21"/>
          <w:szCs w:val="21"/>
        </w:rPr>
        <w:t>（3）本投标自开标之日起</w:t>
      </w:r>
      <w:r>
        <w:rPr>
          <w:rFonts w:hint="eastAsia" w:hAnsi="宋体" w:cs="宋体"/>
          <w:color w:val="auto"/>
          <w:sz w:val="21"/>
          <w:szCs w:val="21"/>
          <w:u w:val="single"/>
        </w:rPr>
        <w:t xml:space="preserve"> 90 </w:t>
      </w:r>
      <w:r>
        <w:rPr>
          <w:rFonts w:hint="eastAsia" w:hAnsi="宋体" w:cs="宋体"/>
          <w:color w:val="auto"/>
          <w:sz w:val="21"/>
          <w:szCs w:val="21"/>
        </w:rPr>
        <w:t>天内有效。</w:t>
      </w:r>
    </w:p>
    <w:p>
      <w:pPr>
        <w:pStyle w:val="15"/>
        <w:widowControl/>
        <w:spacing w:line="360" w:lineRule="auto"/>
        <w:ind w:left="715" w:leftChars="100" w:hanging="505" w:hangingChars="250"/>
        <w:jc w:val="left"/>
        <w:rPr>
          <w:rFonts w:hint="eastAsia" w:hAnsi="宋体" w:cs="宋体"/>
          <w:color w:val="auto"/>
          <w:sz w:val="21"/>
          <w:szCs w:val="21"/>
        </w:rPr>
      </w:pPr>
      <w:r>
        <w:rPr>
          <w:rFonts w:hint="eastAsia" w:hAnsi="宋体" w:cs="宋体"/>
          <w:color w:val="auto"/>
          <w:sz w:val="21"/>
          <w:szCs w:val="21"/>
        </w:rPr>
        <w:t>（4）我们已详细审查全部招标文件及有关的澄清/修改文件(若有的话)，我们完全理解并同意放弃对这方面提出任何异议的权利。保证遵守招标文件有关条款规定。</w:t>
      </w:r>
    </w:p>
    <w:p>
      <w:pPr>
        <w:pStyle w:val="15"/>
        <w:widowControl/>
        <w:spacing w:line="360" w:lineRule="auto"/>
        <w:ind w:left="715" w:leftChars="100" w:hanging="505" w:hangingChars="250"/>
        <w:jc w:val="left"/>
        <w:rPr>
          <w:rFonts w:hint="eastAsia" w:hAnsi="宋体" w:cs="宋体"/>
          <w:color w:val="auto"/>
          <w:sz w:val="21"/>
          <w:szCs w:val="21"/>
        </w:rPr>
      </w:pPr>
      <w:r>
        <w:rPr>
          <w:rFonts w:hint="eastAsia" w:hAnsi="宋体" w:cs="宋体"/>
          <w:color w:val="auto"/>
          <w:sz w:val="21"/>
          <w:szCs w:val="21"/>
        </w:rPr>
        <w:t>（5）保证在中标后忠实地执行与招标人所签署的合同，并承担合同规定的责任义务。保证在中标后按照招标文件的规定支付中标服务费。</w:t>
      </w:r>
    </w:p>
    <w:p>
      <w:pPr>
        <w:pStyle w:val="15"/>
        <w:widowControl/>
        <w:spacing w:line="360" w:lineRule="auto"/>
        <w:ind w:firstLine="202" w:firstLineChars="100"/>
        <w:jc w:val="left"/>
        <w:rPr>
          <w:rFonts w:hint="eastAsia" w:hAnsi="宋体" w:cs="宋体"/>
          <w:color w:val="auto"/>
          <w:sz w:val="21"/>
          <w:szCs w:val="21"/>
        </w:rPr>
      </w:pPr>
      <w:r>
        <w:rPr>
          <w:rFonts w:hint="eastAsia" w:hAnsi="宋体" w:cs="宋体"/>
          <w:color w:val="auto"/>
          <w:sz w:val="21"/>
          <w:szCs w:val="21"/>
        </w:rPr>
        <w:t>（6）承诺应贵方要求提供任何与该项目投标有关的数据、情况和技术资料。</w:t>
      </w:r>
    </w:p>
    <w:p>
      <w:pPr>
        <w:pStyle w:val="15"/>
        <w:widowControl/>
        <w:spacing w:line="360" w:lineRule="auto"/>
        <w:ind w:left="614" w:leftChars="100" w:hanging="404" w:hangingChars="200"/>
        <w:jc w:val="left"/>
        <w:rPr>
          <w:rFonts w:hint="eastAsia" w:hAnsi="宋体" w:cs="宋体"/>
          <w:color w:val="auto"/>
          <w:sz w:val="21"/>
          <w:szCs w:val="21"/>
        </w:rPr>
      </w:pPr>
      <w:r>
        <w:rPr>
          <w:rFonts w:hint="eastAsia" w:hAnsi="宋体" w:cs="宋体"/>
          <w:color w:val="auto"/>
          <w:sz w:val="21"/>
          <w:szCs w:val="21"/>
        </w:rPr>
        <w:t>（7）我们承诺，与为招标人采购本次招标的货物进行设计、编制规范和其他文件所委托的咨询公司或其附属机构无任何直接或间接的关联。</w:t>
      </w:r>
    </w:p>
    <w:p>
      <w:pPr>
        <w:pStyle w:val="15"/>
        <w:widowControl/>
        <w:spacing w:line="240" w:lineRule="auto"/>
        <w:ind w:left="404" w:hanging="404" w:hangingChars="200"/>
        <w:jc w:val="left"/>
        <w:rPr>
          <w:rFonts w:hint="eastAsia" w:hAnsi="宋体" w:cs="宋体"/>
          <w:color w:val="auto"/>
          <w:sz w:val="21"/>
          <w:szCs w:val="21"/>
        </w:rPr>
      </w:pPr>
      <w:r>
        <w:rPr>
          <w:rFonts w:hint="eastAsia" w:hAnsi="宋体" w:cs="宋体"/>
          <w:color w:val="auto"/>
          <w:sz w:val="21"/>
          <w:szCs w:val="21"/>
        </w:rPr>
        <w:t>4、我们郑重声明：</w:t>
      </w:r>
    </w:p>
    <w:p>
      <w:pPr>
        <w:pStyle w:val="15"/>
        <w:widowControl/>
        <w:spacing w:line="240" w:lineRule="auto"/>
        <w:ind w:left="404" w:hanging="404" w:hangingChars="200"/>
        <w:jc w:val="left"/>
        <w:rPr>
          <w:rFonts w:hint="eastAsia" w:hAnsi="宋体" w:cs="宋体"/>
          <w:color w:val="auto"/>
          <w:sz w:val="21"/>
          <w:szCs w:val="21"/>
        </w:rPr>
      </w:pPr>
      <w:r>
        <w:rPr>
          <w:rFonts w:hint="eastAsia" w:hAnsi="宋体" w:cs="宋体"/>
          <w:color w:val="auto"/>
          <w:sz w:val="21"/>
          <w:szCs w:val="21"/>
        </w:rPr>
        <w:t>我公司符合有关法律法规规定的参加采购活动应当具备的条件：具有健全的财务会计制度、依法缴纳税收和社会保障资金、参加本次采购活动之前的三年内，在经营活动中无重大违法活动。</w:t>
      </w:r>
    </w:p>
    <w:p>
      <w:pPr>
        <w:pStyle w:val="15"/>
        <w:widowControl/>
        <w:spacing w:line="360" w:lineRule="auto"/>
        <w:ind w:firstLine="0"/>
        <w:jc w:val="left"/>
        <w:rPr>
          <w:rFonts w:hint="eastAsia" w:hAnsi="宋体" w:cs="宋体"/>
          <w:color w:val="auto"/>
          <w:sz w:val="21"/>
          <w:szCs w:val="21"/>
        </w:rPr>
      </w:pPr>
      <w:r>
        <w:rPr>
          <w:rFonts w:hint="eastAsia" w:hAnsi="宋体" w:cs="宋体"/>
          <w:color w:val="auto"/>
          <w:sz w:val="21"/>
          <w:szCs w:val="21"/>
        </w:rPr>
        <w:t>5、与本投标有关的一切往来通讯请寄：</w:t>
      </w:r>
    </w:p>
    <w:p>
      <w:pPr>
        <w:pStyle w:val="15"/>
        <w:widowControl/>
        <w:spacing w:line="360" w:lineRule="auto"/>
        <w:jc w:val="left"/>
        <w:rPr>
          <w:rFonts w:hint="eastAsia" w:hAnsi="宋体" w:cs="宋体"/>
          <w:color w:val="auto"/>
          <w:sz w:val="21"/>
          <w:szCs w:val="21"/>
        </w:rPr>
      </w:pPr>
      <w:r>
        <w:rPr>
          <w:rFonts w:hint="eastAsia" w:hAnsi="宋体" w:cs="宋体"/>
          <w:color w:val="auto"/>
          <w:sz w:val="21"/>
          <w:szCs w:val="21"/>
        </w:rPr>
        <w:t>地址：</w:t>
      </w:r>
    </w:p>
    <w:p>
      <w:pPr>
        <w:pStyle w:val="15"/>
        <w:widowControl/>
        <w:spacing w:line="360" w:lineRule="auto"/>
        <w:jc w:val="left"/>
        <w:rPr>
          <w:rFonts w:hint="eastAsia" w:hAnsi="宋体" w:cs="宋体"/>
          <w:color w:val="auto"/>
          <w:sz w:val="21"/>
          <w:szCs w:val="21"/>
          <w:u w:val="single"/>
        </w:rPr>
      </w:pPr>
      <w:r>
        <w:rPr>
          <w:rFonts w:hint="eastAsia" w:hAnsi="宋体" w:cs="宋体"/>
          <w:color w:val="auto"/>
          <w:sz w:val="21"/>
          <w:szCs w:val="21"/>
        </w:rPr>
        <w:t>邮编：电话：传真：</w:t>
      </w:r>
    </w:p>
    <w:p>
      <w:pPr>
        <w:pStyle w:val="15"/>
        <w:widowControl/>
        <w:spacing w:line="360" w:lineRule="auto"/>
        <w:ind w:firstLine="0"/>
        <w:jc w:val="left"/>
        <w:rPr>
          <w:rFonts w:hint="eastAsia" w:hAnsi="宋体" w:cs="宋体"/>
          <w:color w:val="auto"/>
          <w:sz w:val="21"/>
          <w:szCs w:val="21"/>
        </w:rPr>
      </w:pPr>
    </w:p>
    <w:p>
      <w:pPr>
        <w:pStyle w:val="15"/>
        <w:snapToGrid w:val="0"/>
        <w:spacing w:line="360" w:lineRule="auto"/>
        <w:ind w:firstLine="3518" w:firstLineChars="1742"/>
        <w:rPr>
          <w:rFonts w:hint="eastAsia" w:hAnsi="宋体" w:cs="宋体"/>
          <w:color w:val="auto"/>
          <w:sz w:val="21"/>
          <w:szCs w:val="21"/>
        </w:rPr>
      </w:pPr>
      <w:r>
        <w:rPr>
          <w:rFonts w:hint="eastAsia" w:hAnsi="宋体" w:cs="宋体"/>
          <w:color w:val="auto"/>
          <w:sz w:val="21"/>
          <w:szCs w:val="21"/>
        </w:rPr>
        <w:t>投标人（盖章）：</w:t>
      </w:r>
    </w:p>
    <w:p>
      <w:pPr>
        <w:pStyle w:val="15"/>
        <w:widowControl/>
        <w:spacing w:line="360" w:lineRule="auto"/>
        <w:ind w:firstLine="3518" w:firstLineChars="1742"/>
        <w:jc w:val="left"/>
        <w:rPr>
          <w:rFonts w:hint="eastAsia" w:hAnsi="宋体" w:cs="宋体"/>
          <w:color w:val="auto"/>
          <w:sz w:val="21"/>
          <w:szCs w:val="21"/>
        </w:rPr>
      </w:pPr>
      <w:r>
        <w:rPr>
          <w:rFonts w:hint="eastAsia" w:hAnsi="宋体" w:cs="宋体"/>
          <w:color w:val="auto"/>
          <w:sz w:val="21"/>
          <w:szCs w:val="21"/>
        </w:rPr>
        <w:t>日    期：</w:t>
      </w:r>
    </w:p>
    <w:p>
      <w:pPr>
        <w:spacing w:line="360" w:lineRule="auto"/>
        <w:jc w:val="left"/>
        <w:rPr>
          <w:rFonts w:hint="eastAsia" w:ascii="宋体" w:hAnsi="宋体" w:cs="宋体"/>
          <w:b/>
          <w:color w:val="auto"/>
          <w:szCs w:val="21"/>
        </w:rPr>
      </w:pPr>
      <w:r>
        <w:rPr>
          <w:rFonts w:hint="eastAsia" w:ascii="宋体" w:hAnsi="宋体" w:cs="宋体"/>
          <w:color w:val="auto"/>
          <w:sz w:val="24"/>
        </w:rPr>
        <w:br w:type="page"/>
      </w:r>
      <w:r>
        <w:rPr>
          <w:rFonts w:hint="eastAsia" w:ascii="宋体" w:hAnsi="宋体" w:cs="宋体"/>
          <w:b/>
          <w:color w:val="auto"/>
          <w:szCs w:val="21"/>
        </w:rPr>
        <w:t>2.开标一览表</w:t>
      </w:r>
    </w:p>
    <w:p>
      <w:pPr>
        <w:spacing w:line="240" w:lineRule="exact"/>
        <w:rPr>
          <w:rFonts w:hint="eastAsia" w:ascii="宋体" w:hAnsi="宋体" w:cs="宋体"/>
          <w:b/>
          <w:color w:val="auto"/>
          <w:szCs w:val="21"/>
        </w:rPr>
      </w:pPr>
    </w:p>
    <w:p>
      <w:pPr>
        <w:spacing w:line="360" w:lineRule="auto"/>
        <w:jc w:val="center"/>
        <w:rPr>
          <w:rFonts w:hint="eastAsia" w:ascii="宋体" w:hAnsi="宋体" w:cs="宋体"/>
          <w:b/>
          <w:color w:val="auto"/>
          <w:sz w:val="30"/>
          <w:szCs w:val="30"/>
        </w:rPr>
      </w:pPr>
      <w:r>
        <w:rPr>
          <w:rFonts w:hint="eastAsia" w:ascii="宋体" w:hAnsi="宋体" w:cs="宋体"/>
          <w:b/>
          <w:color w:val="auto"/>
          <w:sz w:val="30"/>
          <w:szCs w:val="30"/>
        </w:rPr>
        <w:t>开标一览表</w:t>
      </w:r>
    </w:p>
    <w:p>
      <w:pPr>
        <w:pStyle w:val="15"/>
        <w:spacing w:line="360" w:lineRule="auto"/>
        <w:ind w:left="-178" w:leftChars="-85" w:firstLine="525" w:firstLineChars="250"/>
        <w:rPr>
          <w:rFonts w:hint="eastAsia" w:hAnsi="宋体" w:cs="宋体"/>
          <w:color w:val="auto"/>
          <w:spacing w:val="0"/>
          <w:kern w:val="2"/>
          <w:sz w:val="21"/>
          <w:szCs w:val="21"/>
        </w:rPr>
      </w:pPr>
      <w:r>
        <w:rPr>
          <w:rFonts w:hint="eastAsia" w:hAnsi="宋体" w:cs="宋体"/>
          <w:color w:val="auto"/>
          <w:spacing w:val="0"/>
          <w:kern w:val="2"/>
          <w:sz w:val="21"/>
          <w:szCs w:val="21"/>
        </w:rPr>
        <w:t>项目编号：                  项目名称：                       单位：元</w:t>
      </w:r>
    </w:p>
    <w:tbl>
      <w:tblPr>
        <w:tblStyle w:val="39"/>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148"/>
        <w:gridCol w:w="357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79" w:type="dxa"/>
            <w:tcBorders>
              <w:top w:val="single" w:color="auto" w:sz="4" w:space="0"/>
              <w:left w:val="single" w:color="auto" w:sz="4" w:space="0"/>
              <w:bottom w:val="single" w:color="auto" w:sz="4" w:space="0"/>
              <w:right w:val="single" w:color="auto" w:sz="4" w:space="0"/>
            </w:tcBorders>
            <w:noWrap w:val="0"/>
            <w:vAlign w:val="center"/>
          </w:tcPr>
          <w:p>
            <w:pPr>
              <w:pStyle w:val="34"/>
              <w:widowControl w:val="0"/>
              <w:snapToGrid w:val="0"/>
              <w:spacing w:before="0" w:beforeAutospacing="0" w:after="120" w:afterAutospacing="0" w:line="360" w:lineRule="auto"/>
              <w:jc w:val="both"/>
              <w:rPr>
                <w:rFonts w:hint="eastAsia" w:ascii="宋体" w:hAnsi="宋体" w:cs="宋体"/>
                <w:color w:val="auto"/>
                <w:sz w:val="21"/>
                <w:szCs w:val="21"/>
              </w:rPr>
            </w:pPr>
            <w:r>
              <w:rPr>
                <w:rFonts w:hint="eastAsia" w:ascii="宋体" w:hAnsi="宋体" w:cs="宋体"/>
                <w:color w:val="auto"/>
                <w:spacing w:val="-4"/>
                <w:kern w:val="2"/>
                <w:sz w:val="21"/>
                <w:szCs w:val="21"/>
                <w:lang w:bidi="ar"/>
              </w:rPr>
              <w:t>序号</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34"/>
              <w:widowControl w:val="0"/>
              <w:snapToGrid w:val="0"/>
              <w:spacing w:before="0" w:beforeAutospacing="0" w:after="120" w:afterAutospacing="0" w:line="360" w:lineRule="auto"/>
              <w:jc w:val="both"/>
              <w:rPr>
                <w:rFonts w:hint="eastAsia" w:ascii="宋体" w:hAnsi="宋体" w:cs="宋体"/>
                <w:color w:val="auto"/>
                <w:spacing w:val="-4"/>
                <w:kern w:val="2"/>
                <w:sz w:val="21"/>
                <w:szCs w:val="21"/>
                <w:lang w:bidi="ar"/>
              </w:rPr>
            </w:pPr>
            <w:r>
              <w:rPr>
                <w:rFonts w:hint="eastAsia" w:ascii="宋体" w:hAnsi="宋体" w:cs="宋体"/>
                <w:color w:val="auto"/>
                <w:spacing w:val="-4"/>
                <w:kern w:val="2"/>
                <w:sz w:val="21"/>
                <w:szCs w:val="21"/>
                <w:lang w:bidi="ar"/>
              </w:rPr>
              <w:t>采购内容</w:t>
            </w:r>
          </w:p>
        </w:tc>
        <w:tc>
          <w:tcPr>
            <w:tcW w:w="3573" w:type="dxa"/>
            <w:tcBorders>
              <w:top w:val="single" w:color="auto" w:sz="4" w:space="0"/>
              <w:left w:val="single" w:color="auto" w:sz="4" w:space="0"/>
              <w:right w:val="single" w:color="auto" w:sz="4" w:space="0"/>
            </w:tcBorders>
            <w:noWrap w:val="0"/>
            <w:vAlign w:val="center"/>
          </w:tcPr>
          <w:p>
            <w:pPr>
              <w:pStyle w:val="34"/>
              <w:widowControl w:val="0"/>
              <w:snapToGrid w:val="0"/>
              <w:spacing w:before="0" w:beforeAutospacing="0" w:after="120" w:afterAutospacing="0" w:line="360" w:lineRule="auto"/>
              <w:jc w:val="both"/>
              <w:rPr>
                <w:rFonts w:hint="eastAsia" w:ascii="宋体" w:hAnsi="宋体" w:cs="宋体"/>
                <w:color w:val="auto"/>
                <w:spacing w:val="-4"/>
                <w:kern w:val="2"/>
                <w:sz w:val="21"/>
                <w:szCs w:val="21"/>
                <w:lang w:bidi="ar"/>
              </w:rPr>
            </w:pPr>
            <w:r>
              <w:rPr>
                <w:rFonts w:hint="eastAsia" w:ascii="宋体" w:hAnsi="宋体" w:cs="宋体"/>
                <w:color w:val="auto"/>
                <w:spacing w:val="-4"/>
                <w:kern w:val="2"/>
                <w:sz w:val="21"/>
                <w:szCs w:val="21"/>
                <w:lang w:bidi="ar"/>
              </w:rPr>
              <w:t>投标报价</w:t>
            </w:r>
          </w:p>
        </w:tc>
        <w:tc>
          <w:tcPr>
            <w:tcW w:w="2348" w:type="dxa"/>
            <w:tcBorders>
              <w:top w:val="single" w:color="auto" w:sz="4" w:space="0"/>
              <w:left w:val="single" w:color="auto" w:sz="4" w:space="0"/>
              <w:bottom w:val="single" w:color="auto" w:sz="4" w:space="0"/>
              <w:right w:val="single" w:color="auto" w:sz="4" w:space="0"/>
            </w:tcBorders>
            <w:noWrap w:val="0"/>
            <w:vAlign w:val="center"/>
          </w:tcPr>
          <w:p>
            <w:pPr>
              <w:pStyle w:val="34"/>
              <w:widowControl w:val="0"/>
              <w:snapToGrid w:val="0"/>
              <w:spacing w:before="0" w:beforeAutospacing="0" w:after="120" w:afterAutospacing="0" w:line="360" w:lineRule="auto"/>
              <w:jc w:val="both"/>
              <w:rPr>
                <w:rFonts w:hint="eastAsia" w:ascii="宋体" w:hAnsi="宋体" w:cs="宋体"/>
                <w:color w:val="auto"/>
                <w:spacing w:val="-4"/>
                <w:sz w:val="21"/>
                <w:szCs w:val="21"/>
              </w:rPr>
            </w:pPr>
            <w:r>
              <w:rPr>
                <w:rFonts w:hint="eastAsia" w:ascii="宋体" w:hAnsi="宋体" w:cs="宋体"/>
                <w:color w:val="auto"/>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279" w:type="dxa"/>
            <w:tcBorders>
              <w:top w:val="single" w:color="auto" w:sz="4" w:space="0"/>
              <w:left w:val="single" w:color="auto" w:sz="4" w:space="0"/>
              <w:bottom w:val="single" w:color="auto" w:sz="4" w:space="0"/>
              <w:right w:val="single" w:color="auto" w:sz="4" w:space="0"/>
            </w:tcBorders>
            <w:noWrap w:val="0"/>
            <w:vAlign w:val="center"/>
          </w:tcPr>
          <w:p>
            <w:pPr>
              <w:pStyle w:val="34"/>
              <w:widowControl w:val="0"/>
              <w:snapToGrid w:val="0"/>
              <w:spacing w:before="0" w:beforeAutospacing="0" w:after="120" w:afterAutospacing="0" w:line="360" w:lineRule="auto"/>
              <w:ind w:firstLine="420"/>
              <w:jc w:val="both"/>
              <w:rPr>
                <w:rFonts w:hint="eastAsia" w:ascii="宋体" w:hAnsi="宋体" w:cs="宋体"/>
                <w:color w:val="auto"/>
                <w:sz w:val="21"/>
                <w:szCs w:val="21"/>
              </w:rPr>
            </w:pPr>
          </w:p>
        </w:tc>
        <w:tc>
          <w:tcPr>
            <w:tcW w:w="2148" w:type="dxa"/>
            <w:tcBorders>
              <w:top w:val="single" w:color="auto" w:sz="4" w:space="0"/>
              <w:left w:val="single" w:color="auto" w:sz="4" w:space="0"/>
              <w:bottom w:val="single" w:color="auto" w:sz="4" w:space="0"/>
              <w:right w:val="single" w:color="auto" w:sz="4" w:space="0"/>
            </w:tcBorders>
            <w:noWrap w:val="0"/>
            <w:vAlign w:val="center"/>
          </w:tcPr>
          <w:p>
            <w:pPr>
              <w:pStyle w:val="34"/>
              <w:widowControl w:val="0"/>
              <w:spacing w:before="0" w:beforeAutospacing="0" w:after="120" w:afterAutospacing="0" w:line="360" w:lineRule="auto"/>
              <w:jc w:val="both"/>
              <w:rPr>
                <w:rFonts w:hint="eastAsia" w:ascii="宋体" w:hAnsi="宋体" w:cs="宋体"/>
                <w:color w:val="auto"/>
                <w:sz w:val="21"/>
                <w:szCs w:val="21"/>
              </w:rPr>
            </w:pPr>
          </w:p>
        </w:tc>
        <w:tc>
          <w:tcPr>
            <w:tcW w:w="3573" w:type="dxa"/>
            <w:tcBorders>
              <w:left w:val="single" w:color="auto" w:sz="4" w:space="0"/>
              <w:bottom w:val="single" w:color="auto" w:sz="4" w:space="0"/>
              <w:right w:val="single" w:color="auto" w:sz="4" w:space="0"/>
            </w:tcBorders>
            <w:noWrap w:val="0"/>
            <w:vAlign w:val="center"/>
          </w:tcPr>
          <w:p>
            <w:pPr>
              <w:pStyle w:val="34"/>
              <w:widowControl w:val="0"/>
              <w:spacing w:before="0" w:beforeAutospacing="0" w:after="120" w:afterAutospacing="0" w:line="360" w:lineRule="auto"/>
              <w:jc w:val="both"/>
              <w:rPr>
                <w:rFonts w:hint="eastAsia" w:ascii="宋体" w:hAnsi="宋体" w:cs="宋体"/>
                <w:color w:val="auto"/>
                <w:sz w:val="21"/>
                <w:szCs w:val="21"/>
              </w:rPr>
            </w:pPr>
            <w:r>
              <w:rPr>
                <w:rFonts w:hint="eastAsia" w:ascii="宋体" w:hAnsi="宋体" w:cs="宋体"/>
                <w:color w:val="auto"/>
                <w:sz w:val="21"/>
                <w:szCs w:val="21"/>
              </w:rPr>
              <w:t>小写:</w:t>
            </w:r>
          </w:p>
          <w:p>
            <w:pPr>
              <w:pStyle w:val="34"/>
              <w:widowControl w:val="0"/>
              <w:spacing w:before="0" w:beforeAutospacing="0" w:after="120" w:afterAutospacing="0" w:line="360" w:lineRule="auto"/>
              <w:jc w:val="both"/>
              <w:rPr>
                <w:rFonts w:hint="eastAsia" w:ascii="宋体" w:hAnsi="宋体" w:cs="宋体"/>
                <w:color w:val="auto"/>
                <w:sz w:val="21"/>
                <w:szCs w:val="21"/>
              </w:rPr>
            </w:pPr>
          </w:p>
          <w:p>
            <w:pPr>
              <w:pStyle w:val="34"/>
              <w:widowControl w:val="0"/>
              <w:spacing w:before="0" w:beforeAutospacing="0" w:after="120" w:afterAutospacing="0" w:line="360" w:lineRule="auto"/>
              <w:jc w:val="both"/>
              <w:rPr>
                <w:rFonts w:hint="eastAsia" w:ascii="宋体" w:hAnsi="宋体" w:cs="宋体"/>
                <w:color w:val="auto"/>
                <w:sz w:val="21"/>
                <w:szCs w:val="21"/>
              </w:rPr>
            </w:pPr>
            <w:r>
              <w:rPr>
                <w:rFonts w:hint="eastAsia" w:ascii="宋体" w:hAnsi="宋体" w:cs="宋体"/>
                <w:color w:val="auto"/>
                <w:sz w:val="21"/>
                <w:szCs w:val="21"/>
              </w:rPr>
              <w:t>大写：</w:t>
            </w:r>
          </w:p>
        </w:tc>
        <w:tc>
          <w:tcPr>
            <w:tcW w:w="2348" w:type="dxa"/>
            <w:tcBorders>
              <w:top w:val="single" w:color="auto" w:sz="4" w:space="0"/>
              <w:left w:val="single" w:color="auto" w:sz="4" w:space="0"/>
              <w:bottom w:val="single" w:color="auto" w:sz="4" w:space="0"/>
              <w:right w:val="single" w:color="auto" w:sz="4" w:space="0"/>
            </w:tcBorders>
            <w:noWrap w:val="0"/>
            <w:vAlign w:val="center"/>
          </w:tcPr>
          <w:p>
            <w:pPr>
              <w:pStyle w:val="34"/>
              <w:widowControl w:val="0"/>
              <w:spacing w:before="0" w:beforeAutospacing="0" w:after="120" w:afterAutospacing="0" w:line="360" w:lineRule="auto"/>
              <w:jc w:val="both"/>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427" w:type="dxa"/>
            <w:gridSpan w:val="2"/>
            <w:tcBorders>
              <w:top w:val="single" w:color="auto" w:sz="4" w:space="0"/>
              <w:left w:val="single" w:color="auto" w:sz="4" w:space="0"/>
              <w:bottom w:val="single" w:color="auto" w:sz="4" w:space="0"/>
              <w:right w:val="single" w:color="auto" w:sz="4" w:space="0"/>
            </w:tcBorders>
            <w:noWrap w:val="0"/>
            <w:vAlign w:val="center"/>
          </w:tcPr>
          <w:p>
            <w:pPr>
              <w:pStyle w:val="34"/>
              <w:widowControl w:val="0"/>
              <w:snapToGrid w:val="0"/>
              <w:spacing w:before="0" w:beforeAutospacing="0" w:after="120" w:afterAutospacing="0" w:line="360" w:lineRule="auto"/>
              <w:ind w:firstLine="404"/>
              <w:jc w:val="center"/>
              <w:rPr>
                <w:rFonts w:hint="eastAsia" w:ascii="宋体" w:hAnsi="宋体" w:cs="宋体"/>
                <w:color w:val="auto"/>
                <w:spacing w:val="-4"/>
                <w:kern w:val="2"/>
                <w:sz w:val="21"/>
                <w:szCs w:val="21"/>
                <w:lang w:bidi="ar"/>
              </w:rPr>
            </w:pPr>
            <w:r>
              <w:rPr>
                <w:rFonts w:hint="eastAsia" w:ascii="宋体" w:hAnsi="宋体" w:cs="宋体"/>
                <w:color w:val="auto"/>
                <w:spacing w:val="-4"/>
                <w:kern w:val="2"/>
                <w:sz w:val="21"/>
                <w:szCs w:val="21"/>
                <w:lang w:bidi="ar"/>
              </w:rPr>
              <w:t>投标声明</w:t>
            </w:r>
          </w:p>
        </w:tc>
        <w:tc>
          <w:tcPr>
            <w:tcW w:w="5921" w:type="dxa"/>
            <w:gridSpan w:val="2"/>
            <w:tcBorders>
              <w:top w:val="single" w:color="auto" w:sz="4" w:space="0"/>
              <w:left w:val="single" w:color="auto" w:sz="4" w:space="0"/>
              <w:bottom w:val="single" w:color="auto" w:sz="4" w:space="0"/>
              <w:right w:val="single" w:color="auto" w:sz="4" w:space="0"/>
            </w:tcBorders>
            <w:noWrap w:val="0"/>
            <w:vAlign w:val="center"/>
          </w:tcPr>
          <w:p>
            <w:pPr>
              <w:pStyle w:val="34"/>
              <w:widowControl w:val="0"/>
              <w:spacing w:before="0" w:beforeAutospacing="0" w:after="120" w:afterAutospacing="0" w:line="360" w:lineRule="auto"/>
              <w:ind w:firstLine="404"/>
              <w:rPr>
                <w:rFonts w:hint="eastAsia" w:ascii="宋体" w:hAnsi="宋体" w:cs="宋体"/>
                <w:color w:val="auto"/>
                <w:spacing w:val="-4"/>
                <w:kern w:val="2"/>
                <w:sz w:val="21"/>
                <w:szCs w:val="21"/>
                <w:lang w:bidi="ar"/>
              </w:rPr>
            </w:pPr>
          </w:p>
        </w:tc>
      </w:tr>
    </w:tbl>
    <w:p>
      <w:pPr>
        <w:snapToGrid w:val="0"/>
        <w:spacing w:before="50" w:after="50"/>
        <w:jc w:val="left"/>
        <w:rPr>
          <w:rFonts w:hint="eastAsia" w:ascii="宋体" w:hAnsi="宋体" w:cs="宋体"/>
          <w:color w:val="auto"/>
          <w:szCs w:val="21"/>
        </w:rPr>
      </w:pPr>
      <w:r>
        <w:rPr>
          <w:rFonts w:hint="eastAsia" w:ascii="宋体" w:hAnsi="宋体" w:cs="宋体"/>
          <w:color w:val="auto"/>
          <w:szCs w:val="21"/>
        </w:rPr>
        <w:t>注: 1、报价一经涂改，应在涂改处加盖单位公章或者由法定代表人或授权委托人签字或盖章，否则其投标作无效标处理。</w:t>
      </w:r>
    </w:p>
    <w:p>
      <w:pPr>
        <w:pStyle w:val="15"/>
        <w:spacing w:line="360" w:lineRule="auto"/>
        <w:ind w:left="-178" w:leftChars="-85" w:firstLine="505" w:firstLineChars="250"/>
        <w:rPr>
          <w:rFonts w:hint="eastAsia" w:hAnsi="宋体" w:cs="宋体"/>
          <w:color w:val="auto"/>
          <w:sz w:val="21"/>
          <w:szCs w:val="21"/>
        </w:rPr>
      </w:pPr>
    </w:p>
    <w:p>
      <w:pPr>
        <w:spacing w:line="400" w:lineRule="exact"/>
        <w:rPr>
          <w:rFonts w:hint="eastAsia" w:ascii="宋体" w:hAnsi="宋体" w:cs="宋体"/>
          <w:color w:val="auto"/>
          <w:szCs w:val="21"/>
        </w:rPr>
      </w:pPr>
    </w:p>
    <w:p>
      <w:pPr>
        <w:pStyle w:val="15"/>
        <w:snapToGrid w:val="0"/>
        <w:spacing w:line="360" w:lineRule="auto"/>
        <w:ind w:firstLine="3518" w:firstLineChars="1742"/>
        <w:rPr>
          <w:rFonts w:hint="eastAsia" w:hAnsi="宋体" w:cs="宋体"/>
          <w:color w:val="auto"/>
          <w:sz w:val="21"/>
          <w:szCs w:val="21"/>
        </w:rPr>
      </w:pPr>
      <w:r>
        <w:rPr>
          <w:rFonts w:hint="eastAsia" w:hAnsi="宋体" w:cs="宋体"/>
          <w:color w:val="auto"/>
          <w:sz w:val="21"/>
          <w:szCs w:val="21"/>
        </w:rPr>
        <w:t>投 标 人（盖章）：</w:t>
      </w:r>
    </w:p>
    <w:p>
      <w:pPr>
        <w:pStyle w:val="15"/>
        <w:snapToGrid w:val="0"/>
        <w:spacing w:line="360" w:lineRule="auto"/>
        <w:ind w:firstLine="3518" w:firstLineChars="1742"/>
        <w:rPr>
          <w:rFonts w:hint="eastAsia" w:hAnsi="宋体" w:cs="宋体"/>
          <w:color w:val="auto"/>
          <w:sz w:val="21"/>
          <w:szCs w:val="21"/>
        </w:rPr>
      </w:pPr>
      <w:r>
        <w:rPr>
          <w:rFonts w:hint="eastAsia" w:hAnsi="宋体" w:cs="宋体"/>
          <w:color w:val="auto"/>
          <w:sz w:val="21"/>
          <w:szCs w:val="21"/>
        </w:rPr>
        <w:t>日    期：</w:t>
      </w:r>
    </w:p>
    <w:p>
      <w:pPr>
        <w:rPr>
          <w:rFonts w:hAnsi="宋体" w:cs="宋体"/>
          <w:b/>
          <w:bCs/>
          <w:color w:val="auto"/>
          <w:szCs w:val="21"/>
        </w:rPr>
      </w:pPr>
      <w:r>
        <w:rPr>
          <w:rFonts w:hint="eastAsia" w:ascii="宋体" w:hAnsi="宋体" w:cs="宋体"/>
          <w:b/>
          <w:bCs/>
          <w:color w:val="auto"/>
          <w:szCs w:val="21"/>
        </w:rPr>
        <w:br w:type="page"/>
      </w:r>
      <w:r>
        <w:rPr>
          <w:rFonts w:hint="eastAsia" w:ascii="宋体" w:hAnsi="宋体" w:cs="宋体"/>
          <w:b/>
          <w:bCs/>
          <w:color w:val="auto"/>
          <w:szCs w:val="21"/>
        </w:rPr>
        <w:t>3.报价明细表</w:t>
      </w:r>
    </w:p>
    <w:p>
      <w:pPr>
        <w:jc w:val="center"/>
        <w:rPr>
          <w:rFonts w:hint="eastAsia"/>
          <w:b/>
          <w:color w:val="auto"/>
          <w:sz w:val="30"/>
          <w:szCs w:val="30"/>
        </w:rPr>
      </w:pPr>
      <w:r>
        <w:rPr>
          <w:rFonts w:hint="eastAsia"/>
          <w:b/>
          <w:color w:val="auto"/>
          <w:sz w:val="30"/>
          <w:szCs w:val="30"/>
        </w:rPr>
        <w:t>报价明细表</w:t>
      </w:r>
    </w:p>
    <w:p>
      <w:pPr>
        <w:snapToGrid w:val="0"/>
        <w:spacing w:before="50" w:after="50"/>
        <w:ind w:firstLine="630" w:firstLineChars="300"/>
        <w:rPr>
          <w:color w:val="auto"/>
          <w:szCs w:val="21"/>
        </w:rPr>
      </w:pPr>
      <w:r>
        <w:rPr>
          <w:color w:val="auto"/>
          <w:szCs w:val="21"/>
        </w:rPr>
        <w:t xml:space="preserve">项目编号：            </w:t>
      </w:r>
      <w:r>
        <w:rPr>
          <w:rFonts w:hint="eastAsia"/>
          <w:color w:val="auto"/>
          <w:szCs w:val="21"/>
        </w:rPr>
        <w:t xml:space="preserve">              </w:t>
      </w:r>
      <w:r>
        <w:rPr>
          <w:color w:val="auto"/>
          <w:szCs w:val="21"/>
        </w:rPr>
        <w:t xml:space="preserve">      </w:t>
      </w:r>
      <w:r>
        <w:rPr>
          <w:bCs/>
          <w:color w:val="auto"/>
          <w:szCs w:val="21"/>
        </w:rPr>
        <w:t>项目名称</w:t>
      </w:r>
      <w:r>
        <w:rPr>
          <w:color w:val="auto"/>
          <w:szCs w:val="21"/>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3"/>
        <w:gridCol w:w="1535"/>
        <w:gridCol w:w="1023"/>
        <w:gridCol w:w="1364"/>
        <w:gridCol w:w="1535"/>
        <w:gridCol w:w="1194"/>
        <w:gridCol w:w="1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z w:val="21"/>
                <w:szCs w:val="21"/>
              </w:rPr>
              <w:t>序号</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z w:val="21"/>
                <w:szCs w:val="21"/>
              </w:rPr>
              <w:t>设备名称</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pStyle w:val="205"/>
              <w:snapToGrid w:val="0"/>
              <w:spacing w:before="50" w:after="50"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产地品牌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z w:val="21"/>
                <w:szCs w:val="21"/>
              </w:rPr>
              <w:t>规格型号</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z w:val="21"/>
                <w:szCs w:val="21"/>
              </w:rPr>
              <w:t>单位及数量</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z w:val="21"/>
                <w:szCs w:val="21"/>
              </w:rPr>
              <w:t>单价</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z w:val="21"/>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w:t>
            </w:r>
          </w:p>
        </w:tc>
        <w:tc>
          <w:tcPr>
            <w:tcW w:w="102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535"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19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64"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投 标 总 价</w:t>
            </w:r>
          </w:p>
        </w:tc>
        <w:tc>
          <w:tcPr>
            <w:tcW w:w="136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00" w:lineRule="exact"/>
              <w:jc w:val="center"/>
              <w:rPr>
                <w:rFonts w:hint="eastAsia" w:ascii="宋体" w:hAnsi="宋体" w:eastAsia="宋体" w:cs="宋体"/>
                <w:color w:val="auto"/>
                <w:spacing w:val="20"/>
                <w:sz w:val="21"/>
                <w:szCs w:val="21"/>
              </w:rPr>
            </w:pPr>
          </w:p>
        </w:tc>
      </w:tr>
    </w:tbl>
    <w:p>
      <w:pPr>
        <w:ind w:firstLine="210" w:firstLineChars="100"/>
        <w:rPr>
          <w:rFonts w:hint="eastAsia"/>
          <w:color w:val="auto"/>
          <w:szCs w:val="21"/>
        </w:rPr>
      </w:pPr>
      <w:r>
        <w:rPr>
          <w:color w:val="auto"/>
          <w:szCs w:val="21"/>
        </w:rPr>
        <w:t>备注：此表可根据实际情况调整</w:t>
      </w:r>
      <w:r>
        <w:rPr>
          <w:rFonts w:hint="eastAsia"/>
          <w:color w:val="auto"/>
          <w:szCs w:val="21"/>
        </w:rPr>
        <w:t>，合计金额需与开标一览表金额一致。</w:t>
      </w:r>
    </w:p>
    <w:p>
      <w:pPr>
        <w:pStyle w:val="38"/>
        <w:ind w:firstLine="404"/>
        <w:rPr>
          <w:color w:val="auto"/>
        </w:rPr>
      </w:pPr>
    </w:p>
    <w:p>
      <w:pPr>
        <w:pStyle w:val="38"/>
        <w:ind w:firstLine="404"/>
        <w:rPr>
          <w:color w:val="auto"/>
        </w:rPr>
      </w:pPr>
    </w:p>
    <w:p>
      <w:pPr>
        <w:spacing w:line="400" w:lineRule="exact"/>
        <w:rPr>
          <w:rFonts w:hint="eastAsia" w:ascii="宋体" w:hAnsi="宋体" w:cs="宋体"/>
          <w:color w:val="auto"/>
          <w:szCs w:val="21"/>
        </w:rPr>
      </w:pPr>
    </w:p>
    <w:p>
      <w:pPr>
        <w:pStyle w:val="15"/>
        <w:snapToGrid w:val="0"/>
        <w:spacing w:line="360" w:lineRule="auto"/>
        <w:ind w:firstLine="4326" w:firstLineChars="2142"/>
        <w:rPr>
          <w:rFonts w:hint="eastAsia" w:hAnsi="宋体" w:cs="宋体"/>
          <w:color w:val="auto"/>
          <w:sz w:val="21"/>
          <w:szCs w:val="21"/>
        </w:rPr>
      </w:pPr>
      <w:r>
        <w:rPr>
          <w:rFonts w:hint="eastAsia" w:hAnsi="宋体" w:cs="宋体"/>
          <w:color w:val="auto"/>
          <w:sz w:val="21"/>
          <w:szCs w:val="21"/>
        </w:rPr>
        <w:t>投 标 人（盖章）：</w:t>
      </w:r>
    </w:p>
    <w:p>
      <w:pPr>
        <w:pStyle w:val="15"/>
        <w:snapToGrid w:val="0"/>
        <w:spacing w:line="360" w:lineRule="auto"/>
        <w:ind w:firstLine="4326" w:firstLineChars="2142"/>
        <w:rPr>
          <w:rFonts w:hint="eastAsia" w:hAnsi="宋体" w:cs="宋体"/>
          <w:color w:val="auto"/>
          <w:sz w:val="21"/>
          <w:szCs w:val="21"/>
        </w:rPr>
      </w:pPr>
      <w:r>
        <w:rPr>
          <w:rFonts w:hint="eastAsia" w:hAnsi="宋体" w:cs="宋体"/>
          <w:color w:val="auto"/>
          <w:sz w:val="21"/>
          <w:szCs w:val="21"/>
        </w:rPr>
        <w:t>日    期：</w:t>
      </w:r>
    </w:p>
    <w:p>
      <w:pPr>
        <w:rPr>
          <w:rFonts w:hint="eastAsia" w:ascii="宋体" w:hAnsi="宋体" w:cs="宋体"/>
          <w:color w:val="auto"/>
          <w:sz w:val="18"/>
          <w:szCs w:val="18"/>
        </w:rPr>
      </w:pPr>
    </w:p>
    <w:sectPr>
      <w:pgSz w:w="11907" w:h="16840"/>
      <w:pgMar w:top="1276" w:right="1474" w:bottom="1242" w:left="1474" w:header="720" w:footer="720" w:gutter="0"/>
      <w:pgBorders>
        <w:top w:val="none" w:sz="0" w:space="0"/>
        <w:left w:val="none" w:sz="0" w:space="0"/>
        <w:bottom w:val="none" w:sz="0" w:space="0"/>
        <w:right w:val="none" w:sz="0" w:space="0"/>
      </w:pgBorders>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ヒラギノ角ゴ Pro W3">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63</w:t>
    </w:r>
    <w:r>
      <w:rPr>
        <w:lang w:val="zh-CN"/>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4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8zQnMoBAACaAwAADgAAAGRycy9lMm9Eb2MueG1srVPNjtMwEL4j8Q6W&#10;79TZg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deUOG5x4Ocf388/f59/fSNv&#10;Xm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8zQnMoBAACaAwAADgAAAAAAAAABACAAAAAeAQAAZHJzL2Uyb0Rv&#10;Yy54bWxQSwUGAAAAAAYABgBZAQAAWg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34</w:t>
                          </w:r>
                          <w:r>
                            <w:fldChar w:fldCharType="end"/>
                          </w:r>
                        </w:p>
                      </w:txbxContent>
                    </wps:txbx>
                    <wps:bodyPr wrap="none" lIns="0" tIns="0" rIns="0" bIns="0" upright="0">
                      <a:spAutoFit/>
                    </wps:bodyPr>
                  </wps:wsp>
                </a:graphicData>
              </a:graphic>
            </wp:anchor>
          </w:drawing>
        </mc:Choice>
        <mc:Fallback>
          <w:pict>
            <v:shape id="文本框 4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H+FsoBAACaAwAADgAAAGRycy9lMm9Eb2MueG1srVPNjtMwEL4j8Q6W&#10;79TZagVV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99Q4rjFgZ9/fD///H3+9Y1c&#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TH+FsoBAACaAwAADgAAAAAAAAABACAAAAAeAQAAZHJzL2Uyb0Rv&#10;Yy54bWxQSwUGAAAAAAYABgBZAQAAWg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34</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jc w:val="center"/>
                          </w:pPr>
                        </w:p>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Ozoc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07OhyQEAAJoDAAAOAAAAAAAAAAEAIAAAAB4BAABkcnMvZTJvRG9j&#10;LnhtbFBLBQYAAAAABgAGAFkBAABZBQAAAAA=&#10;">
              <v:fill on="f" focussize="0,0"/>
              <v:stroke on="f"/>
              <v:imagedata o:title=""/>
              <o:lock v:ext="edit" aspectratio="f"/>
              <v:textbox inset="0mm,0mm,0mm,0mm" style="mso-fit-shape-to-text:t;">
                <w:txbxContent>
                  <w:p>
                    <w:pPr>
                      <w:pStyle w:val="23"/>
                      <w:jc w:val="center"/>
                    </w:pPr>
                  </w:p>
                  <w:p/>
                </w:txbxContent>
              </v:textbox>
            </v:shape>
          </w:pict>
        </mc:Fallback>
      </mc:AlternateContent>
    </w:r>
  </w:p>
  <w:p>
    <w:pPr>
      <w:pStyle w:val="2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69</w:t>
                          </w:r>
                          <w:r>
                            <w:fldChar w:fldCharType="end"/>
                          </w:r>
                        </w:p>
                      </w:txbxContent>
                    </wps:txbx>
                    <wps:bodyPr wrap="none" lIns="0" tIns="0" rIns="0" bIns="0" upright="0">
                      <a:spAutoFit/>
                    </wps:bodyPr>
                  </wps:wsp>
                </a:graphicData>
              </a:graphic>
            </wp:anchor>
          </w:drawing>
        </mc:Choice>
        <mc:Fallback>
          <w:pict>
            <v:shape id="文本框 5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HdlckBAACb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W8&#10;Xma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kd2VyQEAAJsDAAAOAAAAAAAAAAEAIAAAAB4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jc w:val="center"/>
                          </w:pPr>
                        </w:p>
                        <w:p/>
                      </w:txbxContent>
                    </wps:txbx>
                    <wps:bodyPr wrap="none" lIns="0" tIns="0" rIns="0" bIns="0" upright="0">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vqCskBAACa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l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oO+oKyQEAAJoDAAAOAAAAAAAAAAEAIAAAAB4BAABkcnMvZTJvRG9j&#10;LnhtbFBLBQYAAAAABgAGAFkBAABZBQAAAAA=&#10;">
              <v:fill on="f" focussize="0,0"/>
              <v:stroke on="f"/>
              <v:imagedata o:title=""/>
              <o:lock v:ext="edit" aspectratio="f"/>
              <v:textbox inset="0mm,0mm,0mm,0mm" style="mso-fit-shape-to-text:t;">
                <w:txbxContent>
                  <w:p>
                    <w:pPr>
                      <w:pStyle w:val="23"/>
                      <w:jc w:val="center"/>
                    </w:pPr>
                  </w:p>
                  <w:p/>
                </w:txbxContent>
              </v:textbox>
            </v:shape>
          </w:pict>
        </mc:Fallback>
      </mc:AlternateContent>
    </w:r>
  </w:p>
  <w:p>
    <w:pPr>
      <w:pStyle w:val="2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文本框 4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aXY98kBAACa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UBy74xYHfv754/zrz/n3d/L6&#10;T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Vpdj3yQEAAJoDAAAOAAAAAAAAAAEAIAAAAB4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44</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jc w:val="center"/>
                          </w:pPr>
                        </w:p>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PKq8gBAACaAwAADgAAAGRycy9lMm9Eb2MueG1srVPNjtMwEL4j8Q6W&#10;79TZI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ooSxy0O/Pz92/nHr/PPr+Rl&#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pDyqvIAQAAmgMAAA4AAAAAAAAAAQAgAAAAHgEAAGRycy9lMm9Eb2Mu&#10;eG1sUEsFBgAAAAAGAAYAWQEAAFgFAAAAAA==&#10;">
              <v:fill on="f" focussize="0,0"/>
              <v:stroke on="f"/>
              <v:imagedata o:title=""/>
              <o:lock v:ext="edit" aspectratio="f"/>
              <v:textbox inset="0mm,0mm,0mm,0mm" style="mso-fit-shape-to-text:t;">
                <w:txbxContent>
                  <w:p>
                    <w:pPr>
                      <w:pStyle w:val="23"/>
                      <w:jc w:val="center"/>
                    </w:pPr>
                  </w:p>
                  <w:p/>
                </w:txbxContent>
              </v:textbox>
            </v:shape>
          </w:pict>
        </mc:Fallback>
      </mc:AlternateContent>
    </w:r>
  </w:p>
  <w:p>
    <w:pPr>
      <w:pStyle w:val="2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文本框 4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q8c8kBAACb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4CSOG5x4uefP86//px/fyev&#10;32aB+gA15t0GzEzDez9g8uwHdGbeg4o2f5ERwThinS7yyiERkR+tlqtVhSGBsfmC+Oz+eYiQPkhv&#10;STYaGnF+RVZ+/ARpTJ1TcjXnb7QxZYbG/edAzOxhufexx2ylYTdMhHa+PSGfHkffUIebTon56FBZ&#10;7C/NRpyN3WwcQtT7rqxRrgfh3SFhE6W3XGGEnQrjzAq7ab/yUvx7L1n3/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mSrxzyQEAAJsDAAAOAAAAAAAAAAEAIAAAAB4BAABkcnMvZTJvRG9j&#10;LnhtbFBLBQYAAAAABgAGAFkBAABZ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jc w:val="center"/>
                          </w:pPr>
                        </w:p>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Yp4skBAACa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htiniyQEAAJoDAAAOAAAAAAAAAAEAIAAAAB4BAABkcnMvZTJvRG9j&#10;LnhtbFBLBQYAAAAABgAGAFkBAABZBQAAAAA=&#10;">
              <v:fill on="f" focussize="0,0"/>
              <v:stroke on="f"/>
              <v:imagedata o:title=""/>
              <o:lock v:ext="edit" aspectratio="f"/>
              <v:textbox inset="0mm,0mm,0mm,0mm" style="mso-fit-shape-to-text:t;">
                <w:txbxContent>
                  <w:p>
                    <w:pPr>
                      <w:pStyle w:val="23"/>
                      <w:jc w:val="center"/>
                    </w:pPr>
                  </w:p>
                  <w:p/>
                </w:txbxContent>
              </v:textbox>
            </v:shape>
          </w:pict>
        </mc:Fallback>
      </mc:AlternateConten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DA4F3"/>
    <w:multiLevelType w:val="singleLevel"/>
    <w:tmpl w:val="996DA4F3"/>
    <w:lvl w:ilvl="0" w:tentative="0">
      <w:start w:val="2"/>
      <w:numFmt w:val="chineseCounting"/>
      <w:suff w:val="nothing"/>
      <w:lvlText w:val="%1、"/>
      <w:lvlJc w:val="left"/>
      <w:rPr>
        <w:rFonts w:hint="eastAsia"/>
      </w:rPr>
    </w:lvl>
  </w:abstractNum>
  <w:abstractNum w:abstractNumId="1">
    <w:nsid w:val="A41BF184"/>
    <w:multiLevelType w:val="singleLevel"/>
    <w:tmpl w:val="A41BF184"/>
    <w:lvl w:ilvl="0" w:tentative="0">
      <w:start w:val="1"/>
      <w:numFmt w:val="decimal"/>
      <w:suff w:val="nothing"/>
      <w:lvlText w:val="%1、"/>
      <w:lvlJc w:val="left"/>
    </w:lvl>
  </w:abstractNum>
  <w:abstractNum w:abstractNumId="2">
    <w:nsid w:val="ACCE5455"/>
    <w:multiLevelType w:val="singleLevel"/>
    <w:tmpl w:val="ACCE5455"/>
    <w:lvl w:ilvl="0" w:tentative="0">
      <w:start w:val="1"/>
      <w:numFmt w:val="decimal"/>
      <w:lvlText w:val="%1."/>
      <w:lvlJc w:val="left"/>
      <w:pPr>
        <w:ind w:left="425" w:hanging="425"/>
      </w:pPr>
      <w:rPr>
        <w:rFonts w:hint="default"/>
      </w:rPr>
    </w:lvl>
  </w:abstractNum>
  <w:abstractNum w:abstractNumId="3">
    <w:nsid w:val="C57ED7E3"/>
    <w:multiLevelType w:val="singleLevel"/>
    <w:tmpl w:val="C57ED7E3"/>
    <w:lvl w:ilvl="0" w:tentative="0">
      <w:start w:val="1"/>
      <w:numFmt w:val="decimal"/>
      <w:lvlText w:val="(%1)"/>
      <w:lvlJc w:val="left"/>
      <w:pPr>
        <w:ind w:left="425" w:hanging="425"/>
      </w:pPr>
      <w:rPr>
        <w:rFonts w:hint="default"/>
      </w:rPr>
    </w:lvl>
  </w:abstractNum>
  <w:abstractNum w:abstractNumId="4">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
    <w:nsid w:val="FEFB83F7"/>
    <w:multiLevelType w:val="singleLevel"/>
    <w:tmpl w:val="FEFB83F7"/>
    <w:lvl w:ilvl="0" w:tentative="0">
      <w:start w:val="6"/>
      <w:numFmt w:val="chineseCounting"/>
      <w:suff w:val="space"/>
      <w:lvlText w:val="第%1章"/>
      <w:lvlJc w:val="left"/>
      <w:rPr>
        <w:rFonts w:hint="eastAsia"/>
      </w:rPr>
    </w:lvl>
  </w:abstractNum>
  <w:abstractNum w:abstractNumId="6">
    <w:nsid w:val="00000001"/>
    <w:multiLevelType w:val="singleLevel"/>
    <w:tmpl w:val="00000001"/>
    <w:lvl w:ilvl="0" w:tentative="0">
      <w:start w:val="3"/>
      <w:numFmt w:val="decimal"/>
      <w:suff w:val="nothing"/>
      <w:lvlText w:val="%1、"/>
      <w:lvlJc w:val="left"/>
    </w:lvl>
  </w:abstractNum>
  <w:abstractNum w:abstractNumId="7">
    <w:nsid w:val="027DCDAE"/>
    <w:multiLevelType w:val="singleLevel"/>
    <w:tmpl w:val="027DCDAE"/>
    <w:lvl w:ilvl="0" w:tentative="0">
      <w:start w:val="1"/>
      <w:numFmt w:val="decimal"/>
      <w:lvlText w:val="%1."/>
      <w:lvlJc w:val="left"/>
      <w:pPr>
        <w:ind w:left="425" w:hanging="425"/>
      </w:pPr>
      <w:rPr>
        <w:rFonts w:hint="default"/>
      </w:rPr>
    </w:lvl>
  </w:abstractNum>
  <w:abstractNum w:abstractNumId="8">
    <w:nsid w:val="06410482"/>
    <w:multiLevelType w:val="singleLevel"/>
    <w:tmpl w:val="06410482"/>
    <w:lvl w:ilvl="0" w:tentative="0">
      <w:start w:val="1"/>
      <w:numFmt w:val="decimal"/>
      <w:lvlText w:val="%1."/>
      <w:lvlJc w:val="left"/>
      <w:pPr>
        <w:ind w:left="425" w:hanging="425"/>
      </w:pPr>
      <w:rPr>
        <w:rFonts w:hint="default" w:ascii="宋体" w:hAnsi="宋体" w:eastAsia="宋体" w:cs="宋体"/>
        <w:color w:val="auto"/>
        <w:sz w:val="21"/>
        <w:szCs w:val="21"/>
      </w:rPr>
    </w:lvl>
  </w:abstractNum>
  <w:abstractNum w:abstractNumId="9">
    <w:nsid w:val="0FFFFF7C"/>
    <w:multiLevelType w:val="singleLevel"/>
    <w:tmpl w:val="0FFFFF7C"/>
    <w:lvl w:ilvl="0" w:tentative="0">
      <w:start w:val="1"/>
      <w:numFmt w:val="decimal"/>
      <w:pStyle w:val="10"/>
      <w:lvlText w:val="%1."/>
      <w:lvlJc w:val="left"/>
      <w:pPr>
        <w:tabs>
          <w:tab w:val="left" w:pos="2040"/>
        </w:tabs>
        <w:ind w:left="2040" w:hanging="360"/>
      </w:pPr>
    </w:lvl>
  </w:abstractNum>
  <w:abstractNum w:abstractNumId="10">
    <w:nsid w:val="0FFFFF7D"/>
    <w:multiLevelType w:val="singleLevel"/>
    <w:tmpl w:val="0FFFFF7D"/>
    <w:lvl w:ilvl="0" w:tentative="0">
      <w:start w:val="1"/>
      <w:numFmt w:val="decimal"/>
      <w:pStyle w:val="14"/>
      <w:lvlText w:val="%1."/>
      <w:lvlJc w:val="left"/>
      <w:pPr>
        <w:tabs>
          <w:tab w:val="left" w:pos="1620"/>
        </w:tabs>
        <w:ind w:left="1620" w:hanging="360"/>
      </w:pPr>
    </w:lvl>
  </w:abstractNum>
  <w:abstractNum w:abstractNumId="11">
    <w:nsid w:val="0FFFFF7F"/>
    <w:multiLevelType w:val="singleLevel"/>
    <w:tmpl w:val="0FFFFF7F"/>
    <w:lvl w:ilvl="0" w:tentative="0">
      <w:start w:val="1"/>
      <w:numFmt w:val="decimal"/>
      <w:pStyle w:val="11"/>
      <w:lvlText w:val="%1."/>
      <w:lvlJc w:val="left"/>
      <w:pPr>
        <w:tabs>
          <w:tab w:val="left" w:pos="780"/>
        </w:tabs>
        <w:ind w:left="780" w:hanging="360"/>
      </w:pPr>
    </w:lvl>
  </w:abstractNum>
  <w:abstractNum w:abstractNumId="12">
    <w:nsid w:val="0FFFFF80"/>
    <w:multiLevelType w:val="singleLevel"/>
    <w:tmpl w:val="0FFFFF80"/>
    <w:lvl w:ilvl="0" w:tentative="0">
      <w:start w:val="1"/>
      <w:numFmt w:val="bullet"/>
      <w:pStyle w:val="20"/>
      <w:lvlText w:val=""/>
      <w:lvlJc w:val="left"/>
      <w:pPr>
        <w:tabs>
          <w:tab w:val="left" w:pos="2040"/>
        </w:tabs>
        <w:ind w:left="2040" w:hanging="360"/>
      </w:pPr>
      <w:rPr>
        <w:rFonts w:hint="default" w:ascii="Wingdings" w:hAnsi="Wingdings"/>
      </w:rPr>
    </w:lvl>
  </w:abstractNum>
  <w:abstractNum w:abstractNumId="13">
    <w:nsid w:val="0FFFFF81"/>
    <w:multiLevelType w:val="singleLevel"/>
    <w:tmpl w:val="0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14">
    <w:nsid w:val="0FFFFF83"/>
    <w:multiLevelType w:val="singleLevel"/>
    <w:tmpl w:val="0FFFFF83"/>
    <w:lvl w:ilvl="0" w:tentative="0">
      <w:start w:val="1"/>
      <w:numFmt w:val="bullet"/>
      <w:pStyle w:val="30"/>
      <w:lvlText w:val=""/>
      <w:lvlJc w:val="left"/>
      <w:pPr>
        <w:tabs>
          <w:tab w:val="left" w:pos="780"/>
        </w:tabs>
        <w:ind w:left="780" w:hanging="360"/>
      </w:pPr>
      <w:rPr>
        <w:rFonts w:hint="default" w:ascii="Wingdings" w:hAnsi="Wingdings"/>
      </w:rPr>
    </w:lvl>
  </w:abstractNum>
  <w:abstractNum w:abstractNumId="15">
    <w:nsid w:val="0FFFFF89"/>
    <w:multiLevelType w:val="singleLevel"/>
    <w:tmpl w:val="0FFFFF89"/>
    <w:lvl w:ilvl="0" w:tentative="0">
      <w:start w:val="1"/>
      <w:numFmt w:val="bullet"/>
      <w:pStyle w:val="231"/>
      <w:lvlText w:val=""/>
      <w:lvlJc w:val="left"/>
      <w:pPr>
        <w:tabs>
          <w:tab w:val="left" w:pos="360"/>
        </w:tabs>
        <w:ind w:left="360" w:hanging="360"/>
      </w:pPr>
      <w:rPr>
        <w:rFonts w:hint="default" w:ascii="Wingdings" w:hAnsi="Wingdings"/>
      </w:rPr>
    </w:lvl>
  </w:abstractNum>
  <w:abstractNum w:abstractNumId="16">
    <w:nsid w:val="1654C7ED"/>
    <w:multiLevelType w:val="singleLevel"/>
    <w:tmpl w:val="1654C7ED"/>
    <w:lvl w:ilvl="0" w:tentative="0">
      <w:start w:val="1"/>
      <w:numFmt w:val="decimal"/>
      <w:lvlText w:val="%1."/>
      <w:lvlJc w:val="left"/>
      <w:pPr>
        <w:ind w:left="425" w:hanging="425"/>
      </w:pPr>
      <w:rPr>
        <w:rFonts w:hint="default"/>
      </w:rPr>
    </w:lvl>
  </w:abstractNum>
  <w:abstractNum w:abstractNumId="17">
    <w:nsid w:val="201502D4"/>
    <w:multiLevelType w:val="singleLevel"/>
    <w:tmpl w:val="201502D4"/>
    <w:lvl w:ilvl="0" w:tentative="0">
      <w:start w:val="3"/>
      <w:numFmt w:val="decimal"/>
      <w:suff w:val="nothing"/>
      <w:lvlText w:val="（%1）"/>
      <w:lvlJc w:val="left"/>
    </w:lvl>
  </w:abstractNum>
  <w:abstractNum w:abstractNumId="18">
    <w:nsid w:val="2238B4E0"/>
    <w:multiLevelType w:val="singleLevel"/>
    <w:tmpl w:val="2238B4E0"/>
    <w:lvl w:ilvl="0" w:tentative="0">
      <w:start w:val="1"/>
      <w:numFmt w:val="decimal"/>
      <w:lvlText w:val="%1."/>
      <w:lvlJc w:val="left"/>
      <w:pPr>
        <w:ind w:left="425" w:hanging="425"/>
      </w:pPr>
      <w:rPr>
        <w:rFonts w:hint="default"/>
      </w:rPr>
    </w:lvl>
  </w:abstractNum>
  <w:abstractNum w:abstractNumId="19">
    <w:nsid w:val="2D301059"/>
    <w:multiLevelType w:val="singleLevel"/>
    <w:tmpl w:val="2D301059"/>
    <w:lvl w:ilvl="0" w:tentative="0">
      <w:start w:val="1"/>
      <w:numFmt w:val="chineseCounting"/>
      <w:suff w:val="nothing"/>
      <w:lvlText w:val="%1、"/>
      <w:lvlJc w:val="left"/>
      <w:pPr>
        <w:ind w:left="0" w:firstLine="420"/>
      </w:pPr>
      <w:rPr>
        <w:rFonts w:hint="eastAsia"/>
      </w:rPr>
    </w:lvl>
  </w:abstractNum>
  <w:abstractNum w:abstractNumId="20">
    <w:nsid w:val="3B082F1E"/>
    <w:multiLevelType w:val="singleLevel"/>
    <w:tmpl w:val="3B082F1E"/>
    <w:lvl w:ilvl="0" w:tentative="0">
      <w:start w:val="1"/>
      <w:numFmt w:val="decimal"/>
      <w:lvlText w:val="%1."/>
      <w:lvlJc w:val="left"/>
      <w:pPr>
        <w:ind w:left="425" w:hanging="425"/>
      </w:pPr>
      <w:rPr>
        <w:rFonts w:hint="default"/>
      </w:rPr>
    </w:lvl>
  </w:abstractNum>
  <w:abstractNum w:abstractNumId="21">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2">
    <w:nsid w:val="4F4C7801"/>
    <w:multiLevelType w:val="singleLevel"/>
    <w:tmpl w:val="4F4C7801"/>
    <w:lvl w:ilvl="0" w:tentative="0">
      <w:start w:val="6"/>
      <w:numFmt w:val="chineseCounting"/>
      <w:suff w:val="nothing"/>
      <w:lvlText w:val="%1、"/>
      <w:lvlJc w:val="left"/>
      <w:rPr>
        <w:rFonts w:hint="eastAsia"/>
      </w:rPr>
    </w:lvl>
  </w:abstractNum>
  <w:abstractNum w:abstractNumId="23">
    <w:nsid w:val="55E3220D"/>
    <w:multiLevelType w:val="multilevel"/>
    <w:tmpl w:val="55E3220D"/>
    <w:lvl w:ilvl="0" w:tentative="0">
      <w:start w:val="1"/>
      <w:numFmt w:val="decimal"/>
      <w:suff w:val="space"/>
      <w:lvlText w:val="第%1章"/>
      <w:lvlJc w:val="center"/>
      <w:pPr>
        <w:ind w:left="0" w:firstLine="0"/>
      </w:pPr>
      <w:rPr>
        <w:rFonts w:hint="eastAsia"/>
        <w:b w:val="0"/>
      </w:rPr>
    </w:lvl>
    <w:lvl w:ilvl="1" w:tentative="0">
      <w:start w:val="1"/>
      <w:numFmt w:val="decimal"/>
      <w:isLgl/>
      <w:suff w:val="space"/>
      <w:lvlText w:val="%1.%2"/>
      <w:lvlJc w:val="left"/>
      <w:pPr>
        <w:ind w:left="0" w:firstLine="0"/>
      </w:pPr>
      <w:rPr>
        <w:rFonts w:hint="default" w:ascii="Times New Roman" w:hAnsi="Times New Roman" w:eastAsia="黑体" w:cs="Times New Roman"/>
      </w:rPr>
    </w:lvl>
    <w:lvl w:ilvl="2" w:tentative="0">
      <w:start w:val="1"/>
      <w:numFmt w:val="decimal"/>
      <w:isLgl/>
      <w:suff w:val="space"/>
      <w:lvlText w:val="%1.%2.%3"/>
      <w:lvlJc w:val="left"/>
      <w:pPr>
        <w:ind w:left="0" w:firstLine="0"/>
      </w:pPr>
      <w:rPr>
        <w:rFonts w:hint="default" w:ascii="Times New Roman" w:hAnsi="Times New Roman" w:eastAsia="宋体" w:cs="Times New Roman"/>
      </w:rPr>
    </w:lvl>
    <w:lvl w:ilvl="3" w:tentative="0">
      <w:start w:val="1"/>
      <w:numFmt w:val="decimal"/>
      <w:isLgl/>
      <w:suff w:val="space"/>
      <w:lvlText w:val="%1.%2.%3.%4"/>
      <w:lvlJc w:val="left"/>
      <w:pPr>
        <w:ind w:left="0" w:firstLine="0"/>
      </w:pPr>
      <w:rPr>
        <w:rFonts w:hint="default" w:ascii="Times New Roman" w:hAnsi="Times New Roman" w:cs="Times New Roman"/>
        <w:b/>
        <w:bCs w:val="0"/>
        <w:i w:val="0"/>
        <w:iCs w:val="0"/>
        <w:caps w:val="0"/>
        <w:smallCaps w:val="0"/>
        <w:strike w:val="0"/>
        <w:dstrike w:val="0"/>
        <w:outline w:val="0"/>
        <w:shadow w:val="0"/>
        <w:color w:val="auto"/>
        <w:spacing w:val="0"/>
        <w:position w:val="0"/>
        <w:u w:val="none"/>
      </w:rPr>
    </w:lvl>
    <w:lvl w:ilvl="4" w:tentative="0">
      <w:start w:val="1"/>
      <w:numFmt w:val="decimal"/>
      <w:isLgl/>
      <w:suff w:val="space"/>
      <w:lvlText w:val="%1.%2.%3.%4.%5"/>
      <w:lvlJc w:val="left"/>
      <w:pPr>
        <w:ind w:left="0" w:firstLine="0"/>
      </w:pPr>
      <w:rPr>
        <w:rFonts w:hint="default" w:ascii="Times New Roman" w:hAnsi="Times New Roman" w:cs="Times New Roman"/>
      </w:rPr>
    </w:lvl>
    <w:lvl w:ilvl="5" w:tentative="0">
      <w:start w:val="1"/>
      <w:numFmt w:val="decimal"/>
      <w:pStyle w:val="8"/>
      <w:isLgl/>
      <w:suff w:val="space"/>
      <w:lvlText w:val="%1.%2.%3.%4.%5.%6"/>
      <w:lvlJc w:val="left"/>
      <w:pPr>
        <w:ind w:left="0" w:firstLine="0"/>
      </w:pPr>
      <w:rPr>
        <w:rFonts w:hint="default" w:ascii="Times New Roman" w:hAnsi="Times New Roman" w:cs="Times New Roman"/>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abstractNum w:abstractNumId="24">
    <w:nsid w:val="6573C479"/>
    <w:multiLevelType w:val="singleLevel"/>
    <w:tmpl w:val="6573C479"/>
    <w:lvl w:ilvl="0" w:tentative="0">
      <w:start w:val="1"/>
      <w:numFmt w:val="decimal"/>
      <w:lvlText w:val="%1."/>
      <w:lvlJc w:val="left"/>
      <w:pPr>
        <w:ind w:left="425" w:hanging="425"/>
      </w:pPr>
      <w:rPr>
        <w:rFonts w:hint="default"/>
      </w:rPr>
    </w:lvl>
  </w:abstractNum>
  <w:num w:numId="1">
    <w:abstractNumId w:val="21"/>
  </w:num>
  <w:num w:numId="2">
    <w:abstractNumId w:val="23"/>
  </w:num>
  <w:num w:numId="3">
    <w:abstractNumId w:val="9"/>
  </w:num>
  <w:num w:numId="4">
    <w:abstractNumId w:val="11"/>
  </w:num>
  <w:num w:numId="5">
    <w:abstractNumId w:val="10"/>
  </w:num>
  <w:num w:numId="6">
    <w:abstractNumId w:val="13"/>
  </w:num>
  <w:num w:numId="7">
    <w:abstractNumId w:val="12"/>
  </w:num>
  <w:num w:numId="8">
    <w:abstractNumId w:val="14"/>
  </w:num>
  <w:num w:numId="9">
    <w:abstractNumId w:val="15"/>
  </w:num>
  <w:num w:numId="10">
    <w:abstractNumId w:val="19"/>
  </w:num>
  <w:num w:numId="11">
    <w:abstractNumId w:val="8"/>
  </w:num>
  <w:num w:numId="12">
    <w:abstractNumId w:val="2"/>
  </w:num>
  <w:num w:numId="13">
    <w:abstractNumId w:val="24"/>
  </w:num>
  <w:num w:numId="14">
    <w:abstractNumId w:val="18"/>
  </w:num>
  <w:num w:numId="15">
    <w:abstractNumId w:val="16"/>
  </w:num>
  <w:num w:numId="16">
    <w:abstractNumId w:val="3"/>
  </w:num>
  <w:num w:numId="17">
    <w:abstractNumId w:val="7"/>
  </w:num>
  <w:num w:numId="18">
    <w:abstractNumId w:val="0"/>
  </w:num>
  <w:num w:numId="19">
    <w:abstractNumId w:val="1"/>
  </w:num>
  <w:num w:numId="20">
    <w:abstractNumId w:val="6"/>
  </w:num>
  <w:num w:numId="21">
    <w:abstractNumId w:val="22"/>
  </w:num>
  <w:num w:numId="22">
    <w:abstractNumId w:val="17"/>
  </w:num>
  <w:num w:numId="23">
    <w:abstractNumId w:val="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OTNkZWI5MTFjMGI2YWIzNDY3YmNmMGI5MGFjNGUifQ=="/>
  </w:docVars>
  <w:rsids>
    <w:rsidRoot w:val="001439E3"/>
    <w:rsid w:val="000018F6"/>
    <w:rsid w:val="00007555"/>
    <w:rsid w:val="00007C20"/>
    <w:rsid w:val="00007E5F"/>
    <w:rsid w:val="00012349"/>
    <w:rsid w:val="00012AEE"/>
    <w:rsid w:val="00012BF3"/>
    <w:rsid w:val="00012C9F"/>
    <w:rsid w:val="00013191"/>
    <w:rsid w:val="000152BD"/>
    <w:rsid w:val="00016E5B"/>
    <w:rsid w:val="00017ADD"/>
    <w:rsid w:val="0002373B"/>
    <w:rsid w:val="00024329"/>
    <w:rsid w:val="000256D8"/>
    <w:rsid w:val="00026B94"/>
    <w:rsid w:val="000271E7"/>
    <w:rsid w:val="00027255"/>
    <w:rsid w:val="000276D0"/>
    <w:rsid w:val="000279D7"/>
    <w:rsid w:val="00027B64"/>
    <w:rsid w:val="00030A43"/>
    <w:rsid w:val="000310B6"/>
    <w:rsid w:val="00031FDB"/>
    <w:rsid w:val="00033F5E"/>
    <w:rsid w:val="00041D53"/>
    <w:rsid w:val="0004351F"/>
    <w:rsid w:val="0004418C"/>
    <w:rsid w:val="00045734"/>
    <w:rsid w:val="000460B6"/>
    <w:rsid w:val="00046A9C"/>
    <w:rsid w:val="000479FF"/>
    <w:rsid w:val="00051AE2"/>
    <w:rsid w:val="0005301B"/>
    <w:rsid w:val="000540F4"/>
    <w:rsid w:val="0005509D"/>
    <w:rsid w:val="00056633"/>
    <w:rsid w:val="000568C4"/>
    <w:rsid w:val="000572B3"/>
    <w:rsid w:val="00057C7C"/>
    <w:rsid w:val="00060411"/>
    <w:rsid w:val="0006085B"/>
    <w:rsid w:val="0006493A"/>
    <w:rsid w:val="00065D58"/>
    <w:rsid w:val="00065FC4"/>
    <w:rsid w:val="000660AC"/>
    <w:rsid w:val="00066102"/>
    <w:rsid w:val="000704DD"/>
    <w:rsid w:val="00073814"/>
    <w:rsid w:val="00074067"/>
    <w:rsid w:val="00074B96"/>
    <w:rsid w:val="00076D74"/>
    <w:rsid w:val="00076D9F"/>
    <w:rsid w:val="000771F8"/>
    <w:rsid w:val="00080C31"/>
    <w:rsid w:val="00081328"/>
    <w:rsid w:val="000815A6"/>
    <w:rsid w:val="00081F25"/>
    <w:rsid w:val="000824AE"/>
    <w:rsid w:val="00083E1A"/>
    <w:rsid w:val="00084A00"/>
    <w:rsid w:val="00085239"/>
    <w:rsid w:val="00086FBB"/>
    <w:rsid w:val="0008743B"/>
    <w:rsid w:val="00093C6D"/>
    <w:rsid w:val="0009619A"/>
    <w:rsid w:val="000A0D3B"/>
    <w:rsid w:val="000A253C"/>
    <w:rsid w:val="000A3965"/>
    <w:rsid w:val="000A3985"/>
    <w:rsid w:val="000A3B0D"/>
    <w:rsid w:val="000A40C6"/>
    <w:rsid w:val="000A4754"/>
    <w:rsid w:val="000A7433"/>
    <w:rsid w:val="000A74AD"/>
    <w:rsid w:val="000A796B"/>
    <w:rsid w:val="000B0334"/>
    <w:rsid w:val="000B0B05"/>
    <w:rsid w:val="000B0B8E"/>
    <w:rsid w:val="000B0D00"/>
    <w:rsid w:val="000B0DF4"/>
    <w:rsid w:val="000B1AC7"/>
    <w:rsid w:val="000B1DFC"/>
    <w:rsid w:val="000B3D29"/>
    <w:rsid w:val="000B5B96"/>
    <w:rsid w:val="000B794A"/>
    <w:rsid w:val="000C0DBC"/>
    <w:rsid w:val="000C16D5"/>
    <w:rsid w:val="000C5EC0"/>
    <w:rsid w:val="000C6496"/>
    <w:rsid w:val="000C76F6"/>
    <w:rsid w:val="000C7C45"/>
    <w:rsid w:val="000D03D2"/>
    <w:rsid w:val="000D06C1"/>
    <w:rsid w:val="000D06DD"/>
    <w:rsid w:val="000D074E"/>
    <w:rsid w:val="000D1716"/>
    <w:rsid w:val="000D3E4C"/>
    <w:rsid w:val="000D43DF"/>
    <w:rsid w:val="000D442A"/>
    <w:rsid w:val="000D5A6F"/>
    <w:rsid w:val="000D7001"/>
    <w:rsid w:val="000E02E9"/>
    <w:rsid w:val="000E28C4"/>
    <w:rsid w:val="000E339F"/>
    <w:rsid w:val="000E3FF9"/>
    <w:rsid w:val="000E4396"/>
    <w:rsid w:val="000F02DE"/>
    <w:rsid w:val="000F1862"/>
    <w:rsid w:val="000F25BB"/>
    <w:rsid w:val="000F2B61"/>
    <w:rsid w:val="000F3A18"/>
    <w:rsid w:val="000F432C"/>
    <w:rsid w:val="000F576E"/>
    <w:rsid w:val="000F664C"/>
    <w:rsid w:val="000F72AD"/>
    <w:rsid w:val="00101555"/>
    <w:rsid w:val="00101E31"/>
    <w:rsid w:val="001026FD"/>
    <w:rsid w:val="00103245"/>
    <w:rsid w:val="0010383D"/>
    <w:rsid w:val="0010556B"/>
    <w:rsid w:val="0011033E"/>
    <w:rsid w:val="001128F6"/>
    <w:rsid w:val="00112D3B"/>
    <w:rsid w:val="001138CE"/>
    <w:rsid w:val="0011512C"/>
    <w:rsid w:val="0011515B"/>
    <w:rsid w:val="00115A71"/>
    <w:rsid w:val="001169A0"/>
    <w:rsid w:val="001175DB"/>
    <w:rsid w:val="00120C9D"/>
    <w:rsid w:val="00120FF4"/>
    <w:rsid w:val="00122125"/>
    <w:rsid w:val="00123804"/>
    <w:rsid w:val="00124FE1"/>
    <w:rsid w:val="0012576B"/>
    <w:rsid w:val="00127E5A"/>
    <w:rsid w:val="001301B5"/>
    <w:rsid w:val="0013096D"/>
    <w:rsid w:val="001318FC"/>
    <w:rsid w:val="0013194A"/>
    <w:rsid w:val="0013241C"/>
    <w:rsid w:val="00133B7C"/>
    <w:rsid w:val="001362B9"/>
    <w:rsid w:val="00137501"/>
    <w:rsid w:val="001439E3"/>
    <w:rsid w:val="001440ED"/>
    <w:rsid w:val="00144532"/>
    <w:rsid w:val="00144621"/>
    <w:rsid w:val="001447D0"/>
    <w:rsid w:val="00145635"/>
    <w:rsid w:val="0015027D"/>
    <w:rsid w:val="00151365"/>
    <w:rsid w:val="00151612"/>
    <w:rsid w:val="00152DCB"/>
    <w:rsid w:val="00153EE1"/>
    <w:rsid w:val="001541B4"/>
    <w:rsid w:val="0015432B"/>
    <w:rsid w:val="00160224"/>
    <w:rsid w:val="001610FE"/>
    <w:rsid w:val="0016304F"/>
    <w:rsid w:val="00167419"/>
    <w:rsid w:val="00170223"/>
    <w:rsid w:val="00172432"/>
    <w:rsid w:val="00172516"/>
    <w:rsid w:val="00173BD2"/>
    <w:rsid w:val="00173E58"/>
    <w:rsid w:val="0017411F"/>
    <w:rsid w:val="00174AF7"/>
    <w:rsid w:val="001753FF"/>
    <w:rsid w:val="00176612"/>
    <w:rsid w:val="00177A7E"/>
    <w:rsid w:val="001808F6"/>
    <w:rsid w:val="00180F4E"/>
    <w:rsid w:val="00180F90"/>
    <w:rsid w:val="00183754"/>
    <w:rsid w:val="00184457"/>
    <w:rsid w:val="001845F0"/>
    <w:rsid w:val="00184D0F"/>
    <w:rsid w:val="00184F9A"/>
    <w:rsid w:val="001862BA"/>
    <w:rsid w:val="0018688D"/>
    <w:rsid w:val="00186F4E"/>
    <w:rsid w:val="001874BA"/>
    <w:rsid w:val="001904AB"/>
    <w:rsid w:val="00191903"/>
    <w:rsid w:val="00193198"/>
    <w:rsid w:val="001945CA"/>
    <w:rsid w:val="00197956"/>
    <w:rsid w:val="00197991"/>
    <w:rsid w:val="001A29A1"/>
    <w:rsid w:val="001A3082"/>
    <w:rsid w:val="001A36F1"/>
    <w:rsid w:val="001A58AC"/>
    <w:rsid w:val="001A765D"/>
    <w:rsid w:val="001A78ED"/>
    <w:rsid w:val="001A7B63"/>
    <w:rsid w:val="001B0677"/>
    <w:rsid w:val="001B0C9C"/>
    <w:rsid w:val="001B1699"/>
    <w:rsid w:val="001B29B2"/>
    <w:rsid w:val="001B6A36"/>
    <w:rsid w:val="001B7CC3"/>
    <w:rsid w:val="001C37E4"/>
    <w:rsid w:val="001C5394"/>
    <w:rsid w:val="001C6618"/>
    <w:rsid w:val="001C6911"/>
    <w:rsid w:val="001D226F"/>
    <w:rsid w:val="001D34D0"/>
    <w:rsid w:val="001D545A"/>
    <w:rsid w:val="001D5ED4"/>
    <w:rsid w:val="001D74EE"/>
    <w:rsid w:val="001D764D"/>
    <w:rsid w:val="001E030C"/>
    <w:rsid w:val="001E0984"/>
    <w:rsid w:val="001E2B27"/>
    <w:rsid w:val="001E5FC5"/>
    <w:rsid w:val="001E7042"/>
    <w:rsid w:val="001F041C"/>
    <w:rsid w:val="001F062C"/>
    <w:rsid w:val="001F4C7C"/>
    <w:rsid w:val="001F4F06"/>
    <w:rsid w:val="001F60B3"/>
    <w:rsid w:val="001F60F0"/>
    <w:rsid w:val="001F670D"/>
    <w:rsid w:val="001F679D"/>
    <w:rsid w:val="001F78EC"/>
    <w:rsid w:val="001F7A6C"/>
    <w:rsid w:val="00200808"/>
    <w:rsid w:val="0020106F"/>
    <w:rsid w:val="002047C5"/>
    <w:rsid w:val="0020528F"/>
    <w:rsid w:val="00207898"/>
    <w:rsid w:val="00207960"/>
    <w:rsid w:val="00207983"/>
    <w:rsid w:val="0021092F"/>
    <w:rsid w:val="002111F5"/>
    <w:rsid w:val="00211449"/>
    <w:rsid w:val="0021304A"/>
    <w:rsid w:val="00214501"/>
    <w:rsid w:val="002150E7"/>
    <w:rsid w:val="00215D5C"/>
    <w:rsid w:val="00216895"/>
    <w:rsid w:val="00217978"/>
    <w:rsid w:val="00220740"/>
    <w:rsid w:val="00221AE0"/>
    <w:rsid w:val="00222AD4"/>
    <w:rsid w:val="00224C68"/>
    <w:rsid w:val="00231F34"/>
    <w:rsid w:val="002322C1"/>
    <w:rsid w:val="00232CED"/>
    <w:rsid w:val="002363F8"/>
    <w:rsid w:val="0023688D"/>
    <w:rsid w:val="00236BBB"/>
    <w:rsid w:val="0023730C"/>
    <w:rsid w:val="002375DD"/>
    <w:rsid w:val="002405AE"/>
    <w:rsid w:val="00241FB9"/>
    <w:rsid w:val="002514F6"/>
    <w:rsid w:val="00251508"/>
    <w:rsid w:val="00251A5D"/>
    <w:rsid w:val="00251F7E"/>
    <w:rsid w:val="002521D9"/>
    <w:rsid w:val="00252BCD"/>
    <w:rsid w:val="0025587D"/>
    <w:rsid w:val="00256785"/>
    <w:rsid w:val="00256892"/>
    <w:rsid w:val="002568C3"/>
    <w:rsid w:val="00260985"/>
    <w:rsid w:val="002615CB"/>
    <w:rsid w:val="00262C52"/>
    <w:rsid w:val="00264886"/>
    <w:rsid w:val="0026526D"/>
    <w:rsid w:val="002653ED"/>
    <w:rsid w:val="00266542"/>
    <w:rsid w:val="0026723B"/>
    <w:rsid w:val="00267FF7"/>
    <w:rsid w:val="00272D08"/>
    <w:rsid w:val="00272D84"/>
    <w:rsid w:val="00273D49"/>
    <w:rsid w:val="00274181"/>
    <w:rsid w:val="00277823"/>
    <w:rsid w:val="0027787E"/>
    <w:rsid w:val="00277932"/>
    <w:rsid w:val="00277D7E"/>
    <w:rsid w:val="002813CF"/>
    <w:rsid w:val="00281AB0"/>
    <w:rsid w:val="00281E91"/>
    <w:rsid w:val="0028217D"/>
    <w:rsid w:val="00282492"/>
    <w:rsid w:val="002826B2"/>
    <w:rsid w:val="00282ED1"/>
    <w:rsid w:val="00284691"/>
    <w:rsid w:val="00284DDC"/>
    <w:rsid w:val="002851BF"/>
    <w:rsid w:val="00286876"/>
    <w:rsid w:val="00287F94"/>
    <w:rsid w:val="00290E7A"/>
    <w:rsid w:val="00291263"/>
    <w:rsid w:val="0029146B"/>
    <w:rsid w:val="00292F58"/>
    <w:rsid w:val="00293446"/>
    <w:rsid w:val="00293AD9"/>
    <w:rsid w:val="002945ED"/>
    <w:rsid w:val="00295033"/>
    <w:rsid w:val="00295F10"/>
    <w:rsid w:val="00296C48"/>
    <w:rsid w:val="00296DCF"/>
    <w:rsid w:val="002A3109"/>
    <w:rsid w:val="002A447D"/>
    <w:rsid w:val="002A57B8"/>
    <w:rsid w:val="002A667D"/>
    <w:rsid w:val="002A7CCC"/>
    <w:rsid w:val="002B1FEF"/>
    <w:rsid w:val="002B235D"/>
    <w:rsid w:val="002B2781"/>
    <w:rsid w:val="002B30AF"/>
    <w:rsid w:val="002B3D12"/>
    <w:rsid w:val="002B6DB9"/>
    <w:rsid w:val="002B7CF6"/>
    <w:rsid w:val="002C2250"/>
    <w:rsid w:val="002C23B8"/>
    <w:rsid w:val="002C5151"/>
    <w:rsid w:val="002C56C5"/>
    <w:rsid w:val="002C5A5F"/>
    <w:rsid w:val="002C5C95"/>
    <w:rsid w:val="002D1AA5"/>
    <w:rsid w:val="002D2CBB"/>
    <w:rsid w:val="002D38B1"/>
    <w:rsid w:val="002D40E3"/>
    <w:rsid w:val="002D4916"/>
    <w:rsid w:val="002D5699"/>
    <w:rsid w:val="002D5930"/>
    <w:rsid w:val="002D7EAE"/>
    <w:rsid w:val="002D7F2F"/>
    <w:rsid w:val="002E0BC4"/>
    <w:rsid w:val="002E2759"/>
    <w:rsid w:val="002E2F07"/>
    <w:rsid w:val="002E3E0E"/>
    <w:rsid w:val="002E403B"/>
    <w:rsid w:val="002E45BD"/>
    <w:rsid w:val="002E620C"/>
    <w:rsid w:val="002E7C7C"/>
    <w:rsid w:val="002F0A83"/>
    <w:rsid w:val="002F2B41"/>
    <w:rsid w:val="002F4748"/>
    <w:rsid w:val="002F4AFA"/>
    <w:rsid w:val="002F60AA"/>
    <w:rsid w:val="002F643A"/>
    <w:rsid w:val="002F6981"/>
    <w:rsid w:val="0030178B"/>
    <w:rsid w:val="003019A0"/>
    <w:rsid w:val="003034B6"/>
    <w:rsid w:val="0030395D"/>
    <w:rsid w:val="00303CF1"/>
    <w:rsid w:val="00303F77"/>
    <w:rsid w:val="0030638A"/>
    <w:rsid w:val="003069DB"/>
    <w:rsid w:val="00311469"/>
    <w:rsid w:val="00312462"/>
    <w:rsid w:val="00313052"/>
    <w:rsid w:val="003145C9"/>
    <w:rsid w:val="0031698E"/>
    <w:rsid w:val="0032127D"/>
    <w:rsid w:val="003221FD"/>
    <w:rsid w:val="003227DE"/>
    <w:rsid w:val="00324281"/>
    <w:rsid w:val="0032516D"/>
    <w:rsid w:val="00331114"/>
    <w:rsid w:val="003313A7"/>
    <w:rsid w:val="00331865"/>
    <w:rsid w:val="003334E5"/>
    <w:rsid w:val="003351B7"/>
    <w:rsid w:val="003369F1"/>
    <w:rsid w:val="00341A1E"/>
    <w:rsid w:val="00342744"/>
    <w:rsid w:val="00344665"/>
    <w:rsid w:val="00346625"/>
    <w:rsid w:val="00347025"/>
    <w:rsid w:val="003475CD"/>
    <w:rsid w:val="00347FA7"/>
    <w:rsid w:val="00350EA5"/>
    <w:rsid w:val="003523EA"/>
    <w:rsid w:val="00352508"/>
    <w:rsid w:val="00354198"/>
    <w:rsid w:val="00355CE9"/>
    <w:rsid w:val="00356486"/>
    <w:rsid w:val="00357708"/>
    <w:rsid w:val="00357C0B"/>
    <w:rsid w:val="0036096C"/>
    <w:rsid w:val="0036116F"/>
    <w:rsid w:val="00361D31"/>
    <w:rsid w:val="003620E0"/>
    <w:rsid w:val="003633E2"/>
    <w:rsid w:val="003637CC"/>
    <w:rsid w:val="00365364"/>
    <w:rsid w:val="00365555"/>
    <w:rsid w:val="0036649D"/>
    <w:rsid w:val="00366A29"/>
    <w:rsid w:val="003674BD"/>
    <w:rsid w:val="00367AE3"/>
    <w:rsid w:val="0037091D"/>
    <w:rsid w:val="003710EC"/>
    <w:rsid w:val="003714DC"/>
    <w:rsid w:val="0037261D"/>
    <w:rsid w:val="00373253"/>
    <w:rsid w:val="003746C1"/>
    <w:rsid w:val="00375368"/>
    <w:rsid w:val="00375CA8"/>
    <w:rsid w:val="00375E95"/>
    <w:rsid w:val="00375EA2"/>
    <w:rsid w:val="003763EE"/>
    <w:rsid w:val="003775DD"/>
    <w:rsid w:val="00382A84"/>
    <w:rsid w:val="003831EC"/>
    <w:rsid w:val="0038398E"/>
    <w:rsid w:val="003839E7"/>
    <w:rsid w:val="00384447"/>
    <w:rsid w:val="003850D5"/>
    <w:rsid w:val="0038574B"/>
    <w:rsid w:val="00385AFE"/>
    <w:rsid w:val="003869D6"/>
    <w:rsid w:val="0039122B"/>
    <w:rsid w:val="00393AE4"/>
    <w:rsid w:val="00394438"/>
    <w:rsid w:val="00395739"/>
    <w:rsid w:val="00395889"/>
    <w:rsid w:val="00395B29"/>
    <w:rsid w:val="00396ED5"/>
    <w:rsid w:val="003A2651"/>
    <w:rsid w:val="003A26AB"/>
    <w:rsid w:val="003A5C6A"/>
    <w:rsid w:val="003A6FAF"/>
    <w:rsid w:val="003B2FAA"/>
    <w:rsid w:val="003B31CD"/>
    <w:rsid w:val="003B33CF"/>
    <w:rsid w:val="003B3F6B"/>
    <w:rsid w:val="003B476C"/>
    <w:rsid w:val="003B492F"/>
    <w:rsid w:val="003B4E05"/>
    <w:rsid w:val="003B4E4B"/>
    <w:rsid w:val="003B52A6"/>
    <w:rsid w:val="003B6691"/>
    <w:rsid w:val="003C03D0"/>
    <w:rsid w:val="003C04DF"/>
    <w:rsid w:val="003C1003"/>
    <w:rsid w:val="003C1E9C"/>
    <w:rsid w:val="003C245B"/>
    <w:rsid w:val="003C2F7E"/>
    <w:rsid w:val="003C4454"/>
    <w:rsid w:val="003C559E"/>
    <w:rsid w:val="003C5622"/>
    <w:rsid w:val="003C7E14"/>
    <w:rsid w:val="003D01CC"/>
    <w:rsid w:val="003D12DE"/>
    <w:rsid w:val="003D1CFF"/>
    <w:rsid w:val="003D46D6"/>
    <w:rsid w:val="003D4E20"/>
    <w:rsid w:val="003D5C49"/>
    <w:rsid w:val="003E0DF6"/>
    <w:rsid w:val="003E1A8D"/>
    <w:rsid w:val="003E2C81"/>
    <w:rsid w:val="003E2FD9"/>
    <w:rsid w:val="003E47DD"/>
    <w:rsid w:val="003E602A"/>
    <w:rsid w:val="003E6A2B"/>
    <w:rsid w:val="003E6E04"/>
    <w:rsid w:val="003F2712"/>
    <w:rsid w:val="003F31A3"/>
    <w:rsid w:val="003F3D07"/>
    <w:rsid w:val="003F4550"/>
    <w:rsid w:val="003F49AE"/>
    <w:rsid w:val="003F5748"/>
    <w:rsid w:val="003F641E"/>
    <w:rsid w:val="003F7149"/>
    <w:rsid w:val="003F7A3B"/>
    <w:rsid w:val="00400886"/>
    <w:rsid w:val="004029FC"/>
    <w:rsid w:val="0040305E"/>
    <w:rsid w:val="00404BFB"/>
    <w:rsid w:val="00404EAB"/>
    <w:rsid w:val="00405B1A"/>
    <w:rsid w:val="0041008E"/>
    <w:rsid w:val="0041370D"/>
    <w:rsid w:val="00417D3C"/>
    <w:rsid w:val="00417FFD"/>
    <w:rsid w:val="004200DD"/>
    <w:rsid w:val="0042106E"/>
    <w:rsid w:val="00422982"/>
    <w:rsid w:val="00422B4B"/>
    <w:rsid w:val="00430E82"/>
    <w:rsid w:val="00431E42"/>
    <w:rsid w:val="00432088"/>
    <w:rsid w:val="004320D8"/>
    <w:rsid w:val="00433C2F"/>
    <w:rsid w:val="00434717"/>
    <w:rsid w:val="00434B58"/>
    <w:rsid w:val="00434DB7"/>
    <w:rsid w:val="004356B7"/>
    <w:rsid w:val="004364DD"/>
    <w:rsid w:val="00436E52"/>
    <w:rsid w:val="0043783E"/>
    <w:rsid w:val="0044041E"/>
    <w:rsid w:val="004416D1"/>
    <w:rsid w:val="00444F7A"/>
    <w:rsid w:val="00445A51"/>
    <w:rsid w:val="00447304"/>
    <w:rsid w:val="004478D1"/>
    <w:rsid w:val="004515D1"/>
    <w:rsid w:val="004543E0"/>
    <w:rsid w:val="00454654"/>
    <w:rsid w:val="004553FE"/>
    <w:rsid w:val="00456F6A"/>
    <w:rsid w:val="004571A2"/>
    <w:rsid w:val="00460546"/>
    <w:rsid w:val="00461416"/>
    <w:rsid w:val="00461678"/>
    <w:rsid w:val="004616EF"/>
    <w:rsid w:val="00461C1B"/>
    <w:rsid w:val="0046219F"/>
    <w:rsid w:val="004622BD"/>
    <w:rsid w:val="00462DBC"/>
    <w:rsid w:val="00463781"/>
    <w:rsid w:val="00464190"/>
    <w:rsid w:val="0046508B"/>
    <w:rsid w:val="00467068"/>
    <w:rsid w:val="0047013A"/>
    <w:rsid w:val="00470AF6"/>
    <w:rsid w:val="00470DB8"/>
    <w:rsid w:val="004742BE"/>
    <w:rsid w:val="0048019C"/>
    <w:rsid w:val="00481054"/>
    <w:rsid w:val="00481C5B"/>
    <w:rsid w:val="00482763"/>
    <w:rsid w:val="004844B6"/>
    <w:rsid w:val="0048460A"/>
    <w:rsid w:val="00484E56"/>
    <w:rsid w:val="0049163F"/>
    <w:rsid w:val="00492755"/>
    <w:rsid w:val="00492B48"/>
    <w:rsid w:val="004934EC"/>
    <w:rsid w:val="0049689A"/>
    <w:rsid w:val="004A0D8E"/>
    <w:rsid w:val="004A175D"/>
    <w:rsid w:val="004A346B"/>
    <w:rsid w:val="004A55F9"/>
    <w:rsid w:val="004A5912"/>
    <w:rsid w:val="004A5F61"/>
    <w:rsid w:val="004A7D75"/>
    <w:rsid w:val="004B0231"/>
    <w:rsid w:val="004B0638"/>
    <w:rsid w:val="004B08F8"/>
    <w:rsid w:val="004B13BB"/>
    <w:rsid w:val="004B1449"/>
    <w:rsid w:val="004B56BF"/>
    <w:rsid w:val="004B650D"/>
    <w:rsid w:val="004B71BF"/>
    <w:rsid w:val="004B71CF"/>
    <w:rsid w:val="004C2180"/>
    <w:rsid w:val="004C2CD3"/>
    <w:rsid w:val="004C3B48"/>
    <w:rsid w:val="004C4FB1"/>
    <w:rsid w:val="004C6CF0"/>
    <w:rsid w:val="004C7406"/>
    <w:rsid w:val="004D0AB1"/>
    <w:rsid w:val="004D1020"/>
    <w:rsid w:val="004D164A"/>
    <w:rsid w:val="004D3D86"/>
    <w:rsid w:val="004D4215"/>
    <w:rsid w:val="004D6457"/>
    <w:rsid w:val="004D6899"/>
    <w:rsid w:val="004D75DD"/>
    <w:rsid w:val="004D7813"/>
    <w:rsid w:val="004E07D5"/>
    <w:rsid w:val="004E108F"/>
    <w:rsid w:val="004E3750"/>
    <w:rsid w:val="004E3FDA"/>
    <w:rsid w:val="004E622F"/>
    <w:rsid w:val="004F0139"/>
    <w:rsid w:val="004F1883"/>
    <w:rsid w:val="004F27BA"/>
    <w:rsid w:val="004F432D"/>
    <w:rsid w:val="004F5A9F"/>
    <w:rsid w:val="004F720B"/>
    <w:rsid w:val="004F7BF8"/>
    <w:rsid w:val="0050013E"/>
    <w:rsid w:val="00500570"/>
    <w:rsid w:val="00502C90"/>
    <w:rsid w:val="005049BE"/>
    <w:rsid w:val="00505DBF"/>
    <w:rsid w:val="0050662C"/>
    <w:rsid w:val="005069CC"/>
    <w:rsid w:val="00507D53"/>
    <w:rsid w:val="00507EFE"/>
    <w:rsid w:val="0051412D"/>
    <w:rsid w:val="00517DC9"/>
    <w:rsid w:val="0052196A"/>
    <w:rsid w:val="005221CB"/>
    <w:rsid w:val="00522806"/>
    <w:rsid w:val="00524377"/>
    <w:rsid w:val="00524491"/>
    <w:rsid w:val="00526460"/>
    <w:rsid w:val="00527FC0"/>
    <w:rsid w:val="00530621"/>
    <w:rsid w:val="00530944"/>
    <w:rsid w:val="00530EF8"/>
    <w:rsid w:val="00531C1E"/>
    <w:rsid w:val="00533AF8"/>
    <w:rsid w:val="005340D4"/>
    <w:rsid w:val="005341E7"/>
    <w:rsid w:val="0053511F"/>
    <w:rsid w:val="00535391"/>
    <w:rsid w:val="00535CFD"/>
    <w:rsid w:val="00536507"/>
    <w:rsid w:val="00537812"/>
    <w:rsid w:val="00541A3B"/>
    <w:rsid w:val="00541B5B"/>
    <w:rsid w:val="00541FFD"/>
    <w:rsid w:val="005428E0"/>
    <w:rsid w:val="00546DAA"/>
    <w:rsid w:val="00547683"/>
    <w:rsid w:val="005509CF"/>
    <w:rsid w:val="0055232E"/>
    <w:rsid w:val="005525A8"/>
    <w:rsid w:val="005539F5"/>
    <w:rsid w:val="00555588"/>
    <w:rsid w:val="005568C0"/>
    <w:rsid w:val="00556CE0"/>
    <w:rsid w:val="0055719E"/>
    <w:rsid w:val="0055736F"/>
    <w:rsid w:val="00561A6F"/>
    <w:rsid w:val="00562BD2"/>
    <w:rsid w:val="00562F32"/>
    <w:rsid w:val="00563B21"/>
    <w:rsid w:val="005644FC"/>
    <w:rsid w:val="00564796"/>
    <w:rsid w:val="00567069"/>
    <w:rsid w:val="00573260"/>
    <w:rsid w:val="005751B3"/>
    <w:rsid w:val="00576326"/>
    <w:rsid w:val="00577662"/>
    <w:rsid w:val="005811F0"/>
    <w:rsid w:val="00582980"/>
    <w:rsid w:val="00583468"/>
    <w:rsid w:val="005835C7"/>
    <w:rsid w:val="00583BB5"/>
    <w:rsid w:val="00584049"/>
    <w:rsid w:val="0058444F"/>
    <w:rsid w:val="00584BC6"/>
    <w:rsid w:val="00584C5A"/>
    <w:rsid w:val="005850F1"/>
    <w:rsid w:val="0058533F"/>
    <w:rsid w:val="00585A1B"/>
    <w:rsid w:val="00586DDD"/>
    <w:rsid w:val="005870A9"/>
    <w:rsid w:val="0058741A"/>
    <w:rsid w:val="005874D9"/>
    <w:rsid w:val="005876C7"/>
    <w:rsid w:val="0059012B"/>
    <w:rsid w:val="0059167C"/>
    <w:rsid w:val="005922FD"/>
    <w:rsid w:val="005931A4"/>
    <w:rsid w:val="005931C5"/>
    <w:rsid w:val="00594917"/>
    <w:rsid w:val="0059533F"/>
    <w:rsid w:val="005A0748"/>
    <w:rsid w:val="005A1D44"/>
    <w:rsid w:val="005A1EBB"/>
    <w:rsid w:val="005A26D6"/>
    <w:rsid w:val="005A37E9"/>
    <w:rsid w:val="005A6B55"/>
    <w:rsid w:val="005A71D2"/>
    <w:rsid w:val="005A7E37"/>
    <w:rsid w:val="005B1705"/>
    <w:rsid w:val="005B1765"/>
    <w:rsid w:val="005B1EA6"/>
    <w:rsid w:val="005B2556"/>
    <w:rsid w:val="005B3170"/>
    <w:rsid w:val="005B42F4"/>
    <w:rsid w:val="005B46F3"/>
    <w:rsid w:val="005B53EC"/>
    <w:rsid w:val="005C1B9D"/>
    <w:rsid w:val="005C250E"/>
    <w:rsid w:val="005C2704"/>
    <w:rsid w:val="005C38F3"/>
    <w:rsid w:val="005C3A50"/>
    <w:rsid w:val="005C41CA"/>
    <w:rsid w:val="005C5AEA"/>
    <w:rsid w:val="005C6947"/>
    <w:rsid w:val="005D02C5"/>
    <w:rsid w:val="005D0FD0"/>
    <w:rsid w:val="005D1E58"/>
    <w:rsid w:val="005D30B2"/>
    <w:rsid w:val="005D56EC"/>
    <w:rsid w:val="005D6EBA"/>
    <w:rsid w:val="005E040C"/>
    <w:rsid w:val="005E121D"/>
    <w:rsid w:val="005E15EF"/>
    <w:rsid w:val="005E1C44"/>
    <w:rsid w:val="005E2260"/>
    <w:rsid w:val="005E3CCB"/>
    <w:rsid w:val="005E4CB0"/>
    <w:rsid w:val="005E6760"/>
    <w:rsid w:val="005E6E1B"/>
    <w:rsid w:val="005E73A0"/>
    <w:rsid w:val="005E76CC"/>
    <w:rsid w:val="005E7F47"/>
    <w:rsid w:val="005F004A"/>
    <w:rsid w:val="005F20A9"/>
    <w:rsid w:val="005F22FD"/>
    <w:rsid w:val="005F48D4"/>
    <w:rsid w:val="005F616E"/>
    <w:rsid w:val="005F757F"/>
    <w:rsid w:val="006001F5"/>
    <w:rsid w:val="00600424"/>
    <w:rsid w:val="00601478"/>
    <w:rsid w:val="00602332"/>
    <w:rsid w:val="00602E3C"/>
    <w:rsid w:val="006047F1"/>
    <w:rsid w:val="00605D81"/>
    <w:rsid w:val="00607495"/>
    <w:rsid w:val="0060789E"/>
    <w:rsid w:val="00607D86"/>
    <w:rsid w:val="006112B1"/>
    <w:rsid w:val="006141F7"/>
    <w:rsid w:val="00616DDA"/>
    <w:rsid w:val="006176F8"/>
    <w:rsid w:val="006220A2"/>
    <w:rsid w:val="006220E0"/>
    <w:rsid w:val="00622B02"/>
    <w:rsid w:val="006244F1"/>
    <w:rsid w:val="0062459A"/>
    <w:rsid w:val="006255CA"/>
    <w:rsid w:val="00625A78"/>
    <w:rsid w:val="00626050"/>
    <w:rsid w:val="006264CF"/>
    <w:rsid w:val="00627E6A"/>
    <w:rsid w:val="00630084"/>
    <w:rsid w:val="00630D4F"/>
    <w:rsid w:val="00631392"/>
    <w:rsid w:val="0063231F"/>
    <w:rsid w:val="006328C3"/>
    <w:rsid w:val="00632ECF"/>
    <w:rsid w:val="00633358"/>
    <w:rsid w:val="00635055"/>
    <w:rsid w:val="0063672E"/>
    <w:rsid w:val="006422D2"/>
    <w:rsid w:val="006436B3"/>
    <w:rsid w:val="00644001"/>
    <w:rsid w:val="0065103D"/>
    <w:rsid w:val="00651EE8"/>
    <w:rsid w:val="00654FE9"/>
    <w:rsid w:val="006562E3"/>
    <w:rsid w:val="00661547"/>
    <w:rsid w:val="0066173F"/>
    <w:rsid w:val="006635AF"/>
    <w:rsid w:val="00664854"/>
    <w:rsid w:val="00664BCC"/>
    <w:rsid w:val="00665DBB"/>
    <w:rsid w:val="00666B97"/>
    <w:rsid w:val="006679FE"/>
    <w:rsid w:val="00667EE7"/>
    <w:rsid w:val="006715ED"/>
    <w:rsid w:val="00674757"/>
    <w:rsid w:val="006759D9"/>
    <w:rsid w:val="00683947"/>
    <w:rsid w:val="006844F1"/>
    <w:rsid w:val="00685003"/>
    <w:rsid w:val="00687533"/>
    <w:rsid w:val="0069134D"/>
    <w:rsid w:val="00691DA9"/>
    <w:rsid w:val="00691FCE"/>
    <w:rsid w:val="00692935"/>
    <w:rsid w:val="00693D6A"/>
    <w:rsid w:val="006947B0"/>
    <w:rsid w:val="00694D5B"/>
    <w:rsid w:val="00694E14"/>
    <w:rsid w:val="006968F1"/>
    <w:rsid w:val="00697CEC"/>
    <w:rsid w:val="006A0406"/>
    <w:rsid w:val="006A2C6F"/>
    <w:rsid w:val="006A6430"/>
    <w:rsid w:val="006A748A"/>
    <w:rsid w:val="006A7CCA"/>
    <w:rsid w:val="006B318A"/>
    <w:rsid w:val="006B3270"/>
    <w:rsid w:val="006B6A1B"/>
    <w:rsid w:val="006C1020"/>
    <w:rsid w:val="006C1102"/>
    <w:rsid w:val="006C1C9F"/>
    <w:rsid w:val="006C36AD"/>
    <w:rsid w:val="006C4D69"/>
    <w:rsid w:val="006C6991"/>
    <w:rsid w:val="006C6CD6"/>
    <w:rsid w:val="006C6F66"/>
    <w:rsid w:val="006C7F4C"/>
    <w:rsid w:val="006D04BC"/>
    <w:rsid w:val="006D0BD6"/>
    <w:rsid w:val="006D1642"/>
    <w:rsid w:val="006D265B"/>
    <w:rsid w:val="006D46DD"/>
    <w:rsid w:val="006D68A7"/>
    <w:rsid w:val="006E1DFF"/>
    <w:rsid w:val="006E5B89"/>
    <w:rsid w:val="006E5C30"/>
    <w:rsid w:val="006E5DFC"/>
    <w:rsid w:val="006E7D2C"/>
    <w:rsid w:val="006E7DD6"/>
    <w:rsid w:val="006F3589"/>
    <w:rsid w:val="006F3A86"/>
    <w:rsid w:val="006F4158"/>
    <w:rsid w:val="006F4A94"/>
    <w:rsid w:val="006F519E"/>
    <w:rsid w:val="006F5C3B"/>
    <w:rsid w:val="006F746E"/>
    <w:rsid w:val="006F7D23"/>
    <w:rsid w:val="006F7D57"/>
    <w:rsid w:val="0070183B"/>
    <w:rsid w:val="00702510"/>
    <w:rsid w:val="0070349E"/>
    <w:rsid w:val="007037B7"/>
    <w:rsid w:val="00706E2F"/>
    <w:rsid w:val="00707365"/>
    <w:rsid w:val="0070760B"/>
    <w:rsid w:val="00710933"/>
    <w:rsid w:val="007117DE"/>
    <w:rsid w:val="00711BF7"/>
    <w:rsid w:val="00712A88"/>
    <w:rsid w:val="007166FC"/>
    <w:rsid w:val="007208F2"/>
    <w:rsid w:val="00720BE6"/>
    <w:rsid w:val="0072231F"/>
    <w:rsid w:val="00722A64"/>
    <w:rsid w:val="007238E6"/>
    <w:rsid w:val="00723D99"/>
    <w:rsid w:val="00727BBD"/>
    <w:rsid w:val="00731214"/>
    <w:rsid w:val="007331F9"/>
    <w:rsid w:val="00733566"/>
    <w:rsid w:val="0073364E"/>
    <w:rsid w:val="00733DDC"/>
    <w:rsid w:val="007344A5"/>
    <w:rsid w:val="00735740"/>
    <w:rsid w:val="00736641"/>
    <w:rsid w:val="0073746A"/>
    <w:rsid w:val="007377CF"/>
    <w:rsid w:val="007416BB"/>
    <w:rsid w:val="0074174D"/>
    <w:rsid w:val="00741941"/>
    <w:rsid w:val="0074229D"/>
    <w:rsid w:val="0074244C"/>
    <w:rsid w:val="007433EA"/>
    <w:rsid w:val="00743D46"/>
    <w:rsid w:val="00746E76"/>
    <w:rsid w:val="007509AA"/>
    <w:rsid w:val="00751338"/>
    <w:rsid w:val="00752193"/>
    <w:rsid w:val="00752A4E"/>
    <w:rsid w:val="0075302F"/>
    <w:rsid w:val="0075437F"/>
    <w:rsid w:val="00754792"/>
    <w:rsid w:val="00755870"/>
    <w:rsid w:val="00757304"/>
    <w:rsid w:val="0076471E"/>
    <w:rsid w:val="00764AA5"/>
    <w:rsid w:val="007653CF"/>
    <w:rsid w:val="00765A9E"/>
    <w:rsid w:val="00767952"/>
    <w:rsid w:val="0077163C"/>
    <w:rsid w:val="00771B6F"/>
    <w:rsid w:val="00772A35"/>
    <w:rsid w:val="00772C46"/>
    <w:rsid w:val="00772CF1"/>
    <w:rsid w:val="00775D20"/>
    <w:rsid w:val="00781772"/>
    <w:rsid w:val="00784C18"/>
    <w:rsid w:val="00785832"/>
    <w:rsid w:val="00786107"/>
    <w:rsid w:val="007863BC"/>
    <w:rsid w:val="0078790B"/>
    <w:rsid w:val="007879B3"/>
    <w:rsid w:val="00792F73"/>
    <w:rsid w:val="0079543A"/>
    <w:rsid w:val="00795E11"/>
    <w:rsid w:val="0079625E"/>
    <w:rsid w:val="00796DA9"/>
    <w:rsid w:val="007A10B3"/>
    <w:rsid w:val="007A1645"/>
    <w:rsid w:val="007A1D31"/>
    <w:rsid w:val="007A30D8"/>
    <w:rsid w:val="007A3A01"/>
    <w:rsid w:val="007A3F36"/>
    <w:rsid w:val="007A5B03"/>
    <w:rsid w:val="007A6354"/>
    <w:rsid w:val="007A76D2"/>
    <w:rsid w:val="007A7D62"/>
    <w:rsid w:val="007B056A"/>
    <w:rsid w:val="007B0C35"/>
    <w:rsid w:val="007B0E8A"/>
    <w:rsid w:val="007B1114"/>
    <w:rsid w:val="007B16C7"/>
    <w:rsid w:val="007B2905"/>
    <w:rsid w:val="007B2F4A"/>
    <w:rsid w:val="007B3654"/>
    <w:rsid w:val="007B41BA"/>
    <w:rsid w:val="007B5FEB"/>
    <w:rsid w:val="007C021D"/>
    <w:rsid w:val="007C027B"/>
    <w:rsid w:val="007C1B16"/>
    <w:rsid w:val="007C302B"/>
    <w:rsid w:val="007C410A"/>
    <w:rsid w:val="007C411B"/>
    <w:rsid w:val="007C4BC3"/>
    <w:rsid w:val="007C5A9C"/>
    <w:rsid w:val="007C716F"/>
    <w:rsid w:val="007C7553"/>
    <w:rsid w:val="007D138A"/>
    <w:rsid w:val="007D2980"/>
    <w:rsid w:val="007D2A8E"/>
    <w:rsid w:val="007D3F03"/>
    <w:rsid w:val="007D4940"/>
    <w:rsid w:val="007D50C6"/>
    <w:rsid w:val="007D5262"/>
    <w:rsid w:val="007D6430"/>
    <w:rsid w:val="007D6837"/>
    <w:rsid w:val="007D708D"/>
    <w:rsid w:val="007D76D7"/>
    <w:rsid w:val="007E1E9A"/>
    <w:rsid w:val="007E2F88"/>
    <w:rsid w:val="007F0FE8"/>
    <w:rsid w:val="007F4636"/>
    <w:rsid w:val="007F519A"/>
    <w:rsid w:val="007F53D0"/>
    <w:rsid w:val="007F57E7"/>
    <w:rsid w:val="008000C2"/>
    <w:rsid w:val="0080086E"/>
    <w:rsid w:val="00800AF8"/>
    <w:rsid w:val="00801F5C"/>
    <w:rsid w:val="00802742"/>
    <w:rsid w:val="0080314F"/>
    <w:rsid w:val="0080376C"/>
    <w:rsid w:val="00805AED"/>
    <w:rsid w:val="008076C8"/>
    <w:rsid w:val="00814A7C"/>
    <w:rsid w:val="00816B35"/>
    <w:rsid w:val="0082130A"/>
    <w:rsid w:val="008228D6"/>
    <w:rsid w:val="008239D0"/>
    <w:rsid w:val="00825450"/>
    <w:rsid w:val="00830FAC"/>
    <w:rsid w:val="00831A3F"/>
    <w:rsid w:val="0083293D"/>
    <w:rsid w:val="00835FEB"/>
    <w:rsid w:val="0083712D"/>
    <w:rsid w:val="00840242"/>
    <w:rsid w:val="00840392"/>
    <w:rsid w:val="00840907"/>
    <w:rsid w:val="0084093A"/>
    <w:rsid w:val="008417B0"/>
    <w:rsid w:val="00842AAB"/>
    <w:rsid w:val="008447FA"/>
    <w:rsid w:val="008460E0"/>
    <w:rsid w:val="008467A0"/>
    <w:rsid w:val="00846C85"/>
    <w:rsid w:val="008470A4"/>
    <w:rsid w:val="0084740E"/>
    <w:rsid w:val="008505C7"/>
    <w:rsid w:val="00851559"/>
    <w:rsid w:val="00852044"/>
    <w:rsid w:val="00853259"/>
    <w:rsid w:val="00853432"/>
    <w:rsid w:val="008535FE"/>
    <w:rsid w:val="00853E4F"/>
    <w:rsid w:val="008541CE"/>
    <w:rsid w:val="00854269"/>
    <w:rsid w:val="00856322"/>
    <w:rsid w:val="0086070F"/>
    <w:rsid w:val="00860F1A"/>
    <w:rsid w:val="008616A3"/>
    <w:rsid w:val="0086181A"/>
    <w:rsid w:val="00861924"/>
    <w:rsid w:val="0086258F"/>
    <w:rsid w:val="00862E26"/>
    <w:rsid w:val="00863DBE"/>
    <w:rsid w:val="00864751"/>
    <w:rsid w:val="00865129"/>
    <w:rsid w:val="00865AE5"/>
    <w:rsid w:val="008663AF"/>
    <w:rsid w:val="00867496"/>
    <w:rsid w:val="0086765D"/>
    <w:rsid w:val="00870574"/>
    <w:rsid w:val="00870B08"/>
    <w:rsid w:val="00872D1D"/>
    <w:rsid w:val="00873125"/>
    <w:rsid w:val="0087340E"/>
    <w:rsid w:val="00874204"/>
    <w:rsid w:val="00874689"/>
    <w:rsid w:val="00874948"/>
    <w:rsid w:val="00874C06"/>
    <w:rsid w:val="008772E4"/>
    <w:rsid w:val="00877564"/>
    <w:rsid w:val="00877785"/>
    <w:rsid w:val="008803C7"/>
    <w:rsid w:val="0088074A"/>
    <w:rsid w:val="00881345"/>
    <w:rsid w:val="008814F4"/>
    <w:rsid w:val="00881A8E"/>
    <w:rsid w:val="00882390"/>
    <w:rsid w:val="00883B2F"/>
    <w:rsid w:val="008852F2"/>
    <w:rsid w:val="008862BC"/>
    <w:rsid w:val="00890406"/>
    <w:rsid w:val="00892B3B"/>
    <w:rsid w:val="008936F4"/>
    <w:rsid w:val="00893C3B"/>
    <w:rsid w:val="00893C89"/>
    <w:rsid w:val="00893D34"/>
    <w:rsid w:val="008944DB"/>
    <w:rsid w:val="0089594D"/>
    <w:rsid w:val="008A0318"/>
    <w:rsid w:val="008A0EBE"/>
    <w:rsid w:val="008A0F94"/>
    <w:rsid w:val="008A294B"/>
    <w:rsid w:val="008A3B9D"/>
    <w:rsid w:val="008A7641"/>
    <w:rsid w:val="008B145B"/>
    <w:rsid w:val="008B1766"/>
    <w:rsid w:val="008B23BA"/>
    <w:rsid w:val="008B4884"/>
    <w:rsid w:val="008B4BC7"/>
    <w:rsid w:val="008B4D0A"/>
    <w:rsid w:val="008B5457"/>
    <w:rsid w:val="008B62A3"/>
    <w:rsid w:val="008B65D9"/>
    <w:rsid w:val="008B7953"/>
    <w:rsid w:val="008C0AAD"/>
    <w:rsid w:val="008C0B44"/>
    <w:rsid w:val="008C28E7"/>
    <w:rsid w:val="008C35F5"/>
    <w:rsid w:val="008C3B72"/>
    <w:rsid w:val="008C3E88"/>
    <w:rsid w:val="008C47E0"/>
    <w:rsid w:val="008C4C58"/>
    <w:rsid w:val="008C567F"/>
    <w:rsid w:val="008C6ABE"/>
    <w:rsid w:val="008C6F53"/>
    <w:rsid w:val="008C794D"/>
    <w:rsid w:val="008D379D"/>
    <w:rsid w:val="008D4631"/>
    <w:rsid w:val="008D4A63"/>
    <w:rsid w:val="008D6A1B"/>
    <w:rsid w:val="008D7706"/>
    <w:rsid w:val="008E173B"/>
    <w:rsid w:val="008E1C37"/>
    <w:rsid w:val="008E23B8"/>
    <w:rsid w:val="008E2A03"/>
    <w:rsid w:val="008E523C"/>
    <w:rsid w:val="008E5E6E"/>
    <w:rsid w:val="008E6776"/>
    <w:rsid w:val="008E6B9A"/>
    <w:rsid w:val="008E7B77"/>
    <w:rsid w:val="008F0308"/>
    <w:rsid w:val="008F49D4"/>
    <w:rsid w:val="008F6C10"/>
    <w:rsid w:val="008F73C1"/>
    <w:rsid w:val="008F7F23"/>
    <w:rsid w:val="009006D0"/>
    <w:rsid w:val="00901550"/>
    <w:rsid w:val="00901BF1"/>
    <w:rsid w:val="00902E45"/>
    <w:rsid w:val="0090332F"/>
    <w:rsid w:val="00903E72"/>
    <w:rsid w:val="00907C5C"/>
    <w:rsid w:val="00910699"/>
    <w:rsid w:val="00912A0D"/>
    <w:rsid w:val="00912D98"/>
    <w:rsid w:val="00916143"/>
    <w:rsid w:val="00917652"/>
    <w:rsid w:val="00921BEC"/>
    <w:rsid w:val="0092311A"/>
    <w:rsid w:val="009258DB"/>
    <w:rsid w:val="0092772C"/>
    <w:rsid w:val="00927796"/>
    <w:rsid w:val="00931679"/>
    <w:rsid w:val="009321E2"/>
    <w:rsid w:val="009332BB"/>
    <w:rsid w:val="00935318"/>
    <w:rsid w:val="00935B8D"/>
    <w:rsid w:val="0093617A"/>
    <w:rsid w:val="009366F4"/>
    <w:rsid w:val="00936DDC"/>
    <w:rsid w:val="009371ED"/>
    <w:rsid w:val="00937C77"/>
    <w:rsid w:val="0094001E"/>
    <w:rsid w:val="00942117"/>
    <w:rsid w:val="009436FC"/>
    <w:rsid w:val="0094537A"/>
    <w:rsid w:val="00945845"/>
    <w:rsid w:val="0094591D"/>
    <w:rsid w:val="00950E5E"/>
    <w:rsid w:val="00950FD3"/>
    <w:rsid w:val="009522FD"/>
    <w:rsid w:val="0095447D"/>
    <w:rsid w:val="009544F5"/>
    <w:rsid w:val="00954B0A"/>
    <w:rsid w:val="0095605D"/>
    <w:rsid w:val="00956696"/>
    <w:rsid w:val="00956769"/>
    <w:rsid w:val="00956E98"/>
    <w:rsid w:val="009571A0"/>
    <w:rsid w:val="0096087E"/>
    <w:rsid w:val="0096146C"/>
    <w:rsid w:val="009626AA"/>
    <w:rsid w:val="009628C2"/>
    <w:rsid w:val="0096304C"/>
    <w:rsid w:val="009634FF"/>
    <w:rsid w:val="00963527"/>
    <w:rsid w:val="0096375D"/>
    <w:rsid w:val="00963E5A"/>
    <w:rsid w:val="00964626"/>
    <w:rsid w:val="00964C75"/>
    <w:rsid w:val="00964C9F"/>
    <w:rsid w:val="00965B8C"/>
    <w:rsid w:val="00966F27"/>
    <w:rsid w:val="00970325"/>
    <w:rsid w:val="009704FA"/>
    <w:rsid w:val="009708C6"/>
    <w:rsid w:val="00970B0C"/>
    <w:rsid w:val="00970FBD"/>
    <w:rsid w:val="00971A3A"/>
    <w:rsid w:val="00971C43"/>
    <w:rsid w:val="00972DEE"/>
    <w:rsid w:val="009746F5"/>
    <w:rsid w:val="009749DE"/>
    <w:rsid w:val="00974A4C"/>
    <w:rsid w:val="00975FAE"/>
    <w:rsid w:val="0097632E"/>
    <w:rsid w:val="00976B05"/>
    <w:rsid w:val="00976D3F"/>
    <w:rsid w:val="009774A9"/>
    <w:rsid w:val="00977804"/>
    <w:rsid w:val="00977D20"/>
    <w:rsid w:val="009806D2"/>
    <w:rsid w:val="009823B5"/>
    <w:rsid w:val="009830D9"/>
    <w:rsid w:val="00985CCA"/>
    <w:rsid w:val="009879D8"/>
    <w:rsid w:val="00987EBF"/>
    <w:rsid w:val="00990D66"/>
    <w:rsid w:val="00990DE9"/>
    <w:rsid w:val="009914ED"/>
    <w:rsid w:val="009915A3"/>
    <w:rsid w:val="00992CAB"/>
    <w:rsid w:val="00994766"/>
    <w:rsid w:val="0099530A"/>
    <w:rsid w:val="00995CB9"/>
    <w:rsid w:val="00996DFF"/>
    <w:rsid w:val="009A14A8"/>
    <w:rsid w:val="009A1A0F"/>
    <w:rsid w:val="009A232C"/>
    <w:rsid w:val="009A23FC"/>
    <w:rsid w:val="009A42C4"/>
    <w:rsid w:val="009A447B"/>
    <w:rsid w:val="009A4962"/>
    <w:rsid w:val="009A5713"/>
    <w:rsid w:val="009A6334"/>
    <w:rsid w:val="009B0596"/>
    <w:rsid w:val="009B088C"/>
    <w:rsid w:val="009B1FCB"/>
    <w:rsid w:val="009B2A4A"/>
    <w:rsid w:val="009B31A9"/>
    <w:rsid w:val="009B49F1"/>
    <w:rsid w:val="009B59F7"/>
    <w:rsid w:val="009B5E69"/>
    <w:rsid w:val="009B729E"/>
    <w:rsid w:val="009C106A"/>
    <w:rsid w:val="009C18CA"/>
    <w:rsid w:val="009C2151"/>
    <w:rsid w:val="009C36B8"/>
    <w:rsid w:val="009C4CA6"/>
    <w:rsid w:val="009C5CB6"/>
    <w:rsid w:val="009C5F6A"/>
    <w:rsid w:val="009C6C6A"/>
    <w:rsid w:val="009D2279"/>
    <w:rsid w:val="009D22D0"/>
    <w:rsid w:val="009D23D0"/>
    <w:rsid w:val="009D2A07"/>
    <w:rsid w:val="009D3ADF"/>
    <w:rsid w:val="009D4A69"/>
    <w:rsid w:val="009D77F1"/>
    <w:rsid w:val="009E397C"/>
    <w:rsid w:val="009E438D"/>
    <w:rsid w:val="009E4C92"/>
    <w:rsid w:val="009E6A2D"/>
    <w:rsid w:val="009E6A4C"/>
    <w:rsid w:val="009E6B07"/>
    <w:rsid w:val="009F0DAD"/>
    <w:rsid w:val="009F13DB"/>
    <w:rsid w:val="009F2059"/>
    <w:rsid w:val="009F37F1"/>
    <w:rsid w:val="009F41AF"/>
    <w:rsid w:val="009F6DEB"/>
    <w:rsid w:val="009F7FFB"/>
    <w:rsid w:val="00A0064B"/>
    <w:rsid w:val="00A01320"/>
    <w:rsid w:val="00A037AA"/>
    <w:rsid w:val="00A0479F"/>
    <w:rsid w:val="00A0593B"/>
    <w:rsid w:val="00A05C40"/>
    <w:rsid w:val="00A0606B"/>
    <w:rsid w:val="00A073F0"/>
    <w:rsid w:val="00A10848"/>
    <w:rsid w:val="00A11839"/>
    <w:rsid w:val="00A11EF4"/>
    <w:rsid w:val="00A122AA"/>
    <w:rsid w:val="00A1625F"/>
    <w:rsid w:val="00A174FB"/>
    <w:rsid w:val="00A178D3"/>
    <w:rsid w:val="00A179FE"/>
    <w:rsid w:val="00A2025A"/>
    <w:rsid w:val="00A21072"/>
    <w:rsid w:val="00A2140C"/>
    <w:rsid w:val="00A227E7"/>
    <w:rsid w:val="00A24754"/>
    <w:rsid w:val="00A2484F"/>
    <w:rsid w:val="00A25E37"/>
    <w:rsid w:val="00A263A8"/>
    <w:rsid w:val="00A310C5"/>
    <w:rsid w:val="00A313C9"/>
    <w:rsid w:val="00A31501"/>
    <w:rsid w:val="00A31A05"/>
    <w:rsid w:val="00A33985"/>
    <w:rsid w:val="00A34611"/>
    <w:rsid w:val="00A3693F"/>
    <w:rsid w:val="00A37835"/>
    <w:rsid w:val="00A40B6B"/>
    <w:rsid w:val="00A416F3"/>
    <w:rsid w:val="00A42630"/>
    <w:rsid w:val="00A42631"/>
    <w:rsid w:val="00A428AC"/>
    <w:rsid w:val="00A43DA3"/>
    <w:rsid w:val="00A44119"/>
    <w:rsid w:val="00A4450E"/>
    <w:rsid w:val="00A4550E"/>
    <w:rsid w:val="00A45D5C"/>
    <w:rsid w:val="00A47C6D"/>
    <w:rsid w:val="00A51E8A"/>
    <w:rsid w:val="00A53EBB"/>
    <w:rsid w:val="00A55BED"/>
    <w:rsid w:val="00A571E2"/>
    <w:rsid w:val="00A57CA0"/>
    <w:rsid w:val="00A61302"/>
    <w:rsid w:val="00A61673"/>
    <w:rsid w:val="00A619A3"/>
    <w:rsid w:val="00A61D59"/>
    <w:rsid w:val="00A629A3"/>
    <w:rsid w:val="00A632FB"/>
    <w:rsid w:val="00A651C1"/>
    <w:rsid w:val="00A65954"/>
    <w:rsid w:val="00A70511"/>
    <w:rsid w:val="00A71F3C"/>
    <w:rsid w:val="00A72A2B"/>
    <w:rsid w:val="00A77589"/>
    <w:rsid w:val="00A8057D"/>
    <w:rsid w:val="00A825BA"/>
    <w:rsid w:val="00A84028"/>
    <w:rsid w:val="00A84995"/>
    <w:rsid w:val="00A84EF6"/>
    <w:rsid w:val="00A8601C"/>
    <w:rsid w:val="00A8729F"/>
    <w:rsid w:val="00A916B9"/>
    <w:rsid w:val="00A91BF1"/>
    <w:rsid w:val="00A923F7"/>
    <w:rsid w:val="00A92738"/>
    <w:rsid w:val="00A93291"/>
    <w:rsid w:val="00A935F6"/>
    <w:rsid w:val="00A93B2C"/>
    <w:rsid w:val="00A93BFF"/>
    <w:rsid w:val="00A96376"/>
    <w:rsid w:val="00A968E7"/>
    <w:rsid w:val="00AA0FDE"/>
    <w:rsid w:val="00AA2A08"/>
    <w:rsid w:val="00AA4060"/>
    <w:rsid w:val="00AA6633"/>
    <w:rsid w:val="00AB1F9A"/>
    <w:rsid w:val="00AB275C"/>
    <w:rsid w:val="00AB3795"/>
    <w:rsid w:val="00AB52D9"/>
    <w:rsid w:val="00AB5373"/>
    <w:rsid w:val="00AB53B7"/>
    <w:rsid w:val="00AB6CA6"/>
    <w:rsid w:val="00AC1AD5"/>
    <w:rsid w:val="00AC226E"/>
    <w:rsid w:val="00AC3652"/>
    <w:rsid w:val="00AC4139"/>
    <w:rsid w:val="00AC52A1"/>
    <w:rsid w:val="00AC623B"/>
    <w:rsid w:val="00AC6311"/>
    <w:rsid w:val="00AD2AFD"/>
    <w:rsid w:val="00AD40D5"/>
    <w:rsid w:val="00AD587E"/>
    <w:rsid w:val="00AE1B09"/>
    <w:rsid w:val="00AE1D2D"/>
    <w:rsid w:val="00AE2679"/>
    <w:rsid w:val="00AE3198"/>
    <w:rsid w:val="00AE4B73"/>
    <w:rsid w:val="00AE5BF3"/>
    <w:rsid w:val="00AF0944"/>
    <w:rsid w:val="00AF2162"/>
    <w:rsid w:val="00AF4840"/>
    <w:rsid w:val="00AF4854"/>
    <w:rsid w:val="00AF48D6"/>
    <w:rsid w:val="00AF5076"/>
    <w:rsid w:val="00AF791F"/>
    <w:rsid w:val="00B00D8F"/>
    <w:rsid w:val="00B028DE"/>
    <w:rsid w:val="00B036C8"/>
    <w:rsid w:val="00B04301"/>
    <w:rsid w:val="00B06464"/>
    <w:rsid w:val="00B07C91"/>
    <w:rsid w:val="00B07F41"/>
    <w:rsid w:val="00B11BBC"/>
    <w:rsid w:val="00B11C35"/>
    <w:rsid w:val="00B12565"/>
    <w:rsid w:val="00B12AEC"/>
    <w:rsid w:val="00B12BE9"/>
    <w:rsid w:val="00B14795"/>
    <w:rsid w:val="00B15690"/>
    <w:rsid w:val="00B15BAB"/>
    <w:rsid w:val="00B1693C"/>
    <w:rsid w:val="00B16AA0"/>
    <w:rsid w:val="00B25E2A"/>
    <w:rsid w:val="00B267B7"/>
    <w:rsid w:val="00B270C6"/>
    <w:rsid w:val="00B27A10"/>
    <w:rsid w:val="00B31180"/>
    <w:rsid w:val="00B31A46"/>
    <w:rsid w:val="00B32151"/>
    <w:rsid w:val="00B33490"/>
    <w:rsid w:val="00B334F2"/>
    <w:rsid w:val="00B34451"/>
    <w:rsid w:val="00B34962"/>
    <w:rsid w:val="00B34E00"/>
    <w:rsid w:val="00B3683E"/>
    <w:rsid w:val="00B36A65"/>
    <w:rsid w:val="00B40D48"/>
    <w:rsid w:val="00B41761"/>
    <w:rsid w:val="00B429B5"/>
    <w:rsid w:val="00B42DAA"/>
    <w:rsid w:val="00B45982"/>
    <w:rsid w:val="00B51098"/>
    <w:rsid w:val="00B515E6"/>
    <w:rsid w:val="00B51664"/>
    <w:rsid w:val="00B51AE8"/>
    <w:rsid w:val="00B52A6B"/>
    <w:rsid w:val="00B54195"/>
    <w:rsid w:val="00B54768"/>
    <w:rsid w:val="00B5759C"/>
    <w:rsid w:val="00B60B92"/>
    <w:rsid w:val="00B60D1C"/>
    <w:rsid w:val="00B61DD4"/>
    <w:rsid w:val="00B634CA"/>
    <w:rsid w:val="00B6447E"/>
    <w:rsid w:val="00B65E95"/>
    <w:rsid w:val="00B66219"/>
    <w:rsid w:val="00B66E0B"/>
    <w:rsid w:val="00B67453"/>
    <w:rsid w:val="00B67D81"/>
    <w:rsid w:val="00B67E9E"/>
    <w:rsid w:val="00B67EA2"/>
    <w:rsid w:val="00B702B3"/>
    <w:rsid w:val="00B712C3"/>
    <w:rsid w:val="00B71E1F"/>
    <w:rsid w:val="00B722F5"/>
    <w:rsid w:val="00B7271B"/>
    <w:rsid w:val="00B73028"/>
    <w:rsid w:val="00B74D55"/>
    <w:rsid w:val="00B77541"/>
    <w:rsid w:val="00B775B0"/>
    <w:rsid w:val="00B8102E"/>
    <w:rsid w:val="00B817E7"/>
    <w:rsid w:val="00B81D70"/>
    <w:rsid w:val="00B82DD8"/>
    <w:rsid w:val="00B838CA"/>
    <w:rsid w:val="00B83B05"/>
    <w:rsid w:val="00B83D01"/>
    <w:rsid w:val="00B84BB5"/>
    <w:rsid w:val="00B86244"/>
    <w:rsid w:val="00B905DE"/>
    <w:rsid w:val="00B90806"/>
    <w:rsid w:val="00B911C2"/>
    <w:rsid w:val="00B93F69"/>
    <w:rsid w:val="00B94B25"/>
    <w:rsid w:val="00B95289"/>
    <w:rsid w:val="00B95803"/>
    <w:rsid w:val="00B964E9"/>
    <w:rsid w:val="00B96D3A"/>
    <w:rsid w:val="00BA39E9"/>
    <w:rsid w:val="00BA74DE"/>
    <w:rsid w:val="00BA77D6"/>
    <w:rsid w:val="00BB00C9"/>
    <w:rsid w:val="00BB1058"/>
    <w:rsid w:val="00BB10E6"/>
    <w:rsid w:val="00BB3B46"/>
    <w:rsid w:val="00BB7820"/>
    <w:rsid w:val="00BC01E2"/>
    <w:rsid w:val="00BC1435"/>
    <w:rsid w:val="00BC37AE"/>
    <w:rsid w:val="00BC3E69"/>
    <w:rsid w:val="00BC57AD"/>
    <w:rsid w:val="00BC6D8B"/>
    <w:rsid w:val="00BC7657"/>
    <w:rsid w:val="00BD0F57"/>
    <w:rsid w:val="00BD16C4"/>
    <w:rsid w:val="00BD1EED"/>
    <w:rsid w:val="00BD2BCF"/>
    <w:rsid w:val="00BD445A"/>
    <w:rsid w:val="00BD6465"/>
    <w:rsid w:val="00BD66A8"/>
    <w:rsid w:val="00BD7BE7"/>
    <w:rsid w:val="00BE0BBA"/>
    <w:rsid w:val="00BE221B"/>
    <w:rsid w:val="00BE2D4F"/>
    <w:rsid w:val="00BE37ED"/>
    <w:rsid w:val="00BE59AD"/>
    <w:rsid w:val="00BE5BD3"/>
    <w:rsid w:val="00BE6EBE"/>
    <w:rsid w:val="00BE6F75"/>
    <w:rsid w:val="00BE7196"/>
    <w:rsid w:val="00BE71A4"/>
    <w:rsid w:val="00BE768B"/>
    <w:rsid w:val="00BF0007"/>
    <w:rsid w:val="00BF0018"/>
    <w:rsid w:val="00BF1774"/>
    <w:rsid w:val="00BF230B"/>
    <w:rsid w:val="00BF2E07"/>
    <w:rsid w:val="00BF3B36"/>
    <w:rsid w:val="00BF4B13"/>
    <w:rsid w:val="00BF6B0E"/>
    <w:rsid w:val="00C03957"/>
    <w:rsid w:val="00C048E6"/>
    <w:rsid w:val="00C05B75"/>
    <w:rsid w:val="00C0704E"/>
    <w:rsid w:val="00C070CB"/>
    <w:rsid w:val="00C10711"/>
    <w:rsid w:val="00C12562"/>
    <w:rsid w:val="00C12A15"/>
    <w:rsid w:val="00C1440D"/>
    <w:rsid w:val="00C15A36"/>
    <w:rsid w:val="00C16E9D"/>
    <w:rsid w:val="00C1756D"/>
    <w:rsid w:val="00C17646"/>
    <w:rsid w:val="00C207F9"/>
    <w:rsid w:val="00C22570"/>
    <w:rsid w:val="00C22A11"/>
    <w:rsid w:val="00C22C03"/>
    <w:rsid w:val="00C23949"/>
    <w:rsid w:val="00C2414F"/>
    <w:rsid w:val="00C3041F"/>
    <w:rsid w:val="00C30C4F"/>
    <w:rsid w:val="00C316B6"/>
    <w:rsid w:val="00C31B4E"/>
    <w:rsid w:val="00C31D44"/>
    <w:rsid w:val="00C370C4"/>
    <w:rsid w:val="00C40E93"/>
    <w:rsid w:val="00C419E7"/>
    <w:rsid w:val="00C42823"/>
    <w:rsid w:val="00C42F02"/>
    <w:rsid w:val="00C45C0E"/>
    <w:rsid w:val="00C462B0"/>
    <w:rsid w:val="00C504ED"/>
    <w:rsid w:val="00C5167C"/>
    <w:rsid w:val="00C51DE6"/>
    <w:rsid w:val="00C52333"/>
    <w:rsid w:val="00C548D1"/>
    <w:rsid w:val="00C6046A"/>
    <w:rsid w:val="00C61AB3"/>
    <w:rsid w:val="00C61B14"/>
    <w:rsid w:val="00C62341"/>
    <w:rsid w:val="00C62F6D"/>
    <w:rsid w:val="00C634EC"/>
    <w:rsid w:val="00C64A8B"/>
    <w:rsid w:val="00C66878"/>
    <w:rsid w:val="00C67260"/>
    <w:rsid w:val="00C702AE"/>
    <w:rsid w:val="00C704B4"/>
    <w:rsid w:val="00C7075E"/>
    <w:rsid w:val="00C707C7"/>
    <w:rsid w:val="00C70801"/>
    <w:rsid w:val="00C70BFC"/>
    <w:rsid w:val="00C70EAA"/>
    <w:rsid w:val="00C71278"/>
    <w:rsid w:val="00C71397"/>
    <w:rsid w:val="00C71DB3"/>
    <w:rsid w:val="00C74902"/>
    <w:rsid w:val="00C76AEA"/>
    <w:rsid w:val="00C77616"/>
    <w:rsid w:val="00C80407"/>
    <w:rsid w:val="00C805EB"/>
    <w:rsid w:val="00C81C8A"/>
    <w:rsid w:val="00C826E1"/>
    <w:rsid w:val="00C86951"/>
    <w:rsid w:val="00C875B3"/>
    <w:rsid w:val="00C8789D"/>
    <w:rsid w:val="00C93922"/>
    <w:rsid w:val="00C961D3"/>
    <w:rsid w:val="00C96378"/>
    <w:rsid w:val="00C97051"/>
    <w:rsid w:val="00C97309"/>
    <w:rsid w:val="00CA1B3B"/>
    <w:rsid w:val="00CA2346"/>
    <w:rsid w:val="00CA278C"/>
    <w:rsid w:val="00CA3413"/>
    <w:rsid w:val="00CA3F2B"/>
    <w:rsid w:val="00CA5D2A"/>
    <w:rsid w:val="00CB002E"/>
    <w:rsid w:val="00CB0ED5"/>
    <w:rsid w:val="00CB3B81"/>
    <w:rsid w:val="00CB3DBD"/>
    <w:rsid w:val="00CB674C"/>
    <w:rsid w:val="00CC24CB"/>
    <w:rsid w:val="00CC2E0C"/>
    <w:rsid w:val="00CC40B1"/>
    <w:rsid w:val="00CC4FE6"/>
    <w:rsid w:val="00CC5B1F"/>
    <w:rsid w:val="00CC7C59"/>
    <w:rsid w:val="00CC7D0E"/>
    <w:rsid w:val="00CD0176"/>
    <w:rsid w:val="00CD1484"/>
    <w:rsid w:val="00CD1CD4"/>
    <w:rsid w:val="00CD3930"/>
    <w:rsid w:val="00CD4D00"/>
    <w:rsid w:val="00CD56CE"/>
    <w:rsid w:val="00CD62DA"/>
    <w:rsid w:val="00CD6B0E"/>
    <w:rsid w:val="00CD6F64"/>
    <w:rsid w:val="00CE1222"/>
    <w:rsid w:val="00CE179E"/>
    <w:rsid w:val="00CE1D73"/>
    <w:rsid w:val="00CE3690"/>
    <w:rsid w:val="00CE4337"/>
    <w:rsid w:val="00CE6B9E"/>
    <w:rsid w:val="00CE6D42"/>
    <w:rsid w:val="00CE722C"/>
    <w:rsid w:val="00CE7846"/>
    <w:rsid w:val="00CF2E3A"/>
    <w:rsid w:val="00CF47A5"/>
    <w:rsid w:val="00CF4E1B"/>
    <w:rsid w:val="00CF5314"/>
    <w:rsid w:val="00CF5486"/>
    <w:rsid w:val="00CF61A0"/>
    <w:rsid w:val="00D01B24"/>
    <w:rsid w:val="00D027F3"/>
    <w:rsid w:val="00D028FF"/>
    <w:rsid w:val="00D02C5C"/>
    <w:rsid w:val="00D02DE1"/>
    <w:rsid w:val="00D03453"/>
    <w:rsid w:val="00D053C2"/>
    <w:rsid w:val="00D05DD9"/>
    <w:rsid w:val="00D0768D"/>
    <w:rsid w:val="00D11DC6"/>
    <w:rsid w:val="00D11FC0"/>
    <w:rsid w:val="00D12D2F"/>
    <w:rsid w:val="00D13031"/>
    <w:rsid w:val="00D13FAE"/>
    <w:rsid w:val="00D1649D"/>
    <w:rsid w:val="00D21FBC"/>
    <w:rsid w:val="00D24FDA"/>
    <w:rsid w:val="00D26180"/>
    <w:rsid w:val="00D268D3"/>
    <w:rsid w:val="00D27713"/>
    <w:rsid w:val="00D27EDD"/>
    <w:rsid w:val="00D30304"/>
    <w:rsid w:val="00D313E8"/>
    <w:rsid w:val="00D32874"/>
    <w:rsid w:val="00D332AE"/>
    <w:rsid w:val="00D33CFE"/>
    <w:rsid w:val="00D343B8"/>
    <w:rsid w:val="00D36018"/>
    <w:rsid w:val="00D362DB"/>
    <w:rsid w:val="00D3777E"/>
    <w:rsid w:val="00D4059F"/>
    <w:rsid w:val="00D411F2"/>
    <w:rsid w:val="00D41E88"/>
    <w:rsid w:val="00D43473"/>
    <w:rsid w:val="00D434CB"/>
    <w:rsid w:val="00D4381B"/>
    <w:rsid w:val="00D43B6F"/>
    <w:rsid w:val="00D43BCF"/>
    <w:rsid w:val="00D44FEE"/>
    <w:rsid w:val="00D47684"/>
    <w:rsid w:val="00D50E09"/>
    <w:rsid w:val="00D51C7C"/>
    <w:rsid w:val="00D528D7"/>
    <w:rsid w:val="00D53B89"/>
    <w:rsid w:val="00D56EBE"/>
    <w:rsid w:val="00D575A2"/>
    <w:rsid w:val="00D57EA6"/>
    <w:rsid w:val="00D609EC"/>
    <w:rsid w:val="00D6129E"/>
    <w:rsid w:val="00D61F57"/>
    <w:rsid w:val="00D62AD0"/>
    <w:rsid w:val="00D63BB1"/>
    <w:rsid w:val="00D659E5"/>
    <w:rsid w:val="00D66146"/>
    <w:rsid w:val="00D66809"/>
    <w:rsid w:val="00D675B5"/>
    <w:rsid w:val="00D67BD1"/>
    <w:rsid w:val="00D703D2"/>
    <w:rsid w:val="00D708EE"/>
    <w:rsid w:val="00D71CFD"/>
    <w:rsid w:val="00D73C9A"/>
    <w:rsid w:val="00D74A2C"/>
    <w:rsid w:val="00D74EEA"/>
    <w:rsid w:val="00D75F64"/>
    <w:rsid w:val="00D77F08"/>
    <w:rsid w:val="00D81215"/>
    <w:rsid w:val="00D81E8B"/>
    <w:rsid w:val="00D82166"/>
    <w:rsid w:val="00D83F0A"/>
    <w:rsid w:val="00D84168"/>
    <w:rsid w:val="00D84650"/>
    <w:rsid w:val="00D86B70"/>
    <w:rsid w:val="00D87229"/>
    <w:rsid w:val="00D90B51"/>
    <w:rsid w:val="00D92461"/>
    <w:rsid w:val="00D924C5"/>
    <w:rsid w:val="00D92B77"/>
    <w:rsid w:val="00D92C26"/>
    <w:rsid w:val="00D92FDA"/>
    <w:rsid w:val="00D94128"/>
    <w:rsid w:val="00D9783D"/>
    <w:rsid w:val="00D97B6F"/>
    <w:rsid w:val="00D97C72"/>
    <w:rsid w:val="00D97DB5"/>
    <w:rsid w:val="00DA107F"/>
    <w:rsid w:val="00DA18F2"/>
    <w:rsid w:val="00DA2615"/>
    <w:rsid w:val="00DA3EF2"/>
    <w:rsid w:val="00DA4377"/>
    <w:rsid w:val="00DB05F8"/>
    <w:rsid w:val="00DB0AF4"/>
    <w:rsid w:val="00DB0FE6"/>
    <w:rsid w:val="00DC1639"/>
    <w:rsid w:val="00DC1803"/>
    <w:rsid w:val="00DC2DD3"/>
    <w:rsid w:val="00DC4755"/>
    <w:rsid w:val="00DC5F04"/>
    <w:rsid w:val="00DC71AE"/>
    <w:rsid w:val="00DD1988"/>
    <w:rsid w:val="00DD2CB3"/>
    <w:rsid w:val="00DD38DE"/>
    <w:rsid w:val="00DD4404"/>
    <w:rsid w:val="00DD45F6"/>
    <w:rsid w:val="00DD5631"/>
    <w:rsid w:val="00DD5FC9"/>
    <w:rsid w:val="00DD700D"/>
    <w:rsid w:val="00DE143A"/>
    <w:rsid w:val="00DE3796"/>
    <w:rsid w:val="00DE3A27"/>
    <w:rsid w:val="00DE5FAB"/>
    <w:rsid w:val="00DE64D2"/>
    <w:rsid w:val="00DE75E3"/>
    <w:rsid w:val="00DF1905"/>
    <w:rsid w:val="00DF1961"/>
    <w:rsid w:val="00DF30F3"/>
    <w:rsid w:val="00DF3B3C"/>
    <w:rsid w:val="00DF3B56"/>
    <w:rsid w:val="00DF3D56"/>
    <w:rsid w:val="00DF46D3"/>
    <w:rsid w:val="00DF5901"/>
    <w:rsid w:val="00DF60EA"/>
    <w:rsid w:val="00DF6EE2"/>
    <w:rsid w:val="00DF7B7E"/>
    <w:rsid w:val="00DF7C33"/>
    <w:rsid w:val="00E02A88"/>
    <w:rsid w:val="00E04933"/>
    <w:rsid w:val="00E04ED0"/>
    <w:rsid w:val="00E0583E"/>
    <w:rsid w:val="00E07310"/>
    <w:rsid w:val="00E07613"/>
    <w:rsid w:val="00E07CD6"/>
    <w:rsid w:val="00E11969"/>
    <w:rsid w:val="00E12D39"/>
    <w:rsid w:val="00E132D9"/>
    <w:rsid w:val="00E13A63"/>
    <w:rsid w:val="00E13ED5"/>
    <w:rsid w:val="00E153BA"/>
    <w:rsid w:val="00E15BFE"/>
    <w:rsid w:val="00E16E5C"/>
    <w:rsid w:val="00E1789A"/>
    <w:rsid w:val="00E211A0"/>
    <w:rsid w:val="00E21E41"/>
    <w:rsid w:val="00E22931"/>
    <w:rsid w:val="00E22CBE"/>
    <w:rsid w:val="00E24A2E"/>
    <w:rsid w:val="00E26D00"/>
    <w:rsid w:val="00E27F14"/>
    <w:rsid w:val="00E30D9A"/>
    <w:rsid w:val="00E31152"/>
    <w:rsid w:val="00E319A2"/>
    <w:rsid w:val="00E32138"/>
    <w:rsid w:val="00E32AA3"/>
    <w:rsid w:val="00E330FE"/>
    <w:rsid w:val="00E336DC"/>
    <w:rsid w:val="00E37B4C"/>
    <w:rsid w:val="00E37B95"/>
    <w:rsid w:val="00E402B7"/>
    <w:rsid w:val="00E40732"/>
    <w:rsid w:val="00E42E8D"/>
    <w:rsid w:val="00E46BF9"/>
    <w:rsid w:val="00E47A4A"/>
    <w:rsid w:val="00E47DB4"/>
    <w:rsid w:val="00E5043A"/>
    <w:rsid w:val="00E51C07"/>
    <w:rsid w:val="00E522FE"/>
    <w:rsid w:val="00E5295E"/>
    <w:rsid w:val="00E52F76"/>
    <w:rsid w:val="00E5395A"/>
    <w:rsid w:val="00E53D2B"/>
    <w:rsid w:val="00E5428A"/>
    <w:rsid w:val="00E54379"/>
    <w:rsid w:val="00E546D8"/>
    <w:rsid w:val="00E5472D"/>
    <w:rsid w:val="00E54E88"/>
    <w:rsid w:val="00E55560"/>
    <w:rsid w:val="00E55CF3"/>
    <w:rsid w:val="00E560BB"/>
    <w:rsid w:val="00E57C45"/>
    <w:rsid w:val="00E602EB"/>
    <w:rsid w:val="00E60BB9"/>
    <w:rsid w:val="00E62ED7"/>
    <w:rsid w:val="00E64088"/>
    <w:rsid w:val="00E64350"/>
    <w:rsid w:val="00E643C1"/>
    <w:rsid w:val="00E64B6D"/>
    <w:rsid w:val="00E65380"/>
    <w:rsid w:val="00E657D7"/>
    <w:rsid w:val="00E66138"/>
    <w:rsid w:val="00E67178"/>
    <w:rsid w:val="00E70665"/>
    <w:rsid w:val="00E7290C"/>
    <w:rsid w:val="00E72B0F"/>
    <w:rsid w:val="00E75635"/>
    <w:rsid w:val="00E7597B"/>
    <w:rsid w:val="00E76078"/>
    <w:rsid w:val="00E77FA0"/>
    <w:rsid w:val="00E80E34"/>
    <w:rsid w:val="00E8173C"/>
    <w:rsid w:val="00E81B51"/>
    <w:rsid w:val="00E81F45"/>
    <w:rsid w:val="00E82386"/>
    <w:rsid w:val="00E83487"/>
    <w:rsid w:val="00E834E9"/>
    <w:rsid w:val="00E85580"/>
    <w:rsid w:val="00E8602D"/>
    <w:rsid w:val="00E86249"/>
    <w:rsid w:val="00E8633D"/>
    <w:rsid w:val="00E914C1"/>
    <w:rsid w:val="00E92783"/>
    <w:rsid w:val="00E927A9"/>
    <w:rsid w:val="00E92829"/>
    <w:rsid w:val="00E9534E"/>
    <w:rsid w:val="00E95DA9"/>
    <w:rsid w:val="00E96544"/>
    <w:rsid w:val="00E96CB6"/>
    <w:rsid w:val="00EA0A73"/>
    <w:rsid w:val="00EA0FCB"/>
    <w:rsid w:val="00EA3F4F"/>
    <w:rsid w:val="00EA6662"/>
    <w:rsid w:val="00EA736B"/>
    <w:rsid w:val="00EB25D1"/>
    <w:rsid w:val="00EB2F2B"/>
    <w:rsid w:val="00EB2FA9"/>
    <w:rsid w:val="00EB30BA"/>
    <w:rsid w:val="00EB3985"/>
    <w:rsid w:val="00EB3F23"/>
    <w:rsid w:val="00EB6397"/>
    <w:rsid w:val="00EB6943"/>
    <w:rsid w:val="00EC25A2"/>
    <w:rsid w:val="00EC2B7E"/>
    <w:rsid w:val="00EC37D0"/>
    <w:rsid w:val="00EC4B06"/>
    <w:rsid w:val="00EC60DB"/>
    <w:rsid w:val="00EC7248"/>
    <w:rsid w:val="00EC7D2A"/>
    <w:rsid w:val="00ED1B84"/>
    <w:rsid w:val="00ED243F"/>
    <w:rsid w:val="00ED2E86"/>
    <w:rsid w:val="00ED38DB"/>
    <w:rsid w:val="00ED3B18"/>
    <w:rsid w:val="00ED515A"/>
    <w:rsid w:val="00ED7647"/>
    <w:rsid w:val="00EE0ADF"/>
    <w:rsid w:val="00EE2B32"/>
    <w:rsid w:val="00EE342A"/>
    <w:rsid w:val="00EE5510"/>
    <w:rsid w:val="00EE63BD"/>
    <w:rsid w:val="00EE644F"/>
    <w:rsid w:val="00EE6756"/>
    <w:rsid w:val="00EE68BC"/>
    <w:rsid w:val="00EE68C6"/>
    <w:rsid w:val="00EE7E9C"/>
    <w:rsid w:val="00EF2BC6"/>
    <w:rsid w:val="00EF426A"/>
    <w:rsid w:val="00EF4E89"/>
    <w:rsid w:val="00EF547E"/>
    <w:rsid w:val="00EF78AA"/>
    <w:rsid w:val="00EF7DB8"/>
    <w:rsid w:val="00F00B51"/>
    <w:rsid w:val="00F03FE9"/>
    <w:rsid w:val="00F047B2"/>
    <w:rsid w:val="00F06689"/>
    <w:rsid w:val="00F0788E"/>
    <w:rsid w:val="00F07CF8"/>
    <w:rsid w:val="00F10A12"/>
    <w:rsid w:val="00F1218A"/>
    <w:rsid w:val="00F12EC6"/>
    <w:rsid w:val="00F14C02"/>
    <w:rsid w:val="00F14E83"/>
    <w:rsid w:val="00F15EB6"/>
    <w:rsid w:val="00F1676C"/>
    <w:rsid w:val="00F214FF"/>
    <w:rsid w:val="00F223DB"/>
    <w:rsid w:val="00F224D3"/>
    <w:rsid w:val="00F22719"/>
    <w:rsid w:val="00F23C88"/>
    <w:rsid w:val="00F255D2"/>
    <w:rsid w:val="00F25C90"/>
    <w:rsid w:val="00F26647"/>
    <w:rsid w:val="00F26943"/>
    <w:rsid w:val="00F26A19"/>
    <w:rsid w:val="00F27F3E"/>
    <w:rsid w:val="00F3002C"/>
    <w:rsid w:val="00F30B92"/>
    <w:rsid w:val="00F33F86"/>
    <w:rsid w:val="00F352B9"/>
    <w:rsid w:val="00F358BB"/>
    <w:rsid w:val="00F35E90"/>
    <w:rsid w:val="00F3680A"/>
    <w:rsid w:val="00F37F2A"/>
    <w:rsid w:val="00F42053"/>
    <w:rsid w:val="00F42624"/>
    <w:rsid w:val="00F43C83"/>
    <w:rsid w:val="00F43D29"/>
    <w:rsid w:val="00F454AA"/>
    <w:rsid w:val="00F45885"/>
    <w:rsid w:val="00F45890"/>
    <w:rsid w:val="00F47154"/>
    <w:rsid w:val="00F47BD8"/>
    <w:rsid w:val="00F50209"/>
    <w:rsid w:val="00F5085A"/>
    <w:rsid w:val="00F51095"/>
    <w:rsid w:val="00F53460"/>
    <w:rsid w:val="00F536F6"/>
    <w:rsid w:val="00F543F0"/>
    <w:rsid w:val="00F54E88"/>
    <w:rsid w:val="00F558DA"/>
    <w:rsid w:val="00F55A30"/>
    <w:rsid w:val="00F60DD0"/>
    <w:rsid w:val="00F613DE"/>
    <w:rsid w:val="00F619E9"/>
    <w:rsid w:val="00F6267F"/>
    <w:rsid w:val="00F6300D"/>
    <w:rsid w:val="00F630BD"/>
    <w:rsid w:val="00F64EFF"/>
    <w:rsid w:val="00F66BE0"/>
    <w:rsid w:val="00F6752D"/>
    <w:rsid w:val="00F710DD"/>
    <w:rsid w:val="00F71B0F"/>
    <w:rsid w:val="00F73199"/>
    <w:rsid w:val="00F73229"/>
    <w:rsid w:val="00F740F2"/>
    <w:rsid w:val="00F745DC"/>
    <w:rsid w:val="00F7480E"/>
    <w:rsid w:val="00F74C34"/>
    <w:rsid w:val="00F763FF"/>
    <w:rsid w:val="00F7781A"/>
    <w:rsid w:val="00F779FA"/>
    <w:rsid w:val="00F77B84"/>
    <w:rsid w:val="00F80014"/>
    <w:rsid w:val="00F812FD"/>
    <w:rsid w:val="00F8224B"/>
    <w:rsid w:val="00F82A01"/>
    <w:rsid w:val="00F82A89"/>
    <w:rsid w:val="00F84E26"/>
    <w:rsid w:val="00F85C1A"/>
    <w:rsid w:val="00F86A2C"/>
    <w:rsid w:val="00F87D35"/>
    <w:rsid w:val="00F92578"/>
    <w:rsid w:val="00F93376"/>
    <w:rsid w:val="00F94E9F"/>
    <w:rsid w:val="00F95E4E"/>
    <w:rsid w:val="00F977BD"/>
    <w:rsid w:val="00FA11EB"/>
    <w:rsid w:val="00FA178E"/>
    <w:rsid w:val="00FA1C22"/>
    <w:rsid w:val="00FA30A6"/>
    <w:rsid w:val="00FA30DC"/>
    <w:rsid w:val="00FA442C"/>
    <w:rsid w:val="00FA4BC7"/>
    <w:rsid w:val="00FA6E45"/>
    <w:rsid w:val="00FB02A7"/>
    <w:rsid w:val="00FB0B24"/>
    <w:rsid w:val="00FB0E98"/>
    <w:rsid w:val="00FB556A"/>
    <w:rsid w:val="00FC055B"/>
    <w:rsid w:val="00FC3EF1"/>
    <w:rsid w:val="00FC4DDE"/>
    <w:rsid w:val="00FC56DB"/>
    <w:rsid w:val="00FC5B1C"/>
    <w:rsid w:val="00FD0317"/>
    <w:rsid w:val="00FD0881"/>
    <w:rsid w:val="00FD1254"/>
    <w:rsid w:val="00FD21CD"/>
    <w:rsid w:val="00FD2372"/>
    <w:rsid w:val="00FD59EA"/>
    <w:rsid w:val="00FD6C1C"/>
    <w:rsid w:val="00FD72BE"/>
    <w:rsid w:val="00FE0A8F"/>
    <w:rsid w:val="00FE0EE9"/>
    <w:rsid w:val="00FE141F"/>
    <w:rsid w:val="00FE2A78"/>
    <w:rsid w:val="00FE2AA6"/>
    <w:rsid w:val="00FE2D93"/>
    <w:rsid w:val="00FE3D26"/>
    <w:rsid w:val="00FE4347"/>
    <w:rsid w:val="00FE4D69"/>
    <w:rsid w:val="00FE5588"/>
    <w:rsid w:val="00FE5C0A"/>
    <w:rsid w:val="00FE5CEA"/>
    <w:rsid w:val="00FF0446"/>
    <w:rsid w:val="00FF0A66"/>
    <w:rsid w:val="00FF4D6A"/>
    <w:rsid w:val="00FF5631"/>
    <w:rsid w:val="00FF6566"/>
    <w:rsid w:val="00FF6F35"/>
    <w:rsid w:val="018C3887"/>
    <w:rsid w:val="01962906"/>
    <w:rsid w:val="01B64D4D"/>
    <w:rsid w:val="01BA61B0"/>
    <w:rsid w:val="01CA4A80"/>
    <w:rsid w:val="01D95A6E"/>
    <w:rsid w:val="01F42C24"/>
    <w:rsid w:val="01F560F7"/>
    <w:rsid w:val="024F2124"/>
    <w:rsid w:val="026003DA"/>
    <w:rsid w:val="0278113C"/>
    <w:rsid w:val="02E56C3E"/>
    <w:rsid w:val="03082F4B"/>
    <w:rsid w:val="033B6E7D"/>
    <w:rsid w:val="034D2242"/>
    <w:rsid w:val="03CF75C5"/>
    <w:rsid w:val="03D35307"/>
    <w:rsid w:val="044E26FD"/>
    <w:rsid w:val="046D5990"/>
    <w:rsid w:val="046F64E6"/>
    <w:rsid w:val="047D3225"/>
    <w:rsid w:val="04963415"/>
    <w:rsid w:val="04B2293A"/>
    <w:rsid w:val="04D05033"/>
    <w:rsid w:val="05151950"/>
    <w:rsid w:val="0518502E"/>
    <w:rsid w:val="054B530E"/>
    <w:rsid w:val="054D142B"/>
    <w:rsid w:val="054E3147"/>
    <w:rsid w:val="056F2492"/>
    <w:rsid w:val="05A14057"/>
    <w:rsid w:val="05B20F4D"/>
    <w:rsid w:val="05C45033"/>
    <w:rsid w:val="05CA7B12"/>
    <w:rsid w:val="06035C4C"/>
    <w:rsid w:val="068812B9"/>
    <w:rsid w:val="06C400C5"/>
    <w:rsid w:val="071674F4"/>
    <w:rsid w:val="07190E1E"/>
    <w:rsid w:val="071D689A"/>
    <w:rsid w:val="072145DC"/>
    <w:rsid w:val="073C75CA"/>
    <w:rsid w:val="075D1A9E"/>
    <w:rsid w:val="076E12E1"/>
    <w:rsid w:val="07794418"/>
    <w:rsid w:val="07E41AB2"/>
    <w:rsid w:val="08047140"/>
    <w:rsid w:val="08353C69"/>
    <w:rsid w:val="08420CAE"/>
    <w:rsid w:val="08674270"/>
    <w:rsid w:val="088C0C07"/>
    <w:rsid w:val="08DB3D8E"/>
    <w:rsid w:val="08EB572B"/>
    <w:rsid w:val="08FC490C"/>
    <w:rsid w:val="0935436E"/>
    <w:rsid w:val="099334E8"/>
    <w:rsid w:val="0A072C70"/>
    <w:rsid w:val="0A1001AF"/>
    <w:rsid w:val="0A2226F7"/>
    <w:rsid w:val="0A61019F"/>
    <w:rsid w:val="0A627C3D"/>
    <w:rsid w:val="0A7C45C4"/>
    <w:rsid w:val="0A951569"/>
    <w:rsid w:val="0AAE4FC2"/>
    <w:rsid w:val="0ABD3F63"/>
    <w:rsid w:val="0AE572E2"/>
    <w:rsid w:val="0B002EC7"/>
    <w:rsid w:val="0B3257E6"/>
    <w:rsid w:val="0B71709D"/>
    <w:rsid w:val="0B8B0798"/>
    <w:rsid w:val="0BCBD797"/>
    <w:rsid w:val="0C2506CA"/>
    <w:rsid w:val="0C626972"/>
    <w:rsid w:val="0C6F22B4"/>
    <w:rsid w:val="0CBD4DA7"/>
    <w:rsid w:val="0CFD0FF0"/>
    <w:rsid w:val="0D697E5A"/>
    <w:rsid w:val="0D9C2C0E"/>
    <w:rsid w:val="0DA87805"/>
    <w:rsid w:val="0DC93F14"/>
    <w:rsid w:val="0DF800F6"/>
    <w:rsid w:val="0E0A2F49"/>
    <w:rsid w:val="0E214EC1"/>
    <w:rsid w:val="0E282263"/>
    <w:rsid w:val="0E453549"/>
    <w:rsid w:val="0E5D5AB4"/>
    <w:rsid w:val="0EBD352B"/>
    <w:rsid w:val="0EF319AC"/>
    <w:rsid w:val="0F000E74"/>
    <w:rsid w:val="0F566A87"/>
    <w:rsid w:val="0F8302A7"/>
    <w:rsid w:val="0F927994"/>
    <w:rsid w:val="0FEF4DD2"/>
    <w:rsid w:val="1044757D"/>
    <w:rsid w:val="10EA1EE2"/>
    <w:rsid w:val="110A60E1"/>
    <w:rsid w:val="111A1DE5"/>
    <w:rsid w:val="112847B9"/>
    <w:rsid w:val="1173178C"/>
    <w:rsid w:val="118C7802"/>
    <w:rsid w:val="11BA4F21"/>
    <w:rsid w:val="11C042F5"/>
    <w:rsid w:val="11D32976"/>
    <w:rsid w:val="11E64458"/>
    <w:rsid w:val="125134D8"/>
    <w:rsid w:val="125A6BF4"/>
    <w:rsid w:val="1280703B"/>
    <w:rsid w:val="128D2377"/>
    <w:rsid w:val="128E2265"/>
    <w:rsid w:val="12C5264E"/>
    <w:rsid w:val="131F5965"/>
    <w:rsid w:val="13516249"/>
    <w:rsid w:val="136734AF"/>
    <w:rsid w:val="13B742FC"/>
    <w:rsid w:val="13C815D4"/>
    <w:rsid w:val="13D446CA"/>
    <w:rsid w:val="141440BC"/>
    <w:rsid w:val="142D3C38"/>
    <w:rsid w:val="143311F3"/>
    <w:rsid w:val="146E0DBE"/>
    <w:rsid w:val="148C5AA4"/>
    <w:rsid w:val="14CA6724"/>
    <w:rsid w:val="14F16AD5"/>
    <w:rsid w:val="14FC10A1"/>
    <w:rsid w:val="15233396"/>
    <w:rsid w:val="15352DAC"/>
    <w:rsid w:val="153A4BA1"/>
    <w:rsid w:val="15592189"/>
    <w:rsid w:val="15596C13"/>
    <w:rsid w:val="15A95129"/>
    <w:rsid w:val="15B57A54"/>
    <w:rsid w:val="15D53161"/>
    <w:rsid w:val="16612C47"/>
    <w:rsid w:val="169A1E93"/>
    <w:rsid w:val="16B22AB8"/>
    <w:rsid w:val="16E66EF8"/>
    <w:rsid w:val="16FA0B7D"/>
    <w:rsid w:val="17175C31"/>
    <w:rsid w:val="171C5A0F"/>
    <w:rsid w:val="174177C2"/>
    <w:rsid w:val="17611FBC"/>
    <w:rsid w:val="178A7433"/>
    <w:rsid w:val="17BA0860"/>
    <w:rsid w:val="180E5741"/>
    <w:rsid w:val="181B6E25"/>
    <w:rsid w:val="18D14309"/>
    <w:rsid w:val="18D357E6"/>
    <w:rsid w:val="19074F22"/>
    <w:rsid w:val="19390925"/>
    <w:rsid w:val="194A3CD0"/>
    <w:rsid w:val="195C14A3"/>
    <w:rsid w:val="198A0A0F"/>
    <w:rsid w:val="198D3541"/>
    <w:rsid w:val="199B14FE"/>
    <w:rsid w:val="19A31422"/>
    <w:rsid w:val="19D3104D"/>
    <w:rsid w:val="19D454DE"/>
    <w:rsid w:val="19DD6EA1"/>
    <w:rsid w:val="19ED659F"/>
    <w:rsid w:val="19F8741E"/>
    <w:rsid w:val="1A3468B8"/>
    <w:rsid w:val="1A602602"/>
    <w:rsid w:val="1A626914"/>
    <w:rsid w:val="1A6C1351"/>
    <w:rsid w:val="1B026355"/>
    <w:rsid w:val="1B171298"/>
    <w:rsid w:val="1B2D759B"/>
    <w:rsid w:val="1B420B2B"/>
    <w:rsid w:val="1B661988"/>
    <w:rsid w:val="1BCD15A0"/>
    <w:rsid w:val="1C1147C7"/>
    <w:rsid w:val="1C2326CA"/>
    <w:rsid w:val="1C381E41"/>
    <w:rsid w:val="1C5D6A81"/>
    <w:rsid w:val="1C897268"/>
    <w:rsid w:val="1CB95130"/>
    <w:rsid w:val="1CC26834"/>
    <w:rsid w:val="1D2C4085"/>
    <w:rsid w:val="1D727CAC"/>
    <w:rsid w:val="1D81772B"/>
    <w:rsid w:val="1D8B0AA5"/>
    <w:rsid w:val="1D9951B1"/>
    <w:rsid w:val="1DCA2E80"/>
    <w:rsid w:val="1E185977"/>
    <w:rsid w:val="1E2E78B2"/>
    <w:rsid w:val="1EA870D9"/>
    <w:rsid w:val="1EB06519"/>
    <w:rsid w:val="1EED1242"/>
    <w:rsid w:val="1EF67CA4"/>
    <w:rsid w:val="1F4B6242"/>
    <w:rsid w:val="1F51429B"/>
    <w:rsid w:val="1F5D309B"/>
    <w:rsid w:val="1F7C5367"/>
    <w:rsid w:val="1F8D5FB7"/>
    <w:rsid w:val="1FBC2C9C"/>
    <w:rsid w:val="1FE83A91"/>
    <w:rsid w:val="1FE850F8"/>
    <w:rsid w:val="205242F2"/>
    <w:rsid w:val="205E3F98"/>
    <w:rsid w:val="207974F2"/>
    <w:rsid w:val="20BF399A"/>
    <w:rsid w:val="20C928EC"/>
    <w:rsid w:val="2123697B"/>
    <w:rsid w:val="217F41C9"/>
    <w:rsid w:val="21A54C65"/>
    <w:rsid w:val="21A553F5"/>
    <w:rsid w:val="21B739BF"/>
    <w:rsid w:val="21D5478D"/>
    <w:rsid w:val="22414A3A"/>
    <w:rsid w:val="225D0CCB"/>
    <w:rsid w:val="22A00653"/>
    <w:rsid w:val="22B91715"/>
    <w:rsid w:val="22C31939"/>
    <w:rsid w:val="22E06CA1"/>
    <w:rsid w:val="22F015DA"/>
    <w:rsid w:val="22FD3FC8"/>
    <w:rsid w:val="232442AC"/>
    <w:rsid w:val="23654FF2"/>
    <w:rsid w:val="23662313"/>
    <w:rsid w:val="237304E8"/>
    <w:rsid w:val="23CD36CA"/>
    <w:rsid w:val="23DA26CA"/>
    <w:rsid w:val="2409047A"/>
    <w:rsid w:val="240C37BD"/>
    <w:rsid w:val="242316D3"/>
    <w:rsid w:val="24343749"/>
    <w:rsid w:val="24AD3772"/>
    <w:rsid w:val="24DA743A"/>
    <w:rsid w:val="24F77B95"/>
    <w:rsid w:val="2504539C"/>
    <w:rsid w:val="25835C69"/>
    <w:rsid w:val="258E62E3"/>
    <w:rsid w:val="25A46DCB"/>
    <w:rsid w:val="25F81E87"/>
    <w:rsid w:val="2722588C"/>
    <w:rsid w:val="272E4657"/>
    <w:rsid w:val="276174F2"/>
    <w:rsid w:val="27673E35"/>
    <w:rsid w:val="27A209C9"/>
    <w:rsid w:val="27AD407B"/>
    <w:rsid w:val="27B10D21"/>
    <w:rsid w:val="27CD52BF"/>
    <w:rsid w:val="27D512E6"/>
    <w:rsid w:val="27EC7E96"/>
    <w:rsid w:val="284969B4"/>
    <w:rsid w:val="28551EE0"/>
    <w:rsid w:val="2858552C"/>
    <w:rsid w:val="2880213C"/>
    <w:rsid w:val="289B7923"/>
    <w:rsid w:val="291E2C10"/>
    <w:rsid w:val="29370A81"/>
    <w:rsid w:val="294511F9"/>
    <w:rsid w:val="29591217"/>
    <w:rsid w:val="29600B3C"/>
    <w:rsid w:val="297B3BC8"/>
    <w:rsid w:val="2993452B"/>
    <w:rsid w:val="29CD1FAA"/>
    <w:rsid w:val="2A465F84"/>
    <w:rsid w:val="2A8923EA"/>
    <w:rsid w:val="2A923D24"/>
    <w:rsid w:val="2AE93FE4"/>
    <w:rsid w:val="2B1D1968"/>
    <w:rsid w:val="2B7F2D54"/>
    <w:rsid w:val="2BDA58ED"/>
    <w:rsid w:val="2BF70A98"/>
    <w:rsid w:val="2C083572"/>
    <w:rsid w:val="2C1161CD"/>
    <w:rsid w:val="2C49301B"/>
    <w:rsid w:val="2C4C53A8"/>
    <w:rsid w:val="2C8E2658"/>
    <w:rsid w:val="2CA626ED"/>
    <w:rsid w:val="2CAA0F47"/>
    <w:rsid w:val="2CCA5598"/>
    <w:rsid w:val="2D0A773C"/>
    <w:rsid w:val="2D751EAD"/>
    <w:rsid w:val="2D803CC1"/>
    <w:rsid w:val="2DE90247"/>
    <w:rsid w:val="2DEA30CA"/>
    <w:rsid w:val="2DFA6139"/>
    <w:rsid w:val="2E01768D"/>
    <w:rsid w:val="2E395FF5"/>
    <w:rsid w:val="2E497DF1"/>
    <w:rsid w:val="2E5E6191"/>
    <w:rsid w:val="2E952A91"/>
    <w:rsid w:val="2E9E0092"/>
    <w:rsid w:val="2ECB275B"/>
    <w:rsid w:val="2F664EA5"/>
    <w:rsid w:val="2F713895"/>
    <w:rsid w:val="2F7C778B"/>
    <w:rsid w:val="2F8043A7"/>
    <w:rsid w:val="2FA505D5"/>
    <w:rsid w:val="2FA8213E"/>
    <w:rsid w:val="2FAE6402"/>
    <w:rsid w:val="2FBF1F67"/>
    <w:rsid w:val="301E5379"/>
    <w:rsid w:val="30365F2A"/>
    <w:rsid w:val="304C0AD3"/>
    <w:rsid w:val="306F68A2"/>
    <w:rsid w:val="30A34BEA"/>
    <w:rsid w:val="30BB2AFC"/>
    <w:rsid w:val="30CB64B6"/>
    <w:rsid w:val="30F5164D"/>
    <w:rsid w:val="312D2B91"/>
    <w:rsid w:val="31442AF1"/>
    <w:rsid w:val="314B39CC"/>
    <w:rsid w:val="31916EAE"/>
    <w:rsid w:val="31B04317"/>
    <w:rsid w:val="31BA2011"/>
    <w:rsid w:val="31F2256C"/>
    <w:rsid w:val="3239692A"/>
    <w:rsid w:val="325C7F92"/>
    <w:rsid w:val="32764F2C"/>
    <w:rsid w:val="32C2639D"/>
    <w:rsid w:val="32F14DB6"/>
    <w:rsid w:val="33394D0A"/>
    <w:rsid w:val="333A412B"/>
    <w:rsid w:val="33446DD8"/>
    <w:rsid w:val="335055B1"/>
    <w:rsid w:val="336B3469"/>
    <w:rsid w:val="33773F02"/>
    <w:rsid w:val="33807CCE"/>
    <w:rsid w:val="33841FEE"/>
    <w:rsid w:val="342F78A1"/>
    <w:rsid w:val="34331F89"/>
    <w:rsid w:val="34421FEE"/>
    <w:rsid w:val="346D0BA5"/>
    <w:rsid w:val="34784F8C"/>
    <w:rsid w:val="347942F8"/>
    <w:rsid w:val="34855EAD"/>
    <w:rsid w:val="34BD5193"/>
    <w:rsid w:val="34BF0E0C"/>
    <w:rsid w:val="34C74165"/>
    <w:rsid w:val="34FB2194"/>
    <w:rsid w:val="351D5B33"/>
    <w:rsid w:val="352E51E0"/>
    <w:rsid w:val="35936690"/>
    <w:rsid w:val="35A746BA"/>
    <w:rsid w:val="35B24F50"/>
    <w:rsid w:val="35B644DE"/>
    <w:rsid w:val="35C31E32"/>
    <w:rsid w:val="35F21F74"/>
    <w:rsid w:val="35F56A2D"/>
    <w:rsid w:val="36205A53"/>
    <w:rsid w:val="36257DF1"/>
    <w:rsid w:val="365B2966"/>
    <w:rsid w:val="36D14CE5"/>
    <w:rsid w:val="37146FBC"/>
    <w:rsid w:val="373567FD"/>
    <w:rsid w:val="375A5E5A"/>
    <w:rsid w:val="37691503"/>
    <w:rsid w:val="37A53D82"/>
    <w:rsid w:val="3825617F"/>
    <w:rsid w:val="38341126"/>
    <w:rsid w:val="38396895"/>
    <w:rsid w:val="386046B4"/>
    <w:rsid w:val="38741F0E"/>
    <w:rsid w:val="38E94049"/>
    <w:rsid w:val="38EF7568"/>
    <w:rsid w:val="392F2843"/>
    <w:rsid w:val="394E3E34"/>
    <w:rsid w:val="39EF402C"/>
    <w:rsid w:val="39F806F0"/>
    <w:rsid w:val="3A233BEC"/>
    <w:rsid w:val="3A3659E4"/>
    <w:rsid w:val="3A745FED"/>
    <w:rsid w:val="3A8B4D1C"/>
    <w:rsid w:val="3A987D9D"/>
    <w:rsid w:val="3AA85D33"/>
    <w:rsid w:val="3AAE7D83"/>
    <w:rsid w:val="3ACA4B42"/>
    <w:rsid w:val="3AFF3D8E"/>
    <w:rsid w:val="3B4B47A2"/>
    <w:rsid w:val="3BADF5DD"/>
    <w:rsid w:val="3BC2523E"/>
    <w:rsid w:val="3BCE01E9"/>
    <w:rsid w:val="3C084E29"/>
    <w:rsid w:val="3C4D5B55"/>
    <w:rsid w:val="3C4E0CC8"/>
    <w:rsid w:val="3C5D54E7"/>
    <w:rsid w:val="3C6F3118"/>
    <w:rsid w:val="3CC26750"/>
    <w:rsid w:val="3CE546D9"/>
    <w:rsid w:val="3D440FF8"/>
    <w:rsid w:val="3D627E02"/>
    <w:rsid w:val="3D751C3F"/>
    <w:rsid w:val="3D883E17"/>
    <w:rsid w:val="3DB20341"/>
    <w:rsid w:val="3DBE3BCB"/>
    <w:rsid w:val="3DD27E02"/>
    <w:rsid w:val="3DFF08E6"/>
    <w:rsid w:val="3E0543FF"/>
    <w:rsid w:val="3E1D685B"/>
    <w:rsid w:val="3E2C6DE7"/>
    <w:rsid w:val="3E43680F"/>
    <w:rsid w:val="3E442382"/>
    <w:rsid w:val="3E886713"/>
    <w:rsid w:val="3EA06374"/>
    <w:rsid w:val="3EB3D5A7"/>
    <w:rsid w:val="3EC93F10"/>
    <w:rsid w:val="3EDF120C"/>
    <w:rsid w:val="3F0E2561"/>
    <w:rsid w:val="3F207A73"/>
    <w:rsid w:val="3F260EB0"/>
    <w:rsid w:val="3F405508"/>
    <w:rsid w:val="3F4E1E62"/>
    <w:rsid w:val="3F6412A7"/>
    <w:rsid w:val="3FB3108D"/>
    <w:rsid w:val="3FD61FFF"/>
    <w:rsid w:val="3FDDAFCF"/>
    <w:rsid w:val="403D5A22"/>
    <w:rsid w:val="405051A0"/>
    <w:rsid w:val="40B750E3"/>
    <w:rsid w:val="40BE25F5"/>
    <w:rsid w:val="413B181B"/>
    <w:rsid w:val="4148409D"/>
    <w:rsid w:val="418E76E2"/>
    <w:rsid w:val="41A01319"/>
    <w:rsid w:val="41A22F19"/>
    <w:rsid w:val="41E763DF"/>
    <w:rsid w:val="428D2FFF"/>
    <w:rsid w:val="42B26742"/>
    <w:rsid w:val="42D60A09"/>
    <w:rsid w:val="42F56FEC"/>
    <w:rsid w:val="42FF5365"/>
    <w:rsid w:val="43903EB3"/>
    <w:rsid w:val="43D562A2"/>
    <w:rsid w:val="44065ED8"/>
    <w:rsid w:val="441508D3"/>
    <w:rsid w:val="444E32FE"/>
    <w:rsid w:val="44521F62"/>
    <w:rsid w:val="446472DA"/>
    <w:rsid w:val="44A77065"/>
    <w:rsid w:val="44C17678"/>
    <w:rsid w:val="44FF28BE"/>
    <w:rsid w:val="45036AF3"/>
    <w:rsid w:val="4550160D"/>
    <w:rsid w:val="458549C3"/>
    <w:rsid w:val="4598459F"/>
    <w:rsid w:val="45A42773"/>
    <w:rsid w:val="45AB0A76"/>
    <w:rsid w:val="45CF4C28"/>
    <w:rsid w:val="46032C9A"/>
    <w:rsid w:val="46507749"/>
    <w:rsid w:val="468A0B4E"/>
    <w:rsid w:val="468C2B19"/>
    <w:rsid w:val="46935C55"/>
    <w:rsid w:val="46A7286E"/>
    <w:rsid w:val="46F73721"/>
    <w:rsid w:val="472745EF"/>
    <w:rsid w:val="47507FEA"/>
    <w:rsid w:val="477D4101"/>
    <w:rsid w:val="477E5B3E"/>
    <w:rsid w:val="477F4EA8"/>
    <w:rsid w:val="47946D1D"/>
    <w:rsid w:val="47C9045D"/>
    <w:rsid w:val="48303924"/>
    <w:rsid w:val="48560562"/>
    <w:rsid w:val="486D24D6"/>
    <w:rsid w:val="487855E9"/>
    <w:rsid w:val="48B53C20"/>
    <w:rsid w:val="48B56357"/>
    <w:rsid w:val="48BE52CD"/>
    <w:rsid w:val="48F43FEC"/>
    <w:rsid w:val="48FA3D80"/>
    <w:rsid w:val="490F50D4"/>
    <w:rsid w:val="4915511B"/>
    <w:rsid w:val="49462CBF"/>
    <w:rsid w:val="494E174B"/>
    <w:rsid w:val="49552597"/>
    <w:rsid w:val="496F7754"/>
    <w:rsid w:val="49EE02F1"/>
    <w:rsid w:val="49FA378D"/>
    <w:rsid w:val="4A0D15A8"/>
    <w:rsid w:val="4A271687"/>
    <w:rsid w:val="4A543409"/>
    <w:rsid w:val="4A5F084F"/>
    <w:rsid w:val="4A6022F2"/>
    <w:rsid w:val="4A984FE8"/>
    <w:rsid w:val="4A9D11F3"/>
    <w:rsid w:val="4AFC7BF7"/>
    <w:rsid w:val="4B366D87"/>
    <w:rsid w:val="4B5B0112"/>
    <w:rsid w:val="4B726C78"/>
    <w:rsid w:val="4B982B57"/>
    <w:rsid w:val="4B9A352F"/>
    <w:rsid w:val="4BD60159"/>
    <w:rsid w:val="4C187DFB"/>
    <w:rsid w:val="4C2832E3"/>
    <w:rsid w:val="4C711791"/>
    <w:rsid w:val="4CFF52BD"/>
    <w:rsid w:val="4D0E0863"/>
    <w:rsid w:val="4D42212D"/>
    <w:rsid w:val="4D4351D2"/>
    <w:rsid w:val="4D657F42"/>
    <w:rsid w:val="4D94072D"/>
    <w:rsid w:val="4E5B6AE5"/>
    <w:rsid w:val="4E656129"/>
    <w:rsid w:val="4E794CE9"/>
    <w:rsid w:val="4E7E0EBE"/>
    <w:rsid w:val="4E856251"/>
    <w:rsid w:val="4EA61AF4"/>
    <w:rsid w:val="4ECC2490"/>
    <w:rsid w:val="4EFE032C"/>
    <w:rsid w:val="4F200983"/>
    <w:rsid w:val="4F215E18"/>
    <w:rsid w:val="4F5F6115"/>
    <w:rsid w:val="4FAD000E"/>
    <w:rsid w:val="4FDE40E5"/>
    <w:rsid w:val="50007078"/>
    <w:rsid w:val="500460B5"/>
    <w:rsid w:val="5024469F"/>
    <w:rsid w:val="5084660D"/>
    <w:rsid w:val="50D636E3"/>
    <w:rsid w:val="51137E0A"/>
    <w:rsid w:val="512C2E09"/>
    <w:rsid w:val="5143298A"/>
    <w:rsid w:val="518906F0"/>
    <w:rsid w:val="51EC03B2"/>
    <w:rsid w:val="51FE17FF"/>
    <w:rsid w:val="52092722"/>
    <w:rsid w:val="520A4E9E"/>
    <w:rsid w:val="529C4870"/>
    <w:rsid w:val="52CA29FF"/>
    <w:rsid w:val="52D47D21"/>
    <w:rsid w:val="5310055D"/>
    <w:rsid w:val="53513120"/>
    <w:rsid w:val="5369061B"/>
    <w:rsid w:val="53696E48"/>
    <w:rsid w:val="53BC79E2"/>
    <w:rsid w:val="541B7D16"/>
    <w:rsid w:val="54351B0C"/>
    <w:rsid w:val="543D5452"/>
    <w:rsid w:val="544A759D"/>
    <w:rsid w:val="545A5F13"/>
    <w:rsid w:val="5470084A"/>
    <w:rsid w:val="547922C6"/>
    <w:rsid w:val="5486329D"/>
    <w:rsid w:val="54AF3928"/>
    <w:rsid w:val="54CF69F2"/>
    <w:rsid w:val="54F25EDE"/>
    <w:rsid w:val="55051F4E"/>
    <w:rsid w:val="5523289A"/>
    <w:rsid w:val="557D122B"/>
    <w:rsid w:val="55832398"/>
    <w:rsid w:val="55A231C5"/>
    <w:rsid w:val="55C26D39"/>
    <w:rsid w:val="55C91693"/>
    <w:rsid w:val="560A6202"/>
    <w:rsid w:val="56141583"/>
    <w:rsid w:val="56666AE7"/>
    <w:rsid w:val="56686CCF"/>
    <w:rsid w:val="566C61A7"/>
    <w:rsid w:val="56706461"/>
    <w:rsid w:val="569B4633"/>
    <w:rsid w:val="56CA77C3"/>
    <w:rsid w:val="56D36F6E"/>
    <w:rsid w:val="56FE41D4"/>
    <w:rsid w:val="576356FC"/>
    <w:rsid w:val="576505D5"/>
    <w:rsid w:val="577C5F8C"/>
    <w:rsid w:val="579849AF"/>
    <w:rsid w:val="57E20DDE"/>
    <w:rsid w:val="58040CF4"/>
    <w:rsid w:val="58896EB8"/>
    <w:rsid w:val="58954386"/>
    <w:rsid w:val="589C4E3D"/>
    <w:rsid w:val="58B06B3A"/>
    <w:rsid w:val="58C37980"/>
    <w:rsid w:val="59075493"/>
    <w:rsid w:val="594420CF"/>
    <w:rsid w:val="59487D11"/>
    <w:rsid w:val="59575FBE"/>
    <w:rsid w:val="595F338A"/>
    <w:rsid w:val="596F344B"/>
    <w:rsid w:val="59941FB8"/>
    <w:rsid w:val="59947FB5"/>
    <w:rsid w:val="59997B6D"/>
    <w:rsid w:val="5A1A4E57"/>
    <w:rsid w:val="5A247391"/>
    <w:rsid w:val="5A3D56B7"/>
    <w:rsid w:val="5A926519"/>
    <w:rsid w:val="5A9745F8"/>
    <w:rsid w:val="5AC4067B"/>
    <w:rsid w:val="5AC72703"/>
    <w:rsid w:val="5AC7773A"/>
    <w:rsid w:val="5ACB1A0A"/>
    <w:rsid w:val="5ADE0A5C"/>
    <w:rsid w:val="5B2A2BD4"/>
    <w:rsid w:val="5B590DC3"/>
    <w:rsid w:val="5B6B68B1"/>
    <w:rsid w:val="5B7849C8"/>
    <w:rsid w:val="5B8636D0"/>
    <w:rsid w:val="5B9A4006"/>
    <w:rsid w:val="5B9F2591"/>
    <w:rsid w:val="5BD448EE"/>
    <w:rsid w:val="5BE33BB6"/>
    <w:rsid w:val="5BF5061D"/>
    <w:rsid w:val="5C25755E"/>
    <w:rsid w:val="5C43500E"/>
    <w:rsid w:val="5C6A78BA"/>
    <w:rsid w:val="5C703027"/>
    <w:rsid w:val="5C734F6B"/>
    <w:rsid w:val="5C753467"/>
    <w:rsid w:val="5CAE01E8"/>
    <w:rsid w:val="5CD02720"/>
    <w:rsid w:val="5CE75E65"/>
    <w:rsid w:val="5CF06035"/>
    <w:rsid w:val="5D5D0CAA"/>
    <w:rsid w:val="5DF8407C"/>
    <w:rsid w:val="5E394EDC"/>
    <w:rsid w:val="5E6C7060"/>
    <w:rsid w:val="5E6F4DA2"/>
    <w:rsid w:val="5E7F24F9"/>
    <w:rsid w:val="5E7F8164"/>
    <w:rsid w:val="5EA10F4E"/>
    <w:rsid w:val="5EBF093E"/>
    <w:rsid w:val="5EC901A0"/>
    <w:rsid w:val="5F2B66F1"/>
    <w:rsid w:val="5F6B7317"/>
    <w:rsid w:val="5F715127"/>
    <w:rsid w:val="5F8C5A10"/>
    <w:rsid w:val="5FA35D58"/>
    <w:rsid w:val="5FE424DC"/>
    <w:rsid w:val="5FE71540"/>
    <w:rsid w:val="5FFE2B3D"/>
    <w:rsid w:val="601F1848"/>
    <w:rsid w:val="60C8065F"/>
    <w:rsid w:val="60D970BA"/>
    <w:rsid w:val="61533267"/>
    <w:rsid w:val="61642270"/>
    <w:rsid w:val="61A46B11"/>
    <w:rsid w:val="61AB7E9F"/>
    <w:rsid w:val="61AE7C31"/>
    <w:rsid w:val="61F5032B"/>
    <w:rsid w:val="61F730E4"/>
    <w:rsid w:val="61FC39E8"/>
    <w:rsid w:val="62044D81"/>
    <w:rsid w:val="62273488"/>
    <w:rsid w:val="622A5268"/>
    <w:rsid w:val="6230263F"/>
    <w:rsid w:val="62387C78"/>
    <w:rsid w:val="623E51B7"/>
    <w:rsid w:val="626F0F50"/>
    <w:rsid w:val="629F4388"/>
    <w:rsid w:val="62A414BE"/>
    <w:rsid w:val="62AC775F"/>
    <w:rsid w:val="62CB68E6"/>
    <w:rsid w:val="62D741DA"/>
    <w:rsid w:val="62F228E1"/>
    <w:rsid w:val="63164CC1"/>
    <w:rsid w:val="632D0C84"/>
    <w:rsid w:val="633608FE"/>
    <w:rsid w:val="63630D5C"/>
    <w:rsid w:val="63715118"/>
    <w:rsid w:val="638257FD"/>
    <w:rsid w:val="63AD6150"/>
    <w:rsid w:val="63D3125A"/>
    <w:rsid w:val="63E21506"/>
    <w:rsid w:val="642571AD"/>
    <w:rsid w:val="642C57E1"/>
    <w:rsid w:val="643A2D32"/>
    <w:rsid w:val="6449399F"/>
    <w:rsid w:val="64731CBC"/>
    <w:rsid w:val="64740A1C"/>
    <w:rsid w:val="64A87604"/>
    <w:rsid w:val="64B25724"/>
    <w:rsid w:val="64B25A4D"/>
    <w:rsid w:val="64C37868"/>
    <w:rsid w:val="65314B5F"/>
    <w:rsid w:val="65645206"/>
    <w:rsid w:val="6580503D"/>
    <w:rsid w:val="65953340"/>
    <w:rsid w:val="65B5420A"/>
    <w:rsid w:val="65EB3B6F"/>
    <w:rsid w:val="65F925B0"/>
    <w:rsid w:val="662A2F72"/>
    <w:rsid w:val="662F17B4"/>
    <w:rsid w:val="663366B5"/>
    <w:rsid w:val="66462035"/>
    <w:rsid w:val="66482158"/>
    <w:rsid w:val="66A47FBD"/>
    <w:rsid w:val="66AF3F8D"/>
    <w:rsid w:val="66C2703B"/>
    <w:rsid w:val="66DC6F96"/>
    <w:rsid w:val="66F66060"/>
    <w:rsid w:val="670275BC"/>
    <w:rsid w:val="673218A0"/>
    <w:rsid w:val="67463480"/>
    <w:rsid w:val="67830B5B"/>
    <w:rsid w:val="67B10E9F"/>
    <w:rsid w:val="67EC4487"/>
    <w:rsid w:val="67FF2CF3"/>
    <w:rsid w:val="684A4EFC"/>
    <w:rsid w:val="689B4A7A"/>
    <w:rsid w:val="693469CC"/>
    <w:rsid w:val="697F233D"/>
    <w:rsid w:val="698D04DD"/>
    <w:rsid w:val="699363F4"/>
    <w:rsid w:val="69C53AC8"/>
    <w:rsid w:val="69CF11C8"/>
    <w:rsid w:val="69F72209"/>
    <w:rsid w:val="6A3328D3"/>
    <w:rsid w:val="6A941E18"/>
    <w:rsid w:val="6AAE39A0"/>
    <w:rsid w:val="6AD02697"/>
    <w:rsid w:val="6B040585"/>
    <w:rsid w:val="6B4C43FE"/>
    <w:rsid w:val="6B670B25"/>
    <w:rsid w:val="6B6E79DE"/>
    <w:rsid w:val="6B7D0AFE"/>
    <w:rsid w:val="6B8B1732"/>
    <w:rsid w:val="6B921B5F"/>
    <w:rsid w:val="6BC90652"/>
    <w:rsid w:val="6C354153"/>
    <w:rsid w:val="6C482DD8"/>
    <w:rsid w:val="6C77379F"/>
    <w:rsid w:val="6CA125CA"/>
    <w:rsid w:val="6CBF6E0D"/>
    <w:rsid w:val="6CDE28F8"/>
    <w:rsid w:val="6D0456FB"/>
    <w:rsid w:val="6D093549"/>
    <w:rsid w:val="6D0C4D25"/>
    <w:rsid w:val="6D0F1C2A"/>
    <w:rsid w:val="6DB96853"/>
    <w:rsid w:val="6DC1095E"/>
    <w:rsid w:val="6DCA33AD"/>
    <w:rsid w:val="6E07328C"/>
    <w:rsid w:val="6E0F7981"/>
    <w:rsid w:val="6E443B55"/>
    <w:rsid w:val="6E4C2947"/>
    <w:rsid w:val="6E51210E"/>
    <w:rsid w:val="6E5F5EFE"/>
    <w:rsid w:val="6EB7D759"/>
    <w:rsid w:val="6F1D6D8D"/>
    <w:rsid w:val="6F4E7ED8"/>
    <w:rsid w:val="6F581895"/>
    <w:rsid w:val="6F840FCB"/>
    <w:rsid w:val="6F957D9A"/>
    <w:rsid w:val="6FB54CBF"/>
    <w:rsid w:val="6FE426E6"/>
    <w:rsid w:val="6FF21F24"/>
    <w:rsid w:val="6FFE45DF"/>
    <w:rsid w:val="7011405C"/>
    <w:rsid w:val="701E0061"/>
    <w:rsid w:val="70237AD7"/>
    <w:rsid w:val="70855E93"/>
    <w:rsid w:val="70B678F6"/>
    <w:rsid w:val="70CB40BA"/>
    <w:rsid w:val="710B2708"/>
    <w:rsid w:val="711A35E8"/>
    <w:rsid w:val="71285EA9"/>
    <w:rsid w:val="715A2A8E"/>
    <w:rsid w:val="716233E1"/>
    <w:rsid w:val="71A617A0"/>
    <w:rsid w:val="71B17E90"/>
    <w:rsid w:val="71CB34A9"/>
    <w:rsid w:val="71F32927"/>
    <w:rsid w:val="71FC3A2A"/>
    <w:rsid w:val="722E221A"/>
    <w:rsid w:val="72330117"/>
    <w:rsid w:val="7250526E"/>
    <w:rsid w:val="7282400E"/>
    <w:rsid w:val="72C57F04"/>
    <w:rsid w:val="72C82C09"/>
    <w:rsid w:val="73397A01"/>
    <w:rsid w:val="73A17354"/>
    <w:rsid w:val="73A660AD"/>
    <w:rsid w:val="73E241C9"/>
    <w:rsid w:val="73EF1744"/>
    <w:rsid w:val="74392BD3"/>
    <w:rsid w:val="74424693"/>
    <w:rsid w:val="74483D9C"/>
    <w:rsid w:val="74597C2E"/>
    <w:rsid w:val="74B81C7F"/>
    <w:rsid w:val="74C23AFE"/>
    <w:rsid w:val="74D87F9C"/>
    <w:rsid w:val="74DE2955"/>
    <w:rsid w:val="74E44835"/>
    <w:rsid w:val="74EE7775"/>
    <w:rsid w:val="74FF32DA"/>
    <w:rsid w:val="75330480"/>
    <w:rsid w:val="754E2B4A"/>
    <w:rsid w:val="75864A53"/>
    <w:rsid w:val="75A1188D"/>
    <w:rsid w:val="75B82178"/>
    <w:rsid w:val="75DB1837"/>
    <w:rsid w:val="75E03EEC"/>
    <w:rsid w:val="76047841"/>
    <w:rsid w:val="76272E23"/>
    <w:rsid w:val="76342B91"/>
    <w:rsid w:val="763A62CD"/>
    <w:rsid w:val="765E2B78"/>
    <w:rsid w:val="767C19B2"/>
    <w:rsid w:val="76B03EE1"/>
    <w:rsid w:val="76B512F4"/>
    <w:rsid w:val="76C61E58"/>
    <w:rsid w:val="76FD0D45"/>
    <w:rsid w:val="772C1C69"/>
    <w:rsid w:val="773F310C"/>
    <w:rsid w:val="77492EAE"/>
    <w:rsid w:val="777F9F48"/>
    <w:rsid w:val="77936C82"/>
    <w:rsid w:val="77A73835"/>
    <w:rsid w:val="77D807CB"/>
    <w:rsid w:val="78107F3E"/>
    <w:rsid w:val="783A1420"/>
    <w:rsid w:val="784142FD"/>
    <w:rsid w:val="786A6761"/>
    <w:rsid w:val="787C54EB"/>
    <w:rsid w:val="78C0202A"/>
    <w:rsid w:val="78DA1DD6"/>
    <w:rsid w:val="795F6ED9"/>
    <w:rsid w:val="796353ED"/>
    <w:rsid w:val="79A97746"/>
    <w:rsid w:val="7A0C1712"/>
    <w:rsid w:val="7A1542B7"/>
    <w:rsid w:val="7A2A48D3"/>
    <w:rsid w:val="7A3E4C91"/>
    <w:rsid w:val="7A3F097E"/>
    <w:rsid w:val="7A901C38"/>
    <w:rsid w:val="7AA96EF6"/>
    <w:rsid w:val="7AEE0702"/>
    <w:rsid w:val="7AF93CBA"/>
    <w:rsid w:val="7B55315C"/>
    <w:rsid w:val="7B851DD5"/>
    <w:rsid w:val="7B911A04"/>
    <w:rsid w:val="7BBFC817"/>
    <w:rsid w:val="7BCB2820"/>
    <w:rsid w:val="7BE17EF8"/>
    <w:rsid w:val="7BFB6D89"/>
    <w:rsid w:val="7C1C3A1B"/>
    <w:rsid w:val="7C3F7CF0"/>
    <w:rsid w:val="7C5675D4"/>
    <w:rsid w:val="7C6D6A29"/>
    <w:rsid w:val="7C7C1E3D"/>
    <w:rsid w:val="7CC94B63"/>
    <w:rsid w:val="7CCD524A"/>
    <w:rsid w:val="7CDFEF79"/>
    <w:rsid w:val="7CE076F9"/>
    <w:rsid w:val="7CE209E7"/>
    <w:rsid w:val="7CE44792"/>
    <w:rsid w:val="7D183B71"/>
    <w:rsid w:val="7D352CF7"/>
    <w:rsid w:val="7D6547B5"/>
    <w:rsid w:val="7DA65174"/>
    <w:rsid w:val="7DC66335"/>
    <w:rsid w:val="7DCC5EC9"/>
    <w:rsid w:val="7DF7859C"/>
    <w:rsid w:val="7E0A3FF3"/>
    <w:rsid w:val="7E286CCD"/>
    <w:rsid w:val="7E9B156F"/>
    <w:rsid w:val="7EA95998"/>
    <w:rsid w:val="7ECB73D7"/>
    <w:rsid w:val="7EEC2333"/>
    <w:rsid w:val="7EF7625A"/>
    <w:rsid w:val="7F1E431F"/>
    <w:rsid w:val="7F2C21C7"/>
    <w:rsid w:val="7F470C50"/>
    <w:rsid w:val="7F583FDB"/>
    <w:rsid w:val="7F5C2B0E"/>
    <w:rsid w:val="7F5E7A87"/>
    <w:rsid w:val="7F65392B"/>
    <w:rsid w:val="7F7AEAE7"/>
    <w:rsid w:val="7F8C7F08"/>
    <w:rsid w:val="7FA7649F"/>
    <w:rsid w:val="7FB32B81"/>
    <w:rsid w:val="7FB87492"/>
    <w:rsid w:val="7FCB5142"/>
    <w:rsid w:val="7FDDD8AB"/>
    <w:rsid w:val="7FFE219F"/>
    <w:rsid w:val="99FD713B"/>
    <w:rsid w:val="9FFFC215"/>
    <w:rsid w:val="A4E72445"/>
    <w:rsid w:val="ABFE4360"/>
    <w:rsid w:val="BD3D4CDC"/>
    <w:rsid w:val="BDE72652"/>
    <w:rsid w:val="BFF5A9F4"/>
    <w:rsid w:val="C2FF773C"/>
    <w:rsid w:val="C6AD4FE6"/>
    <w:rsid w:val="CBDCAC3D"/>
    <w:rsid w:val="D69F6F51"/>
    <w:rsid w:val="D77FA4D7"/>
    <w:rsid w:val="D7DB0876"/>
    <w:rsid w:val="D7DDB621"/>
    <w:rsid w:val="DCCF5BA3"/>
    <w:rsid w:val="DF763202"/>
    <w:rsid w:val="DFB5C16D"/>
    <w:rsid w:val="E2DD5369"/>
    <w:rsid w:val="E3C826EB"/>
    <w:rsid w:val="E5EE3E23"/>
    <w:rsid w:val="E7AE79B1"/>
    <w:rsid w:val="E92F0A6B"/>
    <w:rsid w:val="E9B3F8DE"/>
    <w:rsid w:val="EFFBFB31"/>
    <w:rsid w:val="F565C320"/>
    <w:rsid w:val="F7550B7B"/>
    <w:rsid w:val="F77F6CF0"/>
    <w:rsid w:val="F7FFD65A"/>
    <w:rsid w:val="F96B3E5A"/>
    <w:rsid w:val="FAFE20E7"/>
    <w:rsid w:val="FC767E5F"/>
    <w:rsid w:val="FEF886EB"/>
    <w:rsid w:val="FEF91212"/>
    <w:rsid w:val="FF5F0D76"/>
    <w:rsid w:val="FFBFA17E"/>
    <w:rsid w:val="FFDB8D4E"/>
    <w:rsid w:val="FFF7C8B3"/>
    <w:rsid w:val="FFF7DC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7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5">
    <w:name w:val="heading 3"/>
    <w:basedOn w:val="1"/>
    <w:next w:val="1"/>
    <w:link w:val="51"/>
    <w:qFormat/>
    <w:uiPriority w:val="0"/>
    <w:pPr>
      <w:keepNext/>
      <w:keepLines/>
      <w:numPr>
        <w:ilvl w:val="2"/>
        <w:numId w:val="1"/>
      </w:numPr>
      <w:spacing w:before="260" w:after="260" w:line="415" w:lineRule="auto"/>
      <w:outlineLvl w:val="2"/>
    </w:pPr>
    <w:rPr>
      <w:b/>
      <w:bCs/>
      <w:kern w:val="0"/>
      <w:sz w:val="32"/>
      <w:szCs w:val="32"/>
    </w:rPr>
  </w:style>
  <w:style w:type="paragraph" w:styleId="6">
    <w:name w:val="heading 4"/>
    <w:basedOn w:val="1"/>
    <w:next w:val="1"/>
    <w:link w:val="52"/>
    <w:qFormat/>
    <w:uiPriority w:val="0"/>
    <w:pPr>
      <w:keepNext/>
      <w:keepLines/>
      <w:spacing w:before="280" w:after="290" w:line="372" w:lineRule="auto"/>
      <w:outlineLvl w:val="3"/>
    </w:pPr>
    <w:rPr>
      <w:rFonts w:ascii="Arial" w:hAnsi="Arial" w:eastAsia="黑体"/>
      <w:b/>
      <w:bCs/>
      <w:kern w:val="0"/>
      <w:sz w:val="28"/>
      <w:szCs w:val="28"/>
    </w:rPr>
  </w:style>
  <w:style w:type="paragraph" w:styleId="7">
    <w:name w:val="heading 5"/>
    <w:basedOn w:val="1"/>
    <w:next w:val="1"/>
    <w:link w:val="53"/>
    <w:qFormat/>
    <w:uiPriority w:val="0"/>
    <w:pPr>
      <w:keepNext/>
      <w:keepLines/>
      <w:spacing w:before="280" w:after="290" w:line="372" w:lineRule="auto"/>
      <w:outlineLvl w:val="4"/>
    </w:pPr>
    <w:rPr>
      <w:b/>
      <w:bCs/>
      <w:kern w:val="0"/>
      <w:sz w:val="28"/>
      <w:szCs w:val="28"/>
    </w:rPr>
  </w:style>
  <w:style w:type="paragraph" w:styleId="8">
    <w:name w:val="heading 6"/>
    <w:basedOn w:val="1"/>
    <w:next w:val="1"/>
    <w:qFormat/>
    <w:uiPriority w:val="0"/>
    <w:pPr>
      <w:keepNext/>
      <w:keepLines/>
      <w:numPr>
        <w:ilvl w:val="5"/>
        <w:numId w:val="2"/>
      </w:numPr>
      <w:tabs>
        <w:tab w:val="left" w:pos="1873"/>
      </w:tabs>
      <w:spacing w:before="160" w:after="120" w:line="240" w:lineRule="auto"/>
      <w:ind w:firstLineChars="0"/>
      <w:outlineLvl w:val="5"/>
    </w:pPr>
    <w:rPr>
      <w:rFonts w:eastAsia="黑体"/>
      <w:b/>
      <w:bCs/>
      <w:szCs w:val="24"/>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7"/>
    <w:qFormat/>
    <w:uiPriority w:val="0"/>
    <w:pPr>
      <w:spacing w:after="120"/>
    </w:pPr>
    <w:rPr>
      <w:kern w:val="0"/>
      <w:sz w:val="28"/>
    </w:rPr>
  </w:style>
  <w:style w:type="paragraph" w:styleId="9">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0">
    <w:name w:val="Normal Indent"/>
    <w:basedOn w:val="1"/>
    <w:next w:val="1"/>
    <w:qFormat/>
    <w:uiPriority w:val="0"/>
    <w:pPr>
      <w:numPr>
        <w:ilvl w:val="0"/>
        <w:numId w:val="3"/>
      </w:numPr>
      <w:ind w:left="0" w:firstLine="420"/>
    </w:pPr>
    <w:rPr>
      <w:szCs w:val="20"/>
    </w:rPr>
  </w:style>
  <w:style w:type="paragraph" w:styleId="11">
    <w:name w:val="caption"/>
    <w:basedOn w:val="1"/>
    <w:next w:val="1"/>
    <w:qFormat/>
    <w:uiPriority w:val="0"/>
    <w:pPr>
      <w:numPr>
        <w:ilvl w:val="0"/>
        <w:numId w:val="4"/>
      </w:numPr>
      <w:spacing w:before="152" w:after="160"/>
      <w:ind w:left="0" w:firstLine="0"/>
    </w:pPr>
    <w:rPr>
      <w:rFonts w:ascii="Arial" w:hAnsi="Arial" w:eastAsia="黑体" w:cs="Arial"/>
      <w:sz w:val="20"/>
      <w:szCs w:val="20"/>
    </w:rPr>
  </w:style>
  <w:style w:type="paragraph" w:styleId="12">
    <w:name w:val="Document Map"/>
    <w:basedOn w:val="1"/>
    <w:link w:val="54"/>
    <w:qFormat/>
    <w:uiPriority w:val="0"/>
    <w:pPr>
      <w:shd w:val="clear" w:color="auto" w:fill="000080"/>
    </w:pPr>
    <w:rPr>
      <w:kern w:val="0"/>
      <w:sz w:val="20"/>
    </w:rPr>
  </w:style>
  <w:style w:type="paragraph" w:styleId="13">
    <w:name w:val="annotation text"/>
    <w:basedOn w:val="1"/>
    <w:link w:val="55"/>
    <w:qFormat/>
    <w:uiPriority w:val="0"/>
    <w:pPr>
      <w:jc w:val="left"/>
    </w:pPr>
    <w:rPr>
      <w:kern w:val="0"/>
      <w:sz w:val="20"/>
      <w:szCs w:val="20"/>
    </w:rPr>
  </w:style>
  <w:style w:type="paragraph" w:styleId="14">
    <w:name w:val="Body Text 3"/>
    <w:basedOn w:val="1"/>
    <w:link w:val="56"/>
    <w:qFormat/>
    <w:uiPriority w:val="0"/>
    <w:pPr>
      <w:numPr>
        <w:ilvl w:val="0"/>
        <w:numId w:val="5"/>
      </w:numPr>
      <w:snapToGrid w:val="0"/>
      <w:spacing w:before="50" w:after="50"/>
      <w:ind w:left="0" w:firstLine="0"/>
    </w:pPr>
    <w:rPr>
      <w:rFonts w:eastAsia="仿宋_GB2312"/>
      <w:b/>
      <w:bCs/>
      <w:kern w:val="0"/>
      <w:sz w:val="24"/>
      <w:szCs w:val="20"/>
    </w:rPr>
  </w:style>
  <w:style w:type="paragraph" w:styleId="15">
    <w:name w:val="Body Text Indent"/>
    <w:basedOn w:val="1"/>
    <w:next w:val="1"/>
    <w:link w:val="58"/>
    <w:qFormat/>
    <w:uiPriority w:val="0"/>
    <w:pPr>
      <w:spacing w:line="200" w:lineRule="exact"/>
      <w:ind w:firstLine="301"/>
    </w:pPr>
    <w:rPr>
      <w:rFonts w:ascii="宋体"/>
      <w:spacing w:val="-4"/>
      <w:kern w:val="0"/>
      <w:sz w:val="18"/>
      <w:szCs w:val="20"/>
    </w:rPr>
  </w:style>
  <w:style w:type="paragraph" w:styleId="16">
    <w:name w:val="List Number 3"/>
    <w:basedOn w:val="1"/>
    <w:qFormat/>
    <w:uiPriority w:val="0"/>
    <w:pPr>
      <w:tabs>
        <w:tab w:val="left" w:pos="1200"/>
      </w:tabs>
      <w:ind w:left="1200" w:hanging="360"/>
    </w:pPr>
  </w:style>
  <w:style w:type="paragraph" w:styleId="17">
    <w:name w:val="List 2"/>
    <w:basedOn w:val="1"/>
    <w:qFormat/>
    <w:uiPriority w:val="0"/>
    <w:pPr>
      <w:numPr>
        <w:ilvl w:val="0"/>
        <w:numId w:val="6"/>
      </w:numPr>
      <w:ind w:left="400" w:leftChars="200" w:hanging="200" w:hangingChars="200"/>
    </w:pPr>
    <w:rPr>
      <w:sz w:val="28"/>
    </w:rPr>
  </w:style>
  <w:style w:type="paragraph" w:styleId="18">
    <w:name w:val="toc 3"/>
    <w:basedOn w:val="1"/>
    <w:next w:val="1"/>
    <w:qFormat/>
    <w:uiPriority w:val="39"/>
    <w:pPr>
      <w:ind w:left="400" w:leftChars="400"/>
    </w:pPr>
  </w:style>
  <w:style w:type="paragraph" w:styleId="19">
    <w:name w:val="Plain Text"/>
    <w:basedOn w:val="1"/>
    <w:next w:val="1"/>
    <w:link w:val="59"/>
    <w:qFormat/>
    <w:uiPriority w:val="0"/>
    <w:pPr>
      <w:spacing w:beforeLines="50" w:afterLines="50" w:line="400" w:lineRule="exact"/>
    </w:pPr>
    <w:rPr>
      <w:rFonts w:ascii="宋体"/>
      <w:kern w:val="0"/>
      <w:sz w:val="24"/>
    </w:rPr>
  </w:style>
  <w:style w:type="paragraph" w:styleId="20">
    <w:name w:val="Date"/>
    <w:basedOn w:val="1"/>
    <w:next w:val="1"/>
    <w:link w:val="60"/>
    <w:qFormat/>
    <w:uiPriority w:val="0"/>
    <w:pPr>
      <w:numPr>
        <w:ilvl w:val="0"/>
        <w:numId w:val="7"/>
      </w:numPr>
      <w:ind w:left="2500" w:leftChars="2500" w:firstLine="0"/>
    </w:pPr>
    <w:rPr>
      <w:rFonts w:eastAsia="楷体_GB2312"/>
      <w:kern w:val="0"/>
      <w:sz w:val="32"/>
      <w:szCs w:val="20"/>
    </w:rPr>
  </w:style>
  <w:style w:type="paragraph" w:styleId="21">
    <w:name w:val="Body Text Indent 2"/>
    <w:basedOn w:val="1"/>
    <w:link w:val="61"/>
    <w:qFormat/>
    <w:uiPriority w:val="0"/>
    <w:pPr>
      <w:snapToGrid w:val="0"/>
      <w:ind w:firstLine="225" w:firstLineChars="225"/>
    </w:pPr>
    <w:rPr>
      <w:rFonts w:ascii="仿宋_GB2312" w:hAnsi="仿宋_GB2312"/>
      <w:b/>
      <w:bCs/>
      <w:color w:val="000000"/>
      <w:kern w:val="0"/>
      <w:sz w:val="24"/>
    </w:rPr>
  </w:style>
  <w:style w:type="paragraph" w:styleId="22">
    <w:name w:val="Balloon Text"/>
    <w:basedOn w:val="1"/>
    <w:link w:val="62"/>
    <w:qFormat/>
    <w:uiPriority w:val="99"/>
    <w:rPr>
      <w:kern w:val="0"/>
      <w:sz w:val="18"/>
      <w:szCs w:val="18"/>
    </w:rPr>
  </w:style>
  <w:style w:type="paragraph" w:styleId="23">
    <w:name w:val="footer"/>
    <w:basedOn w:val="1"/>
    <w:link w:val="63"/>
    <w:unhideWhenUsed/>
    <w:qFormat/>
    <w:uiPriority w:val="99"/>
    <w:pPr>
      <w:tabs>
        <w:tab w:val="center" w:pos="4153"/>
        <w:tab w:val="right" w:pos="8306"/>
      </w:tabs>
      <w:snapToGrid w:val="0"/>
      <w:jc w:val="left"/>
    </w:pPr>
    <w:rPr>
      <w:rFonts w:ascii="Calibri" w:hAnsi="Calibri"/>
      <w:kern w:val="0"/>
      <w:sz w:val="18"/>
      <w:szCs w:val="18"/>
    </w:rPr>
  </w:style>
  <w:style w:type="paragraph" w:styleId="24">
    <w:name w:val="envelope return"/>
    <w:basedOn w:val="1"/>
    <w:unhideWhenUsed/>
    <w:qFormat/>
    <w:uiPriority w:val="99"/>
    <w:pPr>
      <w:snapToGrid w:val="0"/>
      <w:spacing w:line="280" w:lineRule="exact"/>
    </w:pPr>
    <w:rPr>
      <w:rFonts w:ascii="Arial" w:hAnsi="Arial"/>
    </w:rPr>
  </w:style>
  <w:style w:type="paragraph" w:styleId="25">
    <w:name w:val="header"/>
    <w:basedOn w:val="1"/>
    <w:link w:val="64"/>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6">
    <w:name w:val="toc 1"/>
    <w:basedOn w:val="1"/>
    <w:next w:val="1"/>
    <w:qFormat/>
    <w:uiPriority w:val="39"/>
  </w:style>
  <w:style w:type="paragraph" w:styleId="27">
    <w:name w:val="Subtitle"/>
    <w:basedOn w:val="1"/>
    <w:next w:val="1"/>
    <w:link w:val="65"/>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qFormat/>
    <w:uiPriority w:val="0"/>
    <w:pPr>
      <w:ind w:left="200" w:hanging="200" w:hangingChars="200"/>
    </w:pPr>
    <w:rPr>
      <w:sz w:val="28"/>
    </w:rPr>
  </w:style>
  <w:style w:type="paragraph" w:styleId="29">
    <w:name w:val="toc 6"/>
    <w:basedOn w:val="1"/>
    <w:next w:val="1"/>
    <w:qFormat/>
    <w:uiPriority w:val="0"/>
    <w:pPr>
      <w:ind w:left="1400"/>
    </w:pPr>
    <w:rPr>
      <w:rFonts w:ascii="Calibri"/>
      <w:sz w:val="18"/>
      <w:szCs w:val="18"/>
    </w:rPr>
  </w:style>
  <w:style w:type="paragraph" w:styleId="30">
    <w:name w:val="Body Text Indent 3"/>
    <w:basedOn w:val="1"/>
    <w:link w:val="66"/>
    <w:qFormat/>
    <w:uiPriority w:val="0"/>
    <w:pPr>
      <w:numPr>
        <w:ilvl w:val="0"/>
        <w:numId w:val="8"/>
      </w:numPr>
      <w:snapToGrid w:val="0"/>
      <w:ind w:left="0" w:firstLine="200" w:firstLineChars="200"/>
      <w:jc w:val="left"/>
    </w:pPr>
    <w:rPr>
      <w:rFonts w:ascii="仿宋_GB2312" w:eastAsia="仿宋_GB2312"/>
      <w:color w:val="000000"/>
      <w:kern w:val="0"/>
      <w:sz w:val="24"/>
    </w:rPr>
  </w:style>
  <w:style w:type="paragraph" w:styleId="31">
    <w:name w:val="toc 2"/>
    <w:basedOn w:val="1"/>
    <w:next w:val="1"/>
    <w:qFormat/>
    <w:uiPriority w:val="39"/>
    <w:pPr>
      <w:ind w:left="200" w:leftChars="200"/>
    </w:pPr>
  </w:style>
  <w:style w:type="paragraph" w:styleId="32">
    <w:name w:val="Body Text 2"/>
    <w:basedOn w:val="1"/>
    <w:link w:val="67"/>
    <w:qFormat/>
    <w:uiPriority w:val="0"/>
    <w:pPr>
      <w:widowControl/>
      <w:snapToGrid w:val="0"/>
      <w:spacing w:before="50" w:afterLines="50" w:line="400" w:lineRule="exact"/>
      <w:jc w:val="left"/>
    </w:pPr>
    <w:rPr>
      <w:rFonts w:ascii="宋体"/>
      <w:color w:val="000000"/>
      <w:kern w:val="0"/>
      <w:sz w:val="24"/>
    </w:rPr>
  </w:style>
  <w:style w:type="paragraph" w:styleId="33">
    <w:name w:val="HTML Preformatted"/>
    <w:basedOn w:val="1"/>
    <w:link w:val="68"/>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4">
    <w:name w:val="Normal (Web)"/>
    <w:basedOn w:val="1"/>
    <w:qFormat/>
    <w:uiPriority w:val="0"/>
    <w:pPr>
      <w:widowControl/>
      <w:spacing w:before="100" w:beforeAutospacing="1" w:after="100" w:afterAutospacing="1"/>
      <w:jc w:val="left"/>
    </w:pPr>
    <w:rPr>
      <w:kern w:val="0"/>
      <w:sz w:val="24"/>
    </w:rPr>
  </w:style>
  <w:style w:type="paragraph" w:styleId="35">
    <w:name w:val="Title"/>
    <w:basedOn w:val="1"/>
    <w:next w:val="1"/>
    <w:qFormat/>
    <w:uiPriority w:val="0"/>
    <w:pPr>
      <w:spacing w:before="240" w:after="60"/>
      <w:jc w:val="center"/>
      <w:outlineLvl w:val="0"/>
    </w:pPr>
    <w:rPr>
      <w:rFonts w:ascii="Cambria" w:hAnsi="Cambria"/>
      <w:b/>
      <w:sz w:val="32"/>
    </w:rPr>
  </w:style>
  <w:style w:type="paragraph" w:styleId="36">
    <w:name w:val="annotation subject"/>
    <w:basedOn w:val="13"/>
    <w:next w:val="13"/>
    <w:link w:val="69"/>
    <w:qFormat/>
    <w:uiPriority w:val="0"/>
  </w:style>
  <w:style w:type="paragraph" w:styleId="37">
    <w:name w:val="Body Text First Indent"/>
    <w:basedOn w:val="2"/>
    <w:next w:val="1"/>
    <w:qFormat/>
    <w:uiPriority w:val="0"/>
    <w:pPr>
      <w:ind w:firstLine="420" w:firstLineChars="100"/>
    </w:pPr>
  </w:style>
  <w:style w:type="paragraph" w:styleId="38">
    <w:name w:val="Body Text First Indent 2"/>
    <w:basedOn w:val="15"/>
    <w:link w:val="70"/>
    <w:unhideWhenUsed/>
    <w:qFormat/>
    <w:uiPriority w:val="99"/>
    <w:pPr>
      <w:spacing w:after="120" w:line="240" w:lineRule="auto"/>
      <w:ind w:left="420" w:leftChars="200" w:firstLine="420" w:firstLineChars="200"/>
    </w:pPr>
    <w:rPr>
      <w:rFonts w:ascii="Times New Roman"/>
      <w:kern w:val="2"/>
      <w:sz w:val="21"/>
      <w:szCs w:val="24"/>
    </w:rPr>
  </w:style>
  <w:style w:type="table" w:styleId="40">
    <w:name w:val="Table Grid"/>
    <w:basedOn w:val="3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qFormat/>
    <w:uiPriority w:val="0"/>
  </w:style>
  <w:style w:type="character" w:styleId="44">
    <w:name w:val="FollowedHyperlink"/>
    <w:qFormat/>
    <w:uiPriority w:val="99"/>
    <w:rPr>
      <w:color w:val="800080"/>
      <w:u w:val="single"/>
    </w:rPr>
  </w:style>
  <w:style w:type="character" w:styleId="45">
    <w:name w:val="Emphasis"/>
    <w:qFormat/>
    <w:uiPriority w:val="20"/>
    <w:rPr>
      <w:color w:val="CC0000"/>
    </w:rPr>
  </w:style>
  <w:style w:type="character" w:styleId="46">
    <w:name w:val="HTML Acronym"/>
    <w:qFormat/>
    <w:uiPriority w:val="0"/>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标题 2 Char2"/>
    <w:link w:val="4"/>
    <w:qFormat/>
    <w:uiPriority w:val="0"/>
    <w:rPr>
      <w:rFonts w:ascii="Arial" w:hAnsi="Arial" w:eastAsia="黑体"/>
      <w:b/>
      <w:bCs/>
      <w:sz w:val="32"/>
      <w:szCs w:val="32"/>
    </w:rPr>
  </w:style>
  <w:style w:type="character" w:customStyle="1" w:styleId="50">
    <w:name w:val="标题 1 Char2"/>
    <w:link w:val="3"/>
    <w:qFormat/>
    <w:uiPriority w:val="0"/>
    <w:rPr>
      <w:rFonts w:ascii="Times New Roman" w:hAnsi="Times New Roman" w:eastAsia="宋体" w:cs="Times New Roman"/>
      <w:b/>
      <w:bCs/>
      <w:kern w:val="44"/>
      <w:sz w:val="44"/>
      <w:szCs w:val="44"/>
    </w:rPr>
  </w:style>
  <w:style w:type="character" w:customStyle="1" w:styleId="51">
    <w:name w:val="标题 3 Char2"/>
    <w:link w:val="5"/>
    <w:qFormat/>
    <w:uiPriority w:val="0"/>
    <w:rPr>
      <w:rFonts w:ascii="Times New Roman" w:hAnsi="Times New Roman"/>
      <w:b/>
      <w:bCs/>
      <w:sz w:val="32"/>
      <w:szCs w:val="32"/>
    </w:rPr>
  </w:style>
  <w:style w:type="character" w:customStyle="1" w:styleId="52">
    <w:name w:val="标题 4 Char2"/>
    <w:link w:val="6"/>
    <w:qFormat/>
    <w:uiPriority w:val="0"/>
    <w:rPr>
      <w:rFonts w:ascii="Arial" w:hAnsi="Arial" w:eastAsia="黑体" w:cs="Times New Roman"/>
      <w:b/>
      <w:bCs/>
      <w:sz w:val="28"/>
      <w:szCs w:val="28"/>
    </w:rPr>
  </w:style>
  <w:style w:type="character" w:customStyle="1" w:styleId="53">
    <w:name w:val="标题 5 Char2"/>
    <w:link w:val="7"/>
    <w:qFormat/>
    <w:uiPriority w:val="0"/>
    <w:rPr>
      <w:rFonts w:ascii="Times New Roman" w:hAnsi="Times New Roman" w:eastAsia="宋体" w:cs="Times New Roman"/>
      <w:b/>
      <w:bCs/>
      <w:sz w:val="28"/>
      <w:szCs w:val="28"/>
    </w:rPr>
  </w:style>
  <w:style w:type="character" w:customStyle="1" w:styleId="54">
    <w:name w:val="文档结构图 Char2"/>
    <w:link w:val="12"/>
    <w:qFormat/>
    <w:uiPriority w:val="0"/>
    <w:rPr>
      <w:rFonts w:ascii="Times New Roman" w:hAnsi="Times New Roman" w:eastAsia="宋体" w:cs="Times New Roman"/>
      <w:szCs w:val="24"/>
      <w:shd w:val="clear" w:color="auto" w:fill="000080"/>
    </w:rPr>
  </w:style>
  <w:style w:type="character" w:customStyle="1" w:styleId="55">
    <w:name w:val="批注文字 Char3"/>
    <w:link w:val="13"/>
    <w:qFormat/>
    <w:uiPriority w:val="0"/>
    <w:rPr>
      <w:rFonts w:ascii="Times New Roman" w:hAnsi="Times New Roman" w:eastAsia="宋体" w:cs="Times New Roman"/>
      <w:szCs w:val="20"/>
    </w:rPr>
  </w:style>
  <w:style w:type="character" w:customStyle="1" w:styleId="56">
    <w:name w:val="正文文本 3 Char2"/>
    <w:link w:val="14"/>
    <w:qFormat/>
    <w:uiPriority w:val="0"/>
    <w:rPr>
      <w:rFonts w:ascii="Times New Roman" w:hAnsi="Times New Roman" w:eastAsia="仿宋_GB2312"/>
      <w:b/>
      <w:bCs/>
      <w:sz w:val="24"/>
    </w:rPr>
  </w:style>
  <w:style w:type="character" w:customStyle="1" w:styleId="57">
    <w:name w:val="正文文本 Char2"/>
    <w:link w:val="2"/>
    <w:qFormat/>
    <w:uiPriority w:val="0"/>
    <w:rPr>
      <w:rFonts w:ascii="Times New Roman" w:hAnsi="Times New Roman" w:eastAsia="宋体" w:cs="Times New Roman"/>
      <w:sz w:val="28"/>
      <w:szCs w:val="24"/>
    </w:rPr>
  </w:style>
  <w:style w:type="character" w:customStyle="1" w:styleId="58">
    <w:name w:val="正文文本缩进 Char2"/>
    <w:link w:val="15"/>
    <w:qFormat/>
    <w:uiPriority w:val="0"/>
    <w:rPr>
      <w:rFonts w:ascii="宋体" w:hAnsi="Times New Roman" w:eastAsia="宋体" w:cs="Times New Roman"/>
      <w:spacing w:val="-4"/>
      <w:sz w:val="18"/>
      <w:szCs w:val="20"/>
    </w:rPr>
  </w:style>
  <w:style w:type="character" w:customStyle="1" w:styleId="59">
    <w:name w:val="纯文本 Char3"/>
    <w:link w:val="19"/>
    <w:qFormat/>
    <w:uiPriority w:val="0"/>
    <w:rPr>
      <w:rFonts w:ascii="宋体" w:hAnsi="Times New Roman" w:eastAsia="宋体" w:cs="Times New Roman"/>
      <w:sz w:val="24"/>
      <w:szCs w:val="24"/>
    </w:rPr>
  </w:style>
  <w:style w:type="character" w:customStyle="1" w:styleId="60">
    <w:name w:val="日期 Char2"/>
    <w:link w:val="20"/>
    <w:qFormat/>
    <w:uiPriority w:val="0"/>
    <w:rPr>
      <w:rFonts w:ascii="Times New Roman" w:hAnsi="Times New Roman" w:eastAsia="楷体_GB2312"/>
      <w:sz w:val="32"/>
    </w:rPr>
  </w:style>
  <w:style w:type="character" w:customStyle="1" w:styleId="61">
    <w:name w:val="正文文本缩进 2 Char2"/>
    <w:link w:val="21"/>
    <w:qFormat/>
    <w:uiPriority w:val="0"/>
    <w:rPr>
      <w:rFonts w:ascii="仿宋_GB2312" w:hAnsi="仿宋_GB2312" w:eastAsia="宋体" w:cs="Times New Roman"/>
      <w:b/>
      <w:bCs/>
      <w:color w:val="000000"/>
      <w:sz w:val="24"/>
      <w:szCs w:val="24"/>
    </w:rPr>
  </w:style>
  <w:style w:type="character" w:customStyle="1" w:styleId="62">
    <w:name w:val="批注框文本 Char2"/>
    <w:link w:val="22"/>
    <w:qFormat/>
    <w:uiPriority w:val="99"/>
    <w:rPr>
      <w:rFonts w:ascii="Times New Roman" w:hAnsi="Times New Roman" w:eastAsia="宋体" w:cs="Times New Roman"/>
      <w:sz w:val="18"/>
      <w:szCs w:val="18"/>
    </w:rPr>
  </w:style>
  <w:style w:type="character" w:customStyle="1" w:styleId="63">
    <w:name w:val="页脚 Char3"/>
    <w:link w:val="23"/>
    <w:qFormat/>
    <w:uiPriority w:val="99"/>
    <w:rPr>
      <w:sz w:val="18"/>
      <w:szCs w:val="18"/>
    </w:rPr>
  </w:style>
  <w:style w:type="character" w:customStyle="1" w:styleId="64">
    <w:name w:val="页眉 Char2"/>
    <w:link w:val="25"/>
    <w:qFormat/>
    <w:uiPriority w:val="99"/>
    <w:rPr>
      <w:sz w:val="18"/>
      <w:szCs w:val="18"/>
    </w:rPr>
  </w:style>
  <w:style w:type="character" w:customStyle="1" w:styleId="65">
    <w:name w:val="副标题 Char3"/>
    <w:link w:val="27"/>
    <w:qFormat/>
    <w:uiPriority w:val="0"/>
    <w:rPr>
      <w:rFonts w:ascii="Cambria" w:hAnsi="Cambria"/>
      <w:b/>
      <w:bCs/>
      <w:kern w:val="28"/>
      <w:sz w:val="32"/>
      <w:szCs w:val="32"/>
    </w:rPr>
  </w:style>
  <w:style w:type="character" w:customStyle="1" w:styleId="66">
    <w:name w:val="正文文本缩进 3 Char2"/>
    <w:link w:val="30"/>
    <w:qFormat/>
    <w:uiPriority w:val="0"/>
    <w:rPr>
      <w:rFonts w:ascii="仿宋_GB2312" w:hAnsi="Times New Roman" w:eastAsia="仿宋_GB2312"/>
      <w:color w:val="000000"/>
      <w:sz w:val="24"/>
      <w:szCs w:val="24"/>
    </w:rPr>
  </w:style>
  <w:style w:type="character" w:customStyle="1" w:styleId="67">
    <w:name w:val="正文文本 2 Char2"/>
    <w:link w:val="32"/>
    <w:qFormat/>
    <w:uiPriority w:val="0"/>
    <w:rPr>
      <w:rFonts w:ascii="宋体" w:hAnsi="Times New Roman" w:eastAsia="宋体" w:cs="Times New Roman"/>
      <w:color w:val="000000"/>
      <w:sz w:val="24"/>
      <w:szCs w:val="24"/>
    </w:rPr>
  </w:style>
  <w:style w:type="character" w:customStyle="1" w:styleId="68">
    <w:name w:val="HTML 预设格式 Char2"/>
    <w:link w:val="33"/>
    <w:qFormat/>
    <w:uiPriority w:val="0"/>
    <w:rPr>
      <w:rFonts w:ascii="宋体" w:hAnsi="宋体" w:cs="宋体"/>
      <w:sz w:val="24"/>
      <w:szCs w:val="24"/>
    </w:rPr>
  </w:style>
  <w:style w:type="character" w:customStyle="1" w:styleId="69">
    <w:name w:val="批注主题 Char2"/>
    <w:link w:val="36"/>
    <w:qFormat/>
    <w:uiPriority w:val="0"/>
    <w:rPr>
      <w:rFonts w:ascii="Times New Roman" w:hAnsi="Times New Roman" w:eastAsia="宋体" w:cs="Times New Roman"/>
      <w:szCs w:val="20"/>
    </w:rPr>
  </w:style>
  <w:style w:type="character" w:customStyle="1" w:styleId="70">
    <w:name w:val="正文首行缩进 2 Char1"/>
    <w:link w:val="38"/>
    <w:qFormat/>
    <w:uiPriority w:val="99"/>
    <w:rPr>
      <w:rFonts w:ascii="Times New Roman" w:hAnsi="Times New Roman" w:eastAsia="宋体" w:cs="Times New Roman"/>
      <w:spacing w:val="-4"/>
      <w:kern w:val="2"/>
      <w:sz w:val="21"/>
      <w:szCs w:val="24"/>
    </w:rPr>
  </w:style>
  <w:style w:type="character" w:customStyle="1" w:styleId="71">
    <w:name w:val="标题 2 字符"/>
    <w:link w:val="4"/>
    <w:qFormat/>
    <w:uiPriority w:val="0"/>
    <w:rPr>
      <w:rFonts w:ascii="Cambria" w:hAnsi="Cambria" w:eastAsia="宋体" w:cs="Times New Roman"/>
      <w:b/>
      <w:bCs/>
      <w:sz w:val="32"/>
      <w:szCs w:val="32"/>
    </w:rPr>
  </w:style>
  <w:style w:type="paragraph" w:customStyle="1" w:styleId="72">
    <w:name w:val="正文缩进1"/>
    <w:basedOn w:val="1"/>
    <w:qFormat/>
    <w:uiPriority w:val="0"/>
    <w:pPr>
      <w:spacing w:beforeLines="50" w:afterLines="50" w:line="300" w:lineRule="auto"/>
      <w:ind w:firstLine="480"/>
    </w:pPr>
    <w:rPr>
      <w:kern w:val="0"/>
      <w:lang w:val="zh-CN"/>
    </w:rPr>
  </w:style>
  <w:style w:type="paragraph" w:customStyle="1" w:styleId="73">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74">
    <w:name w:val="正文文本缩进 Char"/>
    <w:qFormat/>
    <w:uiPriority w:val="99"/>
    <w:rPr>
      <w:rFonts w:ascii="宋体" w:hAnsi="Times New Roman" w:eastAsia="宋体" w:cs="Times New Roman"/>
      <w:spacing w:val="-4"/>
      <w:sz w:val="18"/>
      <w:szCs w:val="20"/>
    </w:rPr>
  </w:style>
  <w:style w:type="character" w:customStyle="1" w:styleId="75">
    <w:name w:val="文档结构图 Char1"/>
    <w:qFormat/>
    <w:uiPriority w:val="0"/>
    <w:rPr>
      <w:rFonts w:ascii="Times New Roman" w:hAnsi="Times New Roman" w:eastAsia="宋体" w:cs="Times New Roman"/>
      <w:szCs w:val="24"/>
      <w:shd w:val="clear" w:color="auto" w:fill="000080"/>
    </w:rPr>
  </w:style>
  <w:style w:type="character" w:customStyle="1" w:styleId="76">
    <w:name w:val="日期 Char"/>
    <w:qFormat/>
    <w:uiPriority w:val="0"/>
    <w:rPr>
      <w:rFonts w:ascii="Times New Roman" w:hAnsi="Times New Roman" w:eastAsia="楷体_GB2312"/>
      <w:sz w:val="32"/>
    </w:rPr>
  </w:style>
  <w:style w:type="character" w:customStyle="1" w:styleId="77">
    <w:name w:val="HTML 预设格式 Char"/>
    <w:qFormat/>
    <w:uiPriority w:val="0"/>
    <w:rPr>
      <w:rFonts w:ascii="宋体" w:hAnsi="宋体" w:cs="宋体"/>
      <w:sz w:val="24"/>
      <w:szCs w:val="24"/>
    </w:rPr>
  </w:style>
  <w:style w:type="character" w:customStyle="1" w:styleId="78">
    <w:name w:val="标准文本 Char"/>
    <w:link w:val="79"/>
    <w:qFormat/>
    <w:locked/>
    <w:uiPriority w:val="0"/>
    <w:rPr>
      <w:lang w:val="zh-CN"/>
    </w:rPr>
  </w:style>
  <w:style w:type="paragraph" w:customStyle="1" w:styleId="79">
    <w:name w:val="标准文本"/>
    <w:basedOn w:val="1"/>
    <w:link w:val="78"/>
    <w:qFormat/>
    <w:uiPriority w:val="0"/>
    <w:pPr>
      <w:widowControl/>
      <w:spacing w:line="360" w:lineRule="auto"/>
      <w:ind w:firstLine="480" w:firstLineChars="200"/>
      <w:jc w:val="left"/>
    </w:pPr>
    <w:rPr>
      <w:rFonts w:ascii="Calibri" w:hAnsi="Calibri"/>
      <w:kern w:val="0"/>
      <w:sz w:val="20"/>
      <w:szCs w:val="20"/>
      <w:lang w:val="zh-CN"/>
    </w:rPr>
  </w:style>
  <w:style w:type="character" w:customStyle="1" w:styleId="80">
    <w:name w:val="apple-style-span"/>
    <w:qFormat/>
    <w:uiPriority w:val="0"/>
  </w:style>
  <w:style w:type="character" w:customStyle="1" w:styleId="81">
    <w:name w:val="正文文本缩进 2 Char"/>
    <w:qFormat/>
    <w:uiPriority w:val="0"/>
    <w:rPr>
      <w:rFonts w:ascii="仿宋_GB2312" w:hAnsi="仿宋_GB2312" w:eastAsia="宋体" w:cs="Times New Roman"/>
      <w:b/>
      <w:bCs/>
      <w:color w:val="000000"/>
      <w:sz w:val="24"/>
      <w:szCs w:val="24"/>
    </w:rPr>
  </w:style>
  <w:style w:type="character" w:customStyle="1" w:styleId="82">
    <w:name w:val="副标题 Char"/>
    <w:qFormat/>
    <w:uiPriority w:val="0"/>
    <w:rPr>
      <w:rFonts w:ascii="Cambria" w:hAnsi="Cambria"/>
      <w:b/>
      <w:bCs/>
      <w:kern w:val="28"/>
      <w:sz w:val="32"/>
      <w:szCs w:val="32"/>
    </w:rPr>
  </w:style>
  <w:style w:type="character" w:customStyle="1" w:styleId="83">
    <w:name w:val="font221"/>
    <w:qFormat/>
    <w:uiPriority w:val="0"/>
    <w:rPr>
      <w:rFonts w:hint="eastAsia" w:ascii="宋体" w:hAnsi="宋体" w:eastAsia="宋体" w:cs="宋体"/>
      <w:color w:val="000000"/>
      <w:sz w:val="18"/>
      <w:szCs w:val="18"/>
      <w:u w:val="none"/>
    </w:rPr>
  </w:style>
  <w:style w:type="character" w:customStyle="1" w:styleId="84">
    <w:name w:val="批注文字 Char1"/>
    <w:qFormat/>
    <w:uiPriority w:val="0"/>
    <w:rPr>
      <w:rFonts w:ascii="Times New Roman" w:hAnsi="Times New Roman" w:eastAsia="宋体" w:cs="Times New Roman"/>
      <w:szCs w:val="20"/>
    </w:rPr>
  </w:style>
  <w:style w:type="character" w:customStyle="1" w:styleId="85">
    <w:name w:val="标题 2 Char1"/>
    <w:qFormat/>
    <w:uiPriority w:val="0"/>
    <w:rPr>
      <w:rFonts w:ascii="Arial" w:hAnsi="Arial" w:eastAsia="黑体"/>
      <w:b/>
      <w:bCs/>
      <w:sz w:val="32"/>
      <w:szCs w:val="32"/>
    </w:rPr>
  </w:style>
  <w:style w:type="character" w:customStyle="1" w:styleId="86">
    <w:name w:val="页眉 Char"/>
    <w:qFormat/>
    <w:uiPriority w:val="99"/>
    <w:rPr>
      <w:sz w:val="18"/>
      <w:szCs w:val="18"/>
    </w:rPr>
  </w:style>
  <w:style w:type="character" w:styleId="87">
    <w:name w:val="Placeholder Text"/>
    <w:semiHidden/>
    <w:qFormat/>
    <w:uiPriority w:val="99"/>
    <w:rPr>
      <w:color w:val="808080"/>
    </w:rPr>
  </w:style>
  <w:style w:type="character" w:customStyle="1" w:styleId="88">
    <w:name w:val="正文文本缩进 2 Char1"/>
    <w:qFormat/>
    <w:uiPriority w:val="0"/>
    <w:rPr>
      <w:rFonts w:ascii="仿宋_GB2312" w:hAnsi="仿宋_GB2312" w:eastAsia="宋体" w:cs="Times New Roman"/>
      <w:b/>
      <w:bCs/>
      <w:color w:val="000000"/>
      <w:sz w:val="24"/>
      <w:szCs w:val="24"/>
    </w:rPr>
  </w:style>
  <w:style w:type="character" w:customStyle="1" w:styleId="89">
    <w:name w:val="正文文本 2 Char"/>
    <w:qFormat/>
    <w:uiPriority w:val="0"/>
    <w:rPr>
      <w:rFonts w:ascii="宋体" w:hAnsi="Times New Roman" w:eastAsia="宋体" w:cs="Times New Roman"/>
      <w:color w:val="000000"/>
      <w:sz w:val="24"/>
      <w:szCs w:val="24"/>
    </w:rPr>
  </w:style>
  <w:style w:type="character" w:customStyle="1" w:styleId="90">
    <w:name w:val="标题 2 Char"/>
    <w:qFormat/>
    <w:uiPriority w:val="0"/>
    <w:rPr>
      <w:rFonts w:ascii="Arial" w:hAnsi="Arial" w:eastAsia="黑体"/>
      <w:b/>
      <w:bCs/>
      <w:sz w:val="32"/>
      <w:szCs w:val="32"/>
    </w:rPr>
  </w:style>
  <w:style w:type="character" w:customStyle="1" w:styleId="91">
    <w:name w:val="纯文本 字符1"/>
    <w:qFormat/>
    <w:uiPriority w:val="0"/>
    <w:rPr>
      <w:rFonts w:ascii="宋体" w:hAnsi="Courier New" w:eastAsia="宋体"/>
      <w:kern w:val="2"/>
      <w:sz w:val="24"/>
      <w:szCs w:val="24"/>
      <w:lang w:val="en-US" w:eastAsia="zh-CN" w:bidi="ar-SA"/>
    </w:rPr>
  </w:style>
  <w:style w:type="character" w:customStyle="1" w:styleId="92">
    <w:name w:val="正文首行缩进 2 Char"/>
    <w:qFormat/>
    <w:uiPriority w:val="99"/>
  </w:style>
  <w:style w:type="character" w:customStyle="1" w:styleId="93">
    <w:name w:val="HTML 预设格式 Char1"/>
    <w:qFormat/>
    <w:uiPriority w:val="0"/>
    <w:rPr>
      <w:rFonts w:ascii="宋体" w:hAnsi="宋体" w:cs="宋体"/>
      <w:sz w:val="24"/>
      <w:szCs w:val="24"/>
    </w:rPr>
  </w:style>
  <w:style w:type="character" w:customStyle="1" w:styleId="94">
    <w:name w:val="正文文本缩进 3 Char"/>
    <w:qFormat/>
    <w:uiPriority w:val="0"/>
    <w:rPr>
      <w:rFonts w:ascii="仿宋_GB2312" w:hAnsi="Times New Roman" w:eastAsia="仿宋_GB2312"/>
      <w:color w:val="000000"/>
      <w:sz w:val="24"/>
      <w:szCs w:val="24"/>
    </w:rPr>
  </w:style>
  <w:style w:type="character" w:customStyle="1" w:styleId="95">
    <w:name w:val="批注框文本 Char"/>
    <w:qFormat/>
    <w:uiPriority w:val="99"/>
    <w:rPr>
      <w:rFonts w:ascii="Times New Roman" w:hAnsi="Times New Roman" w:eastAsia="宋体" w:cs="Times New Roman"/>
      <w:sz w:val="18"/>
      <w:szCs w:val="18"/>
    </w:rPr>
  </w:style>
  <w:style w:type="character" w:customStyle="1" w:styleId="96">
    <w:name w:val="批注文字 Char"/>
    <w:qFormat/>
    <w:uiPriority w:val="0"/>
    <w:rPr>
      <w:rFonts w:ascii="Times New Roman" w:hAnsi="Times New Roman" w:eastAsia="宋体" w:cs="Times New Roman"/>
      <w:szCs w:val="20"/>
    </w:rPr>
  </w:style>
  <w:style w:type="character" w:customStyle="1" w:styleId="97">
    <w:name w:val="NormalCharacter"/>
    <w:qFormat/>
    <w:uiPriority w:val="0"/>
    <w:rPr>
      <w:kern w:val="2"/>
      <w:sz w:val="21"/>
      <w:szCs w:val="24"/>
      <w:lang w:val="en-US" w:eastAsia="zh-CN" w:bidi="ar-SA"/>
    </w:rPr>
  </w:style>
  <w:style w:type="character" w:customStyle="1" w:styleId="98">
    <w:name w:val="标题 1 Char1"/>
    <w:qFormat/>
    <w:uiPriority w:val="0"/>
    <w:rPr>
      <w:rFonts w:ascii="Times New Roman" w:hAnsi="Times New Roman" w:eastAsia="宋体" w:cs="Times New Roman"/>
      <w:b/>
      <w:bCs/>
      <w:kern w:val="44"/>
      <w:sz w:val="44"/>
      <w:szCs w:val="44"/>
    </w:rPr>
  </w:style>
  <w:style w:type="character" w:customStyle="1" w:styleId="99">
    <w:name w:val="纯文本 Char1"/>
    <w:qFormat/>
    <w:uiPriority w:val="0"/>
    <w:rPr>
      <w:rFonts w:ascii="宋体" w:hAnsi="Times New Roman" w:eastAsia="宋体" w:cs="Times New Roman"/>
      <w:sz w:val="24"/>
      <w:szCs w:val="24"/>
    </w:rPr>
  </w:style>
  <w:style w:type="character" w:customStyle="1" w:styleId="100">
    <w:name w:val="标题 3 Char1"/>
    <w:qFormat/>
    <w:uiPriority w:val="0"/>
    <w:rPr>
      <w:b/>
      <w:bCs/>
      <w:sz w:val="32"/>
      <w:szCs w:val="32"/>
    </w:rPr>
  </w:style>
  <w:style w:type="character" w:customStyle="1" w:styleId="101">
    <w:name w:val="纯文本 字符"/>
    <w:qFormat/>
    <w:uiPriority w:val="0"/>
    <w:rPr>
      <w:rFonts w:ascii="宋体" w:hAnsi="Times New Roman" w:eastAsia="宋体" w:cs="Times New Roman"/>
      <w:sz w:val="24"/>
      <w:szCs w:val="24"/>
    </w:rPr>
  </w:style>
  <w:style w:type="character" w:customStyle="1" w:styleId="102">
    <w:name w:val="标题 3 Char"/>
    <w:qFormat/>
    <w:uiPriority w:val="0"/>
    <w:rPr>
      <w:rFonts w:ascii="Times New Roman" w:hAnsi="Times New Roman"/>
      <w:b/>
      <w:bCs/>
      <w:sz w:val="32"/>
      <w:szCs w:val="32"/>
    </w:rPr>
  </w:style>
  <w:style w:type="character" w:customStyle="1" w:styleId="103">
    <w:name w:val="批注主题 Char"/>
    <w:qFormat/>
    <w:uiPriority w:val="0"/>
    <w:rPr>
      <w:rFonts w:ascii="Times New Roman" w:hAnsi="Times New Roman" w:eastAsia="宋体" w:cs="Times New Roman"/>
      <w:szCs w:val="20"/>
    </w:rPr>
  </w:style>
  <w:style w:type="character" w:customStyle="1" w:styleId="104">
    <w:name w:val="正文文本 Char1"/>
    <w:qFormat/>
    <w:uiPriority w:val="0"/>
    <w:rPr>
      <w:rFonts w:ascii="Times New Roman" w:hAnsi="Times New Roman" w:eastAsia="宋体" w:cs="Times New Roman"/>
      <w:sz w:val="28"/>
      <w:szCs w:val="24"/>
    </w:rPr>
  </w:style>
  <w:style w:type="character" w:customStyle="1" w:styleId="105">
    <w:name w:val="正文文本缩进 3 Char1"/>
    <w:qFormat/>
    <w:uiPriority w:val="0"/>
    <w:rPr>
      <w:rFonts w:ascii="仿宋_GB2312" w:eastAsia="仿宋_GB2312"/>
      <w:color w:val="000000"/>
      <w:sz w:val="24"/>
      <w:szCs w:val="24"/>
    </w:rPr>
  </w:style>
  <w:style w:type="character" w:customStyle="1" w:styleId="106">
    <w:name w:val="批注文字 Char2"/>
    <w:qFormat/>
    <w:uiPriority w:val="0"/>
    <w:rPr>
      <w:rFonts w:ascii="Times New Roman" w:hAnsi="Times New Roman" w:eastAsia="宋体" w:cs="Times New Roman"/>
      <w:szCs w:val="20"/>
    </w:rPr>
  </w:style>
  <w:style w:type="character" w:customStyle="1" w:styleId="107">
    <w:name w:val="标题 5 Char1"/>
    <w:qFormat/>
    <w:uiPriority w:val="0"/>
    <w:rPr>
      <w:rFonts w:ascii="Times New Roman" w:hAnsi="Times New Roman" w:eastAsia="宋体" w:cs="Times New Roman"/>
      <w:b/>
      <w:bCs/>
      <w:sz w:val="28"/>
      <w:szCs w:val="28"/>
    </w:rPr>
  </w:style>
  <w:style w:type="character" w:customStyle="1" w:styleId="108">
    <w:name w:val="style7"/>
    <w:qFormat/>
    <w:uiPriority w:val="0"/>
  </w:style>
  <w:style w:type="character" w:customStyle="1" w:styleId="109">
    <w:name w:val="标题 4 Char"/>
    <w:qFormat/>
    <w:uiPriority w:val="0"/>
    <w:rPr>
      <w:rFonts w:ascii="Arial" w:hAnsi="Arial" w:eastAsia="黑体" w:cs="Times New Roman"/>
      <w:b/>
      <w:bCs/>
      <w:sz w:val="28"/>
      <w:szCs w:val="28"/>
    </w:rPr>
  </w:style>
  <w:style w:type="character" w:customStyle="1" w:styleId="110">
    <w:name w:val="font171"/>
    <w:qFormat/>
    <w:uiPriority w:val="0"/>
    <w:rPr>
      <w:rFonts w:hint="default" w:ascii="Wingdings 2" w:hAnsi="Wingdings 2" w:eastAsia="Wingdings 2" w:cs="Wingdings 2"/>
      <w:color w:val="000000"/>
      <w:sz w:val="18"/>
      <w:szCs w:val="18"/>
      <w:u w:val="none"/>
    </w:rPr>
  </w:style>
  <w:style w:type="character" w:customStyle="1" w:styleId="111">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112">
    <w:name w:val="页眉 Char1"/>
    <w:qFormat/>
    <w:uiPriority w:val="99"/>
    <w:rPr>
      <w:sz w:val="18"/>
      <w:szCs w:val="18"/>
    </w:rPr>
  </w:style>
  <w:style w:type="character" w:customStyle="1" w:styleId="113">
    <w:name w:val="标题 1 Char"/>
    <w:qFormat/>
    <w:uiPriority w:val="0"/>
    <w:rPr>
      <w:rFonts w:ascii="Times New Roman" w:hAnsi="Times New Roman" w:eastAsia="宋体" w:cs="Times New Roman"/>
      <w:b/>
      <w:bCs/>
      <w:kern w:val="44"/>
      <w:sz w:val="44"/>
      <w:szCs w:val="44"/>
    </w:rPr>
  </w:style>
  <w:style w:type="character" w:customStyle="1" w:styleId="114">
    <w:name w:val="正文文本 Char"/>
    <w:qFormat/>
    <w:uiPriority w:val="0"/>
    <w:rPr>
      <w:rFonts w:ascii="Times New Roman" w:hAnsi="Times New Roman" w:eastAsia="宋体" w:cs="Times New Roman"/>
      <w:sz w:val="28"/>
      <w:szCs w:val="24"/>
    </w:rPr>
  </w:style>
  <w:style w:type="character" w:customStyle="1" w:styleId="115">
    <w:name w:val="unnamed1"/>
    <w:qFormat/>
    <w:uiPriority w:val="0"/>
  </w:style>
  <w:style w:type="character" w:customStyle="1" w:styleId="116">
    <w:name w:val="页脚 Char"/>
    <w:qFormat/>
    <w:uiPriority w:val="99"/>
    <w:rPr>
      <w:sz w:val="18"/>
      <w:szCs w:val="18"/>
    </w:rPr>
  </w:style>
  <w:style w:type="character" w:customStyle="1" w:styleId="117">
    <w:name w:val="正文文本 3 Char"/>
    <w:qFormat/>
    <w:uiPriority w:val="0"/>
    <w:rPr>
      <w:rFonts w:ascii="Times New Roman" w:hAnsi="Times New Roman" w:eastAsia="仿宋_GB2312"/>
      <w:b/>
      <w:bCs/>
      <w:sz w:val="24"/>
    </w:rPr>
  </w:style>
  <w:style w:type="character" w:customStyle="1" w:styleId="118">
    <w:name w:val="页脚 Char1"/>
    <w:qFormat/>
    <w:uiPriority w:val="99"/>
    <w:rPr>
      <w:sz w:val="18"/>
      <w:szCs w:val="18"/>
    </w:rPr>
  </w:style>
  <w:style w:type="character" w:customStyle="1" w:styleId="119">
    <w:name w:val="日期 Char1"/>
    <w:qFormat/>
    <w:uiPriority w:val="0"/>
    <w:rPr>
      <w:rFonts w:eastAsia="楷体_GB2312"/>
      <w:sz w:val="32"/>
    </w:rPr>
  </w:style>
  <w:style w:type="character" w:customStyle="1" w:styleId="120">
    <w:name w:val="标题 4 Char1"/>
    <w:qFormat/>
    <w:uiPriority w:val="0"/>
    <w:rPr>
      <w:rFonts w:ascii="Arial" w:hAnsi="Arial" w:eastAsia="黑体" w:cs="Times New Roman"/>
      <w:b/>
      <w:bCs/>
      <w:sz w:val="28"/>
      <w:szCs w:val="28"/>
    </w:rPr>
  </w:style>
  <w:style w:type="character" w:customStyle="1" w:styleId="121">
    <w:name w:val="标题 5 Char"/>
    <w:qFormat/>
    <w:uiPriority w:val="0"/>
    <w:rPr>
      <w:rFonts w:ascii="Times New Roman" w:hAnsi="Times New Roman" w:eastAsia="宋体" w:cs="Times New Roman"/>
      <w:b/>
      <w:bCs/>
      <w:sz w:val="28"/>
      <w:szCs w:val="28"/>
    </w:rPr>
  </w:style>
  <w:style w:type="character" w:customStyle="1" w:styleId="122">
    <w:name w:val="列出段落 Char"/>
    <w:qFormat/>
    <w:uiPriority w:val="34"/>
    <w:rPr>
      <w:kern w:val="2"/>
      <w:sz w:val="21"/>
      <w:szCs w:val="22"/>
    </w:rPr>
  </w:style>
  <w:style w:type="character" w:customStyle="1" w:styleId="123">
    <w:name w:val="纯文本 Char"/>
    <w:qFormat/>
    <w:uiPriority w:val="0"/>
    <w:rPr>
      <w:rFonts w:ascii="宋体" w:hAnsi="Times New Roman" w:eastAsia="宋体" w:cs="Times New Roman"/>
      <w:sz w:val="24"/>
      <w:szCs w:val="24"/>
    </w:rPr>
  </w:style>
  <w:style w:type="character" w:customStyle="1" w:styleId="124">
    <w:name w:val="批注主题 Char1"/>
    <w:qFormat/>
    <w:uiPriority w:val="0"/>
    <w:rPr>
      <w:rFonts w:ascii="Times New Roman" w:hAnsi="Times New Roman" w:eastAsia="宋体" w:cs="Times New Roman"/>
      <w:szCs w:val="20"/>
    </w:rPr>
  </w:style>
  <w:style w:type="character" w:customStyle="1" w:styleId="125">
    <w:name w:val="font211"/>
    <w:qFormat/>
    <w:uiPriority w:val="0"/>
    <w:rPr>
      <w:rFonts w:hint="eastAsia" w:ascii="宋体" w:hAnsi="宋体" w:eastAsia="宋体" w:cs="宋体"/>
      <w:color w:val="000000"/>
      <w:sz w:val="20"/>
      <w:szCs w:val="20"/>
      <w:u w:val="none"/>
    </w:rPr>
  </w:style>
  <w:style w:type="character" w:customStyle="1" w:styleId="126">
    <w:name w:val="ca-32"/>
    <w:qFormat/>
    <w:uiPriority w:val="0"/>
  </w:style>
  <w:style w:type="character" w:customStyle="1" w:styleId="127">
    <w:name w:val="文档结构图 Char"/>
    <w:qFormat/>
    <w:uiPriority w:val="0"/>
    <w:rPr>
      <w:rFonts w:ascii="Times New Roman" w:hAnsi="Times New Roman" w:eastAsia="宋体" w:cs="Times New Roman"/>
      <w:szCs w:val="24"/>
      <w:shd w:val="clear" w:color="auto" w:fill="000080"/>
    </w:rPr>
  </w:style>
  <w:style w:type="character" w:customStyle="1" w:styleId="128">
    <w:name w:val="副标题 Char1"/>
    <w:qFormat/>
    <w:uiPriority w:val="11"/>
    <w:rPr>
      <w:rFonts w:ascii="Cambria" w:hAnsi="Cambria" w:eastAsia="宋体" w:cs="Times New Roman"/>
      <w:b/>
      <w:bCs/>
      <w:kern w:val="28"/>
      <w:sz w:val="32"/>
      <w:szCs w:val="32"/>
    </w:rPr>
  </w:style>
  <w:style w:type="character" w:customStyle="1" w:styleId="129">
    <w:name w:val="页脚 Char2"/>
    <w:qFormat/>
    <w:uiPriority w:val="99"/>
    <w:rPr>
      <w:sz w:val="18"/>
      <w:szCs w:val="18"/>
    </w:rPr>
  </w:style>
  <w:style w:type="character" w:customStyle="1" w:styleId="130">
    <w:name w:val="纯文本 Char2"/>
    <w:qFormat/>
    <w:uiPriority w:val="0"/>
    <w:rPr>
      <w:rFonts w:ascii="宋体" w:hAnsi="Times New Roman" w:eastAsia="宋体" w:cs="Times New Roman"/>
      <w:sz w:val="24"/>
      <w:szCs w:val="24"/>
    </w:rPr>
  </w:style>
  <w:style w:type="character" w:customStyle="1" w:styleId="131">
    <w:name w:val="列出段落 Char1"/>
    <w:qFormat/>
    <w:uiPriority w:val="34"/>
    <w:rPr>
      <w:kern w:val="2"/>
      <w:sz w:val="21"/>
      <w:szCs w:val="22"/>
    </w:rPr>
  </w:style>
  <w:style w:type="character" w:customStyle="1" w:styleId="132">
    <w:name w:val="正文文本缩进 Char1"/>
    <w:qFormat/>
    <w:uiPriority w:val="0"/>
    <w:rPr>
      <w:rFonts w:ascii="宋体" w:hAnsi="Times New Roman" w:eastAsia="宋体" w:cs="Times New Roman"/>
      <w:spacing w:val="-4"/>
      <w:sz w:val="18"/>
      <w:szCs w:val="20"/>
    </w:rPr>
  </w:style>
  <w:style w:type="character" w:customStyle="1" w:styleId="133">
    <w:name w:val="TableItem Char"/>
    <w:link w:val="134"/>
    <w:qFormat/>
    <w:uiPriority w:val="0"/>
    <w:rPr>
      <w:rFonts w:ascii="Verdana" w:hAnsi="Verdana" w:eastAsia="等线" w:cs="Verdana"/>
      <w:b/>
      <w:bCs/>
      <w:color w:val="538135"/>
      <w:spacing w:val="-10"/>
      <w:sz w:val="16"/>
      <w:szCs w:val="28"/>
      <w:lang w:val="en-US" w:eastAsia="zh-CN" w:bidi="ar-SA"/>
    </w:rPr>
  </w:style>
  <w:style w:type="paragraph" w:customStyle="1" w:styleId="134">
    <w:name w:val="TableItem"/>
    <w:link w:val="133"/>
    <w:qFormat/>
    <w:uiPriority w:val="0"/>
    <w:rPr>
      <w:rFonts w:ascii="Verdana" w:hAnsi="Verdana" w:eastAsia="等线" w:cs="Verdana"/>
      <w:b/>
      <w:bCs/>
      <w:color w:val="538135"/>
      <w:spacing w:val="-10"/>
      <w:sz w:val="16"/>
      <w:szCs w:val="28"/>
      <w:lang w:val="en-US" w:eastAsia="zh-CN" w:bidi="ar-SA"/>
    </w:rPr>
  </w:style>
  <w:style w:type="character" w:customStyle="1" w:styleId="135">
    <w:name w:val="列出段落 Char2"/>
    <w:link w:val="136"/>
    <w:qFormat/>
    <w:uiPriority w:val="34"/>
    <w:rPr>
      <w:kern w:val="2"/>
      <w:sz w:val="21"/>
      <w:szCs w:val="22"/>
    </w:rPr>
  </w:style>
  <w:style w:type="paragraph" w:styleId="136">
    <w:name w:val="List Paragraph"/>
    <w:basedOn w:val="1"/>
    <w:link w:val="135"/>
    <w:qFormat/>
    <w:uiPriority w:val="34"/>
    <w:pPr>
      <w:numPr>
        <w:ilvl w:val="0"/>
        <w:numId w:val="9"/>
      </w:numPr>
    </w:pPr>
    <w:rPr>
      <w:rFonts w:ascii="Calibri" w:hAnsi="Calibri"/>
      <w:szCs w:val="22"/>
    </w:rPr>
  </w:style>
  <w:style w:type="character" w:customStyle="1" w:styleId="137">
    <w:name w:val="副标题 字符"/>
    <w:qFormat/>
    <w:uiPriority w:val="99"/>
    <w:rPr>
      <w:rFonts w:ascii="宋体" w:hAnsi="Tahoma" w:cs="宋体"/>
      <w:i/>
      <w:iCs/>
      <w:sz w:val="36"/>
      <w:szCs w:val="36"/>
      <w:lang w:val="en-AU"/>
    </w:rPr>
  </w:style>
  <w:style w:type="character" w:customStyle="1" w:styleId="138">
    <w:name w:val="正文文本 3 Char1"/>
    <w:qFormat/>
    <w:uiPriority w:val="0"/>
    <w:rPr>
      <w:rFonts w:eastAsia="仿宋_GB2312"/>
      <w:b/>
      <w:bCs/>
      <w:sz w:val="24"/>
    </w:rPr>
  </w:style>
  <w:style w:type="character" w:customStyle="1" w:styleId="139">
    <w:name w:val="副标题 Char2"/>
    <w:qFormat/>
    <w:uiPriority w:val="0"/>
    <w:rPr>
      <w:rFonts w:ascii="Cambria" w:hAnsi="Cambria"/>
      <w:b/>
      <w:bCs/>
      <w:kern w:val="28"/>
      <w:sz w:val="32"/>
      <w:szCs w:val="32"/>
    </w:rPr>
  </w:style>
  <w:style w:type="character" w:customStyle="1" w:styleId="140">
    <w:name w:val="c_title1"/>
    <w:qFormat/>
    <w:uiPriority w:val="0"/>
    <w:rPr>
      <w:rFonts w:ascii="黑体" w:eastAsia="黑体"/>
      <w:color w:val="03005C"/>
      <w:sz w:val="30"/>
      <w:szCs w:val="30"/>
      <w:u w:val="none"/>
    </w:rPr>
  </w:style>
  <w:style w:type="character" w:customStyle="1" w:styleId="141">
    <w:name w:val="批注框文本 Char1"/>
    <w:qFormat/>
    <w:uiPriority w:val="99"/>
    <w:rPr>
      <w:rFonts w:ascii="Times New Roman" w:hAnsi="Times New Roman" w:eastAsia="宋体" w:cs="Times New Roman"/>
      <w:sz w:val="18"/>
      <w:szCs w:val="18"/>
    </w:rPr>
  </w:style>
  <w:style w:type="character" w:customStyle="1" w:styleId="142">
    <w:name w:val="bookmark-item"/>
    <w:qFormat/>
    <w:uiPriority w:val="0"/>
  </w:style>
  <w:style w:type="character" w:customStyle="1" w:styleId="143">
    <w:name w:val="正文文本 2 Char1"/>
    <w:qFormat/>
    <w:uiPriority w:val="0"/>
    <w:rPr>
      <w:rFonts w:ascii="宋体" w:hAnsi="Times New Roman" w:eastAsia="宋体" w:cs="Times New Roman"/>
      <w:color w:val="000000"/>
      <w:sz w:val="24"/>
      <w:szCs w:val="24"/>
    </w:rPr>
  </w:style>
  <w:style w:type="character" w:customStyle="1" w:styleId="144">
    <w:name w:val="font14zd"/>
    <w:qFormat/>
    <w:uiPriority w:val="0"/>
    <w:rPr>
      <w:rFonts w:ascii="Times New Roman" w:hAnsi="Times New Roman" w:eastAsia="宋体" w:cs="Times New Roman"/>
    </w:rPr>
  </w:style>
  <w:style w:type="paragraph" w:customStyle="1" w:styleId="145">
    <w:name w:val="Normal"/>
    <w:qFormat/>
    <w:uiPriority w:val="0"/>
    <w:pPr>
      <w:jc w:val="both"/>
    </w:pPr>
    <w:rPr>
      <w:rFonts w:ascii="Times New Roman" w:hAnsi="Times New Roman" w:eastAsia="宋体" w:cs="宋体"/>
      <w:kern w:val="2"/>
      <w:sz w:val="21"/>
      <w:szCs w:val="21"/>
      <w:lang w:val="en-US" w:eastAsia="zh-CN" w:bidi="ar-SA"/>
    </w:rPr>
  </w:style>
  <w:style w:type="paragraph" w:customStyle="1" w:styleId="146">
    <w:name w:val="font7"/>
    <w:basedOn w:val="1"/>
    <w:qFormat/>
    <w:uiPriority w:val="0"/>
    <w:pPr>
      <w:widowControl/>
      <w:spacing w:before="100" w:beforeAutospacing="1" w:after="100" w:afterAutospacing="1" w:line="280" w:lineRule="exact"/>
      <w:jc w:val="left"/>
    </w:pPr>
    <w:rPr>
      <w:kern w:val="0"/>
      <w:sz w:val="20"/>
      <w:szCs w:val="20"/>
    </w:rPr>
  </w:style>
  <w:style w:type="paragraph" w:customStyle="1" w:styleId="14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48">
    <w:name w:val="xl8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49">
    <w:name w:val="Char21"/>
    <w:basedOn w:val="1"/>
    <w:qFormat/>
    <w:uiPriority w:val="0"/>
    <w:pPr>
      <w:jc w:val="left"/>
    </w:pPr>
    <w:rPr>
      <w:rFonts w:ascii="仿宋_GB2312" w:hAnsi="宋体" w:eastAsia="仿宋_GB2312" w:cs="Arial"/>
      <w:b/>
      <w:sz w:val="32"/>
      <w:szCs w:val="32"/>
    </w:rPr>
  </w:style>
  <w:style w:type="paragraph" w:customStyle="1" w:styleId="150">
    <w:name w:val="font8"/>
    <w:basedOn w:val="1"/>
    <w:qFormat/>
    <w:uiPriority w:val="0"/>
    <w:pPr>
      <w:widowControl/>
      <w:spacing w:before="100" w:beforeAutospacing="1" w:after="100" w:afterAutospacing="1" w:line="280" w:lineRule="exact"/>
      <w:jc w:val="left"/>
    </w:pPr>
    <w:rPr>
      <w:b/>
      <w:bCs/>
      <w:kern w:val="0"/>
      <w:sz w:val="32"/>
      <w:szCs w:val="32"/>
    </w:rPr>
  </w:style>
  <w:style w:type="paragraph" w:customStyle="1" w:styleId="151">
    <w:name w:val="pa-1"/>
    <w:basedOn w:val="1"/>
    <w:qFormat/>
    <w:uiPriority w:val="0"/>
    <w:pPr>
      <w:widowControl/>
      <w:spacing w:before="100" w:beforeAutospacing="1" w:after="100" w:afterAutospacing="1"/>
      <w:jc w:val="left"/>
    </w:pPr>
    <w:rPr>
      <w:rFonts w:ascii="宋体" w:cs="宋体"/>
      <w:kern w:val="0"/>
      <w:sz w:val="24"/>
    </w:rPr>
  </w:style>
  <w:style w:type="paragraph" w:customStyle="1" w:styleId="15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kern w:val="0"/>
      <w:sz w:val="20"/>
      <w:szCs w:val="20"/>
    </w:rPr>
  </w:style>
  <w:style w:type="paragraph" w:customStyle="1" w:styleId="153">
    <w:name w:val="Char Char Char Char1"/>
    <w:basedOn w:val="1"/>
    <w:qFormat/>
    <w:uiPriority w:val="0"/>
    <w:pPr>
      <w:widowControl/>
      <w:spacing w:after="160" w:line="240" w:lineRule="exact"/>
      <w:jc w:val="left"/>
    </w:pPr>
    <w:rPr>
      <w:rFonts w:ascii="宋体" w:hAnsi="宋体" w:cs="Arial"/>
      <w:szCs w:val="21"/>
    </w:rPr>
  </w:style>
  <w:style w:type="paragraph" w:customStyle="1" w:styleId="154">
    <w:name w:val="xl89"/>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5">
    <w:name w:val="p0"/>
    <w:basedOn w:val="1"/>
    <w:qFormat/>
    <w:uiPriority w:val="0"/>
    <w:pPr>
      <w:widowControl/>
    </w:pPr>
    <w:rPr>
      <w:kern w:val="0"/>
      <w:szCs w:val="21"/>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57">
    <w:name w:val="xl86"/>
    <w:basedOn w:val="1"/>
    <w:qFormat/>
    <w:uiPriority w:val="0"/>
    <w:pPr>
      <w:widowControl/>
      <w:shd w:val="clear" w:color="000000" w:fill="FFFFFF"/>
      <w:spacing w:before="100" w:beforeAutospacing="1" w:after="100" w:afterAutospacing="1" w:line="280" w:lineRule="exact"/>
      <w:jc w:val="center"/>
    </w:pPr>
    <w:rPr>
      <w:b/>
      <w:bCs/>
      <w:kern w:val="0"/>
      <w:sz w:val="32"/>
      <w:szCs w:val="32"/>
    </w:rPr>
  </w:style>
  <w:style w:type="paragraph" w:customStyle="1" w:styleId="158">
    <w:name w:val="Char1 Char Char Char1"/>
    <w:basedOn w:val="1"/>
    <w:qFormat/>
    <w:uiPriority w:val="0"/>
    <w:pPr>
      <w:tabs>
        <w:tab w:val="left" w:pos="840"/>
      </w:tabs>
      <w:ind w:left="840" w:hanging="420"/>
      <w:jc w:val="left"/>
    </w:pPr>
    <w:rPr>
      <w:rFonts w:ascii="宋体" w:hAnsi="宋体" w:cs="Arial"/>
      <w:sz w:val="24"/>
    </w:rPr>
  </w:style>
  <w:style w:type="paragraph" w:customStyle="1" w:styleId="159">
    <w:name w:val="op_mapdots_left"/>
    <w:basedOn w:val="1"/>
    <w:qFormat/>
    <w:uiPriority w:val="0"/>
    <w:pPr>
      <w:widowControl/>
      <w:jc w:val="left"/>
    </w:pPr>
    <w:rPr>
      <w:rFonts w:ascii="宋体" w:cs="宋体"/>
      <w:kern w:val="0"/>
      <w:sz w:val="24"/>
    </w:rPr>
  </w:style>
  <w:style w:type="paragraph" w:customStyle="1" w:styleId="160">
    <w:name w:val="列出段落2"/>
    <w:basedOn w:val="1"/>
    <w:qFormat/>
    <w:uiPriority w:val="34"/>
    <w:pPr>
      <w:spacing w:line="300" w:lineRule="auto"/>
      <w:ind w:firstLine="420" w:firstLineChars="200"/>
    </w:pPr>
    <w:rPr>
      <w:rFonts w:ascii="宋体"/>
      <w:kern w:val="0"/>
      <w:sz w:val="24"/>
      <w:szCs w:val="20"/>
    </w:rPr>
  </w:style>
  <w:style w:type="paragraph" w:customStyle="1" w:styleId="161">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62">
    <w:name w:val="xl85"/>
    <w:basedOn w:val="1"/>
    <w:qFormat/>
    <w:uiPriority w:val="0"/>
    <w:pPr>
      <w:widowControl/>
      <w:pBdr>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63">
    <w:name w:val="msolistparagraph"/>
    <w:basedOn w:val="1"/>
    <w:qFormat/>
    <w:uiPriority w:val="0"/>
    <w:pPr>
      <w:spacing w:line="280" w:lineRule="exact"/>
      <w:ind w:firstLine="420" w:firstLineChars="200"/>
    </w:pPr>
    <w:rPr>
      <w:rFonts w:ascii="Calibri" w:hAnsi="Calibri"/>
      <w:sz w:val="22"/>
      <w:szCs w:val="22"/>
    </w:rPr>
  </w:style>
  <w:style w:type="paragraph" w:customStyle="1" w:styleId="164">
    <w:name w:val="xl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65">
    <w:name w:val="Default"/>
    <w:next w:val="16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7">
    <w:name w:val="正文段"/>
    <w:basedOn w:val="1"/>
    <w:qFormat/>
    <w:uiPriority w:val="0"/>
    <w:pPr>
      <w:widowControl/>
      <w:snapToGrid w:val="0"/>
      <w:spacing w:afterLines="50"/>
      <w:ind w:firstLine="200" w:firstLineChars="200"/>
    </w:pPr>
    <w:rPr>
      <w:kern w:val="0"/>
      <w:sz w:val="24"/>
      <w:szCs w:val="20"/>
    </w:rPr>
  </w:style>
  <w:style w:type="paragraph" w:customStyle="1" w:styleId="168">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69">
    <w:name w:val="Char1"/>
    <w:basedOn w:val="1"/>
    <w:qFormat/>
    <w:uiPriority w:val="0"/>
    <w:rPr>
      <w:rFonts w:ascii="Tahoma" w:hAnsi="Tahoma"/>
      <w:sz w:val="24"/>
      <w:szCs w:val="20"/>
    </w:rPr>
  </w:style>
  <w:style w:type="paragraph" w:customStyle="1" w:styleId="17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1">
    <w:name w:val="纯文本1"/>
    <w:basedOn w:val="1"/>
    <w:qFormat/>
    <w:uiPriority w:val="0"/>
    <w:pPr>
      <w:spacing w:beforeLines="50" w:afterLines="50" w:line="400" w:lineRule="exact"/>
    </w:pPr>
    <w:rPr>
      <w:rFonts w:ascii="宋体" w:hAnsi="Courier New"/>
      <w:sz w:val="24"/>
    </w:rPr>
  </w:style>
  <w:style w:type="paragraph" w:customStyle="1" w:styleId="172">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73">
    <w:name w:val="xl79"/>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174">
    <w:name w:val="table_lines"/>
    <w:basedOn w:val="1"/>
    <w:qFormat/>
    <w:uiPriority w:val="0"/>
    <w:rPr>
      <w:szCs w:val="20"/>
    </w:rPr>
  </w:style>
  <w:style w:type="paragraph" w:customStyle="1" w:styleId="175">
    <w:name w:val="List Paragraph1"/>
    <w:basedOn w:val="1"/>
    <w:qFormat/>
    <w:uiPriority w:val="0"/>
    <w:pPr>
      <w:ind w:firstLine="420" w:firstLineChars="200"/>
    </w:pPr>
    <w:rPr>
      <w:rFonts w:ascii="Calibri" w:hAnsi="Calibri"/>
      <w:szCs w:val="21"/>
    </w:rPr>
  </w:style>
  <w:style w:type="paragraph" w:customStyle="1" w:styleId="176">
    <w:name w:val="xl80"/>
    <w:basedOn w:val="1"/>
    <w:qFormat/>
    <w:uiPriority w:val="0"/>
    <w:pPr>
      <w:widowControl/>
      <w:shd w:val="clear" w:color="000000" w:fill="FFFFFF"/>
      <w:spacing w:before="100" w:beforeAutospacing="1" w:after="100" w:afterAutospacing="1" w:line="280" w:lineRule="exact"/>
      <w:jc w:val="center"/>
    </w:pPr>
    <w:rPr>
      <w:kern w:val="0"/>
      <w:sz w:val="20"/>
      <w:szCs w:val="20"/>
    </w:rPr>
  </w:style>
  <w:style w:type="paragraph" w:customStyle="1" w:styleId="177">
    <w:name w:val="xl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78">
    <w:name w:val="列出段落1"/>
    <w:basedOn w:val="1"/>
    <w:qFormat/>
    <w:uiPriority w:val="0"/>
    <w:pPr>
      <w:ind w:firstLine="200" w:firstLineChars="200"/>
    </w:pPr>
    <w:rPr>
      <w:rFonts w:ascii="Calibri" w:hAnsi="Calibri"/>
      <w:szCs w:val="22"/>
    </w:rPr>
  </w:style>
  <w:style w:type="paragraph" w:customStyle="1" w:styleId="179">
    <w:name w:val="xl81"/>
    <w:basedOn w:val="1"/>
    <w:qFormat/>
    <w:uiPriority w:val="0"/>
    <w:pPr>
      <w:widowControl/>
      <w:pBdr>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1">
    <w:name w:val="_Style 86"/>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2">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83">
    <w:name w:val="xl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84">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85">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186">
    <w:name w:val="xl8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7">
    <w:name w:val="xl84"/>
    <w:basedOn w:val="1"/>
    <w:qFormat/>
    <w:uiPriority w:val="0"/>
    <w:pPr>
      <w:widowControl/>
      <w:pBdr>
        <w:lef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8">
    <w:name w:val="333"/>
    <w:basedOn w:val="1"/>
    <w:qFormat/>
    <w:uiPriority w:val="0"/>
    <w:pPr>
      <w:adjustRightInd w:val="0"/>
      <w:spacing w:line="312" w:lineRule="atLeast"/>
      <w:textAlignment w:val="baseline"/>
    </w:pPr>
    <w:rPr>
      <w:kern w:val="0"/>
      <w:szCs w:val="20"/>
    </w:rPr>
  </w:style>
  <w:style w:type="paragraph" w:customStyle="1" w:styleId="189">
    <w:name w:val="Char1 Char Char Char"/>
    <w:basedOn w:val="1"/>
    <w:qFormat/>
    <w:uiPriority w:val="0"/>
    <w:pPr>
      <w:tabs>
        <w:tab w:val="left" w:pos="840"/>
      </w:tabs>
      <w:ind w:left="840" w:hanging="420"/>
    </w:pPr>
    <w:rPr>
      <w:sz w:val="24"/>
    </w:rPr>
  </w:style>
  <w:style w:type="paragraph" w:customStyle="1" w:styleId="190">
    <w:name w:val="Plain Text"/>
    <w:basedOn w:val="1"/>
    <w:qFormat/>
    <w:uiPriority w:val="0"/>
    <w:pPr>
      <w:spacing w:before="156" w:beforeLines="50" w:after="156" w:afterLines="50" w:line="400" w:lineRule="exact"/>
    </w:pPr>
    <w:rPr>
      <w:rFonts w:ascii="宋体" w:hAnsi="Courier New"/>
      <w:sz w:val="24"/>
    </w:rPr>
  </w:style>
  <w:style w:type="paragraph" w:customStyle="1" w:styleId="191">
    <w:name w:val="列出段落11"/>
    <w:basedOn w:val="1"/>
    <w:qFormat/>
    <w:uiPriority w:val="0"/>
    <w:pPr>
      <w:ind w:firstLine="200" w:firstLineChars="200"/>
      <w:jc w:val="left"/>
    </w:pPr>
    <w:rPr>
      <w:rFonts w:ascii="Calibri" w:hAnsi="Calibri" w:cs="Arial"/>
      <w:szCs w:val="22"/>
    </w:rPr>
  </w:style>
  <w:style w:type="paragraph" w:customStyle="1" w:styleId="192">
    <w:name w:val="_Style 19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93">
    <w:name w:val="xl6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4">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9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6">
    <w:name w:val="Char3"/>
    <w:basedOn w:val="1"/>
    <w:qFormat/>
    <w:uiPriority w:val="0"/>
    <w:pPr>
      <w:ind w:firstLine="200" w:firstLineChars="200"/>
      <w:jc w:val="left"/>
    </w:pPr>
    <w:rPr>
      <w:rFonts w:ascii="幼圆" w:hAnsi="宋体" w:eastAsia="幼圆" w:cs="幼圆"/>
      <w:sz w:val="24"/>
      <w:szCs w:val="21"/>
    </w:rPr>
  </w:style>
  <w:style w:type="paragraph" w:customStyle="1" w:styleId="197">
    <w:name w:val="xl9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98">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99">
    <w:name w:val="Char"/>
    <w:basedOn w:val="1"/>
    <w:qFormat/>
    <w:uiPriority w:val="0"/>
    <w:pPr>
      <w:ind w:firstLine="200" w:firstLineChars="200"/>
    </w:pPr>
    <w:rPr>
      <w:rFonts w:ascii="幼圆" w:eastAsia="幼圆" w:cs="幼圆"/>
      <w:sz w:val="24"/>
      <w:szCs w:val="20"/>
    </w:rPr>
  </w:style>
  <w:style w:type="paragraph" w:customStyle="1" w:styleId="200">
    <w:name w:val="table_1stline"/>
    <w:basedOn w:val="1"/>
    <w:qFormat/>
    <w:uiPriority w:val="0"/>
    <w:pPr>
      <w:spacing w:before="120"/>
    </w:pPr>
    <w:rPr>
      <w:bCs/>
      <w:szCs w:val="20"/>
    </w:rPr>
  </w:style>
  <w:style w:type="paragraph" w:customStyle="1" w:styleId="201">
    <w:name w:val="font9"/>
    <w:basedOn w:val="1"/>
    <w:qFormat/>
    <w:uiPriority w:val="0"/>
    <w:pPr>
      <w:widowControl/>
      <w:spacing w:before="100" w:beforeAutospacing="1" w:after="100" w:afterAutospacing="1" w:line="280" w:lineRule="exact"/>
      <w:jc w:val="left"/>
    </w:pPr>
    <w:rPr>
      <w:rFonts w:ascii="宋体" w:hAnsi="宋体" w:cs="宋体"/>
      <w:b/>
      <w:bCs/>
      <w:kern w:val="0"/>
      <w:sz w:val="32"/>
      <w:szCs w:val="32"/>
    </w:rPr>
  </w:style>
  <w:style w:type="paragraph" w:customStyle="1" w:styleId="202">
    <w:name w:val="UserStyle_66"/>
    <w:basedOn w:val="1"/>
    <w:qFormat/>
    <w:uiPriority w:val="0"/>
    <w:pPr>
      <w:spacing w:line="280" w:lineRule="exact"/>
    </w:pPr>
    <w:rPr>
      <w:kern w:val="0"/>
      <w:szCs w:val="21"/>
    </w:rPr>
  </w:style>
  <w:style w:type="paragraph" w:customStyle="1" w:styleId="203">
    <w:name w:val="xl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04">
    <w:name w:val="Char Char Char Char Char Char"/>
    <w:basedOn w:val="1"/>
    <w:qFormat/>
    <w:uiPriority w:val="0"/>
    <w:pPr>
      <w:ind w:firstLine="200" w:firstLineChars="200"/>
    </w:pPr>
    <w:rPr>
      <w:rFonts w:ascii="Tahoma" w:hAnsi="Tahoma"/>
      <w:sz w:val="24"/>
      <w:szCs w:val="20"/>
    </w:rPr>
  </w:style>
  <w:style w:type="paragraph" w:customStyle="1" w:styleId="20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6">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07">
    <w:name w:val="p15"/>
    <w:basedOn w:val="1"/>
    <w:qFormat/>
    <w:uiPriority w:val="0"/>
    <w:pPr>
      <w:widowControl/>
    </w:pPr>
    <w:rPr>
      <w:kern w:val="0"/>
      <w:szCs w:val="21"/>
    </w:rPr>
  </w:style>
  <w:style w:type="paragraph" w:customStyle="1" w:styleId="208">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209">
    <w:name w:val="自由格式 A"/>
    <w:qFormat/>
    <w:uiPriority w:val="0"/>
    <w:rPr>
      <w:rFonts w:ascii="Helvetica" w:hAnsi="Helvetica" w:eastAsia="ヒラギノ角ゴ Pro W3" w:cs="Times New Roman"/>
      <w:color w:val="000000"/>
      <w:sz w:val="24"/>
      <w:lang w:val="en-US" w:eastAsia="zh-CN" w:bidi="ar-SA"/>
    </w:rPr>
  </w:style>
  <w:style w:type="paragraph" w:customStyle="1" w:styleId="210">
    <w:name w:val="Char Char Char Char"/>
    <w:basedOn w:val="1"/>
    <w:qFormat/>
    <w:uiPriority w:val="0"/>
    <w:pPr>
      <w:widowControl/>
      <w:spacing w:after="160" w:line="240" w:lineRule="exact"/>
      <w:jc w:val="left"/>
    </w:pPr>
    <w:rPr>
      <w:szCs w:val="20"/>
    </w:rPr>
  </w:style>
  <w:style w:type="paragraph" w:customStyle="1" w:styleId="211">
    <w:name w:val="_Style 77"/>
    <w:basedOn w:val="1"/>
    <w:next w:val="136"/>
    <w:qFormat/>
    <w:uiPriority w:val="34"/>
    <w:pPr>
      <w:tabs>
        <w:tab w:val="left" w:pos="360"/>
      </w:tabs>
      <w:spacing w:line="280" w:lineRule="exact"/>
      <w:ind w:left="360" w:hanging="360"/>
    </w:pPr>
    <w:rPr>
      <w:rFonts w:ascii="Calibri" w:hAnsi="Calibri"/>
      <w:szCs w:val="22"/>
    </w:rPr>
  </w:style>
  <w:style w:type="paragraph" w:customStyle="1" w:styleId="2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3">
    <w:name w:val="Char11"/>
    <w:basedOn w:val="1"/>
    <w:qFormat/>
    <w:uiPriority w:val="0"/>
  </w:style>
  <w:style w:type="paragraph" w:customStyle="1" w:styleId="214">
    <w:name w:val="样式1"/>
    <w:basedOn w:val="6"/>
    <w:qFormat/>
    <w:uiPriority w:val="0"/>
  </w:style>
  <w:style w:type="paragraph" w:customStyle="1" w:styleId="215">
    <w:name w:val="tgt2"/>
    <w:basedOn w:val="1"/>
    <w:qFormat/>
    <w:uiPriority w:val="0"/>
    <w:pPr>
      <w:widowControl/>
      <w:spacing w:after="150" w:line="360" w:lineRule="auto"/>
      <w:jc w:val="left"/>
    </w:pPr>
    <w:rPr>
      <w:rFonts w:ascii="宋体" w:cs="宋体"/>
      <w:b/>
      <w:bCs/>
      <w:kern w:val="0"/>
      <w:sz w:val="36"/>
      <w:szCs w:val="36"/>
    </w:rPr>
  </w:style>
  <w:style w:type="paragraph" w:customStyle="1" w:styleId="216">
    <w:name w:val="font5"/>
    <w:basedOn w:val="1"/>
    <w:qFormat/>
    <w:uiPriority w:val="0"/>
    <w:pPr>
      <w:widowControl/>
      <w:spacing w:before="100" w:beforeAutospacing="1" w:after="100" w:afterAutospacing="1" w:line="280" w:lineRule="exact"/>
      <w:jc w:val="left"/>
    </w:pPr>
    <w:rPr>
      <w:rFonts w:ascii="宋体" w:hAnsi="宋体" w:cs="宋体"/>
      <w:kern w:val="0"/>
      <w:sz w:val="18"/>
      <w:szCs w:val="18"/>
    </w:rPr>
  </w:style>
  <w:style w:type="paragraph" w:customStyle="1" w:styleId="217">
    <w:name w:val="xl72"/>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18">
    <w:name w:val="Char Char Char Char Char Char Char Char Char Char Char Char1 Char"/>
    <w:basedOn w:val="12"/>
    <w:qFormat/>
    <w:uiPriority w:val="0"/>
    <w:rPr>
      <w:rFonts w:ascii="Tahoma" w:hAnsi="Tahoma"/>
      <w:sz w:val="24"/>
    </w:rPr>
  </w:style>
  <w:style w:type="paragraph" w:customStyle="1" w:styleId="219">
    <w:name w:val="Char Char Char Char Char Char1"/>
    <w:basedOn w:val="1"/>
    <w:qFormat/>
    <w:uiPriority w:val="0"/>
    <w:pPr>
      <w:ind w:firstLine="200" w:firstLineChars="200"/>
      <w:jc w:val="left"/>
    </w:pPr>
    <w:rPr>
      <w:rFonts w:ascii="Tahoma" w:hAnsi="Tahoma" w:cs="Arial"/>
      <w:sz w:val="24"/>
      <w:szCs w:val="21"/>
    </w:rPr>
  </w:style>
  <w:style w:type="paragraph" w:customStyle="1" w:styleId="220">
    <w:name w:val="正文－恩普"/>
    <w:basedOn w:val="10"/>
    <w:qFormat/>
    <w:uiPriority w:val="0"/>
    <w:pPr>
      <w:widowControl/>
      <w:numPr>
        <w:ilvl w:val="0"/>
        <w:numId w:val="0"/>
      </w:numPr>
      <w:tabs>
        <w:tab w:val="clear" w:pos="2040"/>
      </w:tabs>
      <w:spacing w:afterLines="50" w:line="360" w:lineRule="auto"/>
      <w:ind w:firstLine="480" w:firstLineChars="200"/>
      <w:jc w:val="left"/>
    </w:pPr>
    <w:rPr>
      <w:kern w:val="0"/>
      <w:sz w:val="24"/>
    </w:rPr>
  </w:style>
  <w:style w:type="paragraph" w:customStyle="1" w:styleId="221">
    <w:name w:val="默认段落字体 Para Char Char Char Char Char Char Char Char Char1 Char Char Char Char"/>
    <w:basedOn w:val="1"/>
    <w:qFormat/>
    <w:uiPriority w:val="0"/>
    <w:rPr>
      <w:rFonts w:ascii="Tahoma" w:hAnsi="Tahoma"/>
      <w:sz w:val="24"/>
      <w:szCs w:val="20"/>
    </w:rPr>
  </w:style>
  <w:style w:type="paragraph" w:customStyle="1" w:styleId="22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23">
    <w:name w:val="xl7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4">
    <w:name w:val="xl73"/>
    <w:basedOn w:val="1"/>
    <w:qFormat/>
    <w:uiPriority w:val="0"/>
    <w:pPr>
      <w:widowControl/>
      <w:pBdr>
        <w:top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5">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6">
    <w:name w:val="Char2"/>
    <w:basedOn w:val="1"/>
    <w:qFormat/>
    <w:uiPriority w:val="0"/>
    <w:rPr>
      <w:rFonts w:ascii="仿宋_GB2312" w:eastAsia="仿宋_GB2312"/>
      <w:b/>
      <w:sz w:val="32"/>
      <w:szCs w:val="32"/>
    </w:rPr>
  </w:style>
  <w:style w:type="paragraph" w:customStyle="1" w:styleId="227">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28">
    <w:name w:val="xl65"/>
    <w:basedOn w:val="1"/>
    <w:qFormat/>
    <w:uiPriority w:val="0"/>
    <w:pPr>
      <w:widowControl/>
      <w:shd w:val="clear" w:color="000000" w:fill="FFFFFF"/>
      <w:spacing w:before="100" w:beforeAutospacing="1" w:after="100" w:afterAutospacing="1" w:line="280" w:lineRule="exact"/>
      <w:jc w:val="left"/>
    </w:pPr>
    <w:rPr>
      <w:kern w:val="0"/>
      <w:sz w:val="20"/>
      <w:szCs w:val="20"/>
    </w:rPr>
  </w:style>
  <w:style w:type="paragraph" w:customStyle="1" w:styleId="229">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230">
    <w:name w:val="font6"/>
    <w:basedOn w:val="1"/>
    <w:qFormat/>
    <w:uiPriority w:val="0"/>
    <w:pPr>
      <w:widowControl/>
      <w:spacing w:before="100" w:beforeAutospacing="1" w:after="100" w:afterAutospacing="1" w:line="280" w:lineRule="exact"/>
      <w:jc w:val="left"/>
    </w:pPr>
    <w:rPr>
      <w:rFonts w:ascii="宋体" w:hAnsi="宋体" w:cs="宋体"/>
      <w:kern w:val="0"/>
      <w:sz w:val="20"/>
      <w:szCs w:val="20"/>
    </w:rPr>
  </w:style>
  <w:style w:type="paragraph" w:customStyle="1" w:styleId="231">
    <w:name w:val="_Style 148"/>
    <w:basedOn w:val="1"/>
    <w:next w:val="136"/>
    <w:qFormat/>
    <w:uiPriority w:val="34"/>
    <w:pPr>
      <w:numPr>
        <w:ilvl w:val="0"/>
        <w:numId w:val="9"/>
      </w:numPr>
    </w:pPr>
    <w:rPr>
      <w:rFonts w:ascii="Calibri" w:hAnsi="Calibri"/>
      <w:szCs w:val="22"/>
    </w:rPr>
  </w:style>
  <w:style w:type="paragraph" w:customStyle="1" w:styleId="232">
    <w:name w:val="Char Char Char Char Char Char Char Char Char Char Char Char1 Char1"/>
    <w:basedOn w:val="12"/>
    <w:qFormat/>
    <w:uiPriority w:val="0"/>
    <w:pPr>
      <w:jc w:val="left"/>
    </w:pPr>
    <w:rPr>
      <w:rFonts w:ascii="Tahoma" w:hAnsi="Tahoma" w:cs="Arial"/>
      <w:sz w:val="24"/>
    </w:rPr>
  </w:style>
  <w:style w:type="paragraph" w:customStyle="1" w:styleId="23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34">
    <w:name w:val="*正文"/>
    <w:basedOn w:val="1"/>
    <w:qFormat/>
    <w:uiPriority w:val="0"/>
    <w:pPr>
      <w:spacing w:line="360" w:lineRule="auto"/>
      <w:ind w:firstLine="420"/>
    </w:pPr>
    <w:rPr>
      <w:rFonts w:ascii="仿宋" w:hAnsi="仿宋" w:eastAsia="仿宋"/>
      <w:sz w:val="24"/>
    </w:rPr>
  </w:style>
  <w:style w:type="paragraph" w:customStyle="1" w:styleId="235">
    <w:name w:val="WPSOffice手动目录 1"/>
    <w:qFormat/>
    <w:uiPriority w:val="0"/>
    <w:rPr>
      <w:rFonts w:ascii="Calibri" w:hAnsi="Calibri" w:eastAsia="宋体" w:cs="Times New Roman"/>
      <w:lang w:val="en-US" w:eastAsia="zh-CN" w:bidi="ar-SA"/>
    </w:rPr>
  </w:style>
  <w:style w:type="paragraph" w:customStyle="1" w:styleId="236">
    <w:name w:val="Other|1"/>
    <w:basedOn w:val="1"/>
    <w:qFormat/>
    <w:uiPriority w:val="0"/>
    <w:pPr>
      <w:widowControl w:val="0"/>
      <w:shd w:val="clear" w:color="auto" w:fill="auto"/>
      <w:spacing w:line="314" w:lineRule="exact"/>
      <w:ind w:firstLine="160"/>
    </w:pPr>
    <w:rPr>
      <w:rFonts w:ascii="宋体" w:hAnsi="宋体" w:eastAsia="宋体" w:cs="宋体"/>
      <w:sz w:val="20"/>
      <w:szCs w:val="20"/>
      <w:u w:val="none"/>
      <w:shd w:val="clear" w:color="auto" w:fill="auto"/>
      <w:lang w:val="zh-TW" w:eastAsia="zh-TW" w:bidi="zh-TW"/>
    </w:rPr>
  </w:style>
  <w:style w:type="paragraph" w:customStyle="1" w:styleId="237">
    <w:name w:val="表格文字"/>
    <w:basedOn w:val="1"/>
    <w:next w:val="1"/>
    <w:qFormat/>
    <w:uiPriority w:val="0"/>
    <w:pPr>
      <w:jc w:val="center"/>
    </w:pPr>
    <w:rPr>
      <w:sz w:val="24"/>
      <w:szCs w:val="20"/>
    </w:rPr>
  </w:style>
  <w:style w:type="paragraph" w:customStyle="1" w:styleId="238">
    <w:name w:val="my正文"/>
    <w:basedOn w:val="1"/>
    <w:qFormat/>
    <w:uiPriority w:val="0"/>
    <w:pPr>
      <w:spacing w:before="120" w:after="120" w:line="360" w:lineRule="auto"/>
      <w:ind w:right="210" w:rightChars="100" w:firstLine="540"/>
    </w:pPr>
    <w:rPr>
      <w:rFonts w:eastAsia="仿宋_GB2312" w:cs="Times New Roman"/>
      <w:sz w:val="28"/>
      <w:lang w:val="zh-CN"/>
    </w:rPr>
  </w:style>
  <w:style w:type="character" w:customStyle="1" w:styleId="239">
    <w:name w:val="font31"/>
    <w:qFormat/>
    <w:uiPriority w:val="0"/>
    <w:rPr>
      <w:rFonts w:hint="eastAsia" w:ascii="宋体" w:hAnsi="宋体" w:eastAsia="宋体" w:cs="宋体"/>
      <w:b/>
      <w:color w:val="000000"/>
      <w:sz w:val="16"/>
      <w:szCs w:val="16"/>
      <w:u w:val="none"/>
    </w:rPr>
  </w:style>
  <w:style w:type="character" w:customStyle="1" w:styleId="240">
    <w:name w:val="font01"/>
    <w:qFormat/>
    <w:uiPriority w:val="0"/>
    <w:rPr>
      <w:rFonts w:hint="eastAsia" w:ascii="宋体" w:hAnsi="宋体" w:eastAsia="宋体" w:cs="宋体"/>
      <w:b/>
      <w:color w:val="333333"/>
      <w:sz w:val="24"/>
      <w:szCs w:val="24"/>
      <w:u w:val="none"/>
    </w:rPr>
  </w:style>
  <w:style w:type="paragraph" w:customStyle="1" w:styleId="241">
    <w:name w:val="正文文字"/>
    <w:basedOn w:val="1"/>
    <w:next w:val="1"/>
    <w:qFormat/>
    <w:uiPriority w:val="0"/>
    <w:pPr>
      <w:autoSpaceDE w:val="0"/>
      <w:autoSpaceDN w:val="0"/>
      <w:adjustRightInd w:val="0"/>
      <w:jc w:val="left"/>
    </w:pPr>
    <w:rPr>
      <w:rFonts w:ascii="宋体" w:hAnsi="Times New Roman" w:eastAsia="宋体" w:cs="Times New Roman"/>
      <w:kern w:val="0"/>
      <w:sz w:val="24"/>
      <w:szCs w:val="24"/>
    </w:rPr>
  </w:style>
  <w:style w:type="paragraph" w:customStyle="1" w:styleId="242">
    <w:name w:val="表题注"/>
    <w:next w:val="1"/>
    <w:qFormat/>
    <w:uiPriority w:val="99"/>
    <w:pPr>
      <w:spacing w:before="60" w:after="60"/>
      <w:ind w:left="-289" w:firstLine="289"/>
      <w:jc w:val="center"/>
    </w:pPr>
    <w:rPr>
      <w:rFonts w:ascii="黑体" w:hAnsi="Times New Roman" w:eastAsia="黑体" w:cs="Times New Roman"/>
      <w:sz w:val="24"/>
      <w:lang w:val="en-US" w:eastAsia="zh-CN" w:bidi="ar-SA"/>
    </w:rPr>
  </w:style>
  <w:style w:type="paragraph" w:customStyle="1" w:styleId="243">
    <w:name w:val="公文"/>
    <w:basedOn w:val="1"/>
    <w:qFormat/>
    <w:uiPriority w:val="0"/>
    <w:pPr>
      <w:ind w:firstLine="640" w:firstLineChars="200"/>
    </w:pPr>
    <w:rPr>
      <w:rFonts w:ascii="仿宋_GB2312" w:hAnsi="仿宋_GB2312" w:eastAsia="仿宋_GB2312"/>
      <w:sz w:val="32"/>
    </w:rPr>
  </w:style>
  <w:style w:type="paragraph" w:customStyle="1" w:styleId="244">
    <w:name w:val="文档正文"/>
    <w:basedOn w:val="1"/>
    <w:qFormat/>
    <w:uiPriority w:val="0"/>
    <w:rPr>
      <w:rFonts w:ascii="宋体" w:hAnsi="宋体" w:eastAsia="宋体" w:cs="Arial"/>
      <w:bCs/>
      <w:szCs w:val="21"/>
    </w:rPr>
  </w:style>
  <w:style w:type="paragraph" w:customStyle="1" w:styleId="245">
    <w:name w:val="正文_3"/>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San-Elepow CON.</Company>
  <Pages>56</Pages>
  <Words>31315</Words>
  <Characters>33666</Characters>
  <Lines>297</Lines>
  <Paragraphs>83</Paragraphs>
  <TotalTime>10</TotalTime>
  <ScaleCrop>false</ScaleCrop>
  <LinksUpToDate>false</LinksUpToDate>
  <CharactersWithSpaces>35372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2022-07-21T02:53:00Z</dcterms:created>
  <dc:creator>yan</dc:creator>
  <cp:lastModifiedBy>Janove</cp:lastModifiedBy>
  <cp:lastPrinted>2022-10-31T04:01:00Z</cp:lastPrinted>
  <dcterms:modified xsi:type="dcterms:W3CDTF">2022-11-16T13:30:12Z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B5D8F32FFDA44A849034D970AC71EBED</vt:lpwstr>
  </property>
</Properties>
</file>