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043E7">
      <w:pPr>
        <w:spacing w:beforeLines="50" w:line="528" w:lineRule="auto"/>
        <w:jc w:val="center"/>
        <w:rPr>
          <w:rFonts w:hint="eastAsia" w:ascii="宋体" w:hAnsi="宋体"/>
          <w:b/>
          <w:color w:val="000000"/>
          <w:sz w:val="28"/>
          <w:szCs w:val="28"/>
        </w:rPr>
      </w:pPr>
      <w:r>
        <w:rPr>
          <w:rFonts w:hint="eastAsia" w:ascii="宋体" w:hAnsi="宋体"/>
          <w:b/>
          <w:sz w:val="28"/>
          <w:szCs w:val="28"/>
        </w:rPr>
        <w:t>2025-2026年重大活动及主要节假日环境保障项目清单编制说明</w:t>
      </w:r>
    </w:p>
    <w:p w14:paraId="4011DB89">
      <w:pPr>
        <w:spacing w:beforeLines="50" w:line="528" w:lineRule="auto"/>
        <w:jc w:val="left"/>
        <w:rPr>
          <w:rFonts w:ascii="宋体" w:hAnsi="宋体"/>
          <w:color w:val="000000"/>
          <w:sz w:val="28"/>
          <w:szCs w:val="28"/>
        </w:rPr>
      </w:pPr>
      <w:r>
        <w:rPr>
          <w:rFonts w:hint="eastAsia" w:ascii="宋体" w:hAnsi="宋体"/>
          <w:color w:val="000000"/>
          <w:sz w:val="28"/>
          <w:szCs w:val="28"/>
        </w:rPr>
        <w:t xml:space="preserve">    一、预算编制范围</w:t>
      </w:r>
    </w:p>
    <w:p w14:paraId="73F5AFE8">
      <w:pPr>
        <w:widowControl/>
        <w:spacing w:line="528" w:lineRule="auto"/>
        <w:ind w:firstLine="560" w:firstLineChars="200"/>
        <w:jc w:val="left"/>
        <w:rPr>
          <w:rFonts w:ascii="宋体" w:hAnsi="宋体"/>
          <w:sz w:val="28"/>
          <w:szCs w:val="28"/>
        </w:rPr>
      </w:pPr>
      <w:r>
        <w:rPr>
          <w:rFonts w:hint="eastAsia" w:ascii="宋体" w:hAnsi="宋体"/>
          <w:color w:val="000000"/>
          <w:sz w:val="28"/>
          <w:szCs w:val="28"/>
        </w:rPr>
        <w:t>㈠项目范围主要包括2025-2026年重大活动及主要节假日环境保障项目。</w:t>
      </w:r>
    </w:p>
    <w:p w14:paraId="20016D6C">
      <w:pPr>
        <w:adjustRightInd w:val="0"/>
        <w:snapToGrid w:val="0"/>
        <w:spacing w:line="360" w:lineRule="auto"/>
        <w:ind w:firstLine="560" w:firstLineChars="200"/>
        <w:rPr>
          <w:rFonts w:ascii="宋体"/>
          <w:color w:val="000000"/>
          <w:sz w:val="28"/>
          <w:szCs w:val="28"/>
        </w:rPr>
      </w:pPr>
      <w:r>
        <w:rPr>
          <w:rFonts w:hint="eastAsia" w:ascii="宋体" w:hAnsi="宋体"/>
          <w:color w:val="000000"/>
          <w:sz w:val="28"/>
          <w:szCs w:val="28"/>
        </w:rPr>
        <w:t>二、编制依据</w:t>
      </w:r>
    </w:p>
    <w:p w14:paraId="65C88066">
      <w:pPr>
        <w:adjustRightInd w:val="0"/>
        <w:snapToGrid w:val="0"/>
        <w:spacing w:line="360" w:lineRule="auto"/>
        <w:ind w:firstLine="560" w:firstLineChars="200"/>
        <w:rPr>
          <w:rFonts w:ascii="宋体" w:hAnsi="宋体"/>
          <w:color w:val="000000"/>
          <w:sz w:val="28"/>
          <w:szCs w:val="28"/>
        </w:rPr>
      </w:pPr>
      <w:r>
        <w:rPr>
          <w:rFonts w:hint="eastAsia" w:ascii="宋体" w:hAnsi="宋体"/>
          <w:color w:val="000000"/>
          <w:sz w:val="28"/>
          <w:szCs w:val="28"/>
        </w:rPr>
        <w:t>㈠建设单位提供的</w:t>
      </w:r>
      <w:bookmarkStart w:id="0" w:name="OLE_LINK12"/>
      <w:bookmarkStart w:id="1" w:name="OLE_LINK14"/>
      <w:r>
        <w:rPr>
          <w:rFonts w:hint="eastAsia" w:ascii="宋体" w:hAnsi="宋体"/>
          <w:color w:val="000000"/>
          <w:sz w:val="28"/>
          <w:szCs w:val="28"/>
        </w:rPr>
        <w:t>由浙江金峨生态建设有限公司设计的2025-2026年重大活动及主要节假日环境保障项目的施工图（2025年5月）</w:t>
      </w:r>
      <w:bookmarkEnd w:id="0"/>
      <w:bookmarkEnd w:id="1"/>
      <w:r>
        <w:rPr>
          <w:rFonts w:hint="eastAsia" w:ascii="宋体" w:hAnsi="宋体"/>
          <w:color w:val="000000"/>
          <w:sz w:val="28"/>
          <w:szCs w:val="28"/>
        </w:rPr>
        <w:t>电子版</w:t>
      </w:r>
    </w:p>
    <w:p w14:paraId="26D14D32">
      <w:pPr>
        <w:adjustRightInd w:val="0"/>
        <w:snapToGrid w:val="0"/>
        <w:spacing w:line="360" w:lineRule="auto"/>
        <w:ind w:firstLine="560" w:firstLineChars="200"/>
        <w:rPr>
          <w:rFonts w:ascii="宋体" w:hAnsi="宋体"/>
          <w:color w:val="000000"/>
          <w:sz w:val="28"/>
        </w:rPr>
      </w:pPr>
      <w:r>
        <w:rPr>
          <w:rFonts w:hint="eastAsia" w:ascii="宋体" w:hAnsi="宋体"/>
          <w:color w:val="000000"/>
          <w:sz w:val="28"/>
          <w:szCs w:val="28"/>
        </w:rPr>
        <w:t>㈡</w:t>
      </w:r>
      <w:r>
        <w:rPr>
          <w:rFonts w:hint="eastAsia" w:ascii="宋体" w:hAnsi="宋体"/>
          <w:color w:val="000000"/>
          <w:sz w:val="28"/>
        </w:rPr>
        <w:t>《建设工程工程量清单计价规范》（</w:t>
      </w:r>
      <w:r>
        <w:rPr>
          <w:rFonts w:hint="eastAsia" w:ascii="宋体" w:hAnsi="宋体"/>
          <w:color w:val="000000"/>
          <w:sz w:val="28"/>
          <w:szCs w:val="28"/>
        </w:rPr>
        <w:t>GB50500-2013</w:t>
      </w:r>
      <w:r>
        <w:rPr>
          <w:rFonts w:hint="eastAsia" w:ascii="宋体" w:hAnsi="宋体"/>
          <w:color w:val="000000"/>
          <w:sz w:val="28"/>
        </w:rPr>
        <w:t>）</w:t>
      </w:r>
    </w:p>
    <w:p w14:paraId="03B5E728">
      <w:pPr>
        <w:adjustRightInd w:val="0"/>
        <w:snapToGrid w:val="0"/>
        <w:spacing w:line="360" w:lineRule="auto"/>
        <w:ind w:firstLine="560" w:firstLineChars="200"/>
        <w:rPr>
          <w:rFonts w:ascii="宋体" w:hAnsi="宋体"/>
          <w:color w:val="000000"/>
          <w:sz w:val="28"/>
          <w:szCs w:val="28"/>
        </w:rPr>
      </w:pPr>
      <w:r>
        <w:rPr>
          <w:rFonts w:hint="eastAsia" w:ascii="宋体" w:hAnsi="宋体"/>
          <w:color w:val="000000"/>
          <w:sz w:val="28"/>
          <w:szCs w:val="28"/>
        </w:rPr>
        <w:t>㈢</w:t>
      </w:r>
      <w:r>
        <w:rPr>
          <w:rFonts w:hint="eastAsia" w:ascii="宋体" w:hAnsi="宋体"/>
          <w:color w:val="000000"/>
          <w:sz w:val="28"/>
        </w:rPr>
        <w:t>《园林绿化工程工程量计算规范》（</w:t>
      </w:r>
      <w:r>
        <w:rPr>
          <w:rFonts w:hint="eastAsia" w:ascii="宋体" w:hAnsi="宋体"/>
          <w:color w:val="000000"/>
          <w:sz w:val="28"/>
          <w:szCs w:val="28"/>
        </w:rPr>
        <w:t>GB50858-2013</w:t>
      </w:r>
      <w:r>
        <w:rPr>
          <w:rFonts w:hint="eastAsia" w:ascii="宋体" w:hAnsi="宋体"/>
          <w:color w:val="000000"/>
          <w:sz w:val="28"/>
        </w:rPr>
        <w:t>）</w:t>
      </w:r>
    </w:p>
    <w:p w14:paraId="7CA6DA7E">
      <w:pPr>
        <w:adjustRightInd w:val="0"/>
        <w:snapToGrid w:val="0"/>
        <w:spacing w:line="360" w:lineRule="auto"/>
        <w:ind w:firstLine="560" w:firstLineChars="200"/>
        <w:rPr>
          <w:rFonts w:ascii="宋体" w:hAnsi="宋体"/>
          <w:color w:val="000000"/>
          <w:sz w:val="28"/>
          <w:szCs w:val="28"/>
        </w:rPr>
      </w:pPr>
      <w:r>
        <w:rPr>
          <w:rFonts w:hint="eastAsia" w:ascii="宋体" w:hAnsi="宋体"/>
          <w:color w:val="000000"/>
          <w:sz w:val="28"/>
          <w:szCs w:val="28"/>
        </w:rPr>
        <w:fldChar w:fldCharType="begin"/>
      </w:r>
      <w:r>
        <w:rPr>
          <w:rFonts w:hint="eastAsia" w:ascii="宋体" w:hAnsi="宋体"/>
          <w:color w:val="000000"/>
          <w:sz w:val="28"/>
          <w:szCs w:val="28"/>
        </w:rPr>
        <w:instrText xml:space="preserve"> = 4 \* GB4 </w:instrText>
      </w:r>
      <w:r>
        <w:rPr>
          <w:rFonts w:hint="eastAsia" w:ascii="宋体" w:hAnsi="宋体"/>
          <w:color w:val="000000"/>
          <w:sz w:val="28"/>
          <w:szCs w:val="28"/>
        </w:rPr>
        <w:fldChar w:fldCharType="separate"/>
      </w:r>
      <w:r>
        <w:rPr>
          <w:rFonts w:hint="eastAsia" w:ascii="宋体" w:hAnsi="宋体"/>
          <w:color w:val="000000"/>
          <w:sz w:val="28"/>
          <w:szCs w:val="28"/>
        </w:rPr>
        <w:t>㈣</w:t>
      </w:r>
      <w:r>
        <w:rPr>
          <w:rFonts w:hint="eastAsia" w:ascii="宋体" w:hAnsi="宋体"/>
          <w:color w:val="000000"/>
          <w:sz w:val="28"/>
          <w:szCs w:val="28"/>
        </w:rPr>
        <w:fldChar w:fldCharType="end"/>
      </w:r>
      <w:r>
        <w:rPr>
          <w:rFonts w:hint="eastAsia" w:ascii="宋体" w:hAnsi="宋体"/>
          <w:color w:val="000000"/>
          <w:sz w:val="28"/>
          <w:szCs w:val="28"/>
        </w:rPr>
        <w:t>《</w:t>
      </w:r>
      <w:r>
        <w:rPr>
          <w:rFonts w:hint="eastAsia" w:ascii="宋体" w:hAnsi="宋体"/>
          <w:sz w:val="28"/>
          <w:szCs w:val="28"/>
        </w:rPr>
        <w:t>浙江省园林绿化及仿古建筑工程预算定额</w:t>
      </w:r>
      <w:r>
        <w:rPr>
          <w:rFonts w:hint="eastAsia" w:ascii="宋体" w:hAnsi="宋体"/>
          <w:color w:val="000000"/>
          <w:sz w:val="28"/>
          <w:szCs w:val="28"/>
        </w:rPr>
        <w:t>》（2018版）</w:t>
      </w:r>
    </w:p>
    <w:p w14:paraId="74A7F6D9">
      <w:pPr>
        <w:adjustRightInd w:val="0"/>
        <w:snapToGrid w:val="0"/>
        <w:spacing w:line="360" w:lineRule="auto"/>
        <w:ind w:firstLine="560" w:firstLineChars="200"/>
        <w:rPr>
          <w:rFonts w:ascii="宋体" w:hAnsi="宋体"/>
          <w:color w:val="000000"/>
          <w:sz w:val="28"/>
          <w:szCs w:val="28"/>
        </w:rPr>
      </w:pPr>
      <w:r>
        <w:rPr>
          <w:rFonts w:hint="eastAsia" w:ascii="宋体" w:hAnsi="宋体"/>
          <w:color w:val="000000"/>
          <w:sz w:val="28"/>
          <w:szCs w:val="28"/>
        </w:rPr>
        <w:fldChar w:fldCharType="begin"/>
      </w:r>
      <w:r>
        <w:rPr>
          <w:rFonts w:hint="eastAsia" w:ascii="宋体" w:hAnsi="宋体"/>
          <w:color w:val="000000"/>
          <w:sz w:val="28"/>
          <w:szCs w:val="28"/>
        </w:rPr>
        <w:instrText xml:space="preserve"> = 5 \* GB4 </w:instrText>
      </w:r>
      <w:r>
        <w:rPr>
          <w:rFonts w:hint="eastAsia" w:ascii="宋体" w:hAnsi="宋体"/>
          <w:color w:val="000000"/>
          <w:sz w:val="28"/>
          <w:szCs w:val="28"/>
        </w:rPr>
        <w:fldChar w:fldCharType="separate"/>
      </w:r>
      <w:r>
        <w:rPr>
          <w:rFonts w:hint="eastAsia" w:ascii="宋体" w:hAnsi="宋体"/>
          <w:color w:val="000000"/>
          <w:sz w:val="28"/>
          <w:szCs w:val="28"/>
        </w:rPr>
        <w:t>㈤</w:t>
      </w:r>
      <w:r>
        <w:rPr>
          <w:rFonts w:hint="eastAsia" w:ascii="宋体" w:hAnsi="宋体"/>
          <w:color w:val="000000"/>
          <w:sz w:val="28"/>
          <w:szCs w:val="28"/>
        </w:rPr>
        <w:fldChar w:fldCharType="end"/>
      </w:r>
      <w:r>
        <w:rPr>
          <w:rFonts w:hint="eastAsia" w:ascii="宋体" w:hAnsi="宋体"/>
          <w:color w:val="000000"/>
          <w:sz w:val="28"/>
          <w:szCs w:val="28"/>
        </w:rPr>
        <w:t>《浙江省通用安装工程预算定额》（2018版）</w:t>
      </w:r>
    </w:p>
    <w:p w14:paraId="53F49A70">
      <w:pPr>
        <w:adjustRightInd w:val="0"/>
        <w:snapToGrid w:val="0"/>
        <w:spacing w:line="360" w:lineRule="auto"/>
        <w:ind w:firstLine="560" w:firstLineChars="200"/>
        <w:rPr>
          <w:rFonts w:ascii="宋体" w:hAnsi="宋体"/>
          <w:color w:val="000000"/>
          <w:sz w:val="28"/>
          <w:szCs w:val="28"/>
        </w:rPr>
      </w:pPr>
      <w:r>
        <w:rPr>
          <w:rFonts w:ascii="宋体" w:hAnsi="宋体"/>
          <w:color w:val="000000"/>
          <w:sz w:val="28"/>
          <w:szCs w:val="28"/>
        </w:rPr>
        <w:fldChar w:fldCharType="begin"/>
      </w:r>
      <w:r>
        <w:rPr>
          <w:rFonts w:hint="eastAsia" w:ascii="宋体" w:hAnsi="宋体"/>
          <w:color w:val="000000"/>
          <w:sz w:val="28"/>
          <w:szCs w:val="28"/>
        </w:rPr>
        <w:instrText xml:space="preserve">= 6 \* GB4</w:instrText>
      </w:r>
      <w:r>
        <w:rPr>
          <w:rFonts w:ascii="宋体" w:hAnsi="宋体"/>
          <w:color w:val="000000"/>
          <w:sz w:val="28"/>
          <w:szCs w:val="28"/>
        </w:rPr>
        <w:fldChar w:fldCharType="separate"/>
      </w:r>
      <w:r>
        <w:rPr>
          <w:rFonts w:hint="eastAsia" w:ascii="宋体" w:hAnsi="宋体"/>
          <w:color w:val="000000"/>
          <w:sz w:val="28"/>
          <w:szCs w:val="28"/>
        </w:rPr>
        <w:t>㈥</w:t>
      </w:r>
      <w:r>
        <w:rPr>
          <w:rFonts w:ascii="宋体" w:hAnsi="宋体"/>
          <w:color w:val="000000"/>
          <w:sz w:val="28"/>
          <w:szCs w:val="28"/>
        </w:rPr>
        <w:fldChar w:fldCharType="end"/>
      </w:r>
      <w:r>
        <w:rPr>
          <w:rFonts w:hint="eastAsia" w:ascii="宋体" w:hAnsi="宋体"/>
          <w:color w:val="000000"/>
          <w:sz w:val="28"/>
          <w:szCs w:val="28"/>
        </w:rPr>
        <w:t>《浙江省建设工程计价规则》（2018版）</w:t>
      </w:r>
    </w:p>
    <w:p w14:paraId="27E5F1BB">
      <w:pPr>
        <w:adjustRightInd w:val="0"/>
        <w:snapToGrid w:val="0"/>
        <w:spacing w:line="360" w:lineRule="auto"/>
        <w:ind w:firstLine="560" w:firstLineChars="200"/>
        <w:rPr>
          <w:rFonts w:ascii="宋体" w:hAnsi="宋体"/>
          <w:color w:val="000000"/>
          <w:sz w:val="28"/>
          <w:szCs w:val="28"/>
        </w:rPr>
      </w:pPr>
      <w:r>
        <w:rPr>
          <w:rFonts w:ascii="宋体" w:hAnsi="宋体"/>
          <w:color w:val="000000"/>
          <w:sz w:val="28"/>
          <w:szCs w:val="28"/>
        </w:rPr>
        <w:fldChar w:fldCharType="begin"/>
      </w:r>
      <w:r>
        <w:rPr>
          <w:rFonts w:hint="eastAsia" w:ascii="宋体" w:hAnsi="宋体"/>
          <w:color w:val="000000"/>
          <w:sz w:val="28"/>
          <w:szCs w:val="28"/>
        </w:rPr>
        <w:instrText xml:space="preserve">= 7 \* GB4</w:instrText>
      </w:r>
      <w:r>
        <w:rPr>
          <w:rFonts w:ascii="宋体" w:hAnsi="宋体"/>
          <w:color w:val="000000"/>
          <w:sz w:val="28"/>
          <w:szCs w:val="28"/>
        </w:rPr>
        <w:fldChar w:fldCharType="separate"/>
      </w:r>
      <w:r>
        <w:rPr>
          <w:rFonts w:hint="eastAsia" w:ascii="宋体" w:hAnsi="宋体"/>
          <w:color w:val="000000"/>
          <w:sz w:val="28"/>
          <w:szCs w:val="28"/>
        </w:rPr>
        <w:t>㈦</w:t>
      </w:r>
      <w:r>
        <w:rPr>
          <w:rFonts w:ascii="宋体" w:hAnsi="宋体"/>
          <w:color w:val="000000"/>
          <w:sz w:val="28"/>
          <w:szCs w:val="28"/>
        </w:rPr>
        <w:fldChar w:fldCharType="end"/>
      </w:r>
      <w:r>
        <w:rPr>
          <w:rFonts w:hint="eastAsia" w:ascii="宋体" w:hAnsi="宋体"/>
          <w:color w:val="000000"/>
          <w:sz w:val="28"/>
          <w:szCs w:val="28"/>
        </w:rPr>
        <w:t>《浙江省建设工程施工机械台班费用定额》（2018版）</w:t>
      </w:r>
    </w:p>
    <w:p w14:paraId="51A5655E">
      <w:pPr>
        <w:adjustRightInd w:val="0"/>
        <w:snapToGrid w:val="0"/>
        <w:spacing w:line="360" w:lineRule="auto"/>
        <w:ind w:firstLine="560" w:firstLineChars="20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hint="eastAsia" w:ascii="宋体" w:hAnsi="宋体"/>
          <w:color w:val="000000"/>
          <w:sz w:val="28"/>
          <w:szCs w:val="28"/>
        </w:rPr>
        <w:instrText xml:space="preserve">= 8 \* GB4</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hint="eastAsia" w:ascii="宋体" w:hAnsi="宋体"/>
          <w:color w:val="000000"/>
          <w:sz w:val="28"/>
          <w:szCs w:val="28"/>
        </w:rPr>
        <w:t>㈧</w:t>
      </w:r>
      <w:r>
        <w:rPr>
          <w:rFonts w:ascii="宋体" w:hAnsi="宋体"/>
          <w:color w:val="000000"/>
          <w:sz w:val="28"/>
          <w:szCs w:val="28"/>
        </w:rPr>
        <w:fldChar w:fldCharType="end"/>
      </w:r>
      <w:r>
        <w:rPr>
          <w:rFonts w:hint="eastAsia"/>
          <w:kern w:val="0"/>
          <w:sz w:val="28"/>
          <w:szCs w:val="28"/>
        </w:rPr>
        <w:t>浙江省及宁波市建设主管部门颁发的有关文件</w:t>
      </w:r>
    </w:p>
    <w:p w14:paraId="420C53D2">
      <w:pPr>
        <w:adjustRightInd w:val="0"/>
        <w:snapToGrid w:val="0"/>
        <w:spacing w:line="360" w:lineRule="auto"/>
        <w:ind w:firstLine="560" w:firstLineChars="200"/>
        <w:rPr>
          <w:rFonts w:ascii="宋体" w:hAnsi="宋体"/>
          <w:color w:val="000000"/>
          <w:sz w:val="28"/>
          <w:szCs w:val="28"/>
        </w:rPr>
      </w:pPr>
      <w:r>
        <w:rPr>
          <w:rFonts w:hint="eastAsia" w:ascii="宋体" w:hAnsi="宋体"/>
          <w:color w:val="000000"/>
          <w:sz w:val="28"/>
          <w:szCs w:val="28"/>
        </w:rPr>
        <w:t>三、编制原则</w:t>
      </w:r>
    </w:p>
    <w:p w14:paraId="0BCF1D88">
      <w:pPr>
        <w:adjustRightInd w:val="0"/>
        <w:snapToGrid w:val="0"/>
        <w:spacing w:line="360" w:lineRule="auto"/>
        <w:ind w:firstLine="560" w:firstLineChars="200"/>
        <w:rPr>
          <w:rFonts w:ascii="宋体" w:hAnsi="宋体"/>
          <w:sz w:val="28"/>
          <w:szCs w:val="28"/>
        </w:rPr>
      </w:pPr>
      <w:r>
        <w:rPr>
          <w:rFonts w:hint="eastAsia" w:ascii="宋体" w:hAnsi="宋体"/>
          <w:sz w:val="28"/>
          <w:szCs w:val="28"/>
        </w:rPr>
        <w:t>㈠工程量：根据建设单位提供的</w:t>
      </w:r>
      <w:r>
        <w:rPr>
          <w:rFonts w:hint="eastAsia" w:ascii="宋体" w:hAnsi="宋体"/>
          <w:color w:val="000000"/>
          <w:sz w:val="28"/>
          <w:szCs w:val="28"/>
        </w:rPr>
        <w:t>2025-2026年重大活动及主要节假日环境保障项目</w:t>
      </w:r>
      <w:r>
        <w:rPr>
          <w:rFonts w:hint="eastAsia" w:ascii="宋体" w:hAnsi="宋体"/>
          <w:sz w:val="28"/>
          <w:szCs w:val="28"/>
        </w:rPr>
        <w:t>的施工图（2025年5月）电子版计算。</w:t>
      </w:r>
    </w:p>
    <w:p w14:paraId="65E09384">
      <w:pPr>
        <w:adjustRightInd w:val="0"/>
        <w:snapToGrid w:val="0"/>
        <w:spacing w:line="360" w:lineRule="auto"/>
        <w:ind w:firstLine="560" w:firstLineChars="200"/>
        <w:rPr>
          <w:rFonts w:ascii="宋体" w:hAnsi="宋体"/>
          <w:sz w:val="28"/>
          <w:szCs w:val="28"/>
        </w:rPr>
      </w:pPr>
      <w:r>
        <w:rPr>
          <w:rFonts w:hint="eastAsia" w:ascii="宋体" w:hAnsi="宋体"/>
          <w:sz w:val="28"/>
          <w:szCs w:val="28"/>
        </w:rPr>
        <w:t>㈡材料信息价（含机械燃料动力费）：按2025年5月刊《宁波建设工程造价信息》（综合版）宁波市除税信息价计入，无宁波市材料信息价的按同期《浙江造价信息》除税信息价计入，其中苗木价格参照2025年5月刊《宁波建设工程造价信息》（园林苗木专刊）除税信息价计入，无宁波市苗木信息价的按2025年第5期《浙江省造价信息》除税信息价计入；以上均无的材料按市场价除税价计入。</w:t>
      </w:r>
    </w:p>
    <w:p w14:paraId="756E454B">
      <w:pPr>
        <w:adjustRightInd w:val="0"/>
        <w:snapToGrid w:val="0"/>
        <w:spacing w:line="360" w:lineRule="auto"/>
        <w:ind w:firstLine="560" w:firstLineChars="200"/>
        <w:rPr>
          <w:rFonts w:ascii="宋体" w:hAnsi="宋体"/>
          <w:color w:val="000000"/>
          <w:sz w:val="28"/>
          <w:szCs w:val="28"/>
        </w:rPr>
      </w:pPr>
      <w:r>
        <w:rPr>
          <w:rFonts w:hint="eastAsia" w:ascii="宋体" w:hAnsi="宋体"/>
          <w:sz w:val="28"/>
          <w:szCs w:val="28"/>
        </w:rPr>
        <w:t>㈢</w:t>
      </w:r>
      <w:r>
        <w:rPr>
          <w:rFonts w:hint="eastAsia" w:ascii="宋体" w:hAnsi="宋体"/>
          <w:color w:val="000000"/>
          <w:sz w:val="28"/>
          <w:szCs w:val="28"/>
        </w:rPr>
        <w:t>人工信息价：根据《宁波建设工程造价信息》（综合版）2025年5月刊。</w:t>
      </w:r>
    </w:p>
    <w:p w14:paraId="27D1F166">
      <w:pPr>
        <w:adjustRightInd w:val="0"/>
        <w:snapToGrid w:val="0"/>
        <w:spacing w:line="360" w:lineRule="auto"/>
        <w:ind w:firstLine="560" w:firstLineChars="200"/>
        <w:rPr>
          <w:rFonts w:ascii="宋体" w:hAnsi="宋体"/>
          <w:color w:val="000000"/>
          <w:sz w:val="28"/>
          <w:szCs w:val="28"/>
        </w:rPr>
      </w:pPr>
      <w:r>
        <w:rPr>
          <w:rFonts w:hint="eastAsia" w:ascii="宋体" w:hAnsi="宋体"/>
          <w:sz w:val="28"/>
          <w:szCs w:val="28"/>
        </w:rPr>
        <w:fldChar w:fldCharType="begin"/>
      </w:r>
      <w:r>
        <w:rPr>
          <w:rFonts w:hint="eastAsia" w:ascii="宋体" w:hAnsi="宋体"/>
          <w:sz w:val="28"/>
          <w:szCs w:val="28"/>
        </w:rPr>
        <w:instrText xml:space="preserve"> = 4 \* GB4 </w:instrText>
      </w:r>
      <w:r>
        <w:rPr>
          <w:rFonts w:hint="eastAsia" w:ascii="宋体" w:hAnsi="宋体"/>
          <w:sz w:val="28"/>
          <w:szCs w:val="28"/>
        </w:rPr>
        <w:fldChar w:fldCharType="separate"/>
      </w:r>
      <w:r>
        <w:rPr>
          <w:rFonts w:hint="eastAsia" w:ascii="宋体" w:hAnsi="宋体"/>
          <w:sz w:val="28"/>
          <w:szCs w:val="28"/>
        </w:rPr>
        <w:t>㈣</w:t>
      </w:r>
      <w:r>
        <w:rPr>
          <w:rFonts w:hint="eastAsia" w:ascii="宋体" w:hAnsi="宋体"/>
          <w:sz w:val="28"/>
          <w:szCs w:val="28"/>
        </w:rPr>
        <w:fldChar w:fldCharType="end"/>
      </w:r>
      <w:r>
        <w:rPr>
          <w:rFonts w:hint="eastAsia" w:ascii="宋体" w:hAnsi="宋体"/>
          <w:sz w:val="28"/>
          <w:szCs w:val="28"/>
        </w:rPr>
        <w:t>取费标准</w:t>
      </w:r>
      <w:r>
        <w:rPr>
          <w:rFonts w:hint="eastAsia" w:ascii="宋体" w:hAnsi="宋体"/>
          <w:color w:val="000000"/>
          <w:sz w:val="28"/>
          <w:szCs w:val="28"/>
        </w:rPr>
        <w:t>根据《浙江省建设工程计价规则》（2018版）建筑安装工程取费费率：</w:t>
      </w:r>
    </w:p>
    <w:p w14:paraId="61F68278">
      <w:pPr>
        <w:adjustRightInd w:val="0"/>
        <w:snapToGrid w:val="0"/>
        <w:spacing w:line="360" w:lineRule="auto"/>
        <w:ind w:firstLine="560" w:firstLineChars="200"/>
        <w:rPr>
          <w:kern w:val="0"/>
          <w:sz w:val="28"/>
          <w:szCs w:val="28"/>
        </w:rPr>
      </w:pPr>
      <w:r>
        <w:rPr>
          <w:rFonts w:hint="eastAsia" w:ascii="宋体" w:hAnsi="宋体"/>
          <w:sz w:val="28"/>
          <w:szCs w:val="28"/>
        </w:rPr>
        <w:t>1.绿化景观工程企业管理费、利润费率按园林绿化及景观工程</w:t>
      </w:r>
      <w:r>
        <w:rPr>
          <w:rFonts w:hint="eastAsia" w:ascii="宋体" w:hAnsi="宋体"/>
          <w:color w:val="000000"/>
          <w:sz w:val="28"/>
          <w:szCs w:val="28"/>
        </w:rPr>
        <w:t>中值计取；景观电气工程及给水灌溉工程企业管理费、利润费率按水、电、暖通、消防、智能、自控及通信安装工程中值计取；</w:t>
      </w:r>
    </w:p>
    <w:p w14:paraId="3E190FBB">
      <w:pPr>
        <w:adjustRightInd w:val="0"/>
        <w:snapToGrid w:val="0"/>
        <w:spacing w:line="360" w:lineRule="auto"/>
        <w:ind w:firstLine="560" w:firstLineChars="200"/>
        <w:rPr>
          <w:kern w:val="0"/>
          <w:sz w:val="28"/>
          <w:szCs w:val="28"/>
        </w:rPr>
      </w:pPr>
      <w:r>
        <w:rPr>
          <w:rFonts w:hint="eastAsia"/>
          <w:kern w:val="0"/>
          <w:sz w:val="28"/>
          <w:szCs w:val="28"/>
        </w:rPr>
        <w:t>2.施工组织措施项目费费率：安全文明施工基本费按市区中值计入，二次搬运费、冬雨季施工增加费、行车、行人干扰增加费按中值计入，其中标化工地增加费、提前竣工增加费不计；</w:t>
      </w:r>
    </w:p>
    <w:p w14:paraId="4337F1F2">
      <w:pPr>
        <w:adjustRightInd w:val="0"/>
        <w:snapToGrid w:val="0"/>
        <w:spacing w:line="360" w:lineRule="auto"/>
        <w:ind w:firstLine="560" w:firstLineChars="200"/>
        <w:rPr>
          <w:kern w:val="0"/>
          <w:sz w:val="28"/>
          <w:szCs w:val="28"/>
        </w:rPr>
      </w:pPr>
      <w:r>
        <w:rPr>
          <w:rFonts w:hint="eastAsia"/>
          <w:kern w:val="0"/>
          <w:sz w:val="28"/>
          <w:szCs w:val="28"/>
        </w:rPr>
        <w:t xml:space="preserve">3. </w:t>
      </w:r>
      <w:r>
        <w:rPr>
          <w:rFonts w:hint="eastAsia" w:ascii="宋体" w:hAnsi="宋体"/>
          <w:color w:val="000000"/>
          <w:sz w:val="28"/>
          <w:szCs w:val="28"/>
        </w:rPr>
        <w:t>规费根据《关于颁发浙江省建设工程计价依据（2018版）的通知》（浙建建〔2018〕61号）按相应工程标准费率的30%计取</w:t>
      </w:r>
      <w:r>
        <w:rPr>
          <w:rFonts w:hint="eastAsia"/>
          <w:kern w:val="0"/>
          <w:sz w:val="28"/>
          <w:szCs w:val="28"/>
        </w:rPr>
        <w:t>；</w:t>
      </w:r>
    </w:p>
    <w:p w14:paraId="7041A665">
      <w:pPr>
        <w:adjustRightInd w:val="0"/>
        <w:snapToGrid w:val="0"/>
        <w:spacing w:line="360" w:lineRule="auto"/>
        <w:ind w:firstLine="560" w:firstLineChars="200"/>
        <w:rPr>
          <w:kern w:val="0"/>
          <w:sz w:val="28"/>
          <w:szCs w:val="28"/>
        </w:rPr>
      </w:pPr>
      <w:r>
        <w:rPr>
          <w:rFonts w:hint="eastAsia"/>
          <w:kern w:val="0"/>
          <w:sz w:val="28"/>
          <w:szCs w:val="28"/>
        </w:rPr>
        <w:t>4.安责险根据市建管〔2024〕12号关于印发宁波市房屋建筑与市政基础设施工程安全生产责任保险费用计取的通知计入；</w:t>
      </w:r>
    </w:p>
    <w:p w14:paraId="664E8019">
      <w:pPr>
        <w:adjustRightInd w:val="0"/>
        <w:snapToGrid w:val="0"/>
        <w:spacing w:line="360" w:lineRule="auto"/>
        <w:ind w:firstLine="560" w:firstLineChars="200"/>
        <w:rPr>
          <w:kern w:val="0"/>
          <w:sz w:val="28"/>
          <w:szCs w:val="28"/>
        </w:rPr>
      </w:pPr>
      <w:r>
        <w:rPr>
          <w:rFonts w:hint="eastAsia"/>
          <w:kern w:val="0"/>
          <w:sz w:val="28"/>
          <w:szCs w:val="28"/>
        </w:rPr>
        <w:t>5.</w:t>
      </w:r>
      <w:bookmarkStart w:id="2" w:name="OLE_LINK16"/>
      <w:bookmarkStart w:id="3" w:name="OLE_LINK15"/>
      <w:r>
        <w:rPr>
          <w:rFonts w:hint="eastAsia"/>
          <w:kern w:val="0"/>
          <w:sz w:val="28"/>
          <w:szCs w:val="28"/>
        </w:rPr>
        <w:t>税率：本工程采用一般计税法计价，税金根据《关于增值税调整后我省建设工程计价依据增值税税率及有关计价调整的通知》（浙建建发〔2019〕92号），按9%计取。</w:t>
      </w:r>
    </w:p>
    <w:p w14:paraId="6B7CCE3A">
      <w:pPr>
        <w:adjustRightInd w:val="0"/>
        <w:snapToGrid w:val="0"/>
        <w:spacing w:line="360" w:lineRule="auto"/>
        <w:ind w:firstLine="560" w:firstLineChars="200"/>
        <w:rPr>
          <w:kern w:val="0"/>
          <w:sz w:val="28"/>
          <w:szCs w:val="28"/>
        </w:rPr>
      </w:pPr>
      <w:r>
        <w:rPr>
          <w:rFonts w:hint="eastAsia"/>
          <w:kern w:val="0"/>
          <w:sz w:val="28"/>
          <w:szCs w:val="28"/>
        </w:rPr>
        <w:t>四、其他情况说明</w:t>
      </w:r>
    </w:p>
    <w:p w14:paraId="0A61B3F1">
      <w:pPr>
        <w:adjustRightInd w:val="0"/>
        <w:snapToGrid w:val="0"/>
        <w:spacing w:line="360" w:lineRule="auto"/>
        <w:ind w:firstLine="560" w:firstLineChars="200"/>
        <w:rPr>
          <w:kern w:val="0"/>
          <w:sz w:val="28"/>
          <w:szCs w:val="28"/>
        </w:rPr>
      </w:pPr>
      <w:r>
        <w:rPr>
          <w:rFonts w:hint="eastAsia"/>
          <w:kern w:val="0"/>
          <w:sz w:val="28"/>
          <w:szCs w:val="28"/>
        </w:rPr>
        <w:t>1.苗木数量暂按汇总表计入，与平面图不一致时，以汇总表为准；</w:t>
      </w:r>
    </w:p>
    <w:p w14:paraId="15D36E8D">
      <w:pPr>
        <w:adjustRightInd w:val="0"/>
        <w:snapToGrid w:val="0"/>
        <w:spacing w:line="360" w:lineRule="auto"/>
        <w:ind w:firstLine="560" w:firstLineChars="200"/>
        <w:rPr>
          <w:kern w:val="0"/>
          <w:sz w:val="28"/>
          <w:szCs w:val="28"/>
        </w:rPr>
      </w:pPr>
      <w:r>
        <w:rPr>
          <w:rFonts w:hint="eastAsia"/>
          <w:kern w:val="0"/>
          <w:sz w:val="28"/>
          <w:szCs w:val="28"/>
        </w:rPr>
        <w:t>2.表层种植黄土厚度根据施工图设计说明厚度35cm计入，黄土厚度为自然密实后的厚度，沉降量由投标单位考虑在综合单价内；</w:t>
      </w:r>
    </w:p>
    <w:p w14:paraId="2F378A14">
      <w:pPr>
        <w:adjustRightInd w:val="0"/>
        <w:snapToGrid w:val="0"/>
        <w:spacing w:line="360" w:lineRule="auto"/>
        <w:ind w:firstLine="560" w:firstLineChars="200"/>
        <w:rPr>
          <w:kern w:val="0"/>
          <w:sz w:val="28"/>
          <w:szCs w:val="28"/>
        </w:rPr>
      </w:pPr>
      <w:r>
        <w:rPr>
          <w:rFonts w:hint="eastAsia"/>
          <w:kern w:val="0"/>
          <w:sz w:val="28"/>
          <w:szCs w:val="28"/>
        </w:rPr>
        <w:t>3.苗木按正常季节种植考虑，若出现反季节种植，则反季节种植措施费由投标单位在投标报价中自行考虑，结算时不作调整；</w:t>
      </w:r>
    </w:p>
    <w:p w14:paraId="2D7E02B5">
      <w:pPr>
        <w:adjustRightInd w:val="0"/>
        <w:snapToGrid w:val="0"/>
        <w:spacing w:line="360" w:lineRule="auto"/>
        <w:ind w:firstLine="560" w:firstLineChars="200"/>
        <w:rPr>
          <w:kern w:val="0"/>
          <w:sz w:val="28"/>
          <w:szCs w:val="28"/>
        </w:rPr>
      </w:pPr>
      <w:r>
        <w:rPr>
          <w:rFonts w:hint="eastAsia"/>
          <w:kern w:val="0"/>
          <w:sz w:val="28"/>
          <w:szCs w:val="28"/>
        </w:rPr>
        <w:t>4.绿化工程色块、地被、花卉等高度和冠幅均为修剪后规格；苗木高度、冠幅等术语以信息价上描述为准；</w:t>
      </w:r>
    </w:p>
    <w:p w14:paraId="3BC0F61E">
      <w:pPr>
        <w:adjustRightInd w:val="0"/>
        <w:snapToGrid w:val="0"/>
        <w:spacing w:line="360" w:lineRule="auto"/>
        <w:ind w:firstLine="560" w:firstLineChars="200"/>
        <w:rPr>
          <w:kern w:val="0"/>
          <w:sz w:val="28"/>
          <w:szCs w:val="28"/>
        </w:rPr>
      </w:pPr>
      <w:r>
        <w:rPr>
          <w:rFonts w:hint="eastAsia"/>
          <w:kern w:val="0"/>
          <w:sz w:val="28"/>
          <w:szCs w:val="28"/>
        </w:rPr>
        <w:t>5.原有飘带、绿雕表面（含钢筋网、真假植绿化、鸽子字体、水、电等）、及节假日后地面亚克力发光字、花卉更换拆除原有种植花卉等所有场地内需拆除的内容并外运处置（含拆除所需的各种措施费用）按100000元计入预算，由投标单位在投标报价中自行考虑，结算不作调整；</w:t>
      </w:r>
    </w:p>
    <w:p w14:paraId="4D2681E4">
      <w:pPr>
        <w:adjustRightInd w:val="0"/>
        <w:snapToGrid w:val="0"/>
        <w:spacing w:line="360" w:lineRule="auto"/>
        <w:ind w:firstLine="560" w:firstLineChars="200"/>
        <w:rPr>
          <w:kern w:val="0"/>
          <w:sz w:val="28"/>
          <w:szCs w:val="28"/>
        </w:rPr>
      </w:pPr>
      <w:r>
        <w:rPr>
          <w:rFonts w:hint="eastAsia"/>
          <w:kern w:val="0"/>
          <w:sz w:val="28"/>
          <w:szCs w:val="28"/>
        </w:rPr>
        <w:t>6.</w:t>
      </w:r>
      <w:bookmarkEnd w:id="2"/>
      <w:bookmarkEnd w:id="3"/>
      <w:r>
        <w:rPr>
          <w:rFonts w:hint="eastAsia"/>
          <w:kern w:val="0"/>
          <w:sz w:val="28"/>
          <w:szCs w:val="28"/>
        </w:rPr>
        <w:t>飘带φ300立柱表面修复按20%考虑，费用按10000元/项计入预算，由投标单位在投标报价中自行考虑，结算时不作调整；</w:t>
      </w:r>
    </w:p>
    <w:p w14:paraId="0B58A404">
      <w:pPr>
        <w:adjustRightInd w:val="0"/>
        <w:snapToGrid w:val="0"/>
        <w:spacing w:line="360" w:lineRule="auto"/>
        <w:ind w:firstLine="560" w:firstLineChars="200"/>
        <w:rPr>
          <w:kern w:val="0"/>
          <w:sz w:val="28"/>
          <w:szCs w:val="28"/>
        </w:rPr>
      </w:pPr>
      <w:r>
        <w:rPr>
          <w:rFonts w:hint="eastAsia"/>
          <w:kern w:val="0"/>
          <w:sz w:val="28"/>
          <w:szCs w:val="28"/>
        </w:rPr>
        <w:t>7.原有中东欧吉祥物冲洗、表面修复刷漆按20000元/项计入预算，由投标单位在投标报价中自行考虑，结算时不作调整；</w:t>
      </w:r>
    </w:p>
    <w:p w14:paraId="31CBE4CD">
      <w:pPr>
        <w:adjustRightInd w:val="0"/>
        <w:snapToGrid w:val="0"/>
        <w:spacing w:line="360" w:lineRule="auto"/>
        <w:ind w:firstLine="560" w:firstLineChars="200"/>
        <w:rPr>
          <w:kern w:val="0"/>
          <w:sz w:val="28"/>
          <w:szCs w:val="28"/>
        </w:rPr>
      </w:pPr>
      <w:r>
        <w:rPr>
          <w:rFonts w:hint="eastAsia"/>
          <w:kern w:val="0"/>
          <w:sz w:val="28"/>
          <w:szCs w:val="28"/>
        </w:rPr>
        <w:t>8.经与业主沟通，中东欧吉祥物按4组计入预算，每组单价暂按60000元考虑，结算时按实调整；</w:t>
      </w:r>
    </w:p>
    <w:p w14:paraId="24643907">
      <w:pPr>
        <w:adjustRightInd w:val="0"/>
        <w:snapToGrid w:val="0"/>
        <w:spacing w:line="360" w:lineRule="auto"/>
        <w:ind w:firstLine="560" w:firstLineChars="200"/>
        <w:rPr>
          <w:kern w:val="0"/>
          <w:sz w:val="28"/>
          <w:szCs w:val="28"/>
        </w:rPr>
      </w:pPr>
      <w:r>
        <w:rPr>
          <w:rFonts w:hint="eastAsia"/>
          <w:kern w:val="0"/>
          <w:sz w:val="28"/>
          <w:szCs w:val="28"/>
        </w:rPr>
        <w:t>9.春节相关元素小品暂按50000元/项、成品花灯暂按100000元/组计入预算，结算时按实调整；</w:t>
      </w:r>
    </w:p>
    <w:p w14:paraId="30FD9342">
      <w:pPr>
        <w:adjustRightInd w:val="0"/>
        <w:snapToGrid w:val="0"/>
        <w:spacing w:line="360" w:lineRule="auto"/>
        <w:ind w:firstLine="560" w:firstLineChars="200"/>
        <w:rPr>
          <w:kern w:val="0"/>
          <w:sz w:val="28"/>
          <w:szCs w:val="28"/>
        </w:rPr>
      </w:pPr>
      <w:r>
        <w:rPr>
          <w:rFonts w:hint="eastAsia"/>
          <w:kern w:val="0"/>
          <w:sz w:val="28"/>
          <w:szCs w:val="28"/>
        </w:rPr>
        <w:t>10.经与设计沟通，草花种植时35cm厚黄土及5cm厚营养土只需在第一次种植时回填，草花更换过程中不再需要回填；</w:t>
      </w:r>
    </w:p>
    <w:p w14:paraId="67E5C88C">
      <w:pPr>
        <w:adjustRightInd w:val="0"/>
        <w:snapToGrid w:val="0"/>
        <w:spacing w:line="360" w:lineRule="auto"/>
        <w:ind w:firstLine="560" w:firstLineChars="200"/>
        <w:rPr>
          <w:kern w:val="0"/>
          <w:sz w:val="28"/>
          <w:szCs w:val="28"/>
        </w:rPr>
      </w:pPr>
      <w:r>
        <w:rPr>
          <w:rFonts w:hint="eastAsia"/>
          <w:kern w:val="0"/>
          <w:sz w:val="28"/>
          <w:szCs w:val="28"/>
        </w:rPr>
        <w:t>11.经与设计沟通，草花每次更换都需场地平整；</w:t>
      </w:r>
    </w:p>
    <w:p w14:paraId="778A90CF">
      <w:pPr>
        <w:adjustRightInd w:val="0"/>
        <w:snapToGrid w:val="0"/>
        <w:spacing w:line="360" w:lineRule="auto"/>
        <w:ind w:firstLine="560" w:firstLineChars="200"/>
        <w:rPr>
          <w:kern w:val="0"/>
          <w:sz w:val="28"/>
          <w:szCs w:val="28"/>
        </w:rPr>
      </w:pPr>
      <w:r>
        <w:rPr>
          <w:rFonts w:hint="eastAsia"/>
          <w:kern w:val="0"/>
          <w:sz w:val="28"/>
          <w:szCs w:val="28"/>
        </w:rPr>
        <w:t>12.本次预算所有苗木养护期按整体1年考虑；</w:t>
      </w:r>
    </w:p>
    <w:p w14:paraId="4DE883B7">
      <w:pPr>
        <w:adjustRightInd w:val="0"/>
        <w:snapToGrid w:val="0"/>
        <w:spacing w:line="360" w:lineRule="auto"/>
        <w:ind w:firstLine="560" w:firstLineChars="200"/>
        <w:rPr>
          <w:kern w:val="0"/>
          <w:sz w:val="28"/>
          <w:szCs w:val="28"/>
        </w:rPr>
      </w:pPr>
      <w:r>
        <w:rPr>
          <w:rFonts w:hint="eastAsia"/>
          <w:kern w:val="0"/>
          <w:sz w:val="28"/>
          <w:szCs w:val="28"/>
        </w:rPr>
        <w:t>13.巡查费用按50000元/年计入预算，由投标单位在投标报价中自行考虑，结算时不作调整；</w:t>
      </w:r>
    </w:p>
    <w:p w14:paraId="39B43719">
      <w:pPr>
        <w:adjustRightInd w:val="0"/>
        <w:snapToGrid w:val="0"/>
        <w:spacing w:line="360" w:lineRule="auto"/>
        <w:ind w:firstLine="560" w:firstLineChars="200"/>
        <w:rPr>
          <w:kern w:val="0"/>
          <w:sz w:val="28"/>
          <w:szCs w:val="28"/>
        </w:rPr>
      </w:pPr>
      <w:r>
        <w:rPr>
          <w:rFonts w:hint="eastAsia"/>
          <w:kern w:val="0"/>
          <w:sz w:val="28"/>
          <w:szCs w:val="28"/>
        </w:rPr>
        <w:t>14.经与业主沟通，本次预算施工围挡按1.8米高，单边36米，四边围挡，按草花更换次数一年6次，共计864米计入预算；</w:t>
      </w:r>
    </w:p>
    <w:p w14:paraId="15E6DF11">
      <w:pPr>
        <w:adjustRightInd w:val="0"/>
        <w:snapToGrid w:val="0"/>
        <w:spacing w:line="360" w:lineRule="auto"/>
        <w:ind w:firstLine="560" w:firstLineChars="200"/>
        <w:rPr>
          <w:kern w:val="0"/>
          <w:sz w:val="28"/>
          <w:szCs w:val="28"/>
        </w:rPr>
      </w:pPr>
      <w:r>
        <w:rPr>
          <w:rFonts w:hint="eastAsia"/>
          <w:kern w:val="0"/>
          <w:sz w:val="28"/>
          <w:szCs w:val="28"/>
        </w:rPr>
        <w:t>15.经与业主沟通，本次预算应急费用按1090000</w:t>
      </w:r>
      <w:r>
        <w:rPr>
          <w:rFonts w:hint="eastAsia"/>
          <w:kern w:val="0"/>
          <w:sz w:val="28"/>
          <w:szCs w:val="28"/>
          <w:lang w:val="en-US" w:eastAsia="zh-CN"/>
        </w:rPr>
        <w:t>元</w:t>
      </w:r>
      <w:r>
        <w:rPr>
          <w:rFonts w:hint="eastAsia"/>
          <w:kern w:val="0"/>
          <w:sz w:val="28"/>
          <w:szCs w:val="28"/>
        </w:rPr>
        <w:t>考虑（含税）。</w:t>
      </w:r>
    </w:p>
    <w:p w14:paraId="352A2183">
      <w:pPr>
        <w:adjustRightInd w:val="0"/>
        <w:snapToGrid w:val="0"/>
        <w:spacing w:line="360" w:lineRule="auto"/>
        <w:ind w:firstLine="560" w:firstLineChars="200"/>
        <w:rPr>
          <w:kern w:val="0"/>
          <w:sz w:val="28"/>
          <w:szCs w:val="28"/>
        </w:rPr>
      </w:pPr>
    </w:p>
    <w:p w14:paraId="2CE1F18E">
      <w:pPr>
        <w:jc w:val="center"/>
        <w:rPr>
          <w:rFonts w:ascii="宋体" w:hAnsi="宋体"/>
          <w:sz w:val="28"/>
          <w:szCs w:val="28"/>
        </w:rPr>
      </w:pPr>
      <w:r>
        <w:rPr>
          <w:rFonts w:hint="eastAsia" w:ascii="宋体" w:hAnsi="宋体"/>
          <w:sz w:val="28"/>
          <w:szCs w:val="28"/>
        </w:rPr>
        <w:t xml:space="preserve">                             宁波中基国际招标有限公司</w:t>
      </w:r>
    </w:p>
    <w:p w14:paraId="38548BF8">
      <w:pPr>
        <w:adjustRightInd w:val="0"/>
        <w:snapToGrid w:val="0"/>
        <w:spacing w:line="540" w:lineRule="exact"/>
        <w:ind w:firstLine="560" w:firstLineChars="200"/>
        <w:jc w:val="center"/>
        <w:rPr>
          <w:rFonts w:ascii="宋体" w:hAnsi="宋体"/>
          <w:b/>
          <w:bCs/>
          <w:sz w:val="28"/>
          <w:szCs w:val="28"/>
        </w:rPr>
      </w:pPr>
      <w:r>
        <w:rPr>
          <w:rFonts w:ascii="宋体" w:hAnsi="宋体"/>
          <w:sz w:val="28"/>
          <w:szCs w:val="28"/>
        </w:rPr>
        <w:tab/>
      </w:r>
      <w:r>
        <w:rPr>
          <w:rFonts w:hint="eastAsia" w:ascii="宋体" w:hAnsi="宋体"/>
          <w:sz w:val="28"/>
          <w:szCs w:val="28"/>
        </w:rPr>
        <w:t xml:space="preserve">                     </w:t>
      </w:r>
      <w:r>
        <w:rPr>
          <w:rFonts w:ascii="宋体" w:hAnsi="宋体"/>
          <w:sz w:val="28"/>
          <w:szCs w:val="28"/>
        </w:rPr>
        <w:tab/>
      </w:r>
      <w:r>
        <w:rPr>
          <w:rFonts w:hint="eastAsia" w:ascii="宋体" w:hAnsi="宋体"/>
          <w:sz w:val="28"/>
          <w:szCs w:val="28"/>
        </w:rPr>
        <w:t xml:space="preserve">  </w:t>
      </w:r>
      <w:sdt>
        <w:sdtPr>
          <w:rPr>
            <w:rFonts w:hint="eastAsia" w:ascii="宋体" w:hAnsi="宋体"/>
            <w:sz w:val="28"/>
            <w:szCs w:val="28"/>
          </w:rPr>
          <w:id w:val="147453632"/>
          <w:placeholder>
            <w:docPart w:val="{ae5c578a-f507-4f1a-840f-8af8a615ecd1}"/>
          </w:placeholder>
          <w:text/>
        </w:sdtPr>
        <w:sdtEndPr>
          <w:rPr>
            <w:rFonts w:hint="eastAsia" w:ascii="宋体" w:hAnsi="宋体"/>
            <w:sz w:val="28"/>
            <w:szCs w:val="28"/>
          </w:rPr>
        </w:sdtEndPr>
        <w:sdtContent>
          <w:r>
            <w:rPr>
              <w:rFonts w:hint="eastAsia" w:ascii="宋体" w:hAnsi="宋体"/>
              <w:sz w:val="28"/>
              <w:szCs w:val="28"/>
            </w:rPr>
            <w:t xml:space="preserve"> 2025年</w:t>
          </w:r>
        </w:sdtContent>
      </w:sdt>
      <w:r>
        <w:rPr>
          <w:rFonts w:hint="eastAsia" w:ascii="宋体" w:hAnsi="宋体"/>
          <w:sz w:val="28"/>
          <w:szCs w:val="28"/>
        </w:rPr>
        <w:t>6</w:t>
      </w:r>
      <w:bookmarkStart w:id="4" w:name="_GoBack"/>
      <w:bookmarkEnd w:id="4"/>
      <w:r>
        <w:rPr>
          <w:rFonts w:hint="eastAsia" w:ascii="宋体" w:hAnsi="宋体"/>
          <w:sz w:val="28"/>
          <w:szCs w:val="28"/>
        </w:rPr>
        <w:t>月5日</w:t>
      </w:r>
    </w:p>
    <w:sectPr>
      <w:headerReference r:id="rId3" w:type="default"/>
      <w:footerReference r:id="rId4" w:type="default"/>
      <w:footerReference r:id="rId5" w:type="even"/>
      <w:pgSz w:w="11906" w:h="16838"/>
      <w:pgMar w:top="1417" w:right="1417" w:bottom="1417" w:left="1588" w:header="737" w:footer="765"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B394">
    <w:pPr>
      <w:pStyle w:val="3"/>
      <w:rPr>
        <w:rStyle w:val="7"/>
      </w:rPr>
    </w:pPr>
    <w:r>
      <w:pict>
        <v:shape id="_x0000_s3073" o:spid="_x0000_s3073"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5E3D9E4">
                <w:pPr>
                  <w:pStyle w:val="3"/>
                </w:pPr>
                <w:r>
                  <w:t xml:space="preserve">— </w:t>
                </w:r>
                <w:r>
                  <w:rPr>
                    <w:b/>
                    <w:bCs/>
                    <w:sz w:val="21"/>
                    <w:szCs w:val="21"/>
                  </w:rPr>
                  <w:fldChar w:fldCharType="begin"/>
                </w:r>
                <w:r>
                  <w:rPr>
                    <w:b/>
                    <w:bCs/>
                    <w:sz w:val="21"/>
                    <w:szCs w:val="21"/>
                  </w:rPr>
                  <w:instrText xml:space="preserve"> PAGE  \* MERGEFORMAT </w:instrText>
                </w:r>
                <w:r>
                  <w:rPr>
                    <w:b/>
                    <w:bCs/>
                    <w:sz w:val="21"/>
                    <w:szCs w:val="21"/>
                  </w:rPr>
                  <w:fldChar w:fldCharType="separate"/>
                </w:r>
                <w:r>
                  <w:rPr>
                    <w:b/>
                    <w:bCs/>
                    <w:sz w:val="21"/>
                    <w:szCs w:val="21"/>
                  </w:rPr>
                  <w:t>3</w:t>
                </w:r>
                <w:r>
                  <w:rPr>
                    <w:b/>
                    <w:bCs/>
                    <w:sz w:val="21"/>
                    <w:szCs w:val="21"/>
                  </w:rPr>
                  <w:fldChar w:fldCharType="end"/>
                </w:r>
                <w:r>
                  <w:t>—</w:t>
                </w:r>
              </w:p>
            </w:txbxContent>
          </v:textbox>
        </v:shape>
      </w:pict>
    </w:r>
  </w:p>
  <w:p w14:paraId="7656654D">
    <w:pP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57667">
    <w:pPr>
      <w:pStyle w:val="3"/>
      <w:framePr w:wrap="around" w:vAnchor="text" w:hAnchor="margin" w:xAlign="right" w:y="1"/>
      <w:rPr>
        <w:rStyle w:val="7"/>
      </w:rPr>
    </w:pPr>
    <w:r>
      <w:fldChar w:fldCharType="begin"/>
    </w:r>
    <w:r>
      <w:rPr>
        <w:rStyle w:val="7"/>
      </w:rPr>
      <w:instrText xml:space="preserve">PAGE  </w:instrText>
    </w:r>
    <w:r>
      <w:fldChar w:fldCharType="end"/>
    </w:r>
  </w:p>
  <w:p w14:paraId="0625799D">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77CA">
    <w:pPr>
      <w:pStyle w:val="4"/>
      <w:pBdr>
        <w:bottom w:val="single" w:color="auto" w:sz="4"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EwYWY3MDhmODg5MTk3NWU2ZGRkNDAxMGFlMjVhMDQifQ=="/>
  </w:docVars>
  <w:rsids>
    <w:rsidRoot w:val="59842AE1"/>
    <w:rsid w:val="00031B05"/>
    <w:rsid w:val="00037A9E"/>
    <w:rsid w:val="000439A8"/>
    <w:rsid w:val="000B60B8"/>
    <w:rsid w:val="000C13F8"/>
    <w:rsid w:val="000F0708"/>
    <w:rsid w:val="0011142D"/>
    <w:rsid w:val="001577C0"/>
    <w:rsid w:val="00161C26"/>
    <w:rsid w:val="00187804"/>
    <w:rsid w:val="001A72C6"/>
    <w:rsid w:val="001B2272"/>
    <w:rsid w:val="001D4B1C"/>
    <w:rsid w:val="002762C0"/>
    <w:rsid w:val="002D7E48"/>
    <w:rsid w:val="00323A97"/>
    <w:rsid w:val="00343BA7"/>
    <w:rsid w:val="003A04A2"/>
    <w:rsid w:val="003E3570"/>
    <w:rsid w:val="003E6701"/>
    <w:rsid w:val="00432ECA"/>
    <w:rsid w:val="0043403B"/>
    <w:rsid w:val="00436718"/>
    <w:rsid w:val="004862B4"/>
    <w:rsid w:val="004B0E5C"/>
    <w:rsid w:val="004C6FA2"/>
    <w:rsid w:val="004D1FD8"/>
    <w:rsid w:val="00532AC5"/>
    <w:rsid w:val="005423D9"/>
    <w:rsid w:val="00560C97"/>
    <w:rsid w:val="005856D5"/>
    <w:rsid w:val="0059322A"/>
    <w:rsid w:val="005B2973"/>
    <w:rsid w:val="005B32F6"/>
    <w:rsid w:val="005B568D"/>
    <w:rsid w:val="00631D1A"/>
    <w:rsid w:val="00655252"/>
    <w:rsid w:val="006A50EA"/>
    <w:rsid w:val="006A6A6C"/>
    <w:rsid w:val="006C0941"/>
    <w:rsid w:val="006C31CA"/>
    <w:rsid w:val="00747B13"/>
    <w:rsid w:val="00771C6D"/>
    <w:rsid w:val="00772ED7"/>
    <w:rsid w:val="007A47A3"/>
    <w:rsid w:val="00830224"/>
    <w:rsid w:val="00836F8D"/>
    <w:rsid w:val="00844A2C"/>
    <w:rsid w:val="00855475"/>
    <w:rsid w:val="00860440"/>
    <w:rsid w:val="0086526E"/>
    <w:rsid w:val="008E2C79"/>
    <w:rsid w:val="008E642C"/>
    <w:rsid w:val="008F4ED3"/>
    <w:rsid w:val="0091536E"/>
    <w:rsid w:val="00940ED8"/>
    <w:rsid w:val="0097245F"/>
    <w:rsid w:val="00992F97"/>
    <w:rsid w:val="00993E28"/>
    <w:rsid w:val="0099759A"/>
    <w:rsid w:val="009A3E17"/>
    <w:rsid w:val="009A74C4"/>
    <w:rsid w:val="00A03CC3"/>
    <w:rsid w:val="00A076EF"/>
    <w:rsid w:val="00A201DF"/>
    <w:rsid w:val="00A22926"/>
    <w:rsid w:val="00A27018"/>
    <w:rsid w:val="00A43334"/>
    <w:rsid w:val="00A76406"/>
    <w:rsid w:val="00A84792"/>
    <w:rsid w:val="00A91282"/>
    <w:rsid w:val="00A95D10"/>
    <w:rsid w:val="00AC39CB"/>
    <w:rsid w:val="00AD711E"/>
    <w:rsid w:val="00B14E1A"/>
    <w:rsid w:val="00B3106A"/>
    <w:rsid w:val="00B359F2"/>
    <w:rsid w:val="00B36EC7"/>
    <w:rsid w:val="00B406C6"/>
    <w:rsid w:val="00B453E5"/>
    <w:rsid w:val="00B62583"/>
    <w:rsid w:val="00B71F65"/>
    <w:rsid w:val="00B870A8"/>
    <w:rsid w:val="00BC69C2"/>
    <w:rsid w:val="00BE3116"/>
    <w:rsid w:val="00C00B30"/>
    <w:rsid w:val="00C30909"/>
    <w:rsid w:val="00C33B2A"/>
    <w:rsid w:val="00C70422"/>
    <w:rsid w:val="00CA5E91"/>
    <w:rsid w:val="00CC1B11"/>
    <w:rsid w:val="00CE1EEC"/>
    <w:rsid w:val="00D131E4"/>
    <w:rsid w:val="00D17A96"/>
    <w:rsid w:val="00D20B2C"/>
    <w:rsid w:val="00D92B9A"/>
    <w:rsid w:val="00DA574C"/>
    <w:rsid w:val="00E00BB4"/>
    <w:rsid w:val="00E328AB"/>
    <w:rsid w:val="00EB201E"/>
    <w:rsid w:val="00ED1112"/>
    <w:rsid w:val="00EF0AE1"/>
    <w:rsid w:val="00EF2E37"/>
    <w:rsid w:val="00F1258D"/>
    <w:rsid w:val="00F176AD"/>
    <w:rsid w:val="00F433D8"/>
    <w:rsid w:val="00F726C4"/>
    <w:rsid w:val="00F854D1"/>
    <w:rsid w:val="00FD0357"/>
    <w:rsid w:val="01303AC5"/>
    <w:rsid w:val="01D134FA"/>
    <w:rsid w:val="025657AD"/>
    <w:rsid w:val="025C3E9F"/>
    <w:rsid w:val="0285377D"/>
    <w:rsid w:val="03406EDD"/>
    <w:rsid w:val="05FD2B10"/>
    <w:rsid w:val="063A78C0"/>
    <w:rsid w:val="06570D1B"/>
    <w:rsid w:val="06D66EBD"/>
    <w:rsid w:val="07937C68"/>
    <w:rsid w:val="07FC0BA5"/>
    <w:rsid w:val="09FE6E56"/>
    <w:rsid w:val="0C767178"/>
    <w:rsid w:val="0C8A677F"/>
    <w:rsid w:val="0CC04897"/>
    <w:rsid w:val="110977BC"/>
    <w:rsid w:val="11B76268"/>
    <w:rsid w:val="11F91F67"/>
    <w:rsid w:val="122E5DFF"/>
    <w:rsid w:val="12EC1DC3"/>
    <w:rsid w:val="137A77EF"/>
    <w:rsid w:val="13825903"/>
    <w:rsid w:val="13F54E26"/>
    <w:rsid w:val="14EF3F6B"/>
    <w:rsid w:val="15047114"/>
    <w:rsid w:val="161F43DC"/>
    <w:rsid w:val="165027E8"/>
    <w:rsid w:val="16707AF8"/>
    <w:rsid w:val="17CA0378"/>
    <w:rsid w:val="17CD1C16"/>
    <w:rsid w:val="18B901E2"/>
    <w:rsid w:val="1A803C8B"/>
    <w:rsid w:val="1AEF1571"/>
    <w:rsid w:val="1DB22E6B"/>
    <w:rsid w:val="1DCF2DFB"/>
    <w:rsid w:val="1E5D0487"/>
    <w:rsid w:val="1E65046E"/>
    <w:rsid w:val="1EB70EBF"/>
    <w:rsid w:val="1F484AF3"/>
    <w:rsid w:val="207D067D"/>
    <w:rsid w:val="21CE70D3"/>
    <w:rsid w:val="228D76FC"/>
    <w:rsid w:val="23103A2A"/>
    <w:rsid w:val="24082FAE"/>
    <w:rsid w:val="254259F1"/>
    <w:rsid w:val="25CB7A49"/>
    <w:rsid w:val="25FF0C78"/>
    <w:rsid w:val="275F0ADD"/>
    <w:rsid w:val="28B766F6"/>
    <w:rsid w:val="29673C78"/>
    <w:rsid w:val="29A139E7"/>
    <w:rsid w:val="29E452C9"/>
    <w:rsid w:val="2A3873C3"/>
    <w:rsid w:val="2B157704"/>
    <w:rsid w:val="2C6721E1"/>
    <w:rsid w:val="2E513149"/>
    <w:rsid w:val="2FE9288F"/>
    <w:rsid w:val="306E0375"/>
    <w:rsid w:val="322F3459"/>
    <w:rsid w:val="32785148"/>
    <w:rsid w:val="32990AF8"/>
    <w:rsid w:val="33161682"/>
    <w:rsid w:val="3474193F"/>
    <w:rsid w:val="360A0F8C"/>
    <w:rsid w:val="362D7FF8"/>
    <w:rsid w:val="368B7796"/>
    <w:rsid w:val="37055B53"/>
    <w:rsid w:val="383D2EC5"/>
    <w:rsid w:val="38402264"/>
    <w:rsid w:val="386C12AB"/>
    <w:rsid w:val="38B36EDA"/>
    <w:rsid w:val="3A0B68A2"/>
    <w:rsid w:val="3C096E11"/>
    <w:rsid w:val="3C9B3F0D"/>
    <w:rsid w:val="3CCF7D6E"/>
    <w:rsid w:val="3D156159"/>
    <w:rsid w:val="3D453E79"/>
    <w:rsid w:val="3E0755D2"/>
    <w:rsid w:val="3F7D6FF2"/>
    <w:rsid w:val="41E369F8"/>
    <w:rsid w:val="438356FB"/>
    <w:rsid w:val="44230B62"/>
    <w:rsid w:val="44775260"/>
    <w:rsid w:val="449851D6"/>
    <w:rsid w:val="46252A99"/>
    <w:rsid w:val="46487E6C"/>
    <w:rsid w:val="47EA0CD1"/>
    <w:rsid w:val="48587156"/>
    <w:rsid w:val="48900745"/>
    <w:rsid w:val="491A265E"/>
    <w:rsid w:val="4A2319E6"/>
    <w:rsid w:val="4C5B5467"/>
    <w:rsid w:val="4CBB5F06"/>
    <w:rsid w:val="4CC313A9"/>
    <w:rsid w:val="4DE44FE8"/>
    <w:rsid w:val="4F5970C1"/>
    <w:rsid w:val="5049411B"/>
    <w:rsid w:val="5060129E"/>
    <w:rsid w:val="51840FBC"/>
    <w:rsid w:val="56AB528F"/>
    <w:rsid w:val="578115C5"/>
    <w:rsid w:val="57C71C02"/>
    <w:rsid w:val="58002426"/>
    <w:rsid w:val="59842AE1"/>
    <w:rsid w:val="59E92304"/>
    <w:rsid w:val="5BF60D08"/>
    <w:rsid w:val="5C38462F"/>
    <w:rsid w:val="5D041203"/>
    <w:rsid w:val="5D0D6309"/>
    <w:rsid w:val="5D192F00"/>
    <w:rsid w:val="5E290FA3"/>
    <w:rsid w:val="5E2C27BF"/>
    <w:rsid w:val="5E746F38"/>
    <w:rsid w:val="5F7A39FE"/>
    <w:rsid w:val="5FBF69B6"/>
    <w:rsid w:val="5FE5319A"/>
    <w:rsid w:val="611415B6"/>
    <w:rsid w:val="616E7593"/>
    <w:rsid w:val="61CD49EB"/>
    <w:rsid w:val="62767AAD"/>
    <w:rsid w:val="62BC7E8A"/>
    <w:rsid w:val="647F0488"/>
    <w:rsid w:val="670D1E38"/>
    <w:rsid w:val="67AA29A7"/>
    <w:rsid w:val="686F79F8"/>
    <w:rsid w:val="688C4371"/>
    <w:rsid w:val="69CF4947"/>
    <w:rsid w:val="6C7A4089"/>
    <w:rsid w:val="6C7A64C5"/>
    <w:rsid w:val="6E3D60C5"/>
    <w:rsid w:val="6E454E7F"/>
    <w:rsid w:val="6F1B2B08"/>
    <w:rsid w:val="728409C4"/>
    <w:rsid w:val="736B56E0"/>
    <w:rsid w:val="73E6120B"/>
    <w:rsid w:val="741E2752"/>
    <w:rsid w:val="745A5E80"/>
    <w:rsid w:val="75461F61"/>
    <w:rsid w:val="75E023B5"/>
    <w:rsid w:val="76F679B7"/>
    <w:rsid w:val="77670A8A"/>
    <w:rsid w:val="789178FF"/>
    <w:rsid w:val="7AA31C03"/>
    <w:rsid w:val="7B992269"/>
    <w:rsid w:val="7BD32AA0"/>
    <w:rsid w:val="7D566D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批注框文本 Char"/>
    <w:basedOn w:val="6"/>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e5c578a-f507-4f1a-840f-8af8a615ecd1}"/>
        <w:style w:val=""/>
        <w:category>
          <w:name w:val="常规"/>
          <w:gallery w:val="placeholder"/>
        </w:category>
        <w:types>
          <w:type w:val="bbPlcHdr"/>
        </w:types>
        <w:behaviors>
          <w:behavior w:val="content"/>
        </w:behaviors>
        <w:description w:val=""/>
        <w:guid w:val="{AE5C578A-F507-4F1A-840F-8AF8A615ECD1}"/>
      </w:docPartPr>
      <w:docPartBody>
        <w:p w14:paraId="4552FA48">
          <w:pPr>
            <w:pStyle w:val="4"/>
          </w:pPr>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2"/>
  </w:compat>
  <w:rsids>
    <w:rsidRoot w:val="00D22125"/>
    <w:rsid w:val="001A2956"/>
    <w:rsid w:val="00430771"/>
    <w:rsid w:val="00436FC8"/>
    <w:rsid w:val="0045698E"/>
    <w:rsid w:val="00590E93"/>
    <w:rsid w:val="0061611E"/>
    <w:rsid w:val="0068204E"/>
    <w:rsid w:val="007E5861"/>
    <w:rsid w:val="0083121E"/>
    <w:rsid w:val="00867F8F"/>
    <w:rsid w:val="008B68A5"/>
    <w:rsid w:val="00961892"/>
    <w:rsid w:val="009F11BE"/>
    <w:rsid w:val="00A63BC1"/>
    <w:rsid w:val="00B8077C"/>
    <w:rsid w:val="00BA2B7D"/>
    <w:rsid w:val="00BB6A47"/>
    <w:rsid w:val="00BD7EBB"/>
    <w:rsid w:val="00C21E05"/>
    <w:rsid w:val="00C80AA9"/>
    <w:rsid w:val="00CA1966"/>
    <w:rsid w:val="00D115DE"/>
    <w:rsid w:val="00D22125"/>
    <w:rsid w:val="00DB139A"/>
    <w:rsid w:val="00E51925"/>
    <w:rsid w:val="00E93006"/>
    <w:rsid w:val="00F877EA"/>
    <w:rsid w:val="00FD6778"/>
    <w:rsid w:val="00FF3F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DB413FA969E74EA7BF49BBE6F96CC2C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1623</Words>
  <Characters>1811</Characters>
  <Lines>14</Lines>
  <Paragraphs>3</Paragraphs>
  <TotalTime>55</TotalTime>
  <ScaleCrop>false</ScaleCrop>
  <LinksUpToDate>false</LinksUpToDate>
  <CharactersWithSpaces>1871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2024-08-30T09:06:00Z</dcterms:created>
  <dc:creator>狼图腾</dc:creator>
  <cp:lastModifiedBy>Jnkun</cp:lastModifiedBy>
  <cp:lastPrinted>2025-06-05T08:28:00Z</cp:lastPrinted>
  <dcterms:modified xsi:type="dcterms:W3CDTF">2025-06-23T01:37:20Z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F308436FDF374FC1AF10C6B6B9F33402_13</vt:lpwstr>
  </property>
  <property fmtid="{D5CDD505-2E9C-101B-9397-08002B2CF9AE}" pid="4" name="KSOTemplateDocerSaveRecord">
    <vt:lpwstr>eyJoZGlkIjoiYjQ0YmM1ZTJhMmZkNjg5YTNjMWY2YzVjMWJkMzkxYzEiLCJ1c2VySWQiOiIxNzg2MzQ1MCJ9</vt:lpwstr>
  </property>
</Properties>
</file>