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53790B">
      <w:pPr>
        <w:spacing w:line="360" w:lineRule="auto"/>
        <w:jc w:val="center"/>
        <w:rPr>
          <w:rFonts w:hint="eastAsia" w:ascii="宋体" w:hAnsi="宋体" w:eastAsia="宋体" w:cs="宋体"/>
          <w:b/>
          <w:color w:val="auto"/>
          <w:sz w:val="24"/>
          <w:highlight w:val="none"/>
        </w:rPr>
      </w:pPr>
    </w:p>
    <w:p w14:paraId="7C7FC3E6">
      <w:pPr>
        <w:spacing w:line="360" w:lineRule="auto"/>
        <w:jc w:val="center"/>
        <w:rPr>
          <w:rFonts w:hint="eastAsia" w:ascii="宋体" w:hAnsi="宋体" w:eastAsia="宋体" w:cs="宋体"/>
          <w:b/>
          <w:color w:val="auto"/>
          <w:sz w:val="24"/>
          <w:highlight w:val="none"/>
        </w:rPr>
      </w:pPr>
    </w:p>
    <w:p w14:paraId="086C0D56">
      <w:pPr>
        <w:adjustRightInd/>
        <w:spacing w:line="360" w:lineRule="auto"/>
        <w:jc w:val="center"/>
        <w:rPr>
          <w:rFonts w:hint="eastAsia" w:ascii="宋体" w:hAnsi="宋体" w:eastAsia="宋体" w:cs="宋体"/>
          <w:b/>
          <w:color w:val="auto"/>
          <w:sz w:val="44"/>
          <w:szCs w:val="44"/>
          <w:highlight w:val="none"/>
        </w:rPr>
      </w:pPr>
    </w:p>
    <w:p w14:paraId="39A9DC5E">
      <w:pPr>
        <w:adjustRightInd/>
        <w:spacing w:line="360" w:lineRule="auto"/>
        <w:jc w:val="center"/>
        <w:rPr>
          <w:rFonts w:hint="eastAsia" w:ascii="宋体" w:hAnsi="宋体" w:eastAsia="宋体" w:cs="宋体"/>
          <w:b/>
          <w:color w:val="auto"/>
          <w:sz w:val="44"/>
          <w:szCs w:val="44"/>
          <w:highlight w:val="none"/>
        </w:rPr>
      </w:pPr>
    </w:p>
    <w:p w14:paraId="721714DB">
      <w:pPr>
        <w:adjustRightInd/>
        <w:spacing w:line="360" w:lineRule="auto"/>
        <w:jc w:val="center"/>
        <w:rPr>
          <w:rFonts w:hint="eastAsia" w:ascii="宋体" w:hAnsi="宋体" w:eastAsia="宋体" w:cs="宋体"/>
          <w:b/>
          <w:color w:val="auto"/>
          <w:spacing w:val="-6"/>
          <w:sz w:val="44"/>
          <w:szCs w:val="44"/>
          <w:highlight w:val="none"/>
          <w:lang w:val="en-US" w:eastAsia="zh-CN"/>
        </w:rPr>
      </w:pPr>
      <w:r>
        <w:rPr>
          <w:rFonts w:hint="eastAsia" w:ascii="宋体" w:hAnsi="宋体" w:eastAsia="宋体" w:cs="宋体"/>
          <w:b/>
          <w:color w:val="auto"/>
          <w:spacing w:val="-6"/>
          <w:sz w:val="44"/>
          <w:szCs w:val="44"/>
          <w:highlight w:val="none"/>
          <w:lang w:val="en-US" w:eastAsia="zh-CN"/>
        </w:rPr>
        <w:t>2025年</w:t>
      </w:r>
      <w:r>
        <w:rPr>
          <w:rFonts w:hint="eastAsia" w:ascii="宋体" w:hAnsi="宋体" w:eastAsia="宋体" w:cs="宋体"/>
          <w:b/>
          <w:color w:val="auto"/>
          <w:spacing w:val="-6"/>
          <w:sz w:val="44"/>
          <w:szCs w:val="44"/>
          <w:highlight w:val="none"/>
          <w:lang w:eastAsia="zh-CN"/>
        </w:rPr>
        <w:t>市</w:t>
      </w:r>
      <w:bookmarkStart w:id="0" w:name="OLE_LINK1"/>
      <w:r>
        <w:rPr>
          <w:rFonts w:hint="eastAsia" w:ascii="宋体" w:hAnsi="宋体" w:eastAsia="宋体" w:cs="宋体"/>
          <w:b/>
          <w:color w:val="auto"/>
          <w:spacing w:val="-6"/>
          <w:sz w:val="44"/>
          <w:szCs w:val="44"/>
          <w:highlight w:val="none"/>
          <w:lang w:eastAsia="zh-CN"/>
        </w:rPr>
        <w:t>公共数据平台运维</w:t>
      </w:r>
      <w:bookmarkEnd w:id="0"/>
      <w:r>
        <w:rPr>
          <w:rFonts w:hint="eastAsia" w:ascii="宋体" w:hAnsi="宋体" w:eastAsia="宋体" w:cs="宋体"/>
          <w:b/>
          <w:color w:val="auto"/>
          <w:spacing w:val="-6"/>
          <w:sz w:val="44"/>
          <w:szCs w:val="44"/>
          <w:highlight w:val="none"/>
          <w:lang w:eastAsia="zh-CN"/>
        </w:rPr>
        <w:t>服务</w:t>
      </w:r>
    </w:p>
    <w:p w14:paraId="196BFDFA">
      <w:pPr>
        <w:adjustRightInd/>
        <w:spacing w:line="360" w:lineRule="auto"/>
        <w:jc w:val="center"/>
        <w:rPr>
          <w:rFonts w:hint="eastAsia" w:ascii="宋体" w:hAnsi="宋体" w:eastAsia="宋体" w:cs="宋体"/>
          <w:b/>
          <w:color w:val="auto"/>
          <w:sz w:val="72"/>
          <w:szCs w:val="72"/>
          <w:highlight w:val="none"/>
        </w:rPr>
      </w:pPr>
      <w:r>
        <w:rPr>
          <w:rFonts w:hint="eastAsia" w:ascii="宋体" w:hAnsi="宋体" w:eastAsia="宋体" w:cs="宋体"/>
          <w:b/>
          <w:bCs/>
          <w:color w:val="auto"/>
          <w:w w:val="95"/>
          <w:sz w:val="72"/>
          <w:szCs w:val="72"/>
          <w:highlight w:val="none"/>
          <w:lang w:val="zh-CN"/>
        </w:rPr>
        <w:t>竞争性磋商</w:t>
      </w:r>
      <w:r>
        <w:rPr>
          <w:rFonts w:hint="eastAsia" w:ascii="宋体" w:hAnsi="宋体" w:eastAsia="宋体" w:cs="宋体"/>
          <w:b/>
          <w:color w:val="auto"/>
          <w:sz w:val="72"/>
          <w:szCs w:val="72"/>
          <w:highlight w:val="none"/>
        </w:rPr>
        <w:t>文件</w:t>
      </w:r>
    </w:p>
    <w:p w14:paraId="2F4E7581">
      <w:pPr>
        <w:adjustRightInd/>
        <w:spacing w:line="360" w:lineRule="auto"/>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（电子交易）</w:t>
      </w:r>
    </w:p>
    <w:p w14:paraId="70C2E9F3">
      <w:pPr>
        <w:snapToGrid w:val="0"/>
        <w:spacing w:line="360" w:lineRule="auto"/>
        <w:jc w:val="center"/>
        <w:rPr>
          <w:rFonts w:hint="eastAsia" w:ascii="宋体" w:hAnsi="宋体" w:eastAsia="宋体" w:cs="宋体"/>
          <w:color w:val="auto"/>
          <w:sz w:val="30"/>
          <w:szCs w:val="30"/>
          <w:highlight w:val="none"/>
        </w:rPr>
      </w:pPr>
    </w:p>
    <w:p w14:paraId="42A2E13C">
      <w:pPr>
        <w:snapToGrid w:val="0"/>
        <w:spacing w:line="360" w:lineRule="auto"/>
        <w:jc w:val="center"/>
        <w:rPr>
          <w:rFonts w:hint="eastAsia" w:ascii="宋体" w:hAnsi="宋体" w:eastAsia="宋体" w:cs="宋体"/>
          <w:color w:val="auto"/>
          <w:sz w:val="30"/>
          <w:szCs w:val="30"/>
          <w:highlight w:val="none"/>
          <w:lang w:val="en-US" w:eastAsia="zh-CN"/>
        </w:rPr>
      </w:pPr>
      <w:r>
        <w:rPr>
          <w:rFonts w:hint="eastAsia" w:ascii="宋体" w:hAnsi="宋体" w:eastAsia="宋体" w:cs="宋体"/>
          <w:color w:val="auto"/>
          <w:sz w:val="30"/>
          <w:szCs w:val="30"/>
          <w:highlight w:val="none"/>
        </w:rPr>
        <w:t>项目编号:</w:t>
      </w:r>
      <w:r>
        <w:rPr>
          <w:rFonts w:hint="eastAsia" w:ascii="宋体" w:hAnsi="宋体" w:eastAsia="宋体" w:cs="宋体"/>
          <w:color w:val="auto"/>
          <w:sz w:val="30"/>
          <w:szCs w:val="30"/>
          <w:highlight w:val="none"/>
          <w:lang w:eastAsia="zh-CN"/>
        </w:rPr>
        <w:t>CBNB-20252271G</w:t>
      </w:r>
    </w:p>
    <w:p w14:paraId="3FE8464E">
      <w:pPr>
        <w:adjustRightInd/>
        <w:spacing w:line="360" w:lineRule="auto"/>
        <w:rPr>
          <w:rFonts w:hint="eastAsia" w:ascii="宋体" w:hAnsi="宋体" w:eastAsia="宋体" w:cs="宋体"/>
          <w:color w:val="auto"/>
          <w:sz w:val="28"/>
          <w:szCs w:val="20"/>
          <w:highlight w:val="none"/>
        </w:rPr>
      </w:pPr>
    </w:p>
    <w:p w14:paraId="2F972C4C">
      <w:pPr>
        <w:spacing w:line="360" w:lineRule="auto"/>
        <w:jc w:val="center"/>
        <w:rPr>
          <w:rFonts w:hint="eastAsia" w:ascii="宋体" w:hAnsi="宋体" w:eastAsia="宋体" w:cs="宋体"/>
          <w:color w:val="auto"/>
          <w:sz w:val="24"/>
          <w:highlight w:val="none"/>
        </w:rPr>
      </w:pPr>
    </w:p>
    <w:p w14:paraId="05138BDD">
      <w:pPr>
        <w:spacing w:line="360" w:lineRule="auto"/>
        <w:jc w:val="center"/>
        <w:rPr>
          <w:rFonts w:hint="eastAsia" w:ascii="宋体" w:hAnsi="宋体" w:eastAsia="宋体" w:cs="宋体"/>
          <w:color w:val="auto"/>
          <w:sz w:val="24"/>
          <w:highlight w:val="none"/>
        </w:rPr>
      </w:pPr>
    </w:p>
    <w:p w14:paraId="61D2971A">
      <w:pPr>
        <w:pStyle w:val="189"/>
        <w:widowControl w:val="0"/>
        <w:spacing w:before="0" w:beforeAutospacing="0" w:after="0" w:afterAutospacing="0" w:line="360" w:lineRule="auto"/>
        <w:textAlignment w:val="auto"/>
        <w:rPr>
          <w:rFonts w:hint="eastAsia" w:ascii="宋体" w:hAnsi="宋体" w:eastAsia="宋体" w:cs="宋体"/>
          <w:color w:val="auto"/>
          <w:kern w:val="2"/>
          <w:highlight w:val="none"/>
        </w:rPr>
      </w:pPr>
    </w:p>
    <w:p w14:paraId="22A09138">
      <w:pPr>
        <w:pStyle w:val="189"/>
        <w:widowControl w:val="0"/>
        <w:spacing w:before="0" w:beforeAutospacing="0" w:after="0" w:afterAutospacing="0" w:line="360" w:lineRule="auto"/>
        <w:textAlignment w:val="auto"/>
        <w:rPr>
          <w:rFonts w:hint="eastAsia" w:ascii="宋体" w:hAnsi="宋体" w:eastAsia="宋体" w:cs="宋体"/>
          <w:color w:val="auto"/>
          <w:kern w:val="2"/>
          <w:highlight w:val="none"/>
        </w:rPr>
      </w:pPr>
    </w:p>
    <w:p w14:paraId="12853830">
      <w:pPr>
        <w:spacing w:line="360" w:lineRule="auto"/>
        <w:rPr>
          <w:rFonts w:hint="eastAsia" w:ascii="宋体" w:hAnsi="宋体" w:eastAsia="宋体" w:cs="宋体"/>
          <w:b/>
          <w:color w:val="auto"/>
          <w:sz w:val="24"/>
          <w:highlight w:val="none"/>
        </w:rPr>
      </w:pPr>
      <w:r>
        <w:rPr>
          <w:rFonts w:hint="eastAsia" w:ascii="宋体" w:hAnsi="宋体" w:eastAsia="宋体" w:cs="宋体"/>
          <w:color w:val="auto"/>
          <w:sz w:val="24"/>
          <w:highlight w:val="none"/>
        </w:rPr>
        <w:t xml:space="preserve">                                      </w:t>
      </w:r>
    </w:p>
    <w:p w14:paraId="066F623A">
      <w:pPr>
        <w:snapToGrid w:val="0"/>
        <w:spacing w:line="360" w:lineRule="auto"/>
        <w:jc w:val="center"/>
        <w:rPr>
          <w:rFonts w:hint="eastAsia" w:ascii="宋体" w:hAnsi="宋体" w:eastAsia="宋体" w:cs="宋体"/>
          <w:color w:val="auto"/>
          <w:sz w:val="32"/>
          <w:szCs w:val="32"/>
          <w:highlight w:val="none"/>
        </w:rPr>
      </w:pPr>
    </w:p>
    <w:p w14:paraId="382040C8">
      <w:pPr>
        <w:snapToGrid w:val="0"/>
        <w:spacing w:line="360" w:lineRule="auto"/>
        <w:jc w:val="center"/>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lang w:eastAsia="zh-CN"/>
        </w:rPr>
        <w:t>宁波市数据局</w:t>
      </w:r>
    </w:p>
    <w:p w14:paraId="4B126285">
      <w:pPr>
        <w:spacing w:line="360" w:lineRule="auto"/>
        <w:jc w:val="center"/>
        <w:rPr>
          <w:rFonts w:hint="eastAsia" w:ascii="宋体" w:hAnsi="宋体" w:eastAsia="宋体" w:cs="宋体"/>
          <w:bCs/>
          <w:color w:val="auto"/>
          <w:sz w:val="32"/>
          <w:szCs w:val="32"/>
          <w:highlight w:val="none"/>
          <w:lang w:eastAsia="zh-CN"/>
        </w:rPr>
      </w:pPr>
      <w:r>
        <w:rPr>
          <w:rFonts w:hint="eastAsia" w:ascii="宋体" w:hAnsi="宋体" w:eastAsia="宋体" w:cs="宋体"/>
          <w:bCs/>
          <w:color w:val="auto"/>
          <w:sz w:val="32"/>
          <w:szCs w:val="32"/>
          <w:highlight w:val="none"/>
          <w:lang w:eastAsia="zh-CN"/>
        </w:rPr>
        <w:t>宁波中基国际招标有限公司</w:t>
      </w:r>
    </w:p>
    <w:p w14:paraId="2CC6648F">
      <w:pPr>
        <w:snapToGrid w:val="0"/>
        <w:spacing w:line="360" w:lineRule="auto"/>
        <w:jc w:val="center"/>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二〇二</w:t>
      </w:r>
      <w:r>
        <w:rPr>
          <w:rFonts w:hint="eastAsia" w:ascii="宋体" w:hAnsi="宋体" w:eastAsia="宋体" w:cs="宋体"/>
          <w:bCs/>
          <w:color w:val="auto"/>
          <w:sz w:val="32"/>
          <w:szCs w:val="32"/>
          <w:highlight w:val="none"/>
          <w:lang w:val="en-US" w:eastAsia="zh-CN"/>
        </w:rPr>
        <w:t>五</w:t>
      </w:r>
      <w:r>
        <w:rPr>
          <w:rFonts w:hint="eastAsia" w:ascii="宋体" w:hAnsi="宋体" w:eastAsia="宋体" w:cs="宋体"/>
          <w:bCs/>
          <w:color w:val="auto"/>
          <w:sz w:val="32"/>
          <w:szCs w:val="32"/>
          <w:highlight w:val="none"/>
        </w:rPr>
        <w:t>年</w:t>
      </w:r>
      <w:r>
        <w:rPr>
          <w:rFonts w:hint="eastAsia" w:ascii="宋体" w:hAnsi="宋体" w:eastAsia="宋体" w:cs="宋体"/>
          <w:bCs/>
          <w:color w:val="auto"/>
          <w:sz w:val="32"/>
          <w:szCs w:val="32"/>
          <w:highlight w:val="none"/>
          <w:lang w:val="en-US" w:eastAsia="zh-CN"/>
        </w:rPr>
        <w:t>六</w:t>
      </w:r>
      <w:r>
        <w:rPr>
          <w:rFonts w:hint="eastAsia" w:ascii="宋体" w:hAnsi="宋体" w:eastAsia="宋体" w:cs="宋体"/>
          <w:bCs/>
          <w:color w:val="auto"/>
          <w:sz w:val="32"/>
          <w:szCs w:val="32"/>
          <w:highlight w:val="none"/>
        </w:rPr>
        <w:t>月</w:t>
      </w:r>
    </w:p>
    <w:p w14:paraId="2C714945">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bookmarkStart w:id="1" w:name="_Hlt67893495"/>
      <w:bookmarkEnd w:id="1"/>
    </w:p>
    <w:p w14:paraId="15BFB991">
      <w:pPr>
        <w:tabs>
          <w:tab w:val="left" w:pos="2268"/>
        </w:tabs>
        <w:spacing w:line="360" w:lineRule="auto"/>
        <w:jc w:val="center"/>
        <w:rPr>
          <w:rFonts w:hint="eastAsia" w:ascii="宋体" w:hAnsi="宋体" w:eastAsia="宋体" w:cs="宋体"/>
          <w:color w:val="auto"/>
          <w:sz w:val="24"/>
          <w:highlight w:val="none"/>
        </w:rPr>
      </w:pPr>
    </w:p>
    <w:p w14:paraId="71E2A50B">
      <w:pPr>
        <w:spacing w:line="360" w:lineRule="auto"/>
        <w:jc w:val="center"/>
        <w:rPr>
          <w:rFonts w:hint="eastAsia" w:ascii="宋体" w:hAnsi="宋体" w:eastAsia="宋体" w:cs="宋体"/>
          <w:b/>
          <w:color w:val="auto"/>
          <w:sz w:val="48"/>
          <w:szCs w:val="48"/>
          <w:highlight w:val="none"/>
        </w:rPr>
      </w:pPr>
      <w:r>
        <w:rPr>
          <w:rFonts w:hint="eastAsia" w:ascii="宋体" w:hAnsi="宋体" w:eastAsia="宋体" w:cs="宋体"/>
          <w:b/>
          <w:color w:val="auto"/>
          <w:sz w:val="48"/>
          <w:szCs w:val="48"/>
          <w:highlight w:val="none"/>
        </w:rPr>
        <w:t>目  录</w:t>
      </w:r>
    </w:p>
    <w:p w14:paraId="78C99358">
      <w:pPr>
        <w:pStyle w:val="40"/>
        <w:keepNext w:val="0"/>
        <w:keepLines w:val="0"/>
        <w:pageBreakBefore w:val="0"/>
        <w:widowControl w:val="0"/>
        <w:tabs>
          <w:tab w:val="right" w:leader="dot" w:pos="9026"/>
        </w:tabs>
        <w:kinsoku/>
        <w:wordWrap/>
        <w:overflowPunct/>
        <w:topLinePunct w:val="0"/>
        <w:autoSpaceDE/>
        <w:autoSpaceDN/>
        <w:bidi w:val="0"/>
        <w:adjustRightInd w:val="0"/>
        <w:snapToGrid/>
        <w:spacing w:line="480" w:lineRule="auto"/>
        <w:textAlignment w:val="auto"/>
        <w:rPr>
          <w:rFonts w:hint="eastAsia" w:ascii="宋体" w:hAnsi="宋体" w:eastAsia="宋体" w:cs="宋体"/>
          <w:color w:val="auto"/>
          <w:sz w:val="21"/>
          <w:szCs w:val="21"/>
          <w:highlight w:val="none"/>
        </w:rPr>
      </w:pPr>
      <w:bookmarkStart w:id="2" w:name="_Toc91899869"/>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TOC \o "1-4" \h \u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_Toc476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第一部分  邀请供应商</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_Toc476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50840ED5">
      <w:pPr>
        <w:pStyle w:val="40"/>
        <w:keepNext w:val="0"/>
        <w:keepLines w:val="0"/>
        <w:pageBreakBefore w:val="0"/>
        <w:widowControl w:val="0"/>
        <w:tabs>
          <w:tab w:val="right" w:leader="dot" w:pos="9026"/>
        </w:tabs>
        <w:kinsoku/>
        <w:wordWrap/>
        <w:overflowPunct/>
        <w:topLinePunct w:val="0"/>
        <w:autoSpaceDE/>
        <w:autoSpaceDN/>
        <w:bidi w:val="0"/>
        <w:adjustRightInd w:val="0"/>
        <w:snapToGrid/>
        <w:spacing w:line="48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_Toc7076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 xml:space="preserve">第二部分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竞争性磋商流程</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_Toc7076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7</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6635E127">
      <w:pPr>
        <w:pStyle w:val="40"/>
        <w:keepNext w:val="0"/>
        <w:keepLines w:val="0"/>
        <w:pageBreakBefore w:val="0"/>
        <w:widowControl w:val="0"/>
        <w:tabs>
          <w:tab w:val="right" w:leader="dot" w:pos="9026"/>
        </w:tabs>
        <w:kinsoku/>
        <w:wordWrap/>
        <w:overflowPunct/>
        <w:topLinePunct w:val="0"/>
        <w:autoSpaceDE/>
        <w:autoSpaceDN/>
        <w:bidi w:val="0"/>
        <w:adjustRightInd w:val="0"/>
        <w:snapToGrid/>
        <w:spacing w:line="48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_Toc7293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第三部分  供应商须知</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_Toc7293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11</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65B8A79A">
      <w:pPr>
        <w:pStyle w:val="40"/>
        <w:keepNext w:val="0"/>
        <w:keepLines w:val="0"/>
        <w:pageBreakBefore w:val="0"/>
        <w:widowControl w:val="0"/>
        <w:tabs>
          <w:tab w:val="right" w:leader="dot" w:pos="9026"/>
        </w:tabs>
        <w:kinsoku/>
        <w:wordWrap/>
        <w:overflowPunct/>
        <w:topLinePunct w:val="0"/>
        <w:autoSpaceDE/>
        <w:autoSpaceDN/>
        <w:bidi w:val="0"/>
        <w:adjustRightInd w:val="0"/>
        <w:snapToGrid/>
        <w:spacing w:line="48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_Toc2028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第四部分  采购需求</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_Toc2028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29</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4EF33A27">
      <w:pPr>
        <w:pStyle w:val="40"/>
        <w:keepNext w:val="0"/>
        <w:keepLines w:val="0"/>
        <w:pageBreakBefore w:val="0"/>
        <w:widowControl w:val="0"/>
        <w:tabs>
          <w:tab w:val="right" w:leader="dot" w:pos="9026"/>
        </w:tabs>
        <w:kinsoku/>
        <w:wordWrap/>
        <w:overflowPunct/>
        <w:topLinePunct w:val="0"/>
        <w:autoSpaceDE/>
        <w:autoSpaceDN/>
        <w:bidi w:val="0"/>
        <w:adjustRightInd w:val="0"/>
        <w:snapToGrid/>
        <w:spacing w:line="48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_Toc22223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第五部分  评审方法及评审标准</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_Toc22223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33</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75BF56B5">
      <w:pPr>
        <w:pStyle w:val="40"/>
        <w:keepNext w:val="0"/>
        <w:keepLines w:val="0"/>
        <w:pageBreakBefore w:val="0"/>
        <w:widowControl w:val="0"/>
        <w:tabs>
          <w:tab w:val="right" w:leader="dot" w:pos="9026"/>
        </w:tabs>
        <w:kinsoku/>
        <w:wordWrap/>
        <w:overflowPunct/>
        <w:topLinePunct w:val="0"/>
        <w:autoSpaceDE/>
        <w:autoSpaceDN/>
        <w:bidi w:val="0"/>
        <w:adjustRightInd w:val="0"/>
        <w:snapToGrid/>
        <w:spacing w:line="48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_Toc15953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第六部分  拟签订的合同文本</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_Toc15953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45</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700F6690">
      <w:pPr>
        <w:pStyle w:val="40"/>
        <w:keepNext w:val="0"/>
        <w:keepLines w:val="0"/>
        <w:pageBreakBefore w:val="0"/>
        <w:widowControl w:val="0"/>
        <w:tabs>
          <w:tab w:val="right" w:leader="dot" w:pos="9026"/>
        </w:tabs>
        <w:kinsoku/>
        <w:wordWrap/>
        <w:overflowPunct/>
        <w:topLinePunct w:val="0"/>
        <w:autoSpaceDE/>
        <w:autoSpaceDN/>
        <w:bidi w:val="0"/>
        <w:adjustRightInd w:val="0"/>
        <w:snapToGrid/>
        <w:spacing w:line="48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_Toc25023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第七部分  应提交的有关格式范例</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_Toc25023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54</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6EB0437F">
      <w:pPr>
        <w:keepNext w:val="0"/>
        <w:keepLines w:val="0"/>
        <w:pageBreakBefore w:val="0"/>
        <w:widowControl w:val="0"/>
        <w:kinsoku/>
        <w:wordWrap/>
        <w:overflowPunct/>
        <w:topLinePunct w:val="0"/>
        <w:autoSpaceDE/>
        <w:autoSpaceDN/>
        <w:bidi w:val="0"/>
        <w:adjustRightInd w:val="0"/>
        <w:snapToGrid/>
        <w:spacing w:line="480" w:lineRule="auto"/>
        <w:ind w:firstLine="480" w:firstLineChars="229"/>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end"/>
      </w:r>
    </w:p>
    <w:p w14:paraId="38ECE9EA">
      <w:pPr>
        <w:spacing w:line="360" w:lineRule="auto"/>
        <w:ind w:firstLine="549" w:firstLineChars="229"/>
        <w:rPr>
          <w:rFonts w:hint="eastAsia" w:ascii="宋体" w:hAnsi="宋体" w:eastAsia="宋体" w:cs="宋体"/>
          <w:color w:val="auto"/>
          <w:sz w:val="24"/>
          <w:highlight w:val="none"/>
        </w:rPr>
      </w:pPr>
    </w:p>
    <w:p w14:paraId="016C92B8">
      <w:pPr>
        <w:spacing w:line="360" w:lineRule="auto"/>
        <w:ind w:firstLine="549" w:firstLineChars="229"/>
        <w:rPr>
          <w:rFonts w:hint="eastAsia" w:ascii="宋体" w:hAnsi="宋体" w:eastAsia="宋体" w:cs="宋体"/>
          <w:color w:val="auto"/>
          <w:sz w:val="24"/>
          <w:highlight w:val="none"/>
        </w:rPr>
      </w:pPr>
    </w:p>
    <w:p w14:paraId="6522AC07">
      <w:pPr>
        <w:spacing w:line="360" w:lineRule="auto"/>
        <w:ind w:firstLine="549" w:firstLineChars="229"/>
        <w:rPr>
          <w:rFonts w:hint="eastAsia" w:ascii="宋体" w:hAnsi="宋体" w:eastAsia="宋体" w:cs="宋体"/>
          <w:color w:val="auto"/>
          <w:sz w:val="24"/>
          <w:highlight w:val="none"/>
        </w:rPr>
      </w:pPr>
    </w:p>
    <w:p w14:paraId="497B3903">
      <w:pPr>
        <w:spacing w:line="360" w:lineRule="auto"/>
        <w:ind w:firstLine="549" w:firstLineChars="229"/>
        <w:rPr>
          <w:rFonts w:hint="eastAsia" w:ascii="宋体" w:hAnsi="宋体" w:eastAsia="宋体" w:cs="宋体"/>
          <w:color w:val="auto"/>
          <w:sz w:val="24"/>
          <w:highlight w:val="none"/>
        </w:rPr>
      </w:pPr>
    </w:p>
    <w:p w14:paraId="2CE7C87F">
      <w:pPr>
        <w:spacing w:line="360" w:lineRule="auto"/>
        <w:ind w:firstLine="549" w:firstLineChars="229"/>
        <w:rPr>
          <w:rFonts w:hint="eastAsia" w:ascii="宋体" w:hAnsi="宋体" w:eastAsia="宋体" w:cs="宋体"/>
          <w:color w:val="auto"/>
          <w:sz w:val="24"/>
          <w:highlight w:val="none"/>
        </w:rPr>
      </w:pPr>
    </w:p>
    <w:p w14:paraId="158AA631">
      <w:pPr>
        <w:spacing w:line="360" w:lineRule="auto"/>
        <w:ind w:firstLine="549" w:firstLineChars="229"/>
        <w:rPr>
          <w:rFonts w:hint="eastAsia" w:ascii="宋体" w:hAnsi="宋体" w:eastAsia="宋体" w:cs="宋体"/>
          <w:color w:val="auto"/>
          <w:sz w:val="24"/>
          <w:highlight w:val="none"/>
        </w:rPr>
      </w:pPr>
    </w:p>
    <w:p w14:paraId="69A8D528">
      <w:pPr>
        <w:spacing w:line="360" w:lineRule="auto"/>
        <w:ind w:firstLine="549" w:firstLineChars="229"/>
        <w:rPr>
          <w:rFonts w:hint="eastAsia" w:ascii="宋体" w:hAnsi="宋体" w:eastAsia="宋体" w:cs="宋体"/>
          <w:color w:val="auto"/>
          <w:sz w:val="24"/>
          <w:highlight w:val="none"/>
        </w:rPr>
      </w:pPr>
    </w:p>
    <w:p w14:paraId="2F0542E8">
      <w:pPr>
        <w:spacing w:line="360" w:lineRule="auto"/>
        <w:ind w:firstLine="549" w:firstLineChars="229"/>
        <w:rPr>
          <w:rFonts w:hint="eastAsia" w:ascii="宋体" w:hAnsi="宋体" w:eastAsia="宋体" w:cs="宋体"/>
          <w:color w:val="auto"/>
          <w:sz w:val="24"/>
          <w:highlight w:val="none"/>
        </w:rPr>
      </w:pPr>
    </w:p>
    <w:p w14:paraId="59A2E720">
      <w:pPr>
        <w:spacing w:line="360" w:lineRule="auto"/>
        <w:ind w:firstLine="549" w:firstLineChars="229"/>
        <w:rPr>
          <w:rFonts w:hint="eastAsia" w:ascii="宋体" w:hAnsi="宋体" w:eastAsia="宋体" w:cs="宋体"/>
          <w:color w:val="auto"/>
          <w:sz w:val="24"/>
          <w:highlight w:val="none"/>
        </w:rPr>
      </w:pPr>
    </w:p>
    <w:p w14:paraId="2E087AD9">
      <w:pPr>
        <w:spacing w:line="360" w:lineRule="auto"/>
        <w:ind w:firstLine="549" w:firstLineChars="229"/>
        <w:rPr>
          <w:rFonts w:hint="eastAsia" w:ascii="宋体" w:hAnsi="宋体" w:eastAsia="宋体" w:cs="宋体"/>
          <w:color w:val="auto"/>
          <w:sz w:val="24"/>
          <w:highlight w:val="none"/>
        </w:rPr>
      </w:pPr>
    </w:p>
    <w:p w14:paraId="48A6C948">
      <w:pPr>
        <w:spacing w:line="360" w:lineRule="auto"/>
        <w:ind w:firstLine="549" w:firstLineChars="229"/>
        <w:rPr>
          <w:rFonts w:hint="eastAsia" w:ascii="宋体" w:hAnsi="宋体" w:eastAsia="宋体" w:cs="宋体"/>
          <w:color w:val="auto"/>
          <w:sz w:val="24"/>
          <w:highlight w:val="none"/>
        </w:rPr>
      </w:pPr>
    </w:p>
    <w:p w14:paraId="33488F7F">
      <w:pPr>
        <w:spacing w:line="360" w:lineRule="auto"/>
        <w:rPr>
          <w:rFonts w:hint="eastAsia" w:ascii="宋体" w:hAnsi="宋体" w:eastAsia="宋体" w:cs="宋体"/>
          <w:color w:val="auto"/>
          <w:sz w:val="24"/>
          <w:highlight w:val="none"/>
        </w:rPr>
      </w:pPr>
    </w:p>
    <w:p w14:paraId="33CBD709">
      <w:pPr>
        <w:adjustRightInd/>
        <w:spacing w:line="360" w:lineRule="auto"/>
        <w:jc w:val="center"/>
        <w:outlineLvl w:val="0"/>
        <w:rPr>
          <w:rFonts w:hint="eastAsia" w:ascii="宋体" w:hAnsi="宋体" w:eastAsia="宋体" w:cs="宋体"/>
          <w:b/>
          <w:color w:val="auto"/>
          <w:sz w:val="36"/>
          <w:szCs w:val="20"/>
          <w:highlight w:val="none"/>
        </w:rPr>
      </w:pPr>
      <w:bookmarkStart w:id="3" w:name="第一部分"/>
      <w:r>
        <w:rPr>
          <w:rFonts w:hint="eastAsia" w:ascii="宋体" w:hAnsi="宋体" w:eastAsia="宋体" w:cs="宋体"/>
          <w:b/>
          <w:color w:val="auto"/>
          <w:sz w:val="36"/>
          <w:szCs w:val="36"/>
          <w:highlight w:val="none"/>
        </w:rPr>
        <w:br w:type="page"/>
      </w:r>
      <w:bookmarkEnd w:id="2"/>
      <w:bookmarkEnd w:id="3"/>
      <w:bookmarkStart w:id="4" w:name="_Hlt74729822"/>
      <w:bookmarkEnd w:id="4"/>
      <w:bookmarkStart w:id="5" w:name="_Hlt74728647"/>
      <w:bookmarkEnd w:id="5"/>
      <w:bookmarkStart w:id="6" w:name="_Hlt74707423"/>
      <w:bookmarkEnd w:id="6"/>
      <w:bookmarkStart w:id="7" w:name="_Hlt74649545"/>
      <w:bookmarkEnd w:id="7"/>
      <w:bookmarkStart w:id="8" w:name="_Toc476"/>
      <w:bookmarkStart w:id="9" w:name="第二部分"/>
      <w:bookmarkStart w:id="10" w:name="_Toc91899870"/>
      <w:bookmarkStart w:id="11" w:name="_Toc91899871"/>
      <w:r>
        <w:rPr>
          <w:rFonts w:hint="eastAsia" w:ascii="宋体" w:hAnsi="宋体" w:eastAsia="宋体" w:cs="宋体"/>
          <w:b/>
          <w:color w:val="auto"/>
          <w:sz w:val="36"/>
          <w:szCs w:val="20"/>
          <w:highlight w:val="none"/>
        </w:rPr>
        <w:t>第一部分  邀请供应商</w:t>
      </w:r>
      <w:bookmarkEnd w:id="8"/>
    </w:p>
    <w:p w14:paraId="2F06AFA2">
      <w:pPr>
        <w:adjustRightInd/>
        <w:spacing w:line="360" w:lineRule="auto"/>
        <w:jc w:val="center"/>
        <w:outlineLvl w:val="0"/>
        <w:rPr>
          <w:rFonts w:hint="eastAsia" w:ascii="宋体" w:hAnsi="宋体" w:eastAsia="宋体" w:cs="宋体"/>
          <w:b/>
          <w:color w:val="auto"/>
          <w:sz w:val="36"/>
          <w:szCs w:val="20"/>
          <w:highlight w:val="none"/>
          <w:lang w:eastAsia="zh-CN"/>
        </w:rPr>
      </w:pPr>
      <w:bookmarkStart w:id="12" w:name="_Toc27668"/>
      <w:bookmarkStart w:id="13" w:name="_Toc11517"/>
      <w:r>
        <w:rPr>
          <w:rFonts w:hint="eastAsia" w:ascii="宋体" w:hAnsi="宋体" w:eastAsia="宋体" w:cs="宋体"/>
          <w:b/>
          <w:color w:val="auto"/>
          <w:sz w:val="36"/>
          <w:szCs w:val="20"/>
          <w:highlight w:val="none"/>
        </w:rPr>
        <w:t>竞争性磋商</w:t>
      </w:r>
      <w:bookmarkEnd w:id="12"/>
      <w:r>
        <w:rPr>
          <w:rFonts w:hint="eastAsia" w:ascii="宋体" w:hAnsi="宋体" w:eastAsia="宋体" w:cs="宋体"/>
          <w:b/>
          <w:color w:val="auto"/>
          <w:sz w:val="36"/>
          <w:szCs w:val="20"/>
          <w:highlight w:val="none"/>
          <w:lang w:eastAsia="zh-CN"/>
        </w:rPr>
        <w:t>采购公告</w:t>
      </w:r>
      <w:bookmarkEnd w:id="13"/>
    </w:p>
    <w:p w14:paraId="0104E820">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项目概况</w:t>
      </w:r>
    </w:p>
    <w:p w14:paraId="07E89A9A">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color w:val="auto"/>
          <w:sz w:val="24"/>
          <w:highlight w:val="none"/>
          <w:u w:val="single"/>
        </w:rPr>
      </w:pPr>
      <w:r>
        <w:rPr>
          <w:rFonts w:hint="eastAsia" w:ascii="宋体" w:hAnsi="宋体" w:cs="宋体"/>
          <w:color w:val="auto"/>
          <w:sz w:val="24"/>
          <w:highlight w:val="none"/>
          <w:u w:val="single"/>
          <w:lang w:eastAsia="zh-CN"/>
        </w:rPr>
        <w:t>2025年市公共数据平台运维服务</w:t>
      </w:r>
      <w:r>
        <w:rPr>
          <w:rFonts w:hint="eastAsia" w:ascii="宋体" w:hAnsi="宋体" w:eastAsia="宋体" w:cs="宋体"/>
          <w:color w:val="auto"/>
          <w:sz w:val="24"/>
          <w:highlight w:val="none"/>
        </w:rPr>
        <w:t>采购项目的潜在供应商应在</w:t>
      </w:r>
      <w:r>
        <w:rPr>
          <w:rFonts w:hint="eastAsia" w:ascii="宋体" w:hAnsi="宋体" w:eastAsia="宋体" w:cs="宋体"/>
          <w:color w:val="auto"/>
          <w:sz w:val="24"/>
          <w:highlight w:val="none"/>
          <w:u w:val="single"/>
        </w:rPr>
        <w:t>政采云平台（</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"https://www.zcygov.cn/" </w:instrText>
      </w:r>
      <w:r>
        <w:rPr>
          <w:rFonts w:hint="eastAsia" w:ascii="宋体" w:hAnsi="宋体" w:eastAsia="宋体" w:cs="宋体"/>
          <w:color w:val="auto"/>
          <w:highlight w:val="none"/>
        </w:rPr>
        <w:fldChar w:fldCharType="separate"/>
      </w:r>
      <w:r>
        <w:rPr>
          <w:rStyle w:val="68"/>
          <w:rFonts w:hint="eastAsia" w:ascii="宋体" w:hAnsi="宋体" w:eastAsia="宋体" w:cs="宋体"/>
          <w:color w:val="auto"/>
          <w:sz w:val="24"/>
          <w:highlight w:val="none"/>
          <w:u w:val="single"/>
        </w:rPr>
        <w:t>https://www.zcygov.cn/</w:t>
      </w:r>
      <w:r>
        <w:rPr>
          <w:rStyle w:val="68"/>
          <w:rFonts w:hint="eastAsia" w:ascii="宋体" w:hAnsi="宋体" w:eastAsia="宋体" w:cs="宋体"/>
          <w:color w:val="auto"/>
          <w:sz w:val="24"/>
          <w:highlight w:val="none"/>
          <w:u w:val="single"/>
        </w:rPr>
        <w:fldChar w:fldCharType="end"/>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rPr>
        <w:t>获取采购文件，并于</w:t>
      </w:r>
      <w:r>
        <w:rPr>
          <w:rFonts w:hint="eastAsia" w:ascii="宋体" w:hAnsi="宋体" w:eastAsia="宋体" w:cs="宋体"/>
          <w:color w:val="auto"/>
          <w:sz w:val="24"/>
          <w:highlight w:val="none"/>
          <w:u w:val="single"/>
        </w:rPr>
        <w:t>202</w:t>
      </w:r>
      <w:r>
        <w:rPr>
          <w:rFonts w:hint="eastAsia" w:ascii="宋体" w:hAnsi="宋体" w:eastAsia="宋体" w:cs="宋体"/>
          <w:color w:val="auto"/>
          <w:sz w:val="24"/>
          <w:highlight w:val="none"/>
          <w:u w:val="single"/>
          <w:lang w:val="en-US" w:eastAsia="zh-CN"/>
        </w:rPr>
        <w:t>5</w:t>
      </w:r>
      <w:r>
        <w:rPr>
          <w:rFonts w:hint="eastAsia" w:ascii="宋体" w:hAnsi="宋体" w:eastAsia="宋体" w:cs="宋体"/>
          <w:bCs/>
          <w:color w:val="auto"/>
          <w:sz w:val="24"/>
          <w:highlight w:val="none"/>
          <w:u w:val="single"/>
        </w:rPr>
        <w:t>年</w:t>
      </w:r>
      <w:r>
        <w:rPr>
          <w:rFonts w:hint="eastAsia" w:ascii="宋体" w:hAnsi="宋体" w:cs="宋体"/>
          <w:bCs/>
          <w:color w:val="auto"/>
          <w:sz w:val="24"/>
          <w:highlight w:val="none"/>
          <w:u w:val="single"/>
          <w:lang w:val="en-US" w:eastAsia="zh-CN"/>
        </w:rPr>
        <w:t>6</w:t>
      </w:r>
      <w:r>
        <w:rPr>
          <w:rFonts w:hint="eastAsia" w:ascii="宋体" w:hAnsi="宋体" w:eastAsia="宋体" w:cs="宋体"/>
          <w:bCs/>
          <w:color w:val="auto"/>
          <w:sz w:val="24"/>
          <w:highlight w:val="none"/>
          <w:u w:val="single"/>
        </w:rPr>
        <w:t>月</w:t>
      </w:r>
      <w:r>
        <w:rPr>
          <w:rFonts w:hint="eastAsia" w:ascii="宋体" w:hAnsi="宋体" w:cs="宋体"/>
          <w:bCs/>
          <w:color w:val="auto"/>
          <w:sz w:val="24"/>
          <w:highlight w:val="none"/>
          <w:u w:val="single"/>
          <w:lang w:val="en-US" w:eastAsia="zh-CN"/>
        </w:rPr>
        <w:t>18</w:t>
      </w:r>
      <w:r>
        <w:rPr>
          <w:rFonts w:hint="eastAsia" w:ascii="宋体" w:hAnsi="宋体" w:eastAsia="宋体" w:cs="宋体"/>
          <w:bCs/>
          <w:color w:val="auto"/>
          <w:sz w:val="24"/>
          <w:highlight w:val="none"/>
          <w:u w:val="single"/>
        </w:rPr>
        <w:t>日</w:t>
      </w:r>
      <w:r>
        <w:rPr>
          <w:rFonts w:hint="eastAsia" w:ascii="宋体" w:hAnsi="宋体" w:cs="宋体"/>
          <w:bCs/>
          <w:color w:val="auto"/>
          <w:sz w:val="24"/>
          <w:highlight w:val="none"/>
          <w:u w:val="single"/>
          <w:lang w:val="en-US" w:eastAsia="zh-CN"/>
        </w:rPr>
        <w:t>9</w:t>
      </w:r>
      <w:r>
        <w:rPr>
          <w:rFonts w:hint="eastAsia" w:ascii="宋体" w:hAnsi="宋体" w:eastAsia="宋体" w:cs="宋体"/>
          <w:bCs/>
          <w:color w:val="auto"/>
          <w:sz w:val="24"/>
          <w:highlight w:val="none"/>
          <w:u w:val="single"/>
        </w:rPr>
        <w:t>点</w:t>
      </w:r>
      <w:r>
        <w:rPr>
          <w:rFonts w:hint="eastAsia" w:ascii="宋体" w:hAnsi="宋体" w:eastAsia="宋体" w:cs="宋体"/>
          <w:bCs/>
          <w:color w:val="auto"/>
          <w:sz w:val="24"/>
          <w:highlight w:val="none"/>
          <w:u w:val="single"/>
          <w:lang w:val="en-US" w:eastAsia="zh-CN"/>
        </w:rPr>
        <w:t>00</w:t>
      </w:r>
      <w:r>
        <w:rPr>
          <w:rFonts w:hint="eastAsia" w:ascii="宋体" w:hAnsi="宋体" w:eastAsia="宋体" w:cs="宋体"/>
          <w:bCs/>
          <w:color w:val="auto"/>
          <w:sz w:val="24"/>
          <w:highlight w:val="none"/>
          <w:u w:val="single"/>
        </w:rPr>
        <w:t>分00秒</w:t>
      </w:r>
      <w:r>
        <w:rPr>
          <w:rFonts w:hint="eastAsia" w:ascii="宋体" w:hAnsi="宋体" w:eastAsia="宋体" w:cs="宋体"/>
          <w:bCs/>
          <w:color w:val="auto"/>
          <w:sz w:val="24"/>
          <w:highlight w:val="none"/>
        </w:rPr>
        <w:t>（北京时间）前提交响应文件</w:t>
      </w:r>
      <w:r>
        <w:rPr>
          <w:rFonts w:hint="eastAsia" w:ascii="宋体" w:hAnsi="宋体" w:eastAsia="宋体" w:cs="宋体"/>
          <w:color w:val="auto"/>
          <w:sz w:val="24"/>
          <w:highlight w:val="none"/>
        </w:rPr>
        <w:t>。</w:t>
      </w:r>
    </w:p>
    <w:p w14:paraId="4AE30DB5">
      <w:pPr>
        <w:pStyle w:val="3"/>
        <w:numPr>
          <w:ilvl w:val="0"/>
          <w:numId w:val="0"/>
        </w:numPr>
        <w:ind w:left="432" w:hanging="432"/>
        <w:rPr>
          <w:rFonts w:hint="eastAsia" w:ascii="宋体" w:hAnsi="宋体" w:eastAsia="宋体" w:cs="宋体"/>
          <w:color w:val="auto"/>
          <w:sz w:val="24"/>
          <w:szCs w:val="24"/>
          <w:highlight w:val="none"/>
        </w:rPr>
      </w:pPr>
      <w:bookmarkStart w:id="14" w:name="_Toc28359089"/>
      <w:bookmarkStart w:id="15" w:name="_Toc21086"/>
      <w:bookmarkStart w:id="16" w:name="_Toc35393798"/>
      <w:bookmarkStart w:id="17" w:name="_Toc9109"/>
      <w:bookmarkStart w:id="18" w:name="_Toc35393629"/>
      <w:bookmarkStart w:id="19" w:name="_Toc28359012"/>
      <w:r>
        <w:rPr>
          <w:rFonts w:hint="eastAsia" w:ascii="宋体" w:hAnsi="宋体" w:eastAsia="宋体" w:cs="宋体"/>
          <w:color w:val="auto"/>
          <w:sz w:val="24"/>
          <w:szCs w:val="24"/>
          <w:highlight w:val="none"/>
        </w:rPr>
        <w:t>一、项目基本情况</w:t>
      </w:r>
      <w:bookmarkEnd w:id="14"/>
      <w:bookmarkEnd w:id="15"/>
      <w:bookmarkEnd w:id="16"/>
      <w:bookmarkEnd w:id="17"/>
      <w:bookmarkEnd w:id="18"/>
      <w:bookmarkEnd w:id="19"/>
    </w:p>
    <w:p w14:paraId="28F34BE7">
      <w:pPr>
        <w:spacing w:line="360" w:lineRule="auto"/>
        <w:ind w:firstLine="482" w:firstLineChars="200"/>
        <w:rPr>
          <w:rFonts w:hint="eastAsia" w:ascii="宋体" w:hAnsi="宋体" w:eastAsia="宋体" w:cs="宋体"/>
          <w:color w:val="auto"/>
          <w:sz w:val="24"/>
          <w:highlight w:val="none"/>
          <w:lang w:val="en-US" w:eastAsia="zh-CN"/>
        </w:rPr>
      </w:pPr>
      <w:r>
        <w:rPr>
          <w:rFonts w:hint="eastAsia" w:ascii="宋体" w:hAnsi="宋体" w:eastAsia="宋体" w:cs="宋体"/>
          <w:b/>
          <w:color w:val="auto"/>
          <w:sz w:val="24"/>
          <w:highlight w:val="none"/>
        </w:rPr>
        <w:t>项目编号：</w:t>
      </w:r>
      <w:r>
        <w:rPr>
          <w:rFonts w:hint="eastAsia" w:ascii="宋体" w:hAnsi="宋体" w:eastAsia="宋体" w:cs="宋体"/>
          <w:color w:val="auto"/>
          <w:sz w:val="24"/>
          <w:highlight w:val="none"/>
          <w:lang w:eastAsia="zh-CN"/>
        </w:rPr>
        <w:t>CBNB-20252271G</w:t>
      </w:r>
    </w:p>
    <w:p w14:paraId="1572C4B4">
      <w:pPr>
        <w:spacing w:line="360" w:lineRule="auto"/>
        <w:ind w:firstLine="482" w:firstLineChars="200"/>
        <w:rPr>
          <w:rFonts w:hint="eastAsia" w:ascii="宋体" w:hAnsi="宋体" w:eastAsia="宋体" w:cs="宋体"/>
          <w:color w:val="auto"/>
          <w:sz w:val="24"/>
          <w:highlight w:val="none"/>
          <w:u w:val="single"/>
          <w:lang w:eastAsia="zh-CN"/>
        </w:rPr>
      </w:pPr>
      <w:r>
        <w:rPr>
          <w:rFonts w:hint="eastAsia" w:ascii="宋体" w:hAnsi="宋体" w:eastAsia="宋体" w:cs="宋体"/>
          <w:b/>
          <w:color w:val="auto"/>
          <w:sz w:val="24"/>
          <w:highlight w:val="none"/>
        </w:rPr>
        <w:t>项目名称：</w:t>
      </w:r>
      <w:r>
        <w:rPr>
          <w:rFonts w:hint="eastAsia" w:ascii="宋体" w:hAnsi="宋体" w:cs="宋体"/>
          <w:color w:val="auto"/>
          <w:sz w:val="24"/>
          <w:highlight w:val="none"/>
          <w:lang w:eastAsia="zh-CN"/>
        </w:rPr>
        <w:t>2025年市公共数据平台运维服务</w:t>
      </w:r>
    </w:p>
    <w:p w14:paraId="30652730">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采购方式：</w:t>
      </w:r>
      <w:r>
        <w:rPr>
          <w:rFonts w:hint="eastAsia" w:ascii="宋体" w:hAnsi="宋体" w:eastAsia="宋体" w:cs="宋体"/>
          <w:color w:val="auto"/>
          <w:sz w:val="24"/>
          <w:highlight w:val="none"/>
        </w:rPr>
        <w:t>竞争性磋商</w:t>
      </w:r>
    </w:p>
    <w:p w14:paraId="6F133758">
      <w:pPr>
        <w:spacing w:line="360" w:lineRule="auto"/>
        <w:ind w:firstLine="482" w:firstLineChars="200"/>
        <w:rPr>
          <w:rFonts w:hint="eastAsia" w:ascii="宋体" w:hAnsi="宋体" w:eastAsia="宋体" w:cs="宋体"/>
          <w:bCs/>
          <w:color w:val="auto"/>
          <w:sz w:val="24"/>
          <w:highlight w:val="none"/>
          <w:lang w:eastAsia="zh-CN"/>
        </w:rPr>
      </w:pPr>
      <w:r>
        <w:rPr>
          <w:rFonts w:hint="eastAsia" w:ascii="宋体" w:hAnsi="宋体" w:eastAsia="宋体" w:cs="宋体"/>
          <w:b/>
          <w:color w:val="auto"/>
          <w:sz w:val="24"/>
          <w:highlight w:val="none"/>
        </w:rPr>
        <w:t>预算金额（元）：</w:t>
      </w:r>
      <w:r>
        <w:rPr>
          <w:rFonts w:hint="eastAsia" w:ascii="宋体" w:hAnsi="宋体" w:eastAsia="宋体" w:cs="宋体"/>
          <w:bCs/>
          <w:color w:val="auto"/>
          <w:sz w:val="24"/>
          <w:highlight w:val="none"/>
          <w:lang w:val="en-US" w:eastAsia="zh-CN"/>
        </w:rPr>
        <w:t>1,153,800.00</w:t>
      </w:r>
      <w:r>
        <w:rPr>
          <w:rFonts w:hint="eastAsia" w:ascii="宋体" w:hAnsi="宋体" w:eastAsia="宋体" w:cs="宋体"/>
          <w:bCs/>
          <w:color w:val="auto"/>
          <w:sz w:val="24"/>
          <w:highlight w:val="none"/>
          <w:lang w:eastAsia="zh-CN"/>
        </w:rPr>
        <w:t xml:space="preserve"> </w:t>
      </w:r>
    </w:p>
    <w:p w14:paraId="060D31E0">
      <w:pPr>
        <w:spacing w:line="360" w:lineRule="auto"/>
        <w:ind w:firstLine="482" w:firstLineChars="200"/>
        <w:rPr>
          <w:rFonts w:hint="eastAsia" w:ascii="宋体" w:hAnsi="宋体" w:eastAsia="宋体" w:cs="宋体"/>
          <w:b/>
          <w:color w:val="auto"/>
          <w:sz w:val="24"/>
          <w:highlight w:val="none"/>
          <w:lang w:val="en-US"/>
        </w:rPr>
      </w:pPr>
      <w:r>
        <w:rPr>
          <w:rFonts w:hint="eastAsia" w:ascii="宋体" w:hAnsi="宋体" w:eastAsia="宋体" w:cs="宋体"/>
          <w:b/>
          <w:color w:val="auto"/>
          <w:sz w:val="24"/>
          <w:highlight w:val="none"/>
        </w:rPr>
        <w:t>最高限价（元）：</w:t>
      </w:r>
      <w:r>
        <w:rPr>
          <w:rFonts w:hint="eastAsia" w:ascii="宋体" w:hAnsi="宋体" w:eastAsia="宋体" w:cs="宋体"/>
          <w:bCs/>
          <w:color w:val="auto"/>
          <w:sz w:val="24"/>
          <w:highlight w:val="none"/>
          <w:lang w:val="en-US" w:eastAsia="zh-CN"/>
        </w:rPr>
        <w:t>1,153,800.00</w:t>
      </w:r>
      <w:r>
        <w:rPr>
          <w:rFonts w:hint="eastAsia" w:ascii="宋体" w:hAnsi="宋体" w:eastAsia="宋体" w:cs="宋体"/>
          <w:bCs/>
          <w:color w:val="auto"/>
          <w:sz w:val="24"/>
          <w:highlight w:val="none"/>
          <w:lang w:eastAsia="zh-CN"/>
        </w:rPr>
        <w:t xml:space="preserve"> </w:t>
      </w:r>
    </w:p>
    <w:p w14:paraId="4465CE4B">
      <w:pP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采购需求：</w:t>
      </w:r>
    </w:p>
    <w:p w14:paraId="76738076">
      <w:pPr>
        <w:spacing w:line="360" w:lineRule="auto"/>
        <w:ind w:firstLine="480" w:firstLineChars="200"/>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eastAsia="zh-CN"/>
        </w:rPr>
        <w:t>标项名称：2025年市公共数据平台运维服务</w:t>
      </w:r>
    </w:p>
    <w:p w14:paraId="14666292">
      <w:pPr>
        <w:spacing w:line="360" w:lineRule="auto"/>
        <w:ind w:firstLine="480" w:firstLineChars="200"/>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eastAsia="zh-CN"/>
        </w:rPr>
        <w:t>数量：1</w:t>
      </w:r>
      <w:r>
        <w:rPr>
          <w:rFonts w:hint="eastAsia" w:ascii="宋体" w:hAnsi="宋体" w:eastAsia="宋体" w:cs="宋体"/>
          <w:bCs/>
          <w:color w:val="auto"/>
          <w:sz w:val="24"/>
          <w:highlight w:val="none"/>
          <w:lang w:val="en-US" w:eastAsia="zh-CN"/>
        </w:rPr>
        <w:t>项</w:t>
      </w:r>
    </w:p>
    <w:p w14:paraId="68E92A0B">
      <w:pPr>
        <w:spacing w:line="360" w:lineRule="auto"/>
        <w:ind w:firstLine="480" w:firstLineChars="200"/>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eastAsia="zh-CN"/>
        </w:rPr>
        <w:t>预算金额（元）</w:t>
      </w:r>
      <w:r>
        <w:rPr>
          <w:rFonts w:hint="eastAsia" w:ascii="宋体" w:hAnsi="宋体" w:eastAsia="宋体" w:cs="宋体"/>
          <w:bCs/>
          <w:color w:val="auto"/>
          <w:sz w:val="24"/>
          <w:highlight w:val="none"/>
          <w:lang w:val="en-US" w:eastAsia="zh-CN"/>
        </w:rPr>
        <w:t>:1,153,800.00</w:t>
      </w:r>
      <w:r>
        <w:rPr>
          <w:rFonts w:hint="eastAsia" w:ascii="宋体" w:hAnsi="宋体" w:eastAsia="宋体" w:cs="宋体"/>
          <w:bCs/>
          <w:color w:val="auto"/>
          <w:sz w:val="24"/>
          <w:highlight w:val="none"/>
          <w:lang w:eastAsia="zh-CN"/>
        </w:rPr>
        <w:t xml:space="preserve"> </w:t>
      </w:r>
    </w:p>
    <w:p w14:paraId="4EF18B3D">
      <w:pPr>
        <w:spacing w:line="360" w:lineRule="auto"/>
        <w:ind w:firstLine="480" w:firstLineChars="200"/>
        <w:rPr>
          <w:rFonts w:hint="eastAsia" w:ascii="宋体" w:hAnsi="宋体" w:eastAsia="宋体" w:cs="宋体"/>
          <w:bCs/>
          <w:color w:val="auto"/>
          <w:sz w:val="24"/>
          <w:highlight w:val="none"/>
          <w:lang w:eastAsia="zh-CN"/>
        </w:rPr>
      </w:pPr>
      <w:r>
        <w:rPr>
          <w:rFonts w:hint="eastAsia" w:ascii="宋体" w:hAnsi="宋体" w:eastAsia="宋体" w:cs="宋体"/>
          <w:bCs/>
          <w:color w:val="auto"/>
          <w:sz w:val="24"/>
          <w:highlight w:val="none"/>
          <w:lang w:eastAsia="zh-CN"/>
        </w:rPr>
        <w:t>简要规格描述或项目基本概况介绍、用途：浙江政务服务网宁波数据交换平台、宁波市数据接口共享平台、宁波市数据开放平台和宁波市公共数据运维管理系统作为市级平台建设项目，对市级数据交换、数据接口共享、数据开放和数据管理起到重要作用，为保障交换平台、共享平台、开放平台和运管系统稳定运行，采购专业平台运维服务；详见磋商文件。</w:t>
      </w:r>
    </w:p>
    <w:p w14:paraId="5B1FD00F">
      <w:pPr>
        <w:spacing w:line="360" w:lineRule="auto"/>
        <w:ind w:firstLine="480" w:firstLineChars="200"/>
        <w:rPr>
          <w:rFonts w:hint="eastAsia" w:ascii="宋体" w:hAnsi="宋体" w:eastAsia="宋体" w:cs="宋体"/>
          <w:bCs/>
          <w:color w:val="auto"/>
          <w:sz w:val="24"/>
          <w:highlight w:val="none"/>
          <w:lang w:eastAsia="zh-CN"/>
        </w:rPr>
      </w:pPr>
      <w:r>
        <w:rPr>
          <w:rFonts w:hint="eastAsia" w:ascii="宋体" w:hAnsi="宋体" w:eastAsia="宋体" w:cs="宋体"/>
          <w:bCs/>
          <w:color w:val="auto"/>
          <w:sz w:val="24"/>
          <w:highlight w:val="none"/>
          <w:lang w:eastAsia="zh-CN"/>
        </w:rPr>
        <w:t>备注：无</w:t>
      </w:r>
    </w:p>
    <w:p w14:paraId="736184F7">
      <w:pPr>
        <w:spacing w:line="360" w:lineRule="auto"/>
        <w:ind w:firstLine="482" w:firstLineChars="200"/>
        <w:rPr>
          <w:rFonts w:hint="eastAsia" w:ascii="宋体" w:hAnsi="宋体" w:eastAsia="宋体" w:cs="宋体"/>
          <w:bCs/>
          <w:color w:val="auto"/>
          <w:sz w:val="24"/>
          <w:highlight w:val="none"/>
          <w:lang w:val="en-US" w:eastAsia="zh-CN"/>
        </w:rPr>
      </w:pPr>
      <w:r>
        <w:rPr>
          <w:rFonts w:hint="eastAsia" w:ascii="宋体" w:hAnsi="宋体" w:eastAsia="宋体" w:cs="宋体"/>
          <w:b/>
          <w:color w:val="auto"/>
          <w:sz w:val="24"/>
          <w:highlight w:val="none"/>
        </w:rPr>
        <w:t>合同履行期限</w:t>
      </w:r>
      <w:r>
        <w:rPr>
          <w:rFonts w:hint="eastAsia" w:ascii="宋体" w:hAnsi="宋体" w:eastAsia="宋体" w:cs="宋体"/>
          <w:color w:val="auto"/>
          <w:sz w:val="24"/>
          <w:highlight w:val="none"/>
        </w:rPr>
        <w:t>：自合同签订生效后开始至双方合同义务完全履行后截止。</w:t>
      </w:r>
    </w:p>
    <w:p w14:paraId="35C78C6D">
      <w:pP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本项目</w:t>
      </w:r>
      <w:r>
        <w:rPr>
          <w:rFonts w:hint="eastAsia" w:ascii="宋体" w:hAnsi="宋体" w:eastAsia="宋体" w:cs="宋体"/>
          <w:b/>
          <w:i w:val="0"/>
          <w:iCs w:val="0"/>
          <w:caps w:val="0"/>
          <w:color w:val="auto"/>
          <w:spacing w:val="0"/>
          <w:sz w:val="24"/>
          <w:szCs w:val="24"/>
          <w:highlight w:val="none"/>
        </w:rPr>
        <w:t>（</w:t>
      </w:r>
      <w:r>
        <w:rPr>
          <w:rFonts w:hint="eastAsia" w:ascii="宋体" w:hAnsi="宋体" w:cs="宋体"/>
          <w:b/>
          <w:i w:val="0"/>
          <w:iCs w:val="0"/>
          <w:caps w:val="0"/>
          <w:color w:val="auto"/>
          <w:spacing w:val="0"/>
          <w:sz w:val="24"/>
          <w:szCs w:val="24"/>
          <w:highlight w:val="none"/>
          <w:lang w:val="en-US" w:eastAsia="zh-CN"/>
        </w:rPr>
        <w:t>否</w:t>
      </w:r>
      <w:r>
        <w:rPr>
          <w:rFonts w:hint="eastAsia" w:ascii="宋体" w:hAnsi="宋体" w:eastAsia="宋体" w:cs="宋体"/>
          <w:b/>
          <w:i w:val="0"/>
          <w:iCs w:val="0"/>
          <w:caps w:val="0"/>
          <w:color w:val="auto"/>
          <w:spacing w:val="0"/>
          <w:sz w:val="24"/>
          <w:szCs w:val="24"/>
          <w:highlight w:val="none"/>
        </w:rPr>
        <w:t>）</w:t>
      </w:r>
      <w:r>
        <w:rPr>
          <w:rFonts w:hint="eastAsia" w:ascii="宋体" w:hAnsi="宋体" w:eastAsia="宋体" w:cs="宋体"/>
          <w:b/>
          <w:color w:val="auto"/>
          <w:sz w:val="24"/>
          <w:highlight w:val="none"/>
        </w:rPr>
        <w:t>接受联合体投标。</w:t>
      </w:r>
    </w:p>
    <w:p w14:paraId="658E3236">
      <w:pPr>
        <w:pStyle w:val="3"/>
        <w:numPr>
          <w:ilvl w:val="0"/>
          <w:numId w:val="0"/>
        </w:numPr>
        <w:ind w:left="432" w:hanging="432"/>
        <w:rPr>
          <w:rFonts w:hint="eastAsia" w:ascii="宋体" w:hAnsi="宋体" w:eastAsia="宋体" w:cs="宋体"/>
          <w:color w:val="auto"/>
          <w:sz w:val="24"/>
          <w:szCs w:val="24"/>
          <w:highlight w:val="none"/>
        </w:rPr>
      </w:pPr>
      <w:bookmarkStart w:id="20" w:name="_Toc35393799"/>
      <w:bookmarkStart w:id="21" w:name="_Toc4129"/>
      <w:bookmarkStart w:id="22" w:name="_Toc35393630"/>
      <w:bookmarkStart w:id="23" w:name="_Toc28359013"/>
      <w:bookmarkStart w:id="24" w:name="_Toc28359090"/>
      <w:r>
        <w:rPr>
          <w:rFonts w:hint="eastAsia" w:ascii="宋体" w:hAnsi="宋体" w:eastAsia="宋体" w:cs="宋体"/>
          <w:color w:val="auto"/>
          <w:sz w:val="24"/>
          <w:szCs w:val="24"/>
          <w:highlight w:val="none"/>
        </w:rPr>
        <w:t>二、申请人的资格要求：</w:t>
      </w:r>
      <w:bookmarkEnd w:id="20"/>
      <w:bookmarkEnd w:id="21"/>
      <w:bookmarkEnd w:id="22"/>
      <w:bookmarkEnd w:id="23"/>
      <w:bookmarkEnd w:id="24"/>
    </w:p>
    <w:p w14:paraId="29E3CA8B">
      <w:pPr>
        <w:spacing w:line="360" w:lineRule="auto"/>
        <w:ind w:firstLine="480"/>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rPr>
        <w:t>1. 满足《中华人民共和国政府采购法》第二十二条规定；未被“信用中国”（www.creditchina.gov.cn)、中国政府采购网（www.ccgp.gov.cn）列入失信被执行人、</w:t>
      </w:r>
      <w:r>
        <w:rPr>
          <w:rFonts w:hint="eastAsia" w:ascii="宋体" w:hAnsi="宋体" w:eastAsia="宋体" w:cs="宋体"/>
          <w:snapToGrid w:val="0"/>
          <w:color w:val="auto"/>
          <w:kern w:val="28"/>
          <w:sz w:val="24"/>
          <w:szCs w:val="20"/>
          <w:highlight w:val="none"/>
          <w:lang w:eastAsia="zh-CN"/>
        </w:rPr>
        <w:t>重大税收违法失信主体</w:t>
      </w:r>
      <w:r>
        <w:rPr>
          <w:rFonts w:hint="eastAsia" w:ascii="宋体" w:hAnsi="宋体" w:eastAsia="宋体" w:cs="宋体"/>
          <w:snapToGrid w:val="0"/>
          <w:color w:val="auto"/>
          <w:kern w:val="28"/>
          <w:sz w:val="24"/>
          <w:szCs w:val="20"/>
          <w:highlight w:val="none"/>
        </w:rPr>
        <w:t>、政府采购严重违法失信行为记录名单；</w:t>
      </w:r>
    </w:p>
    <w:p w14:paraId="24227CCF">
      <w:pPr>
        <w:spacing w:line="360" w:lineRule="auto"/>
        <w:ind w:firstLine="480" w:firstLineChars="200"/>
        <w:rPr>
          <w:rFonts w:hint="eastAsia" w:ascii="宋体" w:hAnsi="宋体" w:eastAsia="宋体" w:cs="宋体"/>
          <w:color w:val="auto"/>
          <w:sz w:val="24"/>
          <w:highlight w:val="none"/>
        </w:rPr>
      </w:pPr>
      <w:r>
        <w:rPr>
          <w:rFonts w:hint="eastAsia" w:ascii="宋体" w:hAnsi="宋体" w:cs="宋体"/>
          <w:snapToGrid w:val="0"/>
          <w:color w:val="auto"/>
          <w:kern w:val="28"/>
          <w:sz w:val="24"/>
          <w:szCs w:val="20"/>
          <w:highlight w:val="none"/>
          <w:lang w:val="en-US" w:eastAsia="zh-CN"/>
        </w:rPr>
        <w:t>2</w:t>
      </w:r>
      <w:r>
        <w:rPr>
          <w:rFonts w:hint="eastAsia" w:ascii="宋体" w:hAnsi="宋体" w:eastAsia="宋体" w:cs="宋体"/>
          <w:snapToGrid w:val="0"/>
          <w:color w:val="auto"/>
          <w:kern w:val="28"/>
          <w:sz w:val="24"/>
          <w:szCs w:val="20"/>
          <w:highlight w:val="none"/>
        </w:rPr>
        <w:t>.落实政府采购政策需满足的资格要求：</w:t>
      </w:r>
      <w:r>
        <w:rPr>
          <w:rFonts w:hint="eastAsia" w:ascii="宋体" w:hAnsi="宋体" w:eastAsia="宋体" w:cs="宋体"/>
          <w:color w:val="auto"/>
          <w:kern w:val="0"/>
          <w:sz w:val="24"/>
          <w:highlight w:val="none"/>
        </w:rPr>
        <w:t>专</w:t>
      </w:r>
      <w:r>
        <w:rPr>
          <w:rFonts w:hint="eastAsia" w:ascii="宋体" w:hAnsi="宋体" w:eastAsia="宋体" w:cs="宋体"/>
          <w:color w:val="auto"/>
          <w:sz w:val="24"/>
          <w:highlight w:val="none"/>
        </w:rPr>
        <w:t>门面向中小企业</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服务全部由符合政策要求的中小企业承接，提供中小企业声明函或残疾人福利性单位声明函或由省级以上监狱管理局、戒毒管理局（含新疆生产建设兵团）出具的属于监狱企业的证明文件；</w:t>
      </w:r>
    </w:p>
    <w:p w14:paraId="6E9F1DD6">
      <w:pPr>
        <w:spacing w:line="360" w:lineRule="auto"/>
        <w:ind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rPr>
        <w:t>.本项目的特定资格要求：无；</w:t>
      </w:r>
    </w:p>
    <w:p w14:paraId="0FA4389C">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66BD5517">
      <w:pPr>
        <w:pStyle w:val="3"/>
        <w:numPr>
          <w:ilvl w:val="0"/>
          <w:numId w:val="0"/>
        </w:numPr>
        <w:ind w:left="432" w:hanging="432"/>
        <w:rPr>
          <w:rFonts w:hint="eastAsia" w:ascii="宋体" w:hAnsi="宋体" w:eastAsia="宋体" w:cs="宋体"/>
          <w:color w:val="auto"/>
          <w:sz w:val="24"/>
          <w:szCs w:val="24"/>
          <w:highlight w:val="none"/>
        </w:rPr>
      </w:pPr>
      <w:bookmarkStart w:id="25" w:name="_Toc28359014"/>
      <w:bookmarkStart w:id="26" w:name="_Toc28359091"/>
      <w:bookmarkStart w:id="27" w:name="_Toc35393800"/>
      <w:bookmarkStart w:id="28" w:name="_Toc35393631"/>
      <w:bookmarkStart w:id="29" w:name="_Toc9875"/>
      <w:r>
        <w:rPr>
          <w:rFonts w:hint="eastAsia" w:ascii="宋体" w:hAnsi="宋体" w:eastAsia="宋体" w:cs="宋体"/>
          <w:color w:val="auto"/>
          <w:sz w:val="24"/>
          <w:szCs w:val="24"/>
          <w:highlight w:val="none"/>
        </w:rPr>
        <w:t>三、获取（下载）采购文件</w:t>
      </w:r>
      <w:bookmarkEnd w:id="25"/>
      <w:bookmarkEnd w:id="26"/>
      <w:bookmarkEnd w:id="27"/>
      <w:bookmarkEnd w:id="28"/>
      <w:bookmarkEnd w:id="29"/>
    </w:p>
    <w:p w14:paraId="72BDEC7D">
      <w:pPr>
        <w:spacing w:line="360" w:lineRule="auto"/>
        <w:ind w:firstLine="540"/>
        <w:rPr>
          <w:rFonts w:hint="eastAsia" w:ascii="宋体" w:hAnsi="宋体" w:eastAsia="宋体" w:cs="宋体"/>
          <w:color w:val="auto"/>
          <w:sz w:val="24"/>
          <w:highlight w:val="none"/>
        </w:rPr>
      </w:pPr>
      <w:r>
        <w:rPr>
          <w:rFonts w:hint="eastAsia" w:ascii="宋体" w:hAnsi="宋体" w:eastAsia="宋体" w:cs="宋体"/>
          <w:b/>
          <w:color w:val="auto"/>
          <w:sz w:val="24"/>
          <w:highlight w:val="none"/>
        </w:rPr>
        <w:t>时间：</w:t>
      </w:r>
      <w:r>
        <w:rPr>
          <w:rFonts w:hint="eastAsia" w:ascii="宋体" w:hAnsi="宋体" w:eastAsia="宋体" w:cs="宋体"/>
          <w:color w:val="auto"/>
          <w:sz w:val="24"/>
          <w:highlight w:val="none"/>
        </w:rPr>
        <w:t>202</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年</w:t>
      </w:r>
      <w:r>
        <w:rPr>
          <w:rFonts w:hint="eastAsia" w:ascii="宋体" w:hAnsi="宋体" w:cs="宋体"/>
          <w:color w:val="auto"/>
          <w:sz w:val="24"/>
          <w:highlight w:val="none"/>
          <w:lang w:val="en-US" w:eastAsia="zh-CN"/>
        </w:rPr>
        <w:t>6</w:t>
      </w:r>
      <w:r>
        <w:rPr>
          <w:rFonts w:hint="eastAsia" w:ascii="宋体" w:hAnsi="宋体" w:eastAsia="宋体" w:cs="宋体"/>
          <w:color w:val="auto"/>
          <w:sz w:val="24"/>
          <w:highlight w:val="none"/>
        </w:rPr>
        <w:t>月</w:t>
      </w:r>
      <w:r>
        <w:rPr>
          <w:rFonts w:hint="eastAsia" w:ascii="宋体" w:hAnsi="宋体" w:cs="宋体"/>
          <w:color w:val="auto"/>
          <w:sz w:val="24"/>
          <w:highlight w:val="none"/>
          <w:lang w:val="en-US" w:eastAsia="zh-CN"/>
        </w:rPr>
        <w:t>6</w:t>
      </w:r>
      <w:r>
        <w:rPr>
          <w:rFonts w:hint="eastAsia" w:ascii="宋体" w:hAnsi="宋体" w:eastAsia="宋体" w:cs="宋体"/>
          <w:color w:val="auto"/>
          <w:sz w:val="24"/>
          <w:highlight w:val="none"/>
        </w:rPr>
        <w:t>日至202</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年</w:t>
      </w:r>
      <w:r>
        <w:rPr>
          <w:rFonts w:hint="eastAsia" w:ascii="宋体" w:hAnsi="宋体" w:cs="宋体"/>
          <w:color w:val="auto"/>
          <w:sz w:val="24"/>
          <w:highlight w:val="none"/>
          <w:lang w:val="en-US" w:eastAsia="zh-CN"/>
        </w:rPr>
        <w:t>6</w:t>
      </w:r>
      <w:r>
        <w:rPr>
          <w:rFonts w:hint="eastAsia" w:ascii="宋体" w:hAnsi="宋体" w:eastAsia="宋体" w:cs="宋体"/>
          <w:color w:val="auto"/>
          <w:sz w:val="24"/>
          <w:highlight w:val="none"/>
        </w:rPr>
        <w:t>月</w:t>
      </w:r>
      <w:r>
        <w:rPr>
          <w:rFonts w:hint="eastAsia" w:ascii="宋体" w:hAnsi="宋体" w:cs="宋体"/>
          <w:color w:val="auto"/>
          <w:sz w:val="24"/>
          <w:highlight w:val="none"/>
          <w:lang w:val="en-US" w:eastAsia="zh-CN"/>
        </w:rPr>
        <w:t>13</w:t>
      </w:r>
      <w:r>
        <w:rPr>
          <w:rFonts w:hint="eastAsia" w:ascii="宋体" w:hAnsi="宋体" w:eastAsia="宋体" w:cs="宋体"/>
          <w:color w:val="auto"/>
          <w:sz w:val="24"/>
          <w:highlight w:val="none"/>
        </w:rPr>
        <w:t>日，每天上午00:00至12:00 ，下午12:00至23:59（北京时间，线上获取法定节假日均可，线下获取文件法定节假日除外）；</w:t>
      </w:r>
    </w:p>
    <w:p w14:paraId="4D4E24B5">
      <w:pPr>
        <w:spacing w:line="360" w:lineRule="auto"/>
        <w:ind w:firstLine="540"/>
        <w:rPr>
          <w:rFonts w:hint="eastAsia" w:ascii="宋体" w:hAnsi="宋体" w:eastAsia="宋体" w:cs="宋体"/>
          <w:color w:val="auto"/>
          <w:sz w:val="28"/>
          <w:szCs w:val="28"/>
          <w:highlight w:val="none"/>
          <w:u w:val="single"/>
        </w:rPr>
      </w:pPr>
      <w:r>
        <w:rPr>
          <w:rFonts w:hint="eastAsia" w:ascii="宋体" w:hAnsi="宋体" w:eastAsia="宋体" w:cs="宋体"/>
          <w:b/>
          <w:color w:val="auto"/>
          <w:sz w:val="24"/>
          <w:highlight w:val="none"/>
        </w:rPr>
        <w:t>地点（网址）：政采云平台（</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"https://www.zcygov.cn/" </w:instrText>
      </w:r>
      <w:r>
        <w:rPr>
          <w:rFonts w:hint="eastAsia" w:ascii="宋体" w:hAnsi="宋体" w:eastAsia="宋体" w:cs="宋体"/>
          <w:color w:val="auto"/>
          <w:highlight w:val="none"/>
        </w:rPr>
        <w:fldChar w:fldCharType="separate"/>
      </w:r>
      <w:r>
        <w:rPr>
          <w:rStyle w:val="68"/>
          <w:rFonts w:hint="eastAsia" w:ascii="宋体" w:hAnsi="宋体" w:eastAsia="宋体" w:cs="宋体"/>
          <w:b/>
          <w:color w:val="auto"/>
          <w:sz w:val="24"/>
          <w:highlight w:val="none"/>
        </w:rPr>
        <w:t>https://www.zcygov.cn/</w:t>
      </w:r>
      <w:r>
        <w:rPr>
          <w:rStyle w:val="68"/>
          <w:rFonts w:hint="eastAsia" w:ascii="宋体" w:hAnsi="宋体" w:eastAsia="宋体" w:cs="宋体"/>
          <w:b/>
          <w:color w:val="auto"/>
          <w:sz w:val="24"/>
          <w:highlight w:val="none"/>
        </w:rPr>
        <w:fldChar w:fldCharType="end"/>
      </w:r>
      <w:r>
        <w:rPr>
          <w:rFonts w:hint="eastAsia" w:ascii="宋体" w:hAnsi="宋体" w:eastAsia="宋体" w:cs="宋体"/>
          <w:b/>
          <w:color w:val="auto"/>
          <w:sz w:val="24"/>
          <w:highlight w:val="none"/>
        </w:rPr>
        <w:t>）</w:t>
      </w:r>
    </w:p>
    <w:p w14:paraId="59A77CDF">
      <w:pPr>
        <w:spacing w:line="360" w:lineRule="auto"/>
        <w:ind w:firstLine="540"/>
        <w:rPr>
          <w:rFonts w:hint="eastAsia" w:ascii="宋体" w:hAnsi="宋体" w:eastAsia="宋体" w:cs="宋体"/>
          <w:color w:val="auto"/>
          <w:sz w:val="24"/>
          <w:highlight w:val="none"/>
          <w:u w:val="single"/>
        </w:rPr>
      </w:pPr>
      <w:r>
        <w:rPr>
          <w:rFonts w:hint="eastAsia" w:ascii="宋体" w:hAnsi="宋体" w:eastAsia="宋体" w:cs="宋体"/>
          <w:b/>
          <w:color w:val="auto"/>
          <w:sz w:val="24"/>
          <w:highlight w:val="none"/>
        </w:rPr>
        <w:t>方式：</w:t>
      </w:r>
      <w:r>
        <w:rPr>
          <w:rFonts w:hint="eastAsia" w:ascii="宋体" w:hAnsi="宋体" w:eastAsia="宋体" w:cs="宋体"/>
          <w:color w:val="auto"/>
          <w:sz w:val="24"/>
          <w:highlight w:val="none"/>
        </w:rPr>
        <w:t>供应商登录政采云平台https://www.zcygov.cn/在线申请获取采购文件（进入“项目采购”应用，在获取采购文件菜单中选择项目，申请获取采购文件）。</w:t>
      </w:r>
    </w:p>
    <w:p w14:paraId="5EC4A180">
      <w:pPr>
        <w:spacing w:line="360" w:lineRule="auto"/>
        <w:ind w:firstLine="540"/>
        <w:rPr>
          <w:rFonts w:hint="eastAsia" w:ascii="宋体" w:hAnsi="宋体" w:eastAsia="宋体" w:cs="宋体"/>
          <w:color w:val="auto"/>
          <w:sz w:val="28"/>
          <w:szCs w:val="28"/>
          <w:highlight w:val="none"/>
        </w:rPr>
      </w:pPr>
      <w:r>
        <w:rPr>
          <w:rFonts w:hint="eastAsia" w:ascii="宋体" w:hAnsi="宋体" w:eastAsia="宋体" w:cs="宋体"/>
          <w:b/>
          <w:color w:val="auto"/>
          <w:sz w:val="24"/>
          <w:highlight w:val="none"/>
        </w:rPr>
        <w:t>售价：</w:t>
      </w:r>
      <w:r>
        <w:rPr>
          <w:rFonts w:hint="eastAsia" w:ascii="宋体" w:hAnsi="宋体" w:cs="宋体"/>
          <w:color w:val="auto"/>
          <w:sz w:val="24"/>
          <w:highlight w:val="none"/>
          <w:lang w:val="en-US" w:eastAsia="zh-CN"/>
        </w:rPr>
        <w:t>0</w:t>
      </w:r>
      <w:r>
        <w:rPr>
          <w:rFonts w:hint="eastAsia" w:ascii="宋体" w:hAnsi="宋体" w:eastAsia="宋体" w:cs="宋体"/>
          <w:color w:val="auto"/>
          <w:sz w:val="24"/>
          <w:highlight w:val="none"/>
        </w:rPr>
        <w:t>。</w:t>
      </w:r>
    </w:p>
    <w:p w14:paraId="08D84451">
      <w:pPr>
        <w:pStyle w:val="3"/>
        <w:numPr>
          <w:ilvl w:val="0"/>
          <w:numId w:val="0"/>
        </w:numPr>
        <w:ind w:left="432" w:hanging="432"/>
        <w:rPr>
          <w:rFonts w:hint="eastAsia" w:ascii="宋体" w:hAnsi="宋体" w:eastAsia="宋体" w:cs="宋体"/>
          <w:color w:val="auto"/>
          <w:sz w:val="24"/>
          <w:szCs w:val="24"/>
          <w:highlight w:val="none"/>
        </w:rPr>
      </w:pPr>
      <w:bookmarkStart w:id="30" w:name="_Toc28359015"/>
      <w:bookmarkStart w:id="31" w:name="_Toc28359092"/>
      <w:bookmarkStart w:id="32" w:name="_Toc35393632"/>
      <w:bookmarkStart w:id="33" w:name="_Toc35393801"/>
      <w:bookmarkStart w:id="34" w:name="_Toc16153"/>
      <w:bookmarkStart w:id="35" w:name="_Toc10177"/>
      <w:r>
        <w:rPr>
          <w:rFonts w:hint="eastAsia" w:ascii="宋体" w:hAnsi="宋体" w:eastAsia="宋体" w:cs="宋体"/>
          <w:color w:val="auto"/>
          <w:sz w:val="24"/>
          <w:szCs w:val="24"/>
          <w:highlight w:val="none"/>
        </w:rPr>
        <w:t>四、响应文件提交</w:t>
      </w:r>
      <w:bookmarkEnd w:id="30"/>
      <w:bookmarkEnd w:id="31"/>
      <w:bookmarkEnd w:id="32"/>
      <w:bookmarkEnd w:id="33"/>
      <w:r>
        <w:rPr>
          <w:rFonts w:hint="eastAsia" w:ascii="宋体" w:hAnsi="宋体" w:eastAsia="宋体" w:cs="宋体"/>
          <w:color w:val="auto"/>
          <w:sz w:val="24"/>
          <w:szCs w:val="24"/>
          <w:highlight w:val="none"/>
        </w:rPr>
        <w:t>（上传）</w:t>
      </w:r>
      <w:bookmarkEnd w:id="34"/>
      <w:bookmarkEnd w:id="35"/>
    </w:p>
    <w:p w14:paraId="347CBA91">
      <w:pPr>
        <w:spacing w:line="360" w:lineRule="auto"/>
        <w:ind w:firstLine="480" w:firstLineChars="200"/>
        <w:rPr>
          <w:rFonts w:hint="eastAsia" w:ascii="宋体" w:hAnsi="宋体" w:eastAsia="宋体" w:cs="宋体"/>
          <w:bCs/>
          <w:color w:val="auto"/>
          <w:sz w:val="24"/>
          <w:highlight w:val="none"/>
          <w:u w:val="single"/>
        </w:rPr>
      </w:pPr>
      <w:r>
        <w:rPr>
          <w:rFonts w:hint="eastAsia" w:ascii="宋体" w:hAnsi="宋体" w:eastAsia="宋体" w:cs="宋体"/>
          <w:color w:val="auto"/>
          <w:sz w:val="24"/>
          <w:highlight w:val="none"/>
        </w:rPr>
        <w:t>截止时间：</w:t>
      </w:r>
      <w:r>
        <w:rPr>
          <w:rFonts w:hint="eastAsia" w:ascii="宋体" w:hAnsi="宋体" w:eastAsia="宋体" w:cs="宋体"/>
          <w:color w:val="auto"/>
          <w:sz w:val="24"/>
          <w:highlight w:val="none"/>
          <w:u w:val="single"/>
        </w:rPr>
        <w:t>20</w:t>
      </w:r>
      <w:r>
        <w:rPr>
          <w:rFonts w:hint="eastAsia" w:ascii="宋体" w:hAnsi="宋体" w:eastAsia="宋体" w:cs="宋体"/>
          <w:color w:val="auto"/>
          <w:sz w:val="24"/>
          <w:highlight w:val="none"/>
          <w:u w:val="single"/>
          <w:lang w:val="en-US" w:eastAsia="zh-CN"/>
        </w:rPr>
        <w:t>25</w:t>
      </w:r>
      <w:r>
        <w:rPr>
          <w:rFonts w:hint="eastAsia" w:ascii="宋体" w:hAnsi="宋体" w:eastAsia="宋体" w:cs="宋体"/>
          <w:bCs/>
          <w:color w:val="auto"/>
          <w:sz w:val="24"/>
          <w:highlight w:val="none"/>
          <w:u w:val="single"/>
        </w:rPr>
        <w:t>年</w:t>
      </w:r>
      <w:r>
        <w:rPr>
          <w:rFonts w:hint="eastAsia" w:ascii="宋体" w:hAnsi="宋体" w:cs="宋体"/>
          <w:bCs/>
          <w:color w:val="auto"/>
          <w:sz w:val="24"/>
          <w:highlight w:val="none"/>
          <w:u w:val="single"/>
          <w:lang w:val="en-US" w:eastAsia="zh-CN"/>
        </w:rPr>
        <w:t>6</w:t>
      </w:r>
      <w:r>
        <w:rPr>
          <w:rFonts w:hint="eastAsia" w:ascii="宋体" w:hAnsi="宋体" w:eastAsia="宋体" w:cs="宋体"/>
          <w:bCs/>
          <w:color w:val="auto"/>
          <w:sz w:val="24"/>
          <w:highlight w:val="none"/>
          <w:u w:val="single"/>
        </w:rPr>
        <w:t>月</w:t>
      </w:r>
      <w:r>
        <w:rPr>
          <w:rFonts w:hint="eastAsia" w:ascii="宋体" w:hAnsi="宋体" w:cs="宋体"/>
          <w:bCs/>
          <w:color w:val="auto"/>
          <w:sz w:val="24"/>
          <w:highlight w:val="none"/>
          <w:u w:val="single"/>
          <w:lang w:val="en-US" w:eastAsia="zh-CN"/>
        </w:rPr>
        <w:t>18</w:t>
      </w:r>
      <w:r>
        <w:rPr>
          <w:rFonts w:hint="eastAsia" w:ascii="宋体" w:hAnsi="宋体" w:eastAsia="宋体" w:cs="宋体"/>
          <w:bCs/>
          <w:color w:val="auto"/>
          <w:sz w:val="24"/>
          <w:highlight w:val="none"/>
          <w:u w:val="single"/>
        </w:rPr>
        <w:t>日</w:t>
      </w:r>
      <w:r>
        <w:rPr>
          <w:rFonts w:hint="eastAsia" w:ascii="宋体" w:hAnsi="宋体" w:cs="宋体"/>
          <w:bCs/>
          <w:color w:val="auto"/>
          <w:sz w:val="24"/>
          <w:highlight w:val="none"/>
          <w:u w:val="single"/>
          <w:lang w:val="en-US" w:eastAsia="zh-CN"/>
        </w:rPr>
        <w:t>9</w:t>
      </w:r>
      <w:r>
        <w:rPr>
          <w:rFonts w:hint="eastAsia" w:ascii="宋体" w:hAnsi="宋体" w:eastAsia="宋体" w:cs="宋体"/>
          <w:bCs/>
          <w:color w:val="auto"/>
          <w:sz w:val="24"/>
          <w:highlight w:val="none"/>
          <w:u w:val="single"/>
        </w:rPr>
        <w:t>点</w:t>
      </w:r>
      <w:r>
        <w:rPr>
          <w:rFonts w:hint="eastAsia" w:ascii="宋体" w:hAnsi="宋体" w:eastAsia="宋体" w:cs="宋体"/>
          <w:bCs/>
          <w:color w:val="auto"/>
          <w:sz w:val="24"/>
          <w:highlight w:val="none"/>
          <w:u w:val="single"/>
          <w:lang w:val="en-US" w:eastAsia="zh-CN"/>
        </w:rPr>
        <w:t>00</w:t>
      </w:r>
      <w:r>
        <w:rPr>
          <w:rFonts w:hint="eastAsia" w:ascii="宋体" w:hAnsi="宋体" w:eastAsia="宋体" w:cs="宋体"/>
          <w:bCs/>
          <w:color w:val="auto"/>
          <w:sz w:val="24"/>
          <w:highlight w:val="none"/>
          <w:u w:val="single"/>
        </w:rPr>
        <w:t>分00秒</w:t>
      </w:r>
      <w:r>
        <w:rPr>
          <w:rFonts w:hint="eastAsia" w:ascii="宋体" w:hAnsi="宋体" w:eastAsia="宋体" w:cs="宋体"/>
          <w:bCs/>
          <w:color w:val="auto"/>
          <w:sz w:val="24"/>
          <w:highlight w:val="none"/>
        </w:rPr>
        <w:t>（北京时间）</w:t>
      </w:r>
    </w:p>
    <w:p w14:paraId="15E0A231">
      <w:pPr>
        <w:spacing w:line="360" w:lineRule="auto"/>
        <w:ind w:firstLine="480" w:firstLineChars="200"/>
        <w:rPr>
          <w:rFonts w:hint="eastAsia" w:ascii="宋体" w:hAnsi="宋体" w:eastAsia="宋体" w:cs="宋体"/>
          <w:bCs/>
          <w:color w:val="auto"/>
          <w:sz w:val="24"/>
          <w:highlight w:val="none"/>
          <w:u w:val="single"/>
        </w:rPr>
      </w:pPr>
      <w:r>
        <w:rPr>
          <w:rFonts w:hint="eastAsia" w:ascii="宋体" w:hAnsi="宋体" w:eastAsia="宋体" w:cs="宋体"/>
          <w:color w:val="auto"/>
          <w:sz w:val="24"/>
          <w:highlight w:val="none"/>
        </w:rPr>
        <w:t>地点：政采云平台（http://www.zcygov.cn/）。</w:t>
      </w:r>
    </w:p>
    <w:p w14:paraId="5D0E620E">
      <w:pPr>
        <w:pStyle w:val="3"/>
        <w:numPr>
          <w:ilvl w:val="0"/>
          <w:numId w:val="0"/>
        </w:numPr>
        <w:ind w:left="432" w:hanging="432"/>
        <w:rPr>
          <w:rFonts w:hint="eastAsia" w:ascii="宋体" w:hAnsi="宋体" w:eastAsia="宋体" w:cs="宋体"/>
          <w:color w:val="auto"/>
          <w:sz w:val="24"/>
          <w:szCs w:val="24"/>
          <w:highlight w:val="none"/>
        </w:rPr>
      </w:pPr>
      <w:bookmarkStart w:id="36" w:name="_Toc1961"/>
      <w:bookmarkStart w:id="37" w:name="_Toc28359093"/>
      <w:bookmarkStart w:id="38" w:name="_Toc35393633"/>
      <w:bookmarkStart w:id="39" w:name="_Toc28359016"/>
      <w:bookmarkStart w:id="40" w:name="_Toc31640"/>
      <w:bookmarkStart w:id="41" w:name="_Toc35393802"/>
      <w:r>
        <w:rPr>
          <w:rFonts w:hint="eastAsia" w:ascii="宋体" w:hAnsi="宋体" w:eastAsia="宋体" w:cs="宋体"/>
          <w:color w:val="auto"/>
          <w:sz w:val="24"/>
          <w:szCs w:val="24"/>
          <w:highlight w:val="none"/>
        </w:rPr>
        <w:t>五、响应文件开启</w:t>
      </w:r>
      <w:bookmarkEnd w:id="36"/>
      <w:bookmarkEnd w:id="37"/>
      <w:bookmarkEnd w:id="38"/>
      <w:bookmarkEnd w:id="39"/>
      <w:bookmarkEnd w:id="40"/>
      <w:bookmarkEnd w:id="41"/>
    </w:p>
    <w:p w14:paraId="500D67F9">
      <w:pPr>
        <w:spacing w:line="360" w:lineRule="auto"/>
        <w:ind w:firstLine="480" w:firstLineChars="200"/>
        <w:rPr>
          <w:rFonts w:hint="eastAsia" w:ascii="宋体" w:hAnsi="宋体" w:eastAsia="宋体" w:cs="宋体"/>
          <w:bCs/>
          <w:color w:val="auto"/>
          <w:sz w:val="24"/>
          <w:highlight w:val="none"/>
          <w:u w:val="single"/>
        </w:rPr>
      </w:pPr>
      <w:r>
        <w:rPr>
          <w:rFonts w:hint="eastAsia" w:ascii="宋体" w:hAnsi="宋体" w:eastAsia="宋体" w:cs="宋体"/>
          <w:color w:val="auto"/>
          <w:sz w:val="24"/>
          <w:highlight w:val="none"/>
        </w:rPr>
        <w:t>时间：</w:t>
      </w:r>
      <w:r>
        <w:rPr>
          <w:rFonts w:hint="eastAsia" w:ascii="宋体" w:hAnsi="宋体" w:eastAsia="宋体" w:cs="宋体"/>
          <w:color w:val="auto"/>
          <w:sz w:val="24"/>
          <w:highlight w:val="none"/>
          <w:u w:val="single"/>
        </w:rPr>
        <w:t>2025年</w:t>
      </w:r>
      <w:r>
        <w:rPr>
          <w:rFonts w:hint="eastAsia" w:ascii="宋体" w:hAnsi="宋体" w:cs="宋体"/>
          <w:bCs/>
          <w:color w:val="auto"/>
          <w:sz w:val="24"/>
          <w:highlight w:val="none"/>
          <w:u w:val="single"/>
          <w:lang w:val="en-US" w:eastAsia="zh-CN"/>
        </w:rPr>
        <w:t>6</w:t>
      </w:r>
      <w:r>
        <w:rPr>
          <w:rFonts w:hint="eastAsia" w:ascii="宋体" w:hAnsi="宋体" w:eastAsia="宋体" w:cs="宋体"/>
          <w:bCs/>
          <w:color w:val="auto"/>
          <w:sz w:val="24"/>
          <w:highlight w:val="none"/>
          <w:u w:val="single"/>
        </w:rPr>
        <w:t>月</w:t>
      </w:r>
      <w:r>
        <w:rPr>
          <w:rFonts w:hint="eastAsia" w:ascii="宋体" w:hAnsi="宋体" w:cs="宋体"/>
          <w:bCs/>
          <w:color w:val="auto"/>
          <w:sz w:val="24"/>
          <w:highlight w:val="none"/>
          <w:u w:val="single"/>
          <w:lang w:val="en-US" w:eastAsia="zh-CN"/>
        </w:rPr>
        <w:t>18</w:t>
      </w:r>
      <w:r>
        <w:rPr>
          <w:rFonts w:hint="eastAsia" w:ascii="宋体" w:hAnsi="宋体" w:eastAsia="宋体" w:cs="宋体"/>
          <w:bCs/>
          <w:color w:val="auto"/>
          <w:sz w:val="24"/>
          <w:highlight w:val="none"/>
          <w:u w:val="single"/>
        </w:rPr>
        <w:t>日</w:t>
      </w:r>
      <w:r>
        <w:rPr>
          <w:rFonts w:hint="eastAsia" w:ascii="宋体" w:hAnsi="宋体" w:cs="宋体"/>
          <w:bCs/>
          <w:color w:val="auto"/>
          <w:sz w:val="24"/>
          <w:highlight w:val="none"/>
          <w:u w:val="single"/>
          <w:lang w:val="en-US" w:eastAsia="zh-CN"/>
        </w:rPr>
        <w:t>9</w:t>
      </w:r>
      <w:r>
        <w:rPr>
          <w:rFonts w:hint="eastAsia" w:ascii="宋体" w:hAnsi="宋体" w:eastAsia="宋体" w:cs="宋体"/>
          <w:color w:val="auto"/>
          <w:sz w:val="24"/>
          <w:highlight w:val="none"/>
          <w:u w:val="single"/>
        </w:rPr>
        <w:t>点</w:t>
      </w:r>
      <w:r>
        <w:rPr>
          <w:rFonts w:hint="eastAsia" w:ascii="宋体" w:hAnsi="宋体" w:eastAsia="宋体" w:cs="宋体"/>
          <w:color w:val="auto"/>
          <w:sz w:val="24"/>
          <w:highlight w:val="none"/>
          <w:u w:val="single"/>
          <w:lang w:val="en-US" w:eastAsia="zh-CN"/>
        </w:rPr>
        <w:t>00</w:t>
      </w:r>
      <w:r>
        <w:rPr>
          <w:rFonts w:hint="eastAsia" w:ascii="宋体" w:hAnsi="宋体" w:eastAsia="宋体" w:cs="宋体"/>
          <w:color w:val="auto"/>
          <w:sz w:val="24"/>
          <w:highlight w:val="none"/>
          <w:u w:val="single"/>
        </w:rPr>
        <w:t>分00秒</w:t>
      </w:r>
      <w:r>
        <w:rPr>
          <w:rFonts w:hint="eastAsia" w:ascii="宋体" w:hAnsi="宋体" w:eastAsia="宋体" w:cs="宋体"/>
          <w:bCs/>
          <w:color w:val="auto"/>
          <w:sz w:val="24"/>
          <w:highlight w:val="none"/>
        </w:rPr>
        <w:t>（北京时间）</w:t>
      </w:r>
    </w:p>
    <w:p w14:paraId="1CA70E75">
      <w:pPr>
        <w:spacing w:line="360" w:lineRule="auto"/>
        <w:ind w:firstLine="480" w:firstLineChars="200"/>
        <w:rPr>
          <w:rFonts w:hint="eastAsia" w:ascii="宋体" w:hAnsi="宋体" w:eastAsia="宋体" w:cs="宋体"/>
          <w:bCs/>
          <w:color w:val="auto"/>
          <w:sz w:val="24"/>
          <w:highlight w:val="none"/>
          <w:u w:val="single"/>
        </w:rPr>
      </w:pPr>
      <w:r>
        <w:rPr>
          <w:rFonts w:hint="eastAsia" w:ascii="宋体" w:hAnsi="宋体" w:eastAsia="宋体" w:cs="宋体"/>
          <w:color w:val="auto"/>
          <w:sz w:val="24"/>
          <w:highlight w:val="none"/>
        </w:rPr>
        <w:t>地点：政采云平台（http://www.zcygov.cn/）。</w:t>
      </w:r>
    </w:p>
    <w:p w14:paraId="34C0799A">
      <w:pPr>
        <w:pStyle w:val="3"/>
        <w:numPr>
          <w:ilvl w:val="0"/>
          <w:numId w:val="0"/>
        </w:numPr>
        <w:ind w:left="432" w:hanging="432"/>
        <w:rPr>
          <w:rFonts w:hint="eastAsia" w:ascii="宋体" w:hAnsi="宋体" w:eastAsia="宋体" w:cs="宋体"/>
          <w:color w:val="auto"/>
          <w:sz w:val="24"/>
          <w:szCs w:val="24"/>
          <w:highlight w:val="none"/>
        </w:rPr>
      </w:pPr>
      <w:bookmarkStart w:id="42" w:name="_Toc30995"/>
      <w:bookmarkStart w:id="43" w:name="_Toc19227"/>
      <w:bookmarkStart w:id="44" w:name="_Toc35393803"/>
      <w:bookmarkStart w:id="45" w:name="_Toc28359094"/>
      <w:bookmarkStart w:id="46" w:name="_Toc28359017"/>
      <w:bookmarkStart w:id="47" w:name="_Toc35393634"/>
      <w:r>
        <w:rPr>
          <w:rFonts w:hint="eastAsia" w:ascii="宋体" w:hAnsi="宋体" w:eastAsia="宋体" w:cs="宋体"/>
          <w:color w:val="auto"/>
          <w:sz w:val="24"/>
          <w:szCs w:val="24"/>
          <w:highlight w:val="none"/>
        </w:rPr>
        <w:t>六、公告期限</w:t>
      </w:r>
      <w:bookmarkEnd w:id="42"/>
      <w:bookmarkEnd w:id="43"/>
      <w:bookmarkEnd w:id="44"/>
      <w:bookmarkEnd w:id="45"/>
      <w:bookmarkEnd w:id="46"/>
      <w:bookmarkEnd w:id="47"/>
    </w:p>
    <w:p w14:paraId="17ECD634">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自本公告发布之日起3个工作日。</w:t>
      </w:r>
    </w:p>
    <w:p w14:paraId="078C8D9C">
      <w:pPr>
        <w:pStyle w:val="3"/>
        <w:numPr>
          <w:ilvl w:val="0"/>
          <w:numId w:val="0"/>
        </w:numPr>
        <w:ind w:left="432" w:hanging="432"/>
        <w:rPr>
          <w:rFonts w:hint="eastAsia" w:ascii="宋体" w:hAnsi="宋体" w:eastAsia="宋体" w:cs="宋体"/>
          <w:color w:val="auto"/>
          <w:sz w:val="24"/>
          <w:szCs w:val="24"/>
          <w:highlight w:val="none"/>
        </w:rPr>
      </w:pPr>
      <w:bookmarkStart w:id="48" w:name="_Toc35393804"/>
      <w:bookmarkStart w:id="49" w:name="_Toc35393635"/>
      <w:bookmarkStart w:id="50" w:name="_Toc18409"/>
      <w:bookmarkStart w:id="51" w:name="_Toc11828"/>
      <w:r>
        <w:rPr>
          <w:rFonts w:hint="eastAsia" w:ascii="宋体" w:hAnsi="宋体" w:eastAsia="宋体" w:cs="宋体"/>
          <w:color w:val="auto"/>
          <w:sz w:val="24"/>
          <w:szCs w:val="24"/>
          <w:highlight w:val="none"/>
        </w:rPr>
        <w:t>七、其他补充事宜</w:t>
      </w:r>
      <w:bookmarkEnd w:id="48"/>
      <w:bookmarkEnd w:id="49"/>
      <w:bookmarkEnd w:id="50"/>
      <w:bookmarkEnd w:id="51"/>
    </w:p>
    <w:p w14:paraId="73B84E8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根据《浙江省财政厅关于进一步促进政府采购公平竞争打造最优营商环境的通知》（浙财采监（2021）22号）文件关于“健全行政裁决机制”要求，鼓励供应商在线提起询问，路径为：政采云-项目采购-询问质疑投诉-询问列表</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鼓励供应商在线提起质疑，路径为：政采云-项目采购-询问质疑投诉-质疑列表。质疑供应商对在线质疑答复不满意的，可在线提起投诉，路径为：浙江政府服务网-政府采购投诉处理-在线办理。</w:t>
      </w:r>
    </w:p>
    <w:p w14:paraId="38FD0268">
      <w:pPr>
        <w:spacing w:line="360" w:lineRule="auto"/>
        <w:ind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rPr>
        <w:t>.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57ABB6D4">
      <w:pPr>
        <w:spacing w:line="360" w:lineRule="auto"/>
        <w:ind w:firstLine="482" w:firstLineChars="200"/>
        <w:rPr>
          <w:rFonts w:hint="eastAsia" w:ascii="宋体" w:hAnsi="宋体" w:eastAsia="宋体" w:cs="宋体"/>
          <w:color w:val="auto"/>
          <w:sz w:val="24"/>
          <w:highlight w:val="none"/>
        </w:rPr>
      </w:pPr>
      <w:r>
        <w:rPr>
          <w:rFonts w:hint="eastAsia" w:ascii="宋体" w:hAnsi="宋体" w:cs="宋体"/>
          <w:b/>
          <w:color w:val="auto"/>
          <w:kern w:val="0"/>
          <w:sz w:val="24"/>
          <w:highlight w:val="none"/>
          <w:lang w:val="en-US" w:eastAsia="zh-CN"/>
        </w:rPr>
        <w:t>3</w:t>
      </w:r>
      <w:r>
        <w:rPr>
          <w:rFonts w:hint="eastAsia" w:ascii="宋体" w:hAnsi="宋体" w:eastAsia="宋体" w:cs="宋体"/>
          <w:b/>
          <w:color w:val="auto"/>
          <w:kern w:val="0"/>
          <w:sz w:val="24"/>
          <w:highlight w:val="none"/>
        </w:rPr>
        <w:t>. 其他事项：（1）需要落实的政府采购政策：</w:t>
      </w:r>
      <w:r>
        <w:rPr>
          <w:rFonts w:hint="eastAsia" w:ascii="宋体" w:hAnsi="宋体" w:eastAsia="宋体" w:cs="宋体"/>
          <w:color w:val="auto"/>
          <w:kern w:val="0"/>
          <w:sz w:val="24"/>
          <w:highlight w:val="none"/>
        </w:rPr>
        <w:t>包括节约资源、保护环境、</w:t>
      </w:r>
      <w:r>
        <w:rPr>
          <w:rFonts w:hint="eastAsia" w:ascii="宋体" w:hAnsi="宋体" w:eastAsia="宋体" w:cs="宋体"/>
          <w:color w:val="auto"/>
          <w:sz w:val="24"/>
          <w:highlight w:val="none"/>
        </w:rPr>
        <w:t>支持创新、</w:t>
      </w:r>
      <w:r>
        <w:rPr>
          <w:rFonts w:hint="eastAsia" w:ascii="宋体" w:hAnsi="宋体" w:eastAsia="宋体" w:cs="宋体"/>
          <w:color w:val="auto"/>
          <w:kern w:val="0"/>
          <w:sz w:val="24"/>
          <w:highlight w:val="none"/>
        </w:rPr>
        <w:t>促进中小企业发展等，详见磋商文件第三部分。</w:t>
      </w:r>
      <w:r>
        <w:rPr>
          <w:rFonts w:hint="eastAsia" w:ascii="宋体" w:hAnsi="宋体" w:eastAsia="宋体" w:cs="宋体"/>
          <w:b/>
          <w:color w:val="auto"/>
          <w:kern w:val="0"/>
          <w:sz w:val="24"/>
          <w:szCs w:val="20"/>
          <w:highlight w:val="none"/>
        </w:rPr>
        <w:t>（2）</w:t>
      </w:r>
      <w:r>
        <w:rPr>
          <w:rFonts w:hint="eastAsia" w:ascii="宋体" w:hAnsi="宋体" w:eastAsia="宋体" w:cs="宋体"/>
          <w:b/>
          <w:color w:val="auto"/>
          <w:sz w:val="24"/>
          <w:highlight w:val="none"/>
        </w:rPr>
        <w:t>电子交易的说明: 1）电子交易：</w:t>
      </w:r>
      <w:r>
        <w:rPr>
          <w:rFonts w:hint="eastAsia" w:ascii="宋体" w:hAnsi="宋体" w:eastAsia="宋体" w:cs="宋体"/>
          <w:color w:val="auto"/>
          <w:sz w:val="24"/>
          <w:highlight w:val="none"/>
        </w:rPr>
        <w:t>本项目以数据电文形式，依托“政府采购云平台（www.zcygov.cn）”进行采购活动，不接受纸质响应文件。</w:t>
      </w:r>
      <w:r>
        <w:rPr>
          <w:rFonts w:hint="eastAsia" w:ascii="宋体" w:hAnsi="宋体" w:eastAsia="宋体" w:cs="宋体"/>
          <w:b/>
          <w:color w:val="auto"/>
          <w:sz w:val="24"/>
          <w:highlight w:val="none"/>
        </w:rPr>
        <w:t>2）响应准备：</w:t>
      </w:r>
      <w:r>
        <w:rPr>
          <w:rFonts w:hint="eastAsia" w:ascii="宋体" w:hAnsi="宋体" w:eastAsia="宋体" w:cs="宋体"/>
          <w:color w:val="auto"/>
          <w:sz w:val="24"/>
          <w:highlight w:val="none"/>
        </w:rPr>
        <w:t>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r>
        <w:rPr>
          <w:rFonts w:hint="eastAsia" w:ascii="宋体" w:hAnsi="宋体" w:eastAsia="宋体" w:cs="宋体"/>
          <w:b/>
          <w:color w:val="auto"/>
          <w:sz w:val="24"/>
          <w:highlight w:val="none"/>
        </w:rPr>
        <w:t>3）磋商文件的获取：</w:t>
      </w:r>
      <w:r>
        <w:rPr>
          <w:rFonts w:hint="eastAsia" w:ascii="宋体" w:hAnsi="宋体" w:eastAsia="宋体" w:cs="宋体"/>
          <w:color w:val="auto"/>
          <w:sz w:val="24"/>
          <w:highlight w:val="none"/>
        </w:rPr>
        <w:t>使用账号登录或者使用CA登录政采云平台；进入“项目采购”应用，在获取采购文件菜单中选择项目，获取磋商文件。</w:t>
      </w:r>
      <w:r>
        <w:rPr>
          <w:rFonts w:hint="eastAsia" w:ascii="宋体" w:hAnsi="宋体" w:eastAsia="宋体" w:cs="宋体"/>
          <w:b/>
          <w:color w:val="auto"/>
          <w:sz w:val="24"/>
          <w:highlight w:val="none"/>
        </w:rPr>
        <w:t>4）响应文件的制作：</w:t>
      </w:r>
      <w:r>
        <w:rPr>
          <w:rFonts w:hint="eastAsia" w:ascii="宋体" w:hAnsi="宋体" w:eastAsia="宋体" w:cs="宋体"/>
          <w:color w:val="auto"/>
          <w:sz w:val="24"/>
          <w:highlight w:val="none"/>
        </w:rPr>
        <w:t>在“政采云电子交易客户端”中完成“填写基本信息”、“导入投标文件”、“标书关联”、“标书检查”、“电子签名”、“生成电子标书”等操作。</w:t>
      </w:r>
      <w:r>
        <w:rPr>
          <w:rFonts w:hint="eastAsia" w:ascii="宋体" w:hAnsi="宋体" w:eastAsia="宋体" w:cs="宋体"/>
          <w:b/>
          <w:color w:val="auto"/>
          <w:sz w:val="24"/>
          <w:highlight w:val="none"/>
        </w:rPr>
        <w:t>5）</w:t>
      </w:r>
      <w:r>
        <w:rPr>
          <w:rFonts w:hint="eastAsia" w:ascii="宋体" w:hAnsi="宋体" w:eastAsia="宋体" w:cs="宋体"/>
          <w:color w:val="auto"/>
          <w:sz w:val="24"/>
          <w:highlight w:val="none"/>
        </w:rPr>
        <w:t>采购人、</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将依托政采云平台完成本项目的电子交易活动，平台不接受未按本公告约定方式获取磋商文件的供应商进行响应活动；</w:t>
      </w:r>
      <w:r>
        <w:rPr>
          <w:rFonts w:hint="eastAsia" w:ascii="宋体" w:hAnsi="宋体" w:eastAsia="宋体" w:cs="宋体"/>
          <w:b/>
          <w:color w:val="auto"/>
          <w:sz w:val="24"/>
          <w:highlight w:val="none"/>
        </w:rPr>
        <w:t>6）</w:t>
      </w:r>
      <w:r>
        <w:rPr>
          <w:rFonts w:hint="eastAsia" w:ascii="宋体" w:hAnsi="宋体" w:eastAsia="宋体" w:cs="宋体"/>
          <w:color w:val="auto"/>
          <w:sz w:val="24"/>
          <w:highlight w:val="none"/>
        </w:rPr>
        <w:t>对未按上述方式获取磋商文件的供应商对该文件提出的质疑，采购人或采购代理机构将不予处理</w:t>
      </w:r>
      <w:r>
        <w:rPr>
          <w:rFonts w:hint="eastAsia" w:ascii="宋体" w:hAnsi="宋体" w:eastAsia="宋体" w:cs="宋体"/>
          <w:b/>
          <w:color w:val="auto"/>
          <w:sz w:val="24"/>
          <w:highlight w:val="none"/>
        </w:rPr>
        <w:t>；7）</w:t>
      </w:r>
      <w:r>
        <w:rPr>
          <w:rFonts w:hint="eastAsia" w:ascii="宋体" w:hAnsi="宋体" w:eastAsia="宋体" w:cs="宋体"/>
          <w:color w:val="auto"/>
          <w:sz w:val="24"/>
          <w:highlight w:val="none"/>
        </w:rPr>
        <w:t>不提供磋商文件纸质版；</w:t>
      </w:r>
      <w:r>
        <w:rPr>
          <w:rFonts w:hint="eastAsia" w:ascii="宋体" w:hAnsi="宋体" w:eastAsia="宋体" w:cs="宋体"/>
          <w:b/>
          <w:color w:val="auto"/>
          <w:sz w:val="24"/>
          <w:highlight w:val="none"/>
        </w:rPr>
        <w:t>8）响应文件的传输提交：</w:t>
      </w:r>
      <w:r>
        <w:rPr>
          <w:rFonts w:hint="eastAsia" w:ascii="宋体" w:hAnsi="宋体" w:eastAsia="宋体" w:cs="宋体"/>
          <w:color w:val="auto"/>
          <w:sz w:val="24"/>
          <w:highlight w:val="none"/>
        </w:rPr>
        <w:t>供应商在提交响应文件的截止时间前将加密的响应文件上传至政府采购云平台，还可以在提交响应文件的截止时间前直接提交或者以邮政快递方式提交备份响应文件1份。备份响应文件的制作、存储、密封详见磋商文件第三部分 “备份响应文件”；</w:t>
      </w:r>
      <w:r>
        <w:rPr>
          <w:rFonts w:hint="eastAsia" w:ascii="宋体" w:hAnsi="宋体" w:eastAsia="宋体" w:cs="宋体"/>
          <w:b/>
          <w:color w:val="auto"/>
          <w:sz w:val="24"/>
          <w:highlight w:val="none"/>
        </w:rPr>
        <w:t>9）响应文件的解密：</w:t>
      </w:r>
      <w:r>
        <w:rPr>
          <w:rFonts w:hint="eastAsia" w:ascii="宋体" w:hAnsi="宋体" w:eastAsia="宋体" w:cs="宋体"/>
          <w:color w:val="auto"/>
          <w:sz w:val="24"/>
          <w:highlight w:val="none"/>
        </w:rPr>
        <w:t>供应商按照平台提示和磋商文件的规定在半小时内完成在线解密。通过“政府采购云平台”上传递交的响应文件无法按时解密，供应商递交了备份响应文件的，以备份响应文件为依据，否则视为响应文件撤回。通过“政府采购云平台”上传提交的响应文件已按时解密的，备份响应文件自动失效。供应商仅提交备份响应文件，没有在电子交易平台传输提交响应文件的，响应无效；10</w:t>
      </w:r>
      <w:r>
        <w:rPr>
          <w:rFonts w:hint="eastAsia" w:ascii="宋体" w:hAnsi="宋体" w:eastAsia="宋体" w:cs="宋体"/>
          <w:b/>
          <w:color w:val="auto"/>
          <w:sz w:val="24"/>
          <w:highlight w:val="none"/>
        </w:rPr>
        <w:t>）具体操作指南</w:t>
      </w:r>
      <w:r>
        <w:rPr>
          <w:rFonts w:hint="eastAsia" w:ascii="宋体" w:hAnsi="宋体" w:eastAsia="宋体" w:cs="宋体"/>
          <w:color w:val="auto"/>
          <w:sz w:val="24"/>
          <w:highlight w:val="none"/>
        </w:rPr>
        <w:t>：详见政采云平台“服务中心-帮助文档-项目采购-操作流程-电子招投标-政府采购项目电子交易管理操作指南-供应商”。（3</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磋商文件公告期限与磋商公告的公告期限一致</w:t>
      </w:r>
      <w:r>
        <w:rPr>
          <w:rFonts w:hint="eastAsia" w:ascii="宋体" w:hAnsi="宋体" w:eastAsia="宋体" w:cs="宋体"/>
          <w:color w:val="auto"/>
          <w:sz w:val="24"/>
          <w:highlight w:val="none"/>
          <w:lang w:val="en-US" w:eastAsia="zh-CN"/>
        </w:rPr>
        <w:t>。</w:t>
      </w:r>
    </w:p>
    <w:p w14:paraId="7E237C4A">
      <w:pPr>
        <w:pStyle w:val="3"/>
        <w:numPr>
          <w:ilvl w:val="0"/>
          <w:numId w:val="0"/>
        </w:numPr>
        <w:ind w:left="432" w:hanging="432"/>
        <w:rPr>
          <w:rFonts w:hint="eastAsia" w:ascii="宋体" w:hAnsi="宋体" w:eastAsia="宋体" w:cs="宋体"/>
          <w:color w:val="auto"/>
          <w:sz w:val="24"/>
          <w:szCs w:val="24"/>
          <w:highlight w:val="none"/>
        </w:rPr>
      </w:pPr>
      <w:bookmarkStart w:id="52" w:name="_Toc29347"/>
      <w:bookmarkStart w:id="53" w:name="_Toc28359018"/>
      <w:bookmarkStart w:id="54" w:name="_Toc27180"/>
      <w:bookmarkStart w:id="55" w:name="_Toc28359095"/>
      <w:bookmarkStart w:id="56" w:name="_Toc35393805"/>
      <w:bookmarkStart w:id="57" w:name="_Toc35393636"/>
      <w:r>
        <w:rPr>
          <w:rFonts w:hint="eastAsia" w:ascii="宋体" w:hAnsi="宋体" w:eastAsia="宋体" w:cs="宋体"/>
          <w:color w:val="auto"/>
          <w:sz w:val="24"/>
          <w:szCs w:val="24"/>
          <w:highlight w:val="none"/>
        </w:rPr>
        <w:t>八、凡对本次采购提出询问</w:t>
      </w:r>
      <w:r>
        <w:rPr>
          <w:rFonts w:hint="eastAsia" w:ascii="宋体" w:hAnsi="宋体" w:eastAsia="宋体" w:cs="宋体"/>
          <w:bCs w:val="0"/>
          <w:color w:val="auto"/>
          <w:sz w:val="24"/>
          <w:szCs w:val="24"/>
          <w:highlight w:val="none"/>
        </w:rPr>
        <w:t>、质疑、投诉</w:t>
      </w:r>
      <w:r>
        <w:rPr>
          <w:rFonts w:hint="eastAsia" w:ascii="宋体" w:hAnsi="宋体" w:eastAsia="宋体" w:cs="宋体"/>
          <w:color w:val="auto"/>
          <w:sz w:val="24"/>
          <w:szCs w:val="24"/>
          <w:highlight w:val="none"/>
        </w:rPr>
        <w:t>，请按以下方式联系</w:t>
      </w:r>
      <w:bookmarkEnd w:id="52"/>
      <w:bookmarkEnd w:id="53"/>
      <w:bookmarkEnd w:id="54"/>
      <w:bookmarkEnd w:id="55"/>
      <w:bookmarkEnd w:id="56"/>
      <w:bookmarkEnd w:id="57"/>
    </w:p>
    <w:p w14:paraId="09B2B694">
      <w:pPr>
        <w:pStyle w:val="3"/>
        <w:numPr>
          <w:ilvl w:val="0"/>
          <w:numId w:val="0"/>
        </w:numPr>
        <w:ind w:left="432" w:hanging="432"/>
        <w:rPr>
          <w:rFonts w:hint="eastAsia" w:ascii="宋体" w:hAnsi="宋体" w:eastAsia="宋体" w:cs="宋体"/>
          <w:color w:val="auto"/>
          <w:sz w:val="24"/>
          <w:szCs w:val="24"/>
          <w:highlight w:val="none"/>
        </w:rPr>
      </w:pPr>
      <w:bookmarkStart w:id="58" w:name="_Toc35393637"/>
      <w:bookmarkStart w:id="59" w:name="_Toc28359096"/>
      <w:bookmarkStart w:id="60" w:name="_Toc35393806"/>
      <w:bookmarkStart w:id="61" w:name="_Toc28359019"/>
      <w:bookmarkStart w:id="62" w:name="_Toc26961"/>
      <w:bookmarkStart w:id="63" w:name="_Toc14865"/>
      <w:r>
        <w:rPr>
          <w:rFonts w:hint="eastAsia" w:ascii="宋体" w:hAnsi="宋体" w:eastAsia="宋体" w:cs="宋体"/>
          <w:color w:val="auto"/>
          <w:sz w:val="24"/>
          <w:szCs w:val="24"/>
          <w:highlight w:val="none"/>
        </w:rPr>
        <w:t>1.采购人信息</w:t>
      </w:r>
      <w:bookmarkEnd w:id="58"/>
      <w:bookmarkEnd w:id="59"/>
      <w:bookmarkEnd w:id="60"/>
      <w:bookmarkEnd w:id="61"/>
      <w:r>
        <w:rPr>
          <w:rFonts w:hint="eastAsia" w:ascii="宋体" w:hAnsi="宋体" w:eastAsia="宋体" w:cs="宋体"/>
          <w:color w:val="auto"/>
          <w:sz w:val="24"/>
          <w:szCs w:val="24"/>
          <w:highlight w:val="none"/>
        </w:rPr>
        <w:t>：</w:t>
      </w:r>
      <w:bookmarkEnd w:id="62"/>
      <w:bookmarkEnd w:id="63"/>
    </w:p>
    <w:p w14:paraId="13F77C3B">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名    称：</w:t>
      </w:r>
      <w:r>
        <w:rPr>
          <w:rFonts w:hint="eastAsia" w:ascii="宋体" w:hAnsi="宋体" w:eastAsia="宋体" w:cs="宋体"/>
          <w:color w:val="auto"/>
          <w:sz w:val="24"/>
          <w:highlight w:val="none"/>
          <w:lang w:eastAsia="zh-CN"/>
        </w:rPr>
        <w:t>宁波市数据局</w:t>
      </w:r>
    </w:p>
    <w:p w14:paraId="6C9AF03D">
      <w:pPr>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 xml:space="preserve">    地    址：</w:t>
      </w:r>
      <w:r>
        <w:rPr>
          <w:rFonts w:hint="eastAsia" w:ascii="宋体" w:hAnsi="宋体" w:eastAsia="宋体" w:cs="宋体"/>
          <w:color w:val="auto"/>
          <w:sz w:val="24"/>
          <w:szCs w:val="24"/>
          <w:highlight w:val="none"/>
          <w:lang w:val="en-US" w:eastAsia="zh-CN"/>
        </w:rPr>
        <w:t>浙江省宁波市宁穿路2001号2号楼10楼</w:t>
      </w:r>
    </w:p>
    <w:p w14:paraId="3166227F">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传    真：</w:t>
      </w:r>
      <w:r>
        <w:rPr>
          <w:rFonts w:hint="eastAsia" w:ascii="宋体" w:hAnsi="宋体" w:eastAsia="宋体" w:cs="宋体"/>
          <w:color w:val="auto"/>
          <w:sz w:val="24"/>
          <w:highlight w:val="none"/>
          <w:lang w:val="en-US" w:eastAsia="zh-CN"/>
        </w:rPr>
        <w:t>/</w:t>
      </w:r>
    </w:p>
    <w:p w14:paraId="47176E90">
      <w:pPr>
        <w:spacing w:line="36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 xml:space="preserve">    项目联系人（询问）：</w:t>
      </w:r>
      <w:r>
        <w:rPr>
          <w:rFonts w:hint="eastAsia" w:ascii="宋体" w:hAnsi="宋体" w:eastAsia="宋体" w:cs="宋体"/>
          <w:color w:val="auto"/>
          <w:sz w:val="24"/>
          <w:highlight w:val="none"/>
          <w:lang w:val="en-US" w:eastAsia="zh-CN"/>
        </w:rPr>
        <w:t>谢老师</w:t>
      </w:r>
    </w:p>
    <w:p w14:paraId="3FDD4545">
      <w:pPr>
        <w:spacing w:line="360" w:lineRule="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 xml:space="preserve">    项目联系方式（询问）：</w:t>
      </w:r>
      <w:r>
        <w:rPr>
          <w:rFonts w:hint="eastAsia" w:ascii="宋体" w:hAnsi="宋体" w:eastAsia="宋体" w:cs="宋体"/>
          <w:color w:val="auto"/>
          <w:sz w:val="24"/>
          <w:highlight w:val="none"/>
          <w:lang w:val="en-US" w:eastAsia="zh-CN"/>
        </w:rPr>
        <w:t>0574-</w:t>
      </w:r>
      <w:r>
        <w:rPr>
          <w:rFonts w:hint="eastAsia" w:ascii="宋体" w:hAnsi="宋体" w:cs="宋体"/>
          <w:color w:val="auto"/>
          <w:sz w:val="24"/>
          <w:highlight w:val="none"/>
          <w:lang w:val="en-US" w:eastAsia="zh-CN"/>
        </w:rPr>
        <w:t>89186466</w:t>
      </w:r>
    </w:p>
    <w:p w14:paraId="3B4BFA3A">
      <w:pPr>
        <w:spacing w:line="360" w:lineRule="auto"/>
        <w:rPr>
          <w:rFonts w:hint="eastAsia" w:ascii="宋体" w:hAnsi="宋体" w:eastAsia="宋体" w:cs="宋体"/>
          <w:color w:val="auto"/>
          <w:sz w:val="24"/>
          <w:highlight w:val="none"/>
        </w:rPr>
      </w:pPr>
      <w:bookmarkStart w:id="64" w:name="_Toc35393807"/>
      <w:bookmarkStart w:id="65" w:name="_Toc28359020"/>
      <w:bookmarkStart w:id="66" w:name="_Toc35393638"/>
      <w:bookmarkStart w:id="67" w:name="_Toc28359097"/>
      <w:r>
        <w:rPr>
          <w:rFonts w:hint="eastAsia" w:ascii="宋体" w:hAnsi="宋体" w:eastAsia="宋体" w:cs="宋体"/>
          <w:color w:val="auto"/>
          <w:sz w:val="24"/>
          <w:highlight w:val="none"/>
        </w:rPr>
        <w:t xml:space="preserve">    质疑联系人：</w:t>
      </w:r>
      <w:r>
        <w:rPr>
          <w:rFonts w:hint="eastAsia" w:ascii="宋体" w:hAnsi="宋体" w:eastAsia="宋体" w:cs="宋体"/>
          <w:color w:val="auto"/>
          <w:sz w:val="24"/>
          <w:highlight w:val="none"/>
          <w:lang w:val="en-US" w:eastAsia="zh-CN"/>
        </w:rPr>
        <w:t xml:space="preserve"> 姚老师</w:t>
      </w:r>
      <w:r>
        <w:rPr>
          <w:rFonts w:hint="eastAsia" w:ascii="宋体" w:hAnsi="宋体" w:eastAsia="宋体" w:cs="宋体"/>
          <w:color w:val="auto"/>
          <w:sz w:val="24"/>
          <w:highlight w:val="none"/>
        </w:rPr>
        <w:t xml:space="preserve"> </w:t>
      </w:r>
    </w:p>
    <w:p w14:paraId="3A5FD201">
      <w:pPr>
        <w:spacing w:line="36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 xml:space="preserve">    质疑联系方式：</w:t>
      </w:r>
      <w:r>
        <w:rPr>
          <w:rFonts w:hint="eastAsia" w:ascii="宋体" w:hAnsi="宋体" w:eastAsia="宋体" w:cs="宋体"/>
          <w:color w:val="auto"/>
          <w:sz w:val="24"/>
          <w:szCs w:val="24"/>
          <w:highlight w:val="none"/>
          <w:lang w:val="en-US" w:eastAsia="zh-CN"/>
        </w:rPr>
        <w:t>0574-89184098</w:t>
      </w:r>
    </w:p>
    <w:p w14:paraId="5C5DB667">
      <w:pPr>
        <w:pStyle w:val="3"/>
        <w:numPr>
          <w:ilvl w:val="0"/>
          <w:numId w:val="0"/>
        </w:numPr>
        <w:ind w:left="432" w:hanging="432"/>
        <w:rPr>
          <w:rFonts w:hint="eastAsia" w:ascii="宋体" w:hAnsi="宋体" w:eastAsia="宋体" w:cs="宋体"/>
          <w:color w:val="auto"/>
          <w:sz w:val="24"/>
          <w:highlight w:val="none"/>
        </w:rPr>
      </w:pPr>
      <w:bookmarkStart w:id="68" w:name="_Toc9483"/>
      <w:bookmarkStart w:id="69" w:name="_Toc27208"/>
      <w:r>
        <w:rPr>
          <w:rFonts w:hint="eastAsia" w:ascii="宋体" w:hAnsi="宋体" w:eastAsia="宋体" w:cs="宋体"/>
          <w:color w:val="auto"/>
          <w:sz w:val="24"/>
          <w:szCs w:val="24"/>
          <w:highlight w:val="none"/>
        </w:rPr>
        <w:t>2.采购代理机构信息</w:t>
      </w:r>
      <w:bookmarkEnd w:id="64"/>
      <w:bookmarkEnd w:id="65"/>
      <w:bookmarkEnd w:id="66"/>
      <w:bookmarkEnd w:id="67"/>
      <w:r>
        <w:rPr>
          <w:rFonts w:hint="eastAsia" w:ascii="宋体" w:hAnsi="宋体" w:eastAsia="宋体" w:cs="宋体"/>
          <w:color w:val="auto"/>
          <w:sz w:val="24"/>
          <w:szCs w:val="24"/>
          <w:highlight w:val="none"/>
        </w:rPr>
        <w:t>：</w:t>
      </w:r>
      <w:bookmarkEnd w:id="68"/>
      <w:bookmarkEnd w:id="69"/>
    </w:p>
    <w:p w14:paraId="17D632C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名    称：</w:t>
      </w:r>
      <w:r>
        <w:rPr>
          <w:rFonts w:hint="eastAsia" w:ascii="宋体" w:hAnsi="宋体" w:eastAsia="宋体" w:cs="宋体"/>
          <w:color w:val="auto"/>
          <w:sz w:val="24"/>
          <w:highlight w:val="none"/>
          <w:lang w:eastAsia="zh-CN"/>
        </w:rPr>
        <w:t>宁波中基国际招标有限公司</w:t>
      </w:r>
      <w:r>
        <w:rPr>
          <w:rFonts w:hint="eastAsia" w:ascii="宋体" w:hAnsi="宋体" w:eastAsia="宋体" w:cs="宋体"/>
          <w:color w:val="auto"/>
          <w:sz w:val="24"/>
          <w:highlight w:val="none"/>
        </w:rPr>
        <w:t xml:space="preserve">             </w:t>
      </w:r>
    </w:p>
    <w:p w14:paraId="5E3A52E0">
      <w:pPr>
        <w:spacing w:line="36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 xml:space="preserve">    地    址：</w:t>
      </w:r>
      <w:r>
        <w:rPr>
          <w:rFonts w:hint="eastAsia" w:ascii="宋体" w:hAnsi="宋体" w:eastAsia="宋体" w:cs="宋体"/>
          <w:color w:val="auto"/>
          <w:sz w:val="24"/>
          <w:highlight w:val="none"/>
          <w:lang w:val="en-US" w:eastAsia="zh-CN"/>
        </w:rPr>
        <w:t>宁波市鄞州区天童南路666号中基大厦19楼</w:t>
      </w:r>
    </w:p>
    <w:p w14:paraId="20252E3B">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传    真：0574-87425386</w:t>
      </w:r>
    </w:p>
    <w:p w14:paraId="209AAAEF">
      <w:pPr>
        <w:spacing w:line="36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 xml:space="preserve">    项目联系人（询问）：</w:t>
      </w:r>
      <w:r>
        <w:rPr>
          <w:rFonts w:hint="eastAsia" w:ascii="宋体" w:hAnsi="宋体" w:eastAsia="宋体" w:cs="宋体"/>
          <w:color w:val="auto"/>
          <w:sz w:val="24"/>
          <w:highlight w:val="none"/>
          <w:lang w:val="en-US" w:eastAsia="zh-CN"/>
        </w:rPr>
        <w:t>陈冲、沙玉珠</w:t>
      </w:r>
    </w:p>
    <w:p w14:paraId="76E49C84">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项目联系方式（询问）：0574-87425731、87425383</w:t>
      </w:r>
    </w:p>
    <w:p w14:paraId="6C97A7F4">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质疑联系人：</w:t>
      </w:r>
      <w:r>
        <w:rPr>
          <w:rFonts w:hint="eastAsia" w:ascii="宋体" w:hAnsi="宋体" w:eastAsia="宋体" w:cs="宋体"/>
          <w:color w:val="auto"/>
          <w:sz w:val="24"/>
          <w:highlight w:val="none"/>
          <w:lang w:val="en-US" w:eastAsia="zh-CN"/>
        </w:rPr>
        <w:t>方芸</w:t>
      </w:r>
      <w:r>
        <w:rPr>
          <w:rFonts w:hint="eastAsia" w:ascii="宋体" w:hAnsi="宋体" w:eastAsia="宋体" w:cs="宋体"/>
          <w:color w:val="auto"/>
          <w:sz w:val="24"/>
          <w:highlight w:val="none"/>
        </w:rPr>
        <w:t xml:space="preserve">             </w:t>
      </w:r>
    </w:p>
    <w:p w14:paraId="0E015D33">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质疑联系方式：0574-8809006</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 </w:t>
      </w:r>
    </w:p>
    <w:p w14:paraId="56F9EB58">
      <w:pPr>
        <w:spacing w:line="360" w:lineRule="auto"/>
        <w:rPr>
          <w:rFonts w:hint="eastAsia" w:ascii="宋体" w:hAnsi="宋体" w:eastAsia="宋体" w:cs="宋体"/>
          <w:b/>
          <w:color w:val="auto"/>
          <w:sz w:val="24"/>
          <w:highlight w:val="none"/>
        </w:rPr>
      </w:pPr>
      <w:bookmarkStart w:id="70" w:name="_Toc28359098"/>
      <w:bookmarkStart w:id="71" w:name="_Toc35393639"/>
      <w:bookmarkStart w:id="72" w:name="_Toc28359021"/>
      <w:bookmarkStart w:id="73" w:name="_Toc35393808"/>
      <w:r>
        <w:rPr>
          <w:rFonts w:hint="eastAsia" w:ascii="宋体" w:hAnsi="宋体" w:eastAsia="宋体" w:cs="宋体"/>
          <w:b/>
          <w:bCs/>
          <w:color w:val="auto"/>
          <w:sz w:val="24"/>
          <w:highlight w:val="none"/>
        </w:rPr>
        <w:t>3.</w:t>
      </w:r>
      <w:r>
        <w:rPr>
          <w:rFonts w:hint="eastAsia" w:ascii="宋体" w:hAnsi="宋体" w:eastAsia="宋体" w:cs="宋体"/>
          <w:b/>
          <w:color w:val="auto"/>
          <w:sz w:val="24"/>
          <w:highlight w:val="none"/>
        </w:rPr>
        <w:t xml:space="preserve"> 同级政府采购监督管理部门：            </w:t>
      </w:r>
    </w:p>
    <w:bookmarkEnd w:id="70"/>
    <w:bookmarkEnd w:id="71"/>
    <w:bookmarkEnd w:id="72"/>
    <w:bookmarkEnd w:id="73"/>
    <w:p w14:paraId="50825F39">
      <w:pPr>
        <w:spacing w:line="360" w:lineRule="auto"/>
        <w:ind w:firstLine="48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名    称：</w:t>
      </w:r>
      <w:r>
        <w:rPr>
          <w:rFonts w:hint="eastAsia" w:ascii="宋体" w:hAnsi="宋体" w:eastAsia="宋体" w:cs="宋体"/>
          <w:color w:val="auto"/>
          <w:sz w:val="24"/>
          <w:highlight w:val="none"/>
          <w:lang w:eastAsia="zh-CN"/>
        </w:rPr>
        <w:t>宁波市财政局政府采购监管处</w:t>
      </w:r>
    </w:p>
    <w:p w14:paraId="7745EFBD">
      <w:pPr>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 xml:space="preserve">    地    址：</w:t>
      </w:r>
      <w:r>
        <w:rPr>
          <w:rFonts w:hint="eastAsia" w:ascii="宋体" w:hAnsi="宋体" w:eastAsia="宋体" w:cs="宋体"/>
          <w:color w:val="auto"/>
          <w:sz w:val="24"/>
          <w:highlight w:val="none"/>
          <w:lang w:eastAsia="zh-CN"/>
        </w:rPr>
        <w:t>宁波市海曙区中山西路19号</w:t>
      </w:r>
    </w:p>
    <w:p w14:paraId="39F81738">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传    真： /</w:t>
      </w:r>
    </w:p>
    <w:p w14:paraId="71F36818">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联 系 人：李老师</w:t>
      </w:r>
    </w:p>
    <w:p w14:paraId="3D63D9D3">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监督投诉电话：0574-89388042</w:t>
      </w:r>
    </w:p>
    <w:p w14:paraId="46A93B9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若对项目采购电子交易系统操作有疑问，可登录政采云（https://www.zcygov.cn/），点击右侧咨询小采，获取采小蜜智能服务管家帮助，或拨打政采云服务热线95763获取热线服务帮助。        </w:t>
      </w:r>
    </w:p>
    <w:p w14:paraId="60C5063F">
      <w:pPr>
        <w:spacing w:line="360" w:lineRule="auto"/>
        <w:ind w:firstLine="480" w:firstLineChars="200"/>
        <w:rPr>
          <w:rFonts w:hint="eastAsia" w:ascii="宋体" w:hAnsi="宋体" w:eastAsia="宋体" w:cs="宋体"/>
          <w:color w:val="auto"/>
          <w:sz w:val="24"/>
          <w:highlight w:val="none"/>
        </w:rPr>
      </w:pPr>
    </w:p>
    <w:p w14:paraId="1A0BA3F3">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CA问题联系电话（人工）：汇信CA 400-888-4636；天谷CA 400-087-8198。</w:t>
      </w:r>
    </w:p>
    <w:p w14:paraId="7227E22A">
      <w:pPr>
        <w:pStyle w:val="31"/>
        <w:spacing w:line="360" w:lineRule="auto"/>
        <w:ind w:firstLine="480" w:firstLineChars="200"/>
        <w:rPr>
          <w:rFonts w:hint="eastAsia" w:ascii="宋体" w:hAnsi="宋体" w:eastAsia="宋体" w:cs="宋体"/>
          <w:color w:val="auto"/>
          <w:sz w:val="24"/>
          <w:szCs w:val="24"/>
          <w:highlight w:val="none"/>
        </w:rPr>
      </w:pPr>
    </w:p>
    <w:p w14:paraId="553E93BE">
      <w:pPr>
        <w:adjustRightInd/>
        <w:spacing w:line="360" w:lineRule="auto"/>
        <w:jc w:val="center"/>
        <w:outlineLvl w:val="0"/>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br w:type="page"/>
      </w:r>
    </w:p>
    <w:p w14:paraId="13B1A6D7">
      <w:pPr>
        <w:adjustRightInd/>
        <w:spacing w:line="360" w:lineRule="auto"/>
        <w:jc w:val="center"/>
        <w:outlineLvl w:val="0"/>
        <w:rPr>
          <w:rFonts w:hint="eastAsia" w:ascii="宋体" w:hAnsi="宋体" w:eastAsia="宋体" w:cs="宋体"/>
          <w:b/>
          <w:color w:val="auto"/>
          <w:sz w:val="32"/>
          <w:szCs w:val="20"/>
          <w:highlight w:val="none"/>
        </w:rPr>
      </w:pPr>
      <w:bookmarkStart w:id="74" w:name="_Toc7076"/>
      <w:r>
        <w:rPr>
          <w:rFonts w:hint="eastAsia" w:ascii="宋体" w:hAnsi="宋体" w:eastAsia="宋体" w:cs="宋体"/>
          <w:b/>
          <w:color w:val="auto"/>
          <w:sz w:val="36"/>
          <w:szCs w:val="20"/>
          <w:highlight w:val="none"/>
        </w:rPr>
        <w:t>第二部分 竞争性磋商流程</w:t>
      </w:r>
      <w:bookmarkEnd w:id="74"/>
    </w:p>
    <w:p w14:paraId="011757D8">
      <w:pPr>
        <w:pStyle w:val="397"/>
        <w:spacing w:before="0"/>
        <w:ind w:firstLine="0" w:firstLineChars="0"/>
        <w:rPr>
          <w:rFonts w:hint="eastAsia" w:ascii="宋体" w:hAnsi="宋体" w:eastAsia="宋体" w:cs="宋体"/>
          <w:b/>
          <w:color w:val="auto"/>
          <w:highlight w:val="none"/>
        </w:rPr>
      </w:pPr>
      <w:r>
        <w:rPr>
          <w:rFonts w:hint="eastAsia" w:ascii="宋体" w:hAnsi="宋体" w:eastAsia="宋体" w:cs="宋体"/>
          <w:b/>
          <w:color w:val="auto"/>
          <w:szCs w:val="24"/>
          <w:highlight w:val="none"/>
        </w:rPr>
        <w:t>1.征集供应商</w:t>
      </w:r>
    </w:p>
    <w:p w14:paraId="663F3869">
      <w:pPr>
        <w:pStyle w:val="397"/>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1.1邀请供应商。</w:t>
      </w:r>
    </w:p>
    <w:p w14:paraId="49FD190B">
      <w:pPr>
        <w:pStyle w:val="397"/>
        <w:numPr>
          <w:ilvl w:val="0"/>
          <w:numId w:val="7"/>
        </w:numPr>
        <w:spacing w:before="0"/>
        <w:ind w:firstLineChars="0"/>
        <w:rPr>
          <w:rFonts w:hint="eastAsia" w:ascii="宋体" w:hAnsi="宋体" w:eastAsia="宋体" w:cs="宋体"/>
          <w:color w:val="auto"/>
          <w:szCs w:val="24"/>
          <w:highlight w:val="none"/>
        </w:rPr>
      </w:pPr>
      <w:r>
        <w:rPr>
          <w:rFonts w:hint="eastAsia" w:ascii="宋体" w:hAnsi="宋体" w:eastAsia="宋体" w:cs="宋体"/>
          <w:b/>
          <w:color w:val="auto"/>
          <w:szCs w:val="24"/>
          <w:highlight w:val="none"/>
        </w:rPr>
        <w:t>采用公告方式邀请供应商的，</w:t>
      </w:r>
      <w:r>
        <w:rPr>
          <w:rFonts w:hint="eastAsia" w:ascii="宋体" w:hAnsi="宋体" w:eastAsia="宋体" w:cs="宋体"/>
          <w:color w:val="auto"/>
          <w:szCs w:val="24"/>
          <w:highlight w:val="none"/>
        </w:rPr>
        <w:t>由采购人、</w:t>
      </w:r>
      <w:r>
        <w:rPr>
          <w:rFonts w:hint="eastAsia" w:ascii="宋体" w:hAnsi="宋体" w:eastAsia="宋体" w:cs="宋体"/>
          <w:color w:val="auto"/>
          <w:szCs w:val="24"/>
          <w:highlight w:val="none"/>
          <w:lang w:eastAsia="zh-CN"/>
        </w:rPr>
        <w:t>采购代理机构</w:t>
      </w:r>
      <w:r>
        <w:rPr>
          <w:rFonts w:hint="eastAsia" w:ascii="宋体" w:hAnsi="宋体" w:eastAsia="宋体" w:cs="宋体"/>
          <w:color w:val="auto"/>
          <w:szCs w:val="24"/>
          <w:highlight w:val="none"/>
        </w:rPr>
        <w:t>在省级以上人民政府财政部门指定的政府采购信息发布媒体上发布磋商公告，邀请符合相应资格条件的供应商参与竞争性磋商采购活动。</w:t>
      </w:r>
    </w:p>
    <w:p w14:paraId="43976979">
      <w:pPr>
        <w:pStyle w:val="397"/>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1.2供应商获取磋商文件。</w:t>
      </w:r>
    </w:p>
    <w:p w14:paraId="7D750BB9">
      <w:pPr>
        <w:pStyle w:val="397"/>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1.3组织现场考察或召开答疑会（如果有）。</w:t>
      </w:r>
    </w:p>
    <w:p w14:paraId="433DB9B1">
      <w:pPr>
        <w:pStyle w:val="397"/>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1.4发布更正（延期）公告，澄清或修改磋商文件（如果有）。</w:t>
      </w:r>
    </w:p>
    <w:p w14:paraId="75C825CF">
      <w:pPr>
        <w:pStyle w:val="397"/>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1.5供应商按磋商文件要求编制响应文件。</w:t>
      </w:r>
    </w:p>
    <w:p w14:paraId="2D7AE78F">
      <w:pPr>
        <w:pStyle w:val="397"/>
        <w:spacing w:before="0"/>
        <w:ind w:firstLine="0" w:firstLineChars="0"/>
        <w:rPr>
          <w:rFonts w:hint="eastAsia" w:ascii="宋体" w:hAnsi="宋体" w:eastAsia="宋体" w:cs="宋体"/>
          <w:b/>
          <w:color w:val="auto"/>
          <w:highlight w:val="none"/>
        </w:rPr>
      </w:pPr>
      <w:r>
        <w:rPr>
          <w:rFonts w:hint="eastAsia" w:ascii="宋体" w:hAnsi="宋体" w:eastAsia="宋体" w:cs="宋体"/>
          <w:b/>
          <w:color w:val="auto"/>
          <w:highlight w:val="none"/>
        </w:rPr>
        <w:t>2.响应文件开启与信用信息查询</w:t>
      </w:r>
    </w:p>
    <w:p w14:paraId="7F42FAB9">
      <w:pPr>
        <w:pStyle w:val="397"/>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2.1供应商依据“提交响应文件的截止时间与地点”通过政采云平台在线提交响应文件。供应商在提交响应文件的截止时间前，可以补充、修改或撤回响应文件。</w:t>
      </w:r>
    </w:p>
    <w:p w14:paraId="54704429">
      <w:pPr>
        <w:pStyle w:val="397"/>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2.2</w:t>
      </w:r>
      <w:r>
        <w:rPr>
          <w:rFonts w:hint="eastAsia" w:ascii="宋体" w:hAnsi="宋体" w:eastAsia="宋体" w:cs="宋体"/>
          <w:color w:val="auto"/>
          <w:kern w:val="0"/>
          <w:szCs w:val="24"/>
          <w:highlight w:val="none"/>
          <w:lang w:eastAsia="zh-CN"/>
        </w:rPr>
        <w:t>采购代理机构</w:t>
      </w:r>
      <w:r>
        <w:rPr>
          <w:rFonts w:hint="eastAsia" w:ascii="宋体" w:hAnsi="宋体" w:eastAsia="宋体" w:cs="宋体"/>
          <w:color w:val="auto"/>
          <w:kern w:val="0"/>
          <w:szCs w:val="24"/>
          <w:highlight w:val="none"/>
        </w:rPr>
        <w:t>将通过“信用中国”网站(</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"http://www.creditchina.gov.cn" </w:instrText>
      </w:r>
      <w:r>
        <w:rPr>
          <w:rFonts w:hint="eastAsia" w:ascii="宋体" w:hAnsi="宋体" w:eastAsia="宋体" w:cs="宋体"/>
          <w:color w:val="auto"/>
          <w:highlight w:val="none"/>
        </w:rPr>
        <w:fldChar w:fldCharType="separate"/>
      </w:r>
      <w:r>
        <w:rPr>
          <w:rStyle w:val="68"/>
          <w:rFonts w:hint="eastAsia" w:ascii="宋体" w:hAnsi="宋体" w:eastAsia="宋体" w:cs="宋体"/>
          <w:snapToGrid/>
          <w:color w:val="auto"/>
          <w:sz w:val="24"/>
          <w:szCs w:val="24"/>
          <w:highlight w:val="none"/>
        </w:rPr>
        <w:t>www.creditchina.gov.cn</w:t>
      </w:r>
      <w:r>
        <w:rPr>
          <w:rStyle w:val="68"/>
          <w:rFonts w:hint="eastAsia" w:ascii="宋体" w:hAnsi="宋体" w:eastAsia="宋体" w:cs="宋体"/>
          <w:snapToGrid/>
          <w:color w:val="auto"/>
          <w:sz w:val="24"/>
          <w:szCs w:val="24"/>
          <w:highlight w:val="none"/>
        </w:rPr>
        <w:fldChar w:fldCharType="end"/>
      </w:r>
      <w:r>
        <w:rPr>
          <w:rFonts w:hint="eastAsia" w:ascii="宋体" w:hAnsi="宋体" w:eastAsia="宋体" w:cs="宋体"/>
          <w:color w:val="auto"/>
          <w:kern w:val="0"/>
          <w:szCs w:val="24"/>
          <w:highlight w:val="none"/>
        </w:rPr>
        <w:t>)和中国政府采购网(www.ccgp.gov.cn)渠道查询供应商响应截止时间当日的信用记录。</w:t>
      </w:r>
    </w:p>
    <w:p w14:paraId="0FA99EA3">
      <w:pPr>
        <w:pStyle w:val="397"/>
        <w:spacing w:before="0"/>
        <w:ind w:firstLine="0" w:firstLineChars="0"/>
        <w:rPr>
          <w:rFonts w:hint="eastAsia" w:ascii="宋体" w:hAnsi="宋体" w:eastAsia="宋体" w:cs="宋体"/>
          <w:b/>
          <w:color w:val="auto"/>
          <w:highlight w:val="none"/>
        </w:rPr>
      </w:pPr>
      <w:r>
        <w:rPr>
          <w:rFonts w:hint="eastAsia" w:ascii="宋体" w:hAnsi="宋体" w:eastAsia="宋体" w:cs="宋体"/>
          <w:b/>
          <w:color w:val="auto"/>
          <w:highlight w:val="none"/>
        </w:rPr>
        <w:t>3.磋商与评审</w:t>
      </w:r>
    </w:p>
    <w:p w14:paraId="5DBB5190">
      <w:pPr>
        <w:pStyle w:val="397"/>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3.1磋商小组签到。</w:t>
      </w:r>
    </w:p>
    <w:p w14:paraId="76F2B3E3">
      <w:pPr>
        <w:pStyle w:val="397"/>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3.2</w:t>
      </w:r>
      <w:r>
        <w:rPr>
          <w:rFonts w:hint="eastAsia" w:ascii="宋体" w:hAnsi="宋体" w:eastAsia="宋体" w:cs="宋体"/>
          <w:color w:val="auto"/>
          <w:szCs w:val="24"/>
          <w:highlight w:val="none"/>
          <w:lang w:eastAsia="zh-CN"/>
        </w:rPr>
        <w:t>采购代理机构</w:t>
      </w:r>
      <w:r>
        <w:rPr>
          <w:rFonts w:hint="eastAsia" w:ascii="宋体" w:hAnsi="宋体" w:eastAsia="宋体" w:cs="宋体"/>
          <w:color w:val="auto"/>
          <w:szCs w:val="24"/>
          <w:highlight w:val="none"/>
        </w:rPr>
        <w:t>宣布有关纪律以及磋商、评审工作程序。</w:t>
      </w:r>
    </w:p>
    <w:p w14:paraId="73D7835A">
      <w:pPr>
        <w:pStyle w:val="397"/>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3.3磋商小组审查确认磋商文件。磋商文件内容违反国家有关强制性规定的，磋商小组应当停止评审并向</w:t>
      </w:r>
      <w:r>
        <w:rPr>
          <w:rFonts w:hint="eastAsia" w:ascii="宋体" w:hAnsi="宋体" w:eastAsia="宋体" w:cs="宋体"/>
          <w:color w:val="auto"/>
          <w:szCs w:val="24"/>
          <w:highlight w:val="none"/>
          <w:lang w:eastAsia="zh-CN"/>
        </w:rPr>
        <w:t>采购代理机构</w:t>
      </w:r>
      <w:r>
        <w:rPr>
          <w:rFonts w:hint="eastAsia" w:ascii="宋体" w:hAnsi="宋体" w:eastAsia="宋体" w:cs="宋体"/>
          <w:color w:val="auto"/>
          <w:szCs w:val="24"/>
          <w:highlight w:val="none"/>
        </w:rPr>
        <w:t>说明情况。</w:t>
      </w:r>
    </w:p>
    <w:p w14:paraId="48EC1B65">
      <w:pPr>
        <w:pStyle w:val="397"/>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3.4磋商小组对供应商的资格进行审查。</w:t>
      </w:r>
    </w:p>
    <w:p w14:paraId="12864F7E">
      <w:pPr>
        <w:pStyle w:val="397"/>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3.5磋商小组审查响应文件。</w:t>
      </w:r>
    </w:p>
    <w:p w14:paraId="61434D2C">
      <w:pPr>
        <w:pStyle w:val="397"/>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3.6对于未实质性响应磋商文件的响应文件由磋商小组认定响应无效，并告知该供应商。</w:t>
      </w:r>
    </w:p>
    <w:p w14:paraId="537A622F">
      <w:pPr>
        <w:pStyle w:val="397"/>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3.7供应商根据磋商小组要求对响应文件中含义不明确、同类问题表述不一致或者有明显文字和计算错误的内容等作出必要的澄清、说明或者更正。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更正不得超出响应文件的范围或者改变响应文件的实质性内容。</w:t>
      </w:r>
    </w:p>
    <w:p w14:paraId="17C5FD17">
      <w:pPr>
        <w:pStyle w:val="397"/>
        <w:spacing w:before="0"/>
        <w:ind w:firstLine="480"/>
        <w:rPr>
          <w:rFonts w:hint="eastAsia" w:ascii="宋体" w:hAnsi="宋体" w:eastAsia="宋体" w:cs="宋体"/>
          <w:b/>
          <w:bCs/>
          <w:color w:val="auto"/>
          <w:szCs w:val="24"/>
          <w:highlight w:val="none"/>
        </w:rPr>
      </w:pPr>
      <w:r>
        <w:rPr>
          <w:rFonts w:hint="eastAsia" w:ascii="宋体" w:hAnsi="宋体" w:eastAsia="宋体" w:cs="宋体"/>
          <w:color w:val="auto"/>
          <w:szCs w:val="24"/>
          <w:highlight w:val="none"/>
        </w:rPr>
        <w:t>3.8磋商小组与符合要求的供应商进行磋商。磋商小组所有成员按照响应文件解密次序集中与单一供应商分别进行磋商，并给予所有参加磋商的供应商平等的磋商机会。磋商过程中，磋商小组可以根据磋商情况调整轮次。</w:t>
      </w:r>
      <w:r>
        <w:rPr>
          <w:rFonts w:hint="eastAsia" w:ascii="宋体" w:hAnsi="宋体" w:eastAsia="宋体" w:cs="宋体"/>
          <w:b/>
          <w:bCs/>
          <w:color w:val="auto"/>
          <w:szCs w:val="24"/>
          <w:highlight w:val="none"/>
        </w:rPr>
        <w:t>如磋商小组认定磋商文件技术、服务要求以及合同草案条款无需进行变动且供应商应答明确，则以书面形式（政采云系统发出磋商响应函或邮件形式等）通知所有符合性审查合格的供应商，视作与供应商进行磋商。</w:t>
      </w:r>
    </w:p>
    <w:p w14:paraId="36D33145">
      <w:pPr>
        <w:pStyle w:val="397"/>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3.9经磋商确定磋商文件的变动情况。</w:t>
      </w:r>
      <w:r>
        <w:rPr>
          <w:rFonts w:hint="eastAsia" w:cs="Times New Roman" w:asciiTheme="minorEastAsia" w:hAnsiTheme="minorEastAsia" w:eastAsiaTheme="minorEastAsia"/>
          <w:color w:val="auto"/>
          <w:szCs w:val="24"/>
          <w:highlight w:val="none"/>
        </w:rPr>
        <w:t>在磋商过程中，磋商小组可以根据磋商文件和磋商情况实质性变动采购需求中的技术、服务要求以及合同草案中的条款，但不得变动磋商文件中的其他内容。实质性变动的内容，须经采购人代表确认。</w:t>
      </w:r>
      <w:r>
        <w:rPr>
          <w:rFonts w:hint="eastAsia" w:ascii="宋体" w:hAnsi="宋体" w:eastAsia="宋体" w:cs="宋体"/>
          <w:color w:val="auto"/>
          <w:szCs w:val="24"/>
          <w:highlight w:val="none"/>
        </w:rPr>
        <w:t>对磋商文件作出的实质性变动是磋商文件的有效组成部分，磋商小组应当及时以书面形式同时通知所有参加磋商的供应商。</w:t>
      </w:r>
    </w:p>
    <w:p w14:paraId="6356ABC4">
      <w:pPr>
        <w:pStyle w:val="397"/>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3.10 供应商应当按照磋商文件的变动情况及磋商小组的要求通过电子交易平台重新提交响应文件和最后报价，并使用电子签名（如果有）。已提交响应文件的供应商，在提交最后报价之前，可以根据磋商情况退出磋商。如供应商未按磋商小组的要求在规定的时间内提交最后报价的，视为退出磋商。</w:t>
      </w:r>
    </w:p>
    <w:p w14:paraId="53BE1DC7">
      <w:pPr>
        <w:pStyle w:val="397"/>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3.11磋商小组按照下列方式确定提交最后报价的供应商，有特殊规定的从其规定：</w:t>
      </w:r>
    </w:p>
    <w:p w14:paraId="33BACFC9">
      <w:pPr>
        <w:pStyle w:val="397"/>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磋商文件能够详细列明采购标的的技术、服务要求的，磋商结束后，磋商小组应当要求所有实质性响应的供应商在规定时间内在电子交易平台提交最后报价，提交最后报价的供应商不得少于3家。</w:t>
      </w:r>
      <w:r>
        <w:rPr>
          <w:rFonts w:hint="eastAsia" w:ascii="宋体" w:hAnsi="宋体" w:eastAsia="宋体" w:cs="宋体"/>
          <w:color w:val="auto"/>
          <w:kern w:val="2"/>
          <w:sz w:val="24"/>
          <w:highlight w:val="none"/>
        </w:rPr>
        <w:t>根据磋商补充通知，政府购买服务项目（含政府和社会资本合作项目），在采购过程中符合要求的供应商（社会资本）只有2家的，竞争性磋商采购活动可以继续进行。</w:t>
      </w:r>
    </w:p>
    <w:p w14:paraId="2A7182EE">
      <w:pPr>
        <w:pStyle w:val="397"/>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磋商文件不能详细列明采购标的的技术、服务要求，需经磋商由供应商提供最终设计方案或解决方案的，磋商结束后，磋商小组应当按照少数服从多数的原则投票推荐3家及以上供应商的设计方案或者解决方案，并要求其在规定时间内在电子交易平台提交最后报价。</w:t>
      </w:r>
    </w:p>
    <w:p w14:paraId="51C82E8D">
      <w:pPr>
        <w:pStyle w:val="397"/>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3.12确定进入最后报价的供应商在规定时间内提交最后报价。</w:t>
      </w:r>
    </w:p>
    <w:p w14:paraId="64EF0F66">
      <w:pPr>
        <w:pStyle w:val="397"/>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3.1</w:t>
      </w:r>
      <w:r>
        <w:rPr>
          <w:rFonts w:hint="eastAsia" w:ascii="宋体" w:hAnsi="宋体" w:cs="宋体"/>
          <w:color w:val="auto"/>
          <w:szCs w:val="24"/>
          <w:highlight w:val="none"/>
          <w:lang w:val="en-US" w:eastAsia="zh-CN"/>
        </w:rPr>
        <w:t>3</w:t>
      </w:r>
      <w:r>
        <w:rPr>
          <w:rFonts w:hint="eastAsia" w:ascii="宋体" w:hAnsi="宋体" w:eastAsia="宋体" w:cs="宋体"/>
          <w:color w:val="auto"/>
          <w:szCs w:val="24"/>
          <w:highlight w:val="none"/>
        </w:rPr>
        <w:t>由磋商小组根据磋商文件确定的评审办法及评审标准对提交最后报价的供应商的响应文件和最后报价进行综合评分。磋商小组各成员应当独立对每个有效响应的文件进行评价、打分，然后汇总每个供应商每项评分因素的得分。</w:t>
      </w:r>
    </w:p>
    <w:p w14:paraId="4B4EC707">
      <w:pPr>
        <w:pStyle w:val="397"/>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3.1</w:t>
      </w:r>
      <w:r>
        <w:rPr>
          <w:rFonts w:hint="eastAsia" w:ascii="宋体" w:hAnsi="宋体" w:cs="宋体"/>
          <w:color w:val="auto"/>
          <w:szCs w:val="24"/>
          <w:highlight w:val="none"/>
          <w:lang w:val="en-US" w:eastAsia="zh-CN"/>
        </w:rPr>
        <w:t>4</w:t>
      </w:r>
      <w:r>
        <w:rPr>
          <w:rFonts w:hint="eastAsia" w:ascii="宋体" w:hAnsi="宋体" w:eastAsia="宋体" w:cs="宋体"/>
          <w:color w:val="auto"/>
          <w:szCs w:val="24"/>
          <w:highlight w:val="none"/>
        </w:rPr>
        <w:t>磋商小组应当根据综合评分情况，按照评审得分由高到低顺序推荐3名以上成交候选供应商，并编写评审报告。符合财政部门规定情形的，可以推荐2家成交候选供应商。评审得分相同的，按照最后报价由低到高的顺序推荐。评审得分且最后报价相同的，按照技术指标优劣顺序推荐。</w:t>
      </w:r>
    </w:p>
    <w:p w14:paraId="4910E6BC">
      <w:pPr>
        <w:pStyle w:val="397"/>
        <w:spacing w:before="0"/>
        <w:ind w:firstLine="0" w:firstLineChars="0"/>
        <w:rPr>
          <w:rFonts w:hint="eastAsia" w:ascii="宋体" w:hAnsi="宋体" w:eastAsia="宋体" w:cs="宋体"/>
          <w:b/>
          <w:color w:val="auto"/>
          <w:highlight w:val="none"/>
        </w:rPr>
      </w:pPr>
      <w:r>
        <w:rPr>
          <w:rFonts w:hint="eastAsia" w:ascii="宋体" w:hAnsi="宋体" w:eastAsia="宋体" w:cs="宋体"/>
          <w:b/>
          <w:color w:val="auto"/>
          <w:highlight w:val="none"/>
        </w:rPr>
        <w:t>4. 成交</w:t>
      </w:r>
    </w:p>
    <w:p w14:paraId="4B3DEDBD">
      <w:pPr>
        <w:pStyle w:val="397"/>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4.1政府采购项目实行全流程电子化，评审报告送交、采购结果确定和结果公告均在线完成。</w:t>
      </w:r>
      <w:r>
        <w:rPr>
          <w:rFonts w:hint="eastAsia" w:ascii="宋体" w:hAnsi="宋体" w:eastAsia="宋体" w:cs="宋体"/>
          <w:color w:val="auto"/>
          <w:szCs w:val="24"/>
          <w:highlight w:val="none"/>
          <w:lang w:eastAsia="zh-CN"/>
        </w:rPr>
        <w:t>采购代理机构</w:t>
      </w:r>
      <w:r>
        <w:rPr>
          <w:rFonts w:hint="eastAsia" w:ascii="宋体" w:hAnsi="宋体" w:eastAsia="宋体" w:cs="宋体"/>
          <w:color w:val="auto"/>
          <w:szCs w:val="24"/>
          <w:highlight w:val="none"/>
        </w:rPr>
        <w:t>应当依法及时将评审报告在线送交采购人确认。采购人应当在收到评审报告后</w:t>
      </w:r>
      <w:r>
        <w:rPr>
          <w:rFonts w:hint="eastAsia" w:ascii="宋体" w:hAnsi="宋体" w:eastAsia="宋体" w:cs="宋体"/>
          <w:color w:val="auto"/>
          <w:szCs w:val="24"/>
          <w:highlight w:val="none"/>
          <w:lang w:val="en-US" w:eastAsia="zh-CN"/>
        </w:rPr>
        <w:t>5</w:t>
      </w:r>
      <w:r>
        <w:rPr>
          <w:rFonts w:hint="eastAsia" w:ascii="宋体" w:hAnsi="宋体" w:eastAsia="宋体" w:cs="宋体"/>
          <w:color w:val="auto"/>
          <w:szCs w:val="24"/>
          <w:highlight w:val="none"/>
        </w:rPr>
        <w:t>个工作日内，从评审报告提出的成交候选供应商中，按照排序由高到低的原则确定成交供应商，采购人也可以书面授权磋商小组直接确定成交供应商。</w:t>
      </w:r>
    </w:p>
    <w:p w14:paraId="1BA8A318">
      <w:pPr>
        <w:pStyle w:val="397"/>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4.2</w:t>
      </w:r>
      <w:r>
        <w:rPr>
          <w:rFonts w:hint="eastAsia" w:ascii="宋体" w:hAnsi="宋体" w:eastAsia="宋体" w:cs="宋体"/>
          <w:color w:val="auto"/>
          <w:szCs w:val="24"/>
          <w:highlight w:val="none"/>
          <w:lang w:eastAsia="zh-CN"/>
        </w:rPr>
        <w:t>采购代理机构</w:t>
      </w:r>
      <w:r>
        <w:rPr>
          <w:rFonts w:hint="eastAsia" w:ascii="宋体" w:hAnsi="宋体" w:eastAsia="宋体" w:cs="宋体"/>
          <w:color w:val="auto"/>
          <w:szCs w:val="24"/>
          <w:highlight w:val="none"/>
        </w:rPr>
        <w:t>在收到采购人对评审报告的确认意见和对成交供应商的确定结果后，应当在2个工作日内，在浙江政府采购网（政采云）上公告成交结果，同时向成交供应商发出成交通知书，并将磋商文件随成交结果同时公告。</w:t>
      </w:r>
    </w:p>
    <w:p w14:paraId="7F1EABA6">
      <w:pPr>
        <w:pStyle w:val="397"/>
        <w:spacing w:before="0"/>
        <w:ind w:firstLine="0" w:firstLineChars="0"/>
        <w:rPr>
          <w:rFonts w:hint="eastAsia" w:ascii="宋体" w:hAnsi="宋体" w:eastAsia="宋体" w:cs="宋体"/>
          <w:color w:val="auto"/>
          <w:kern w:val="0"/>
          <w:szCs w:val="21"/>
          <w:highlight w:val="none"/>
        </w:rPr>
      </w:pPr>
      <w:r>
        <w:rPr>
          <w:rFonts w:hint="eastAsia" w:ascii="宋体" w:hAnsi="宋体" w:eastAsia="宋体" w:cs="宋体"/>
          <w:b/>
          <w:color w:val="auto"/>
          <w:highlight w:val="none"/>
        </w:rPr>
        <w:t>5.合同及履约验收</w:t>
      </w:r>
    </w:p>
    <w:p w14:paraId="70D94EE7">
      <w:pPr>
        <w:pStyle w:val="397"/>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5.1采购人与成交供应商应当在成交通知书发出之日起</w:t>
      </w:r>
      <w:r>
        <w:rPr>
          <w:rFonts w:hint="eastAsia" w:ascii="宋体" w:hAnsi="宋体" w:eastAsia="宋体" w:cs="宋体"/>
          <w:color w:val="auto"/>
          <w:szCs w:val="24"/>
          <w:highlight w:val="none"/>
          <w:lang w:val="en-US" w:eastAsia="zh-CN"/>
        </w:rPr>
        <w:t>30</w:t>
      </w:r>
      <w:r>
        <w:rPr>
          <w:rFonts w:hint="eastAsia" w:ascii="宋体" w:hAnsi="宋体" w:eastAsia="宋体" w:cs="宋体"/>
          <w:color w:val="auto"/>
          <w:szCs w:val="24"/>
          <w:highlight w:val="none"/>
        </w:rPr>
        <w:t>日内签订政府采购合同。</w:t>
      </w:r>
    </w:p>
    <w:p w14:paraId="5587119F">
      <w:pPr>
        <w:tabs>
          <w:tab w:val="left" w:pos="0"/>
        </w:tabs>
        <w:spacing w:line="360" w:lineRule="auto"/>
        <w:ind w:firstLine="482"/>
        <w:rPr>
          <w:rFonts w:hint="eastAsia" w:ascii="宋体" w:hAnsi="宋体" w:eastAsia="宋体" w:cs="宋体"/>
          <w:color w:val="auto"/>
          <w:sz w:val="24"/>
          <w:highlight w:val="none"/>
        </w:rPr>
      </w:pPr>
      <w:r>
        <w:rPr>
          <w:rFonts w:hint="eastAsia" w:ascii="宋体" w:hAnsi="宋体" w:eastAsia="宋体" w:cs="宋体"/>
          <w:color w:val="auto"/>
          <w:sz w:val="24"/>
          <w:highlight w:val="none"/>
        </w:rPr>
        <w:t>5.2成交供应商按照政策要求及合同约定缴纳履约保证金。</w:t>
      </w:r>
    </w:p>
    <w:p w14:paraId="14EEAC73">
      <w:pPr>
        <w:pStyle w:val="397"/>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5.3合同履约。</w:t>
      </w:r>
    </w:p>
    <w:p w14:paraId="65CAFA6F">
      <w:pPr>
        <w:pStyle w:val="397"/>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5.4采购人组织验收。</w:t>
      </w:r>
    </w:p>
    <w:p w14:paraId="75913DCB">
      <w:pPr>
        <w:widowControl/>
        <w:adjustRightInd/>
        <w:jc w:val="left"/>
        <w:rPr>
          <w:rFonts w:hint="eastAsia" w:ascii="宋体" w:hAnsi="宋体" w:eastAsia="宋体" w:cs="宋体"/>
          <w:b/>
          <w:color w:val="auto"/>
          <w:sz w:val="24"/>
          <w:szCs w:val="20"/>
          <w:highlight w:val="none"/>
        </w:rPr>
      </w:pPr>
      <w:r>
        <w:rPr>
          <w:rFonts w:hint="eastAsia" w:ascii="宋体" w:hAnsi="宋体" w:eastAsia="宋体" w:cs="宋体"/>
          <w:b/>
          <w:color w:val="auto"/>
          <w:highlight w:val="none"/>
        </w:rPr>
        <w:br w:type="page"/>
      </w:r>
    </w:p>
    <w:p w14:paraId="16B26C91">
      <w:pPr>
        <w:pStyle w:val="397"/>
        <w:spacing w:before="0"/>
        <w:ind w:firstLine="0" w:firstLineChars="0"/>
        <w:rPr>
          <w:rFonts w:hint="eastAsia" w:ascii="宋体" w:hAnsi="宋体" w:eastAsia="宋体" w:cs="宋体"/>
          <w:b/>
          <w:color w:val="auto"/>
          <w:highlight w:val="none"/>
        </w:rPr>
      </w:pPr>
      <w:r>
        <w:rPr>
          <w:rFonts w:hint="eastAsia" w:ascii="宋体" w:hAnsi="宋体" w:eastAsia="宋体" w:cs="宋体"/>
          <w:b/>
          <w:color w:val="auto"/>
          <w:highlight w:val="none"/>
        </w:rPr>
        <w:t>6.竞争性磋商流程图</w:t>
      </w:r>
    </w:p>
    <w:p w14:paraId="15D1E830">
      <w:pPr>
        <w:pStyle w:val="397"/>
        <w:spacing w:before="0"/>
        <w:ind w:firstLine="0" w:firstLineChars="0"/>
        <w:rPr>
          <w:rFonts w:hint="eastAsia" w:ascii="宋体" w:hAnsi="宋体" w:eastAsia="宋体" w:cs="宋体"/>
          <w:b/>
          <w:color w:val="auto"/>
          <w:highlight w:val="none"/>
        </w:rPr>
      </w:pPr>
    </w:p>
    <w:p w14:paraId="0CEAC451">
      <w:pPr>
        <w:widowControl/>
        <w:adjustRightInd/>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4D56F323">
      <w:pPr>
        <w:widowControl/>
        <w:adjustRightInd/>
        <w:jc w:val="left"/>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mc:AlternateContent>
          <mc:Choice Requires="wps">
            <w:drawing>
              <wp:anchor distT="0" distB="0" distL="114300" distR="114300" simplePos="0" relativeHeight="251661312" behindDoc="0" locked="0" layoutInCell="1" allowOverlap="1">
                <wp:simplePos x="0" y="0"/>
                <wp:positionH relativeFrom="column">
                  <wp:posOffset>1665605</wp:posOffset>
                </wp:positionH>
                <wp:positionV relativeFrom="paragraph">
                  <wp:posOffset>5859145</wp:posOffset>
                </wp:positionV>
                <wp:extent cx="492125" cy="261620"/>
                <wp:effectExtent l="0" t="0" r="22225" b="24130"/>
                <wp:wrapNone/>
                <wp:docPr id="2" name="文本框 2"/>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B27160A">
                            <w:pPr>
                              <w:rPr>
                                <w:rFonts w:asciiTheme="minorEastAsia" w:hAnsiTheme="minorEastAsia" w:eastAsiaTheme="minorEastAsia"/>
                              </w:rPr>
                            </w:pPr>
                            <w:r>
                              <w:rPr>
                                <w:rFonts w:hint="eastAsia" w:asciiTheme="minorEastAsia" w:hAnsiTheme="minorEastAsia" w:eastAsiaTheme="minorEastAsia"/>
                              </w:rPr>
                              <w:t>验收</w:t>
                            </w:r>
                          </w:p>
                          <w:p w14:paraId="50D37E4F">
                            <w:pPr>
                              <w:rPr>
                                <w:rFonts w:ascii="仿宋_GB2312" w:eastAsia="仿宋_GB2312"/>
                              </w:rPr>
                            </w:pPr>
                            <w:r>
                              <w:rPr>
                                <w:rFonts w:hint="eastAsia" w:ascii="仿宋_GB2312" w:eastAsia="仿宋_GB2312"/>
                              </w:rPr>
                              <w:t>立项</w:t>
                            </w:r>
                          </w:p>
                          <w:p w14:paraId="59F6290C">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15pt;margin-top:461.35pt;height:20.6pt;width:38.75pt;z-index:251661312;mso-width-relative:page;mso-height-relative:page;" fillcolor="#DBEEF4 [664]" filled="t" stroked="t" coordsize="21600,21600" o:gfxdata="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I4xobDZAAAACwEAAA8AAAAAAAAAAQAg&#10;AAAAIgAAAGRycy9kb3ducmV2LnhtbFBLAQIUABQAAAAIAIdO4kAWe3M4fwIAAP0EAAAOAAAAAAAA&#10;AAEAIAAAACgBAABkcnMvZTJvRG9jLnhtbFBLBQYAAAAABgAGAFkBAAAZBgAAAAA=&#10;">
                <v:fill on="t" focussize="0,0"/>
                <v:stroke weight="0.5pt" color="#000000 [3204]" joinstyle="round"/>
                <v:imagedata o:title=""/>
                <o:lock v:ext="edit" aspectratio="f"/>
                <v:textbox>
                  <w:txbxContent>
                    <w:p w14:paraId="2B27160A">
                      <w:pPr>
                        <w:rPr>
                          <w:rFonts w:asciiTheme="minorEastAsia" w:hAnsiTheme="minorEastAsia" w:eastAsiaTheme="minorEastAsia"/>
                        </w:rPr>
                      </w:pPr>
                      <w:r>
                        <w:rPr>
                          <w:rFonts w:hint="eastAsia" w:asciiTheme="minorEastAsia" w:hAnsiTheme="minorEastAsia" w:eastAsiaTheme="minorEastAsia"/>
                        </w:rPr>
                        <w:t>验收</w:t>
                      </w:r>
                    </w:p>
                    <w:p w14:paraId="50D37E4F">
                      <w:pPr>
                        <w:rPr>
                          <w:rFonts w:ascii="仿宋_GB2312" w:eastAsia="仿宋_GB2312"/>
                        </w:rPr>
                      </w:pPr>
                      <w:r>
                        <w:rPr>
                          <w:rFonts w:hint="eastAsia" w:ascii="仿宋_GB2312" w:eastAsia="仿宋_GB2312"/>
                        </w:rPr>
                        <w:t>立项</w:t>
                      </w:r>
                    </w:p>
                    <w:p w14:paraId="59F6290C">
                      <w:pPr>
                        <w:rPr>
                          <w:rFonts w:ascii="仿宋_GB2312" w:eastAsia="仿宋_GB2312"/>
                        </w:rPr>
                      </w:pPr>
                    </w:p>
                  </w:txbxContent>
                </v:textbox>
              </v:shape>
            </w:pict>
          </mc:Fallback>
        </mc:AlternateContent>
      </w:r>
      <w:r>
        <w:rPr>
          <w:rFonts w:hint="eastAsia" w:ascii="宋体" w:hAnsi="宋体" w:eastAsia="宋体" w:cs="宋体"/>
          <w:b/>
          <w:color w:val="auto"/>
          <w:sz w:val="36"/>
          <w:szCs w:val="20"/>
          <w:highlight w:val="none"/>
        </w:rPr>
        <mc:AlternateContent>
          <mc:Choice Requires="wps">
            <w:drawing>
              <wp:anchor distT="0" distB="0" distL="114300" distR="114300" simplePos="0" relativeHeight="251681792" behindDoc="0" locked="0" layoutInCell="1" allowOverlap="1">
                <wp:simplePos x="0" y="0"/>
                <wp:positionH relativeFrom="column">
                  <wp:posOffset>1898650</wp:posOffset>
                </wp:positionH>
                <wp:positionV relativeFrom="paragraph">
                  <wp:posOffset>5595620</wp:posOffset>
                </wp:positionV>
                <wp:extent cx="0" cy="262255"/>
                <wp:effectExtent l="95250" t="0" r="57150" b="61595"/>
                <wp:wrapNone/>
                <wp:docPr id="3" name="直接箭头连接符 3"/>
                <wp:cNvGraphicFramePr/>
                <a:graphic xmlns:a="http://schemas.openxmlformats.org/drawingml/2006/main">
                  <a:graphicData uri="http://schemas.microsoft.com/office/word/2010/wordprocessingShape">
                    <wps:wsp>
                      <wps:cNvCnPr/>
                      <wps:spPr>
                        <a:xfrm>
                          <a:off x="0" y="0"/>
                          <a:ext cx="0" cy="26225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49.5pt;margin-top:440.6pt;height:20.65pt;width:0pt;z-index:251681792;mso-width-relative:page;mso-height-relative:page;" filled="f" stroked="t" coordsize="21600,21600" o:gfxdata="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lpzJv2gAAAAsBAAAPAAAA&#10;AAAAAAEAIAAAACIAAABkcnMvZG93bnJldi54bWxQSwECFAAUAAAACACHTuJAKkv3thMCAAD/AwAA&#10;DgAAAAAAAAABACAAAAApAQAAZHJzL2Uyb0RvYy54bWxQSwUGAAAAAAYABgBZAQAArgUAAAAA&#10;">
                <v:fill on="f" focussize="0,0"/>
                <v:stroke color="#4A7EBB [3204]" joinstyle="round" endarrow="open"/>
                <v:imagedata o:title=""/>
                <o:lock v:ext="edit" aspectratio="f"/>
              </v:shape>
            </w:pict>
          </mc:Fallback>
        </mc:AlternateContent>
      </w:r>
      <w:r>
        <w:rPr>
          <w:rFonts w:hint="eastAsia" w:ascii="宋体" w:hAnsi="宋体" w:eastAsia="宋体" w:cs="宋体"/>
          <w:b/>
          <w:color w:val="auto"/>
          <w:sz w:val="36"/>
          <w:szCs w:val="20"/>
          <w:highlight w:val="none"/>
        </w:rPr>
        <mc:AlternateContent>
          <mc:Choice Requires="wps">
            <w:drawing>
              <wp:anchor distT="0" distB="0" distL="114300" distR="114300" simplePos="0" relativeHeight="251662336" behindDoc="0" locked="0" layoutInCell="1" allowOverlap="1">
                <wp:simplePos x="0" y="0"/>
                <wp:positionH relativeFrom="column">
                  <wp:posOffset>1663700</wp:posOffset>
                </wp:positionH>
                <wp:positionV relativeFrom="paragraph">
                  <wp:posOffset>5332095</wp:posOffset>
                </wp:positionV>
                <wp:extent cx="492125" cy="261620"/>
                <wp:effectExtent l="0" t="0" r="22225" b="24130"/>
                <wp:wrapNone/>
                <wp:docPr id="9" name="文本框 9"/>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C4F752C">
                            <w:pPr>
                              <w:rPr>
                                <w:rFonts w:asciiTheme="minorEastAsia" w:hAnsiTheme="minorEastAsia" w:eastAsiaTheme="minorEastAsia"/>
                              </w:rPr>
                            </w:pPr>
                            <w:r>
                              <w:rPr>
                                <w:rFonts w:hint="eastAsia" w:asciiTheme="minorEastAsia" w:hAnsiTheme="minorEastAsia" w:eastAsiaTheme="minorEastAsia"/>
                              </w:rPr>
                              <w:t>履约</w:t>
                            </w:r>
                          </w:p>
                          <w:p w14:paraId="5096671D">
                            <w:pPr>
                              <w:rPr>
                                <w:rFonts w:ascii="仿宋_GB2312" w:eastAsia="仿宋_GB2312"/>
                              </w:rPr>
                            </w:pPr>
                            <w:r>
                              <w:rPr>
                                <w:rFonts w:hint="eastAsia" w:ascii="仿宋_GB2312" w:eastAsia="仿宋_GB2312"/>
                              </w:rPr>
                              <w:t>立项</w:t>
                            </w:r>
                          </w:p>
                          <w:p w14:paraId="4D7A7EBB">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pt;margin-top:419.85pt;height:20.6pt;width:38.75pt;z-index:251662336;mso-width-relative:page;mso-height-relative:page;" fillcolor="#DBEEF4 [664]" filled="t" stroked="t" coordsize="21600,21600" o:gfxdata="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Hzo8StsAAAALAQAADwAAAAAAAAAB&#10;ACAAAAAiAAAAZHJzL2Rvd25yZXYueG1sUEsBAhQAFAAAAAgAh07iQNGfTY9/AgAA/QQAAA4AAAAA&#10;AAAAAQAgAAAAKgEAAGRycy9lMm9Eb2MueG1sUEsFBgAAAAAGAAYAWQEAABsGAAAAAA==&#10;">
                <v:fill on="t" focussize="0,0"/>
                <v:stroke weight="0.5pt" color="#000000 [3204]" joinstyle="round"/>
                <v:imagedata o:title=""/>
                <o:lock v:ext="edit" aspectratio="f"/>
                <v:textbox>
                  <w:txbxContent>
                    <w:p w14:paraId="0C4F752C">
                      <w:pPr>
                        <w:rPr>
                          <w:rFonts w:asciiTheme="minorEastAsia" w:hAnsiTheme="minorEastAsia" w:eastAsiaTheme="minorEastAsia"/>
                        </w:rPr>
                      </w:pPr>
                      <w:r>
                        <w:rPr>
                          <w:rFonts w:hint="eastAsia" w:asciiTheme="minorEastAsia" w:hAnsiTheme="minorEastAsia" w:eastAsiaTheme="minorEastAsia"/>
                        </w:rPr>
                        <w:t>履约</w:t>
                      </w:r>
                    </w:p>
                    <w:p w14:paraId="5096671D">
                      <w:pPr>
                        <w:rPr>
                          <w:rFonts w:ascii="仿宋_GB2312" w:eastAsia="仿宋_GB2312"/>
                        </w:rPr>
                      </w:pPr>
                      <w:r>
                        <w:rPr>
                          <w:rFonts w:hint="eastAsia" w:ascii="仿宋_GB2312" w:eastAsia="仿宋_GB2312"/>
                        </w:rPr>
                        <w:t>立项</w:t>
                      </w:r>
                    </w:p>
                    <w:p w14:paraId="4D7A7EBB">
                      <w:pPr>
                        <w:rPr>
                          <w:rFonts w:ascii="仿宋_GB2312" w:eastAsia="仿宋_GB2312"/>
                        </w:rPr>
                      </w:pPr>
                    </w:p>
                  </w:txbxContent>
                </v:textbox>
              </v:shape>
            </w:pict>
          </mc:Fallback>
        </mc:AlternateContent>
      </w:r>
      <w:r>
        <w:rPr>
          <w:rFonts w:hint="eastAsia" w:ascii="宋体" w:hAnsi="宋体" w:eastAsia="宋体" w:cs="宋体"/>
          <w:b/>
          <w:color w:val="auto"/>
          <w:sz w:val="36"/>
          <w:szCs w:val="20"/>
          <w:highlight w:val="none"/>
        </w:rPr>
        <mc:AlternateContent>
          <mc:Choice Requires="wps">
            <w:drawing>
              <wp:anchor distT="0" distB="0" distL="114300" distR="114300" simplePos="0" relativeHeight="251678720" behindDoc="0" locked="0" layoutInCell="1" allowOverlap="1">
                <wp:simplePos x="0" y="0"/>
                <wp:positionH relativeFrom="column">
                  <wp:posOffset>1380490</wp:posOffset>
                </wp:positionH>
                <wp:positionV relativeFrom="paragraph">
                  <wp:posOffset>4802505</wp:posOffset>
                </wp:positionV>
                <wp:extent cx="1072515" cy="262255"/>
                <wp:effectExtent l="0" t="0" r="13335" b="23495"/>
                <wp:wrapNone/>
                <wp:docPr id="10" name="文本框 10"/>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2836A3F">
                            <w:pPr>
                              <w:jc w:val="center"/>
                              <w:rPr>
                                <w:rFonts w:asciiTheme="minorEastAsia" w:hAnsiTheme="minorEastAsia" w:eastAsiaTheme="minorEastAsia"/>
                              </w:rPr>
                            </w:pPr>
                            <w:r>
                              <w:rPr>
                                <w:rFonts w:hint="eastAsia" w:asciiTheme="minorEastAsia" w:hAnsiTheme="minorEastAsia" w:eastAsiaTheme="minorEastAsia"/>
                              </w:rPr>
                              <w:t>签订合同</w:t>
                            </w:r>
                          </w:p>
                          <w:p w14:paraId="1B68DC90">
                            <w:pPr>
                              <w:rPr>
                                <w:rFonts w:ascii="仿宋_GB2312" w:eastAsia="仿宋_GB2312"/>
                              </w:rPr>
                            </w:pPr>
                            <w:r>
                              <w:rPr>
                                <w:rFonts w:hint="eastAsia" w:ascii="仿宋_GB2312" w:eastAsia="仿宋_GB2312"/>
                              </w:rPr>
                              <w:t>立项</w:t>
                            </w:r>
                          </w:p>
                          <w:p w14:paraId="1B0B82B2">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7pt;margin-top:378.15pt;height:20.65pt;width:84.45pt;z-index:251678720;mso-width-relative:page;mso-height-relative:page;" fillcolor="#DBEEF4 [664]" filled="t" stroked="t" coordsize="21600,21600" o:gfxdata="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Bnurs+2QAAAAsBAAAPAAAAAAAAAAEAIAAA&#10;ACIAAABkcnMvZG93bnJldi54bWxQSwECFAAUAAAACACHTuJAH18gOn0CAAAABQAADgAAAAAAAAAB&#10;ACAAAAAoAQAAZHJzL2Uyb0RvYy54bWxQSwUGAAAAAAYABgBZAQAAFwYAAAAA&#10;">
                <v:fill on="t" focussize="0,0"/>
                <v:stroke weight="0.5pt" color="#000000 [3204]" joinstyle="round"/>
                <v:imagedata o:title=""/>
                <o:lock v:ext="edit" aspectratio="f"/>
                <v:textbox>
                  <w:txbxContent>
                    <w:p w14:paraId="62836A3F">
                      <w:pPr>
                        <w:jc w:val="center"/>
                        <w:rPr>
                          <w:rFonts w:asciiTheme="minorEastAsia" w:hAnsiTheme="minorEastAsia" w:eastAsiaTheme="minorEastAsia"/>
                        </w:rPr>
                      </w:pPr>
                      <w:r>
                        <w:rPr>
                          <w:rFonts w:hint="eastAsia" w:asciiTheme="minorEastAsia" w:hAnsiTheme="minorEastAsia" w:eastAsiaTheme="minorEastAsia"/>
                        </w:rPr>
                        <w:t>签订合同</w:t>
                      </w:r>
                    </w:p>
                    <w:p w14:paraId="1B68DC90">
                      <w:pPr>
                        <w:rPr>
                          <w:rFonts w:ascii="仿宋_GB2312" w:eastAsia="仿宋_GB2312"/>
                        </w:rPr>
                      </w:pPr>
                      <w:r>
                        <w:rPr>
                          <w:rFonts w:hint="eastAsia" w:ascii="仿宋_GB2312" w:eastAsia="仿宋_GB2312"/>
                        </w:rPr>
                        <w:t>立项</w:t>
                      </w:r>
                    </w:p>
                    <w:p w14:paraId="1B0B82B2">
                      <w:pPr>
                        <w:rPr>
                          <w:rFonts w:ascii="仿宋_GB2312" w:eastAsia="仿宋_GB2312"/>
                        </w:rPr>
                      </w:pPr>
                    </w:p>
                  </w:txbxContent>
                </v:textbox>
              </v:shape>
            </w:pict>
          </mc:Fallback>
        </mc:AlternateContent>
      </w:r>
      <w:r>
        <w:rPr>
          <w:rFonts w:hint="eastAsia" w:ascii="宋体" w:hAnsi="宋体" w:eastAsia="宋体" w:cs="宋体"/>
          <w:b/>
          <w:color w:val="auto"/>
          <w:sz w:val="36"/>
          <w:szCs w:val="20"/>
          <w:highlight w:val="none"/>
        </w:rPr>
        <mc:AlternateContent>
          <mc:Choice Requires="wps">
            <w:drawing>
              <wp:anchor distT="0" distB="0" distL="114300" distR="114300" simplePos="0" relativeHeight="251675648" behindDoc="0" locked="0" layoutInCell="1" allowOverlap="1">
                <wp:simplePos x="0" y="0"/>
                <wp:positionH relativeFrom="column">
                  <wp:posOffset>1159510</wp:posOffset>
                </wp:positionH>
                <wp:positionV relativeFrom="paragraph">
                  <wp:posOffset>4292600</wp:posOffset>
                </wp:positionV>
                <wp:extent cx="1581785" cy="261620"/>
                <wp:effectExtent l="0" t="0" r="18415" b="24130"/>
                <wp:wrapNone/>
                <wp:docPr id="11" name="文本框 11"/>
                <wp:cNvGraphicFramePr/>
                <a:graphic xmlns:a="http://schemas.openxmlformats.org/drawingml/2006/main">
                  <a:graphicData uri="http://schemas.microsoft.com/office/word/2010/wordprocessingShape">
                    <wps:wsp>
                      <wps:cNvSpPr txBox="1"/>
                      <wps:spPr>
                        <a:xfrm>
                          <a:off x="0" y="0"/>
                          <a:ext cx="158178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935E5EC">
                            <w:pPr>
                              <w:rPr>
                                <w:rFonts w:asciiTheme="minorEastAsia" w:hAnsiTheme="minorEastAsia" w:eastAsiaTheme="minorEastAsia"/>
                              </w:rPr>
                            </w:pPr>
                            <w:r>
                              <w:rPr>
                                <w:rFonts w:hint="eastAsia" w:asciiTheme="minorEastAsia" w:hAnsiTheme="minorEastAsia" w:eastAsiaTheme="minorEastAsia"/>
                              </w:rPr>
                              <w:t>成交公告；成交通知书</w:t>
                            </w:r>
                          </w:p>
                          <w:p w14:paraId="43E41758">
                            <w:pPr>
                              <w:rPr>
                                <w:rFonts w:ascii="仿宋_GB2312" w:eastAsia="仿宋_GB2312"/>
                              </w:rPr>
                            </w:pPr>
                            <w:r>
                              <w:rPr>
                                <w:rFonts w:hint="eastAsia" w:ascii="仿宋_GB2312" w:eastAsia="仿宋_GB2312"/>
                              </w:rPr>
                              <w:t>立项</w:t>
                            </w:r>
                          </w:p>
                          <w:p w14:paraId="5FA5BAAA">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1.3pt;margin-top:338pt;height:20.6pt;width:124.55pt;z-index:251675648;mso-width-relative:page;mso-height-relative:page;" fillcolor="#DBEEF4 [664]" filled="t" stroked="t" coordsize="21600,21600" o:gfxdata="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D+tG6T2AAAAAsBAAAPAAAAAAAAAAEAIAAA&#10;ACIAAABkcnMvZG93bnJldi54bWxQSwECFAAUAAAACACHTuJAHcvk534CAAAABQAADgAAAAAAAAAB&#10;ACAAAAAnAQAAZHJzL2Uyb0RvYy54bWxQSwUGAAAAAAYABgBZAQAAFwYAAAAA&#10;">
                <v:fill on="t" focussize="0,0"/>
                <v:stroke weight="0.5pt" color="#000000 [3204]" joinstyle="round"/>
                <v:imagedata o:title=""/>
                <o:lock v:ext="edit" aspectratio="f"/>
                <v:textbox>
                  <w:txbxContent>
                    <w:p w14:paraId="1935E5EC">
                      <w:pPr>
                        <w:rPr>
                          <w:rFonts w:asciiTheme="minorEastAsia" w:hAnsiTheme="minorEastAsia" w:eastAsiaTheme="minorEastAsia"/>
                        </w:rPr>
                      </w:pPr>
                      <w:r>
                        <w:rPr>
                          <w:rFonts w:hint="eastAsia" w:asciiTheme="minorEastAsia" w:hAnsiTheme="minorEastAsia" w:eastAsiaTheme="minorEastAsia"/>
                        </w:rPr>
                        <w:t>成交公告；成交通知书</w:t>
                      </w:r>
                    </w:p>
                    <w:p w14:paraId="43E41758">
                      <w:pPr>
                        <w:rPr>
                          <w:rFonts w:ascii="仿宋_GB2312" w:eastAsia="仿宋_GB2312"/>
                        </w:rPr>
                      </w:pPr>
                      <w:r>
                        <w:rPr>
                          <w:rFonts w:hint="eastAsia" w:ascii="仿宋_GB2312" w:eastAsia="仿宋_GB2312"/>
                        </w:rPr>
                        <w:t>立项</w:t>
                      </w:r>
                    </w:p>
                    <w:p w14:paraId="5FA5BAAA">
                      <w:pPr>
                        <w:rPr>
                          <w:rFonts w:ascii="仿宋_GB2312" w:eastAsia="仿宋_GB2312"/>
                        </w:rPr>
                      </w:pPr>
                    </w:p>
                  </w:txbxContent>
                </v:textbox>
              </v:shape>
            </w:pict>
          </mc:Fallback>
        </mc:AlternateContent>
      </w:r>
      <w:r>
        <w:rPr>
          <w:rFonts w:hint="eastAsia" w:ascii="宋体" w:hAnsi="宋体" w:eastAsia="宋体" w:cs="宋体"/>
          <w:b/>
          <w:color w:val="auto"/>
          <w:sz w:val="36"/>
          <w:szCs w:val="20"/>
          <w:highlight w:val="none"/>
        </w:rPr>
        <mc:AlternateContent>
          <mc:Choice Requires="wps">
            <w:drawing>
              <wp:anchor distT="0" distB="0" distL="114300" distR="114300" simplePos="0" relativeHeight="251676672" behindDoc="0" locked="0" layoutInCell="1" allowOverlap="1">
                <wp:simplePos x="0" y="0"/>
                <wp:positionH relativeFrom="column">
                  <wp:posOffset>1383665</wp:posOffset>
                </wp:positionH>
                <wp:positionV relativeFrom="paragraph">
                  <wp:posOffset>3750310</wp:posOffset>
                </wp:positionV>
                <wp:extent cx="1072515" cy="262255"/>
                <wp:effectExtent l="0" t="0" r="13335" b="23495"/>
                <wp:wrapNone/>
                <wp:docPr id="12" name="文本框 12"/>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2A78E85">
                            <w:pPr>
                              <w:ind w:firstLine="105" w:firstLineChars="50"/>
                              <w:rPr>
                                <w:rFonts w:asciiTheme="minorEastAsia" w:hAnsiTheme="minorEastAsia" w:eastAsiaTheme="minorEastAsia"/>
                              </w:rPr>
                            </w:pPr>
                            <w:r>
                              <w:rPr>
                                <w:rFonts w:hint="eastAsia" w:asciiTheme="minorEastAsia" w:hAnsiTheme="minorEastAsia" w:eastAsiaTheme="minorEastAsia"/>
                              </w:rPr>
                              <w:t>编写评审报告</w:t>
                            </w:r>
                          </w:p>
                          <w:p w14:paraId="0F10A2E5">
                            <w:pPr>
                              <w:rPr>
                                <w:rFonts w:ascii="仿宋_GB2312" w:eastAsia="仿宋_GB2312"/>
                              </w:rPr>
                            </w:pPr>
                            <w:r>
                              <w:rPr>
                                <w:rFonts w:hint="eastAsia" w:ascii="仿宋_GB2312" w:eastAsia="仿宋_GB2312"/>
                              </w:rPr>
                              <w:t>立项</w:t>
                            </w:r>
                          </w:p>
                          <w:p w14:paraId="02B89DA5">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5pt;margin-top:295.3pt;height:20.65pt;width:84.45pt;z-index:251676672;mso-width-relative:page;mso-height-relative:page;" fillcolor="#DBEEF4 [664]" filled="t" stroked="t" coordsize="21600,21600" o:gfxdata="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DMNXTvaAAAACwEAAA8AAAAAAAAAAQAg&#10;AAAAIgAAAGRycy9kb3ducmV2LnhtbFBLAQIUABQAAAAIAIdO4kB1NyxVfgIAAAAFAAAOAAAAAAAA&#10;AAEAIAAAACkBAABkcnMvZTJvRG9jLnhtbFBLBQYAAAAABgAGAFkBAAAZBgAAAAA=&#10;">
                <v:fill on="t" focussize="0,0"/>
                <v:stroke weight="0.5pt" color="#000000 [3204]" joinstyle="round"/>
                <v:imagedata o:title=""/>
                <o:lock v:ext="edit" aspectratio="f"/>
                <v:textbox>
                  <w:txbxContent>
                    <w:p w14:paraId="62A78E85">
                      <w:pPr>
                        <w:ind w:firstLine="105" w:firstLineChars="50"/>
                        <w:rPr>
                          <w:rFonts w:asciiTheme="minorEastAsia" w:hAnsiTheme="minorEastAsia" w:eastAsiaTheme="minorEastAsia"/>
                        </w:rPr>
                      </w:pPr>
                      <w:r>
                        <w:rPr>
                          <w:rFonts w:hint="eastAsia" w:asciiTheme="minorEastAsia" w:hAnsiTheme="minorEastAsia" w:eastAsiaTheme="minorEastAsia"/>
                        </w:rPr>
                        <w:t>编写评审报告</w:t>
                      </w:r>
                    </w:p>
                    <w:p w14:paraId="0F10A2E5">
                      <w:pPr>
                        <w:rPr>
                          <w:rFonts w:ascii="仿宋_GB2312" w:eastAsia="仿宋_GB2312"/>
                        </w:rPr>
                      </w:pPr>
                      <w:r>
                        <w:rPr>
                          <w:rFonts w:hint="eastAsia" w:ascii="仿宋_GB2312" w:eastAsia="仿宋_GB2312"/>
                        </w:rPr>
                        <w:t>立项</w:t>
                      </w:r>
                    </w:p>
                    <w:p w14:paraId="02B89DA5">
                      <w:pPr>
                        <w:rPr>
                          <w:rFonts w:ascii="仿宋_GB2312" w:eastAsia="仿宋_GB2312"/>
                        </w:rPr>
                      </w:pPr>
                    </w:p>
                  </w:txbxContent>
                </v:textbox>
              </v:shape>
            </w:pict>
          </mc:Fallback>
        </mc:AlternateContent>
      </w:r>
      <w:r>
        <w:rPr>
          <w:rFonts w:hint="eastAsia" w:ascii="宋体" w:hAnsi="宋体" w:eastAsia="宋体" w:cs="宋体"/>
          <w:b/>
          <w:color w:val="auto"/>
          <w:sz w:val="36"/>
          <w:szCs w:val="20"/>
          <w:highlight w:val="none"/>
        </w:rPr>
        <mc:AlternateContent>
          <mc:Choice Requires="wps">
            <w:drawing>
              <wp:anchor distT="0" distB="0" distL="114300" distR="114300" simplePos="0" relativeHeight="251663360" behindDoc="0" locked="0" layoutInCell="1" allowOverlap="1">
                <wp:simplePos x="0" y="0"/>
                <wp:positionH relativeFrom="column">
                  <wp:posOffset>1398905</wp:posOffset>
                </wp:positionH>
                <wp:positionV relativeFrom="paragraph">
                  <wp:posOffset>3225800</wp:posOffset>
                </wp:positionV>
                <wp:extent cx="1073150" cy="262255"/>
                <wp:effectExtent l="0" t="0" r="12700" b="23495"/>
                <wp:wrapNone/>
                <wp:docPr id="13" name="文本框 13"/>
                <wp:cNvGraphicFramePr/>
                <a:graphic xmlns:a="http://schemas.openxmlformats.org/drawingml/2006/main">
                  <a:graphicData uri="http://schemas.microsoft.com/office/word/2010/wordprocessingShape">
                    <wps:wsp>
                      <wps:cNvSpPr txBox="1"/>
                      <wps:spPr>
                        <a:xfrm>
                          <a:off x="0" y="0"/>
                          <a:ext cx="107315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963C0A7">
                            <w:pPr>
                              <w:jc w:val="center"/>
                              <w:rPr>
                                <w:rFonts w:asciiTheme="minorEastAsia" w:hAnsiTheme="minorEastAsia" w:eastAsiaTheme="minorEastAsia"/>
                              </w:rPr>
                            </w:pPr>
                            <w:r>
                              <w:rPr>
                                <w:rFonts w:hint="eastAsia" w:asciiTheme="minorEastAsia" w:hAnsiTheme="minorEastAsia" w:eastAsiaTheme="minorEastAsia"/>
                              </w:rPr>
                              <w:t>评审打分</w:t>
                            </w:r>
                          </w:p>
                          <w:p w14:paraId="31EECFB8">
                            <w:pPr>
                              <w:rPr>
                                <w:rFonts w:ascii="仿宋_GB2312" w:eastAsia="仿宋_GB2312"/>
                              </w:rPr>
                            </w:pPr>
                            <w:r>
                              <w:rPr>
                                <w:rFonts w:hint="eastAsia" w:ascii="仿宋_GB2312" w:eastAsia="仿宋_GB2312"/>
                              </w:rPr>
                              <w:t>立项</w:t>
                            </w:r>
                          </w:p>
                          <w:p w14:paraId="7D7785A4">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15pt;margin-top:254pt;height:20.65pt;width:84.5pt;z-index:251663360;mso-width-relative:page;mso-height-relative:page;" fillcolor="#DBEEF4 [664]" filled="t" stroked="t" coordsize="21600,21600" o:gfxdata="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a/THuNkAAAALAQAADwAAAAAAAAABACAAAAAi&#10;AAAAZHJzL2Rvd25yZXYueG1sUEsBAhQAFAAAAAgAh07iQERa8L57AgAAAAUAAA4AAAAAAAAAAQAg&#10;AAAAKAEAAGRycy9lMm9Eb2MueG1sUEsFBgAAAAAGAAYAWQEAABUGAAAAAA==&#10;">
                <v:fill on="t" focussize="0,0"/>
                <v:stroke weight="0.5pt" color="#000000 [3204]" joinstyle="round"/>
                <v:imagedata o:title=""/>
                <o:lock v:ext="edit" aspectratio="f"/>
                <v:textbox>
                  <w:txbxContent>
                    <w:p w14:paraId="6963C0A7">
                      <w:pPr>
                        <w:jc w:val="center"/>
                        <w:rPr>
                          <w:rFonts w:asciiTheme="minorEastAsia" w:hAnsiTheme="minorEastAsia" w:eastAsiaTheme="minorEastAsia"/>
                        </w:rPr>
                      </w:pPr>
                      <w:r>
                        <w:rPr>
                          <w:rFonts w:hint="eastAsia" w:asciiTheme="minorEastAsia" w:hAnsiTheme="minorEastAsia" w:eastAsiaTheme="minorEastAsia"/>
                        </w:rPr>
                        <w:t>评审打分</w:t>
                      </w:r>
                    </w:p>
                    <w:p w14:paraId="31EECFB8">
                      <w:pPr>
                        <w:rPr>
                          <w:rFonts w:ascii="仿宋_GB2312" w:eastAsia="仿宋_GB2312"/>
                        </w:rPr>
                      </w:pPr>
                      <w:r>
                        <w:rPr>
                          <w:rFonts w:hint="eastAsia" w:ascii="仿宋_GB2312" w:eastAsia="仿宋_GB2312"/>
                        </w:rPr>
                        <w:t>立项</w:t>
                      </w:r>
                    </w:p>
                    <w:p w14:paraId="7D7785A4">
                      <w:pPr>
                        <w:rPr>
                          <w:rFonts w:ascii="仿宋_GB2312" w:eastAsia="仿宋_GB2312"/>
                        </w:rPr>
                      </w:pPr>
                    </w:p>
                  </w:txbxContent>
                </v:textbox>
              </v:shape>
            </w:pict>
          </mc:Fallback>
        </mc:AlternateContent>
      </w:r>
      <w:r>
        <w:rPr>
          <w:rFonts w:hint="eastAsia" w:ascii="宋体" w:hAnsi="宋体" w:eastAsia="宋体" w:cs="宋体"/>
          <w:b/>
          <w:color w:val="auto"/>
          <w:sz w:val="36"/>
          <w:szCs w:val="20"/>
          <w:highlight w:val="none"/>
        </w:rPr>
        <mc:AlternateContent>
          <mc:Choice Requires="wps">
            <w:drawing>
              <wp:anchor distT="0" distB="0" distL="114300" distR="114300" simplePos="0" relativeHeight="251672576" behindDoc="0" locked="0" layoutInCell="1" allowOverlap="1">
                <wp:simplePos x="0" y="0"/>
                <wp:positionH relativeFrom="column">
                  <wp:posOffset>1247140</wp:posOffset>
                </wp:positionH>
                <wp:positionV relativeFrom="paragraph">
                  <wp:posOffset>2703830</wp:posOffset>
                </wp:positionV>
                <wp:extent cx="1453515" cy="261620"/>
                <wp:effectExtent l="0" t="0" r="13335" b="24130"/>
                <wp:wrapNone/>
                <wp:docPr id="14" name="文本框 14"/>
                <wp:cNvGraphicFramePr/>
                <a:graphic xmlns:a="http://schemas.openxmlformats.org/drawingml/2006/main">
                  <a:graphicData uri="http://schemas.microsoft.com/office/word/2010/wordprocessingShape">
                    <wps:wsp>
                      <wps:cNvSpPr txBox="1"/>
                      <wps:spPr>
                        <a:xfrm>
                          <a:off x="0" y="0"/>
                          <a:ext cx="145351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579DABB">
                            <w:pPr>
                              <w:jc w:val="center"/>
                              <w:rPr>
                                <w:rFonts w:asciiTheme="minorEastAsia" w:hAnsiTheme="minorEastAsia" w:eastAsiaTheme="minorEastAsia"/>
                              </w:rPr>
                            </w:pPr>
                            <w:r>
                              <w:rPr>
                                <w:rFonts w:hint="eastAsia" w:asciiTheme="minorEastAsia" w:hAnsiTheme="minorEastAsia" w:eastAsiaTheme="minorEastAsia"/>
                              </w:rPr>
                              <w:t>供应商提交最后报价</w:t>
                            </w:r>
                          </w:p>
                          <w:p w14:paraId="26CE17F3">
                            <w:pPr>
                              <w:rPr>
                                <w:rFonts w:ascii="仿宋_GB2312" w:eastAsia="仿宋_GB2312"/>
                              </w:rPr>
                            </w:pPr>
                            <w:r>
                              <w:rPr>
                                <w:rFonts w:hint="eastAsia" w:ascii="仿宋_GB2312" w:eastAsia="仿宋_GB2312"/>
                              </w:rPr>
                              <w:t>立项</w:t>
                            </w:r>
                          </w:p>
                          <w:p w14:paraId="49B51D73">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8.2pt;margin-top:212.9pt;height:20.6pt;width:114.45pt;z-index:251672576;mso-width-relative:page;mso-height-relative:page;" fillcolor="#DBEEF4 [664]" filled="t" stroked="t" coordsize="21600,21600" o:gfxdata="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D7BB3dgAAAALAQAADwAAAAAAAAABACAA&#10;AAAiAAAAZHJzL2Rvd25yZXYueG1sUEsBAhQAFAAAAAgAh07iQNnk1bJ/AgAAAAUAAA4AAAAAAAAA&#10;AQAgAAAAJwEAAGRycy9lMm9Eb2MueG1sUEsFBgAAAAAGAAYAWQEAABgGAAAAAA==&#10;">
                <v:fill on="t" focussize="0,0"/>
                <v:stroke weight="0.5pt" color="#000000 [3204]" joinstyle="round"/>
                <v:imagedata o:title=""/>
                <o:lock v:ext="edit" aspectratio="f"/>
                <v:textbox>
                  <w:txbxContent>
                    <w:p w14:paraId="7579DABB">
                      <w:pPr>
                        <w:jc w:val="center"/>
                        <w:rPr>
                          <w:rFonts w:asciiTheme="minorEastAsia" w:hAnsiTheme="minorEastAsia" w:eastAsiaTheme="minorEastAsia"/>
                        </w:rPr>
                      </w:pPr>
                      <w:r>
                        <w:rPr>
                          <w:rFonts w:hint="eastAsia" w:asciiTheme="minorEastAsia" w:hAnsiTheme="minorEastAsia" w:eastAsiaTheme="minorEastAsia"/>
                        </w:rPr>
                        <w:t>供应商提交最后报价</w:t>
                      </w:r>
                    </w:p>
                    <w:p w14:paraId="26CE17F3">
                      <w:pPr>
                        <w:rPr>
                          <w:rFonts w:ascii="仿宋_GB2312" w:eastAsia="仿宋_GB2312"/>
                        </w:rPr>
                      </w:pPr>
                      <w:r>
                        <w:rPr>
                          <w:rFonts w:hint="eastAsia" w:ascii="仿宋_GB2312" w:eastAsia="仿宋_GB2312"/>
                        </w:rPr>
                        <w:t>立项</w:t>
                      </w:r>
                    </w:p>
                    <w:p w14:paraId="49B51D73">
                      <w:pPr>
                        <w:rPr>
                          <w:rFonts w:ascii="仿宋_GB2312" w:eastAsia="仿宋_GB2312"/>
                        </w:rPr>
                      </w:pPr>
                    </w:p>
                  </w:txbxContent>
                </v:textbox>
              </v:shape>
            </w:pict>
          </mc:Fallback>
        </mc:AlternateContent>
      </w:r>
      <w:r>
        <w:rPr>
          <w:rFonts w:hint="eastAsia" w:ascii="宋体" w:hAnsi="宋体" w:eastAsia="宋体" w:cs="宋体"/>
          <w:b/>
          <w:color w:val="auto"/>
          <w:sz w:val="36"/>
          <w:szCs w:val="20"/>
          <w:highlight w:val="none"/>
        </w:rPr>
        <mc:AlternateContent>
          <mc:Choice Requires="wps">
            <w:drawing>
              <wp:anchor distT="0" distB="0" distL="114300" distR="114300" simplePos="0" relativeHeight="251671552" behindDoc="0" locked="0" layoutInCell="1" allowOverlap="1">
                <wp:simplePos x="0" y="0"/>
                <wp:positionH relativeFrom="column">
                  <wp:posOffset>1383030</wp:posOffset>
                </wp:positionH>
                <wp:positionV relativeFrom="paragraph">
                  <wp:posOffset>2178685</wp:posOffset>
                </wp:positionV>
                <wp:extent cx="1089025" cy="262255"/>
                <wp:effectExtent l="0" t="0" r="15875" b="23495"/>
                <wp:wrapNone/>
                <wp:docPr id="15" name="文本框 15"/>
                <wp:cNvGraphicFramePr/>
                <a:graphic xmlns:a="http://schemas.openxmlformats.org/drawingml/2006/main">
                  <a:graphicData uri="http://schemas.microsoft.com/office/word/2010/wordprocessingShape">
                    <wps:wsp>
                      <wps:cNvSpPr txBox="1"/>
                      <wps:spPr>
                        <a:xfrm>
                          <a:off x="0" y="0"/>
                          <a:ext cx="108902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E66A385">
                            <w:pPr>
                              <w:jc w:val="center"/>
                              <w:rPr>
                                <w:rFonts w:asciiTheme="minorEastAsia" w:hAnsiTheme="minorEastAsia" w:eastAsiaTheme="minorEastAsia"/>
                              </w:rPr>
                            </w:pPr>
                            <w:r>
                              <w:rPr>
                                <w:rFonts w:hint="eastAsia" w:asciiTheme="minorEastAsia" w:hAnsiTheme="minorEastAsia" w:eastAsiaTheme="minorEastAsia"/>
                              </w:rPr>
                              <w:t>磋商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pt;margin-top:171.55pt;height:20.65pt;width:85.75pt;z-index:251671552;mso-width-relative:page;mso-height-relative:page;" fillcolor="#DBEEF4 [664]" filled="t" stroked="t" coordsize="21600,21600" o:gfxdata="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avU/hNkAAAALAQAADwAAAAAAAAABACAA&#10;AAAiAAAAZHJzL2Rvd25yZXYueG1sUEsBAhQAFAAAAAgAh07iQAHru3p+AgAAAAUAAA4AAAAAAAAA&#10;AQAgAAAAKAEAAGRycy9lMm9Eb2MueG1sUEsFBgAAAAAGAAYAWQEAABgGAAAAAA==&#10;">
                <v:fill on="t" focussize="0,0"/>
                <v:stroke weight="0.5pt" color="#000000 [3204]" joinstyle="round"/>
                <v:imagedata o:title=""/>
                <o:lock v:ext="edit" aspectratio="f"/>
                <v:textbox>
                  <w:txbxContent>
                    <w:p w14:paraId="3E66A385">
                      <w:pPr>
                        <w:jc w:val="center"/>
                        <w:rPr>
                          <w:rFonts w:asciiTheme="minorEastAsia" w:hAnsiTheme="minorEastAsia" w:eastAsiaTheme="minorEastAsia"/>
                        </w:rPr>
                      </w:pPr>
                      <w:r>
                        <w:rPr>
                          <w:rFonts w:hint="eastAsia" w:asciiTheme="minorEastAsia" w:hAnsiTheme="minorEastAsia" w:eastAsiaTheme="minorEastAsia"/>
                        </w:rPr>
                        <w:t>磋商</w:t>
                      </w:r>
                    </w:p>
                  </w:txbxContent>
                </v:textbox>
              </v:shape>
            </w:pict>
          </mc:Fallback>
        </mc:AlternateContent>
      </w:r>
      <w:r>
        <w:rPr>
          <w:rFonts w:hint="eastAsia" w:ascii="宋体" w:hAnsi="宋体" w:eastAsia="宋体" w:cs="宋体"/>
          <w:b/>
          <w:color w:val="auto"/>
          <w:sz w:val="36"/>
          <w:szCs w:val="20"/>
          <w:highlight w:val="none"/>
        </w:rPr>
        <mc:AlternateContent>
          <mc:Choice Requires="wps">
            <w:drawing>
              <wp:anchor distT="0" distB="0" distL="114300" distR="114300" simplePos="0" relativeHeight="251680768" behindDoc="0" locked="0" layoutInCell="1" allowOverlap="1">
                <wp:simplePos x="0" y="0"/>
                <wp:positionH relativeFrom="column">
                  <wp:posOffset>1395095</wp:posOffset>
                </wp:positionH>
                <wp:positionV relativeFrom="paragraph">
                  <wp:posOffset>1667510</wp:posOffset>
                </wp:positionV>
                <wp:extent cx="1088390" cy="262255"/>
                <wp:effectExtent l="0" t="0" r="16510" b="23495"/>
                <wp:wrapNone/>
                <wp:docPr id="16" name="文本框 16"/>
                <wp:cNvGraphicFramePr/>
                <a:graphic xmlns:a="http://schemas.openxmlformats.org/drawingml/2006/main">
                  <a:graphicData uri="http://schemas.microsoft.com/office/word/2010/wordprocessingShape">
                    <wps:wsp>
                      <wps:cNvSpPr txBox="1"/>
                      <wps:spPr>
                        <a:xfrm>
                          <a:off x="0" y="0"/>
                          <a:ext cx="108839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6688654">
                            <w:pPr>
                              <w:jc w:val="center"/>
                              <w:rPr>
                                <w:rFonts w:asciiTheme="minorEastAsia" w:hAnsiTheme="minorEastAsia" w:eastAsiaTheme="minorEastAsia"/>
                              </w:rPr>
                            </w:pPr>
                            <w:r>
                              <w:rPr>
                                <w:rFonts w:hint="eastAsia" w:asciiTheme="minorEastAsia" w:hAnsiTheme="minorEastAsia" w:eastAsiaTheme="minorEastAsia"/>
                              </w:rPr>
                              <w:t>资格审查</w:t>
                            </w:r>
                          </w:p>
                          <w:p w14:paraId="6E44A28D">
                            <w:pPr>
                              <w:jc w:val="center"/>
                              <w:rPr>
                                <w:rFonts w:ascii="仿宋_GB2312" w:eastAsia="仿宋_GB2312"/>
                              </w:rPr>
                            </w:pPr>
                          </w:p>
                          <w:p w14:paraId="53D2CB3D">
                            <w:pPr>
                              <w:rPr>
                                <w:rFonts w:ascii="仿宋_GB2312" w:eastAsia="仿宋_GB2312"/>
                              </w:rPr>
                            </w:pPr>
                            <w:r>
                              <w:rPr>
                                <w:rFonts w:hint="eastAsia" w:ascii="仿宋_GB2312" w:eastAsia="仿宋_GB2312"/>
                              </w:rPr>
                              <w:t>立项</w:t>
                            </w:r>
                          </w:p>
                          <w:p w14:paraId="1630B75B">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9.85pt;margin-top:131.3pt;height:20.65pt;width:85.7pt;z-index:251680768;mso-width-relative:page;mso-height-relative:page;" fillcolor="#DBEEF4 [664]" filled="t" stroked="t" coordsize="21600,21600" o:gfxdata="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H3l30NkAAAALAQAADwAAAAAAAAABACAA&#10;AAAiAAAAZHJzL2Rvd25yZXYueG1sUEsBAhQAFAAAAAgAh07iQIa9T/5+AgAAAAUAAA4AAAAAAAAA&#10;AQAgAAAAKAEAAGRycy9lMm9Eb2MueG1sUEsFBgAAAAAGAAYAWQEAABgGAAAAAA==&#10;">
                <v:fill on="t" focussize="0,0"/>
                <v:stroke weight="0.5pt" color="#000000 [3204]" joinstyle="round"/>
                <v:imagedata o:title=""/>
                <o:lock v:ext="edit" aspectratio="f"/>
                <v:textbox>
                  <w:txbxContent>
                    <w:p w14:paraId="56688654">
                      <w:pPr>
                        <w:jc w:val="center"/>
                        <w:rPr>
                          <w:rFonts w:asciiTheme="minorEastAsia" w:hAnsiTheme="minorEastAsia" w:eastAsiaTheme="minorEastAsia"/>
                        </w:rPr>
                      </w:pPr>
                      <w:r>
                        <w:rPr>
                          <w:rFonts w:hint="eastAsia" w:asciiTheme="minorEastAsia" w:hAnsiTheme="minorEastAsia" w:eastAsiaTheme="minorEastAsia"/>
                        </w:rPr>
                        <w:t>资格审查</w:t>
                      </w:r>
                    </w:p>
                    <w:p w14:paraId="6E44A28D">
                      <w:pPr>
                        <w:jc w:val="center"/>
                        <w:rPr>
                          <w:rFonts w:ascii="仿宋_GB2312" w:eastAsia="仿宋_GB2312"/>
                        </w:rPr>
                      </w:pPr>
                    </w:p>
                    <w:p w14:paraId="53D2CB3D">
                      <w:pPr>
                        <w:rPr>
                          <w:rFonts w:ascii="仿宋_GB2312" w:eastAsia="仿宋_GB2312"/>
                        </w:rPr>
                      </w:pPr>
                      <w:r>
                        <w:rPr>
                          <w:rFonts w:hint="eastAsia" w:ascii="仿宋_GB2312" w:eastAsia="仿宋_GB2312"/>
                        </w:rPr>
                        <w:t>立项</w:t>
                      </w:r>
                    </w:p>
                    <w:p w14:paraId="1630B75B">
                      <w:pPr>
                        <w:rPr>
                          <w:rFonts w:ascii="仿宋_GB2312" w:eastAsia="仿宋_GB2312"/>
                        </w:rPr>
                      </w:pPr>
                    </w:p>
                  </w:txbxContent>
                </v:textbox>
              </v:shape>
            </w:pict>
          </mc:Fallback>
        </mc:AlternateContent>
      </w:r>
      <w:r>
        <w:rPr>
          <w:rFonts w:hint="eastAsia" w:ascii="宋体" w:hAnsi="宋体" w:eastAsia="宋体" w:cs="宋体"/>
          <w:color w:val="auto"/>
          <w:sz w:val="24"/>
          <w:highlight w:val="none"/>
        </w:rPr>
        <mc:AlternateContent>
          <mc:Choice Requires="wps">
            <w:drawing>
              <wp:anchor distT="0" distB="0" distL="114300" distR="114300" simplePos="0" relativeHeight="251679744" behindDoc="0" locked="0" layoutInCell="1" allowOverlap="1">
                <wp:simplePos x="0" y="0"/>
                <wp:positionH relativeFrom="column">
                  <wp:posOffset>1906270</wp:posOffset>
                </wp:positionH>
                <wp:positionV relativeFrom="paragraph">
                  <wp:posOffset>5068570</wp:posOffset>
                </wp:positionV>
                <wp:extent cx="0" cy="261620"/>
                <wp:effectExtent l="95250" t="0" r="57150" b="62230"/>
                <wp:wrapNone/>
                <wp:docPr id="17" name="直接箭头连接符 17"/>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399.1pt;height:20.6pt;width:0pt;z-index:251679744;mso-width-relative:page;mso-height-relative:page;" filled="f" stroked="t" coordsize="21600,21600" o:gfxdata="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NHujd2gAAAAsBAAAP&#10;AAAAAAAAAAEAIAAAACIAAABkcnMvZG93bnJldi54bWxQSwECFAAUAAAACACHTuJAfOofuBYCAAAB&#10;BAAADgAAAAAAAAABACAAAAApAQAAZHJzL2Uyb0RvYy54bWxQSwUGAAAAAAYABgBZAQAAsQUAAAAA&#10;">
                <v:fill on="f" focussize="0,0"/>
                <v:stroke color="#4A7EBB [3204]" joinstyle="round" endarrow="open"/>
                <v:imagedata o:title=""/>
                <o:lock v:ext="edit" aspectratio="f"/>
              </v:shape>
            </w:pict>
          </mc:Fallback>
        </mc:AlternateContent>
      </w:r>
      <w:r>
        <w:rPr>
          <w:rFonts w:hint="eastAsia" w:ascii="宋体" w:hAnsi="宋体" w:eastAsia="宋体" w:cs="宋体"/>
          <w:color w:val="auto"/>
          <w:sz w:val="24"/>
          <w:highlight w:val="none"/>
        </w:rPr>
        <mc:AlternateContent>
          <mc:Choice Requires="wps">
            <w:drawing>
              <wp:anchor distT="0" distB="0" distL="114300" distR="114300" simplePos="0" relativeHeight="251660288" behindDoc="0" locked="0" layoutInCell="1" allowOverlap="1">
                <wp:simplePos x="0" y="0"/>
                <wp:positionH relativeFrom="column">
                  <wp:posOffset>1905000</wp:posOffset>
                </wp:positionH>
                <wp:positionV relativeFrom="paragraph">
                  <wp:posOffset>4542155</wp:posOffset>
                </wp:positionV>
                <wp:extent cx="0" cy="261620"/>
                <wp:effectExtent l="95250" t="0" r="57150" b="62230"/>
                <wp:wrapNone/>
                <wp:docPr id="19" name="直接箭头连接符 19"/>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pt;margin-top:357.65pt;height:20.6pt;width:0pt;z-index:251660288;mso-width-relative:page;mso-height-relative:page;" filled="f" stroked="t" coordsize="21600,21600" o:gfxdata="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IWEuFjZAAAACwEAAA8A&#10;AAAAAAAAAQAgAAAAIgAAAGRycy9kb3ducmV2LnhtbFBLAQIUABQAAAAIAIdO4kCE52acFgIAAAEE&#10;AAAOAAAAAAAAAAEAIAAAACgBAABkcnMvZTJvRG9jLnhtbFBLBQYAAAAABgAGAFkBAACwBQAAAAA=&#10;">
                <v:fill on="f" focussize="0,0"/>
                <v:stroke color="#4A7EBB [3204]" joinstyle="round" endarrow="open"/>
                <v:imagedata o:title=""/>
                <o:lock v:ext="edit" aspectratio="f"/>
              </v:shape>
            </w:pict>
          </mc:Fallback>
        </mc:AlternateContent>
      </w:r>
      <w:r>
        <w:rPr>
          <w:rFonts w:hint="eastAsia" w:ascii="宋体" w:hAnsi="宋体" w:eastAsia="宋体" w:cs="宋体"/>
          <w:b/>
          <w:color w:val="auto"/>
          <w:sz w:val="36"/>
          <w:szCs w:val="20"/>
          <w:highlight w:val="none"/>
        </w:rPr>
        <mc:AlternateContent>
          <mc:Choice Requires="wps">
            <w:drawing>
              <wp:anchor distT="0" distB="0" distL="114300" distR="114300" simplePos="0" relativeHeight="251659264" behindDoc="0" locked="0" layoutInCell="1" allowOverlap="1">
                <wp:simplePos x="0" y="0"/>
                <wp:positionH relativeFrom="column">
                  <wp:posOffset>1405255</wp:posOffset>
                </wp:positionH>
                <wp:positionV relativeFrom="paragraph">
                  <wp:posOffset>84455</wp:posOffset>
                </wp:positionV>
                <wp:extent cx="1089025" cy="262255"/>
                <wp:effectExtent l="0" t="0" r="15875" b="23495"/>
                <wp:wrapNone/>
                <wp:docPr id="21" name="文本框 21"/>
                <wp:cNvGraphicFramePr/>
                <a:graphic xmlns:a="http://schemas.openxmlformats.org/drawingml/2006/main">
                  <a:graphicData uri="http://schemas.microsoft.com/office/word/2010/wordprocessingShape">
                    <wps:wsp>
                      <wps:cNvSpPr txBox="1"/>
                      <wps:spPr>
                        <a:xfrm>
                          <a:off x="0" y="0"/>
                          <a:ext cx="1089271"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A3D9044">
                            <w:pPr>
                              <w:jc w:val="center"/>
                              <w:rPr>
                                <w:rFonts w:asciiTheme="minorEastAsia" w:hAnsiTheme="minorEastAsia" w:eastAsiaTheme="minorEastAsia"/>
                              </w:rPr>
                            </w:pPr>
                            <w:r>
                              <w:rPr>
                                <w:rFonts w:hint="eastAsia" w:asciiTheme="minorEastAsia" w:hAnsiTheme="minorEastAsia" w:eastAsiaTheme="minorEastAsia"/>
                              </w:rPr>
                              <w:t>编制磋商文件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6.65pt;height:20.65pt;width:85.75pt;z-index:251659264;mso-width-relative:page;mso-height-relative:page;" fillcolor="#DBEEF4 [664]" filled="t" stroked="t" coordsize="21600,21600" o:gfxdata="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Go9qSnXAAAACQEAAA8AAAAAAAAAAQAgAAAA&#10;IgAAAGRycy9kb3ducmV2LnhtbFBLAQIUABQAAAAIAIdO4kASw+0yfgIAAAAFAAAOAAAAAAAAAAEA&#10;IAAAACYBAABkcnMvZTJvRG9jLnhtbFBLBQYAAAAABgAGAFkBAAAWBgAAAAA=&#10;">
                <v:fill on="t" focussize="0,0"/>
                <v:stroke weight="0.5pt" color="#000000 [3204]" joinstyle="round"/>
                <v:imagedata o:title=""/>
                <o:lock v:ext="edit" aspectratio="f"/>
                <v:textbox>
                  <w:txbxContent>
                    <w:p w14:paraId="2A3D9044">
                      <w:pPr>
                        <w:jc w:val="center"/>
                        <w:rPr>
                          <w:rFonts w:asciiTheme="minorEastAsia" w:hAnsiTheme="minorEastAsia" w:eastAsiaTheme="minorEastAsia"/>
                        </w:rPr>
                      </w:pPr>
                      <w:r>
                        <w:rPr>
                          <w:rFonts w:hint="eastAsia" w:asciiTheme="minorEastAsia" w:hAnsiTheme="minorEastAsia" w:eastAsiaTheme="minorEastAsia"/>
                        </w:rPr>
                        <w:t>编制磋商文件</w:t>
                      </w:r>
                    </w:p>
                  </w:txbxContent>
                </v:textbox>
              </v:shape>
            </w:pict>
          </mc:Fallback>
        </mc:AlternateContent>
      </w:r>
      <w:r>
        <w:rPr>
          <w:rFonts w:hint="eastAsia" w:ascii="宋体" w:hAnsi="宋体" w:eastAsia="宋体" w:cs="宋体"/>
          <w:b/>
          <w:color w:val="auto"/>
          <w:sz w:val="36"/>
          <w:szCs w:val="20"/>
          <w:highlight w:val="none"/>
        </w:rPr>
        <mc:AlternateContent>
          <mc:Choice Requires="wps">
            <w:drawing>
              <wp:anchor distT="0" distB="0" distL="114300" distR="114300" simplePos="0" relativeHeight="251664384" behindDoc="0" locked="0" layoutInCell="1" allowOverlap="1">
                <wp:simplePos x="0" y="0"/>
                <wp:positionH relativeFrom="column">
                  <wp:posOffset>1405255</wp:posOffset>
                </wp:positionH>
                <wp:positionV relativeFrom="paragraph">
                  <wp:posOffset>1134110</wp:posOffset>
                </wp:positionV>
                <wp:extent cx="1088390" cy="262255"/>
                <wp:effectExtent l="0" t="0" r="16510" b="23495"/>
                <wp:wrapNone/>
                <wp:docPr id="40" name="文本框 40"/>
                <wp:cNvGraphicFramePr/>
                <a:graphic xmlns:a="http://schemas.openxmlformats.org/drawingml/2006/main">
                  <a:graphicData uri="http://schemas.microsoft.com/office/word/2010/wordprocessingShape">
                    <wps:wsp>
                      <wps:cNvSpPr txBox="1"/>
                      <wps:spPr>
                        <a:xfrm>
                          <a:off x="0" y="0"/>
                          <a:ext cx="1088359"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E4A0C7E">
                            <w:pPr>
                              <w:jc w:val="center"/>
                              <w:rPr>
                                <w:rFonts w:asciiTheme="minorEastAsia" w:hAnsiTheme="minorEastAsia" w:eastAsiaTheme="minorEastAsia"/>
                              </w:rPr>
                            </w:pPr>
                            <w:r>
                              <w:rPr>
                                <w:rFonts w:hint="eastAsia" w:asciiTheme="minorEastAsia" w:hAnsiTheme="minorEastAsia" w:eastAsiaTheme="minorEastAsia"/>
                              </w:rPr>
                              <w:t>开启响应文件</w:t>
                            </w:r>
                          </w:p>
                          <w:p w14:paraId="411E9411">
                            <w:pPr>
                              <w:rPr>
                                <w:rFonts w:ascii="仿宋_GB2312" w:eastAsia="仿宋_GB2312"/>
                              </w:rPr>
                            </w:pPr>
                            <w:r>
                              <w:rPr>
                                <w:rFonts w:hint="eastAsia" w:ascii="仿宋_GB2312" w:eastAsia="仿宋_GB2312"/>
                              </w:rPr>
                              <w:t>立项</w:t>
                            </w:r>
                          </w:p>
                          <w:p w14:paraId="2324A00E">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89.3pt;height:20.65pt;width:85.7pt;z-index:251664384;mso-width-relative:page;mso-height-relative:page;" fillcolor="#DBEEF4 [664]" filled="t" stroked="t" coordsize="21600,21600" o:gfxdata="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rO2/I9kAAAALAQAADwAAAAAAAAABACAA&#10;AAAiAAAAZHJzL2Rvd25yZXYueG1sUEsBAhQAFAAAAAgAh07iQHxGMX1+AgAAAAUAAA4AAAAAAAAA&#10;AQAgAAAAKAEAAGRycy9lMm9Eb2MueG1sUEsFBgAAAAAGAAYAWQEAABgGAAAAAA==&#10;">
                <v:fill on="t" focussize="0,0"/>
                <v:stroke weight="0.5pt" color="#000000 [3204]" joinstyle="round"/>
                <v:imagedata o:title=""/>
                <o:lock v:ext="edit" aspectratio="f"/>
                <v:textbox>
                  <w:txbxContent>
                    <w:p w14:paraId="4E4A0C7E">
                      <w:pPr>
                        <w:jc w:val="center"/>
                        <w:rPr>
                          <w:rFonts w:asciiTheme="minorEastAsia" w:hAnsiTheme="minorEastAsia" w:eastAsiaTheme="minorEastAsia"/>
                        </w:rPr>
                      </w:pPr>
                      <w:r>
                        <w:rPr>
                          <w:rFonts w:hint="eastAsia" w:asciiTheme="minorEastAsia" w:hAnsiTheme="minorEastAsia" w:eastAsiaTheme="minorEastAsia"/>
                        </w:rPr>
                        <w:t>开启响应文件</w:t>
                      </w:r>
                    </w:p>
                    <w:p w14:paraId="411E9411">
                      <w:pPr>
                        <w:rPr>
                          <w:rFonts w:ascii="仿宋_GB2312" w:eastAsia="仿宋_GB2312"/>
                        </w:rPr>
                      </w:pPr>
                      <w:r>
                        <w:rPr>
                          <w:rFonts w:hint="eastAsia" w:ascii="仿宋_GB2312" w:eastAsia="仿宋_GB2312"/>
                        </w:rPr>
                        <w:t>立项</w:t>
                      </w:r>
                    </w:p>
                    <w:p w14:paraId="2324A00E">
                      <w:pPr>
                        <w:rPr>
                          <w:rFonts w:ascii="仿宋_GB2312" w:eastAsia="仿宋_GB2312"/>
                        </w:rPr>
                      </w:pPr>
                    </w:p>
                  </w:txbxContent>
                </v:textbox>
              </v:shape>
            </w:pict>
          </mc:Fallback>
        </mc:AlternateContent>
      </w:r>
      <w:r>
        <w:rPr>
          <w:rFonts w:hint="eastAsia" w:ascii="宋体" w:hAnsi="宋体" w:eastAsia="宋体" w:cs="宋体"/>
          <w:b/>
          <w:color w:val="auto"/>
          <w:sz w:val="36"/>
          <w:szCs w:val="20"/>
          <w:highlight w:val="none"/>
        </w:rPr>
        <mc:AlternateContent>
          <mc:Choice Requires="wps">
            <w:drawing>
              <wp:anchor distT="0" distB="0" distL="114300" distR="114300" simplePos="0" relativeHeight="251665408" behindDoc="0" locked="0" layoutInCell="1" allowOverlap="1">
                <wp:simplePos x="0" y="0"/>
                <wp:positionH relativeFrom="column">
                  <wp:posOffset>1421130</wp:posOffset>
                </wp:positionH>
                <wp:positionV relativeFrom="paragraph">
                  <wp:posOffset>609600</wp:posOffset>
                </wp:positionV>
                <wp:extent cx="1073150" cy="262255"/>
                <wp:effectExtent l="0" t="0" r="12700" b="23495"/>
                <wp:wrapNone/>
                <wp:docPr id="41" name="文本框 41"/>
                <wp:cNvGraphicFramePr/>
                <a:graphic xmlns:a="http://schemas.openxmlformats.org/drawingml/2006/main">
                  <a:graphicData uri="http://schemas.microsoft.com/office/word/2010/wordprocessingShape">
                    <wps:wsp>
                      <wps:cNvSpPr txBox="1"/>
                      <wps:spPr>
                        <a:xfrm>
                          <a:off x="0" y="0"/>
                          <a:ext cx="1073066"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D2C99EA">
                            <w:pPr>
                              <w:jc w:val="center"/>
                              <w:rPr>
                                <w:rFonts w:asciiTheme="minorEastAsia" w:hAnsiTheme="minorEastAsia" w:eastAsiaTheme="minorEastAsia"/>
                              </w:rPr>
                            </w:pPr>
                            <w:r>
                              <w:rPr>
                                <w:rFonts w:hint="eastAsia" w:asciiTheme="minorEastAsia" w:hAnsiTheme="minorEastAsia" w:eastAsiaTheme="minorEastAsia"/>
                              </w:rPr>
                              <w:t>邀请供应商</w:t>
                            </w:r>
                          </w:p>
                          <w:p w14:paraId="4235EF0E">
                            <w:pPr>
                              <w:rPr>
                                <w:rFonts w:ascii="仿宋_GB2312" w:eastAsia="仿宋_GB2312"/>
                              </w:rPr>
                            </w:pPr>
                            <w:r>
                              <w:rPr>
                                <w:rFonts w:hint="eastAsia" w:ascii="仿宋_GB2312" w:eastAsia="仿宋_GB2312"/>
                              </w:rPr>
                              <w:t>立项</w:t>
                            </w:r>
                          </w:p>
                          <w:p w14:paraId="202B2F3D">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1.9pt;margin-top:48pt;height:20.65pt;width:84.5pt;z-index:251665408;mso-width-relative:page;mso-height-relative:page;" fillcolor="#DBEEF4 [664]" filled="t" stroked="t" coordsize="21600,21600" o:gfxdata="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AYC1oP2AAAAAoBAAAPAAAAAAAAAAEAIAAA&#10;ACIAAABkcnMvZG93bnJldi54bWxQSwECFAAUAAAACACHTuJAXCaksn4CAAAABQAADgAAAAAAAAAB&#10;ACAAAAAnAQAAZHJzL2Uyb0RvYy54bWxQSwUGAAAAAAYABgBZAQAAFwYAAAAA&#10;">
                <v:fill on="t" focussize="0,0"/>
                <v:stroke weight="0.5pt" color="#000000 [3204]" joinstyle="round"/>
                <v:imagedata o:title=""/>
                <o:lock v:ext="edit" aspectratio="f"/>
                <v:textbox>
                  <w:txbxContent>
                    <w:p w14:paraId="5D2C99EA">
                      <w:pPr>
                        <w:jc w:val="center"/>
                        <w:rPr>
                          <w:rFonts w:asciiTheme="minorEastAsia" w:hAnsiTheme="minorEastAsia" w:eastAsiaTheme="minorEastAsia"/>
                        </w:rPr>
                      </w:pPr>
                      <w:r>
                        <w:rPr>
                          <w:rFonts w:hint="eastAsia" w:asciiTheme="minorEastAsia" w:hAnsiTheme="minorEastAsia" w:eastAsiaTheme="minorEastAsia"/>
                        </w:rPr>
                        <w:t>邀请供应商</w:t>
                      </w:r>
                    </w:p>
                    <w:p w14:paraId="4235EF0E">
                      <w:pPr>
                        <w:rPr>
                          <w:rFonts w:ascii="仿宋_GB2312" w:eastAsia="仿宋_GB2312"/>
                        </w:rPr>
                      </w:pPr>
                      <w:r>
                        <w:rPr>
                          <w:rFonts w:hint="eastAsia" w:ascii="仿宋_GB2312" w:eastAsia="仿宋_GB2312"/>
                        </w:rPr>
                        <w:t>立项</w:t>
                      </w:r>
                    </w:p>
                    <w:p w14:paraId="202B2F3D">
                      <w:pPr>
                        <w:rPr>
                          <w:rFonts w:ascii="仿宋_GB2312" w:eastAsia="仿宋_GB2312"/>
                        </w:rPr>
                      </w:pPr>
                    </w:p>
                  </w:txbxContent>
                </v:textbox>
              </v:shape>
            </w:pict>
          </mc:Fallback>
        </mc:AlternateContent>
      </w:r>
      <w:r>
        <w:rPr>
          <w:rFonts w:hint="eastAsia" w:ascii="宋体" w:hAnsi="宋体" w:eastAsia="宋体" w:cs="宋体"/>
          <w:b/>
          <w:color w:val="auto"/>
          <w:sz w:val="36"/>
          <w:szCs w:val="20"/>
          <w:highlight w:val="none"/>
        </w:rPr>
        <mc:AlternateContent>
          <mc:Choice Requires="wps">
            <w:drawing>
              <wp:anchor distT="0" distB="0" distL="114300" distR="114300" simplePos="0" relativeHeight="251666432" behindDoc="0" locked="0" layoutInCell="1" allowOverlap="1">
                <wp:simplePos x="0" y="0"/>
                <wp:positionH relativeFrom="column">
                  <wp:posOffset>1929765</wp:posOffset>
                </wp:positionH>
                <wp:positionV relativeFrom="paragraph">
                  <wp:posOffset>346710</wp:posOffset>
                </wp:positionV>
                <wp:extent cx="0" cy="262255"/>
                <wp:effectExtent l="95250" t="0" r="57150" b="62230"/>
                <wp:wrapNone/>
                <wp:docPr id="42" name="直接箭头连接符 42"/>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1.95pt;margin-top:27.3pt;height:20.65pt;width:0pt;z-index:251666432;mso-width-relative:page;mso-height-relative:page;" filled="f" stroked="t" coordsize="21600,21600" o:gfxdata="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nRbH+2QAAAAkBAAAPAAAA&#10;AAAAAAEAIAAAACIAAABkcnMvZG93bnJldi54bWxQSwECFAAUAAAACACHTuJAme7FIhQCAAABBAAA&#10;DgAAAAAAAAABACAAAAAoAQAAZHJzL2Uyb0RvYy54bWxQSwUGAAAAAAYABgBZAQAArgUAAAAA&#10;">
                <v:fill on="f" focussize="0,0"/>
                <v:stroke color="#4A7EBB [3204]" joinstyle="round" endarrow="open"/>
                <v:imagedata o:title=""/>
                <o:lock v:ext="edit" aspectratio="f"/>
              </v:shape>
            </w:pict>
          </mc:Fallback>
        </mc:AlternateContent>
      </w:r>
      <w:r>
        <w:rPr>
          <w:rFonts w:hint="eastAsia" w:ascii="宋体" w:hAnsi="宋体" w:eastAsia="宋体" w:cs="宋体"/>
          <w:b/>
          <w:color w:val="auto"/>
          <w:sz w:val="36"/>
          <w:szCs w:val="20"/>
          <w:highlight w:val="none"/>
        </w:rPr>
        <mc:AlternateContent>
          <mc:Choice Requires="wps">
            <w:drawing>
              <wp:anchor distT="0" distB="0" distL="114300" distR="114300" simplePos="0" relativeHeight="251667456" behindDoc="0" locked="0" layoutInCell="1" allowOverlap="1">
                <wp:simplePos x="0" y="0"/>
                <wp:positionH relativeFrom="column">
                  <wp:posOffset>1929765</wp:posOffset>
                </wp:positionH>
                <wp:positionV relativeFrom="paragraph">
                  <wp:posOffset>871855</wp:posOffset>
                </wp:positionV>
                <wp:extent cx="0" cy="262255"/>
                <wp:effectExtent l="95250" t="0" r="57150" b="62230"/>
                <wp:wrapNone/>
                <wp:docPr id="43" name="直接箭头连接符 43"/>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1.95pt;margin-top:68.65pt;height:20.65pt;width:0pt;z-index:251667456;mso-width-relative:page;mso-height-relative:page;" filled="f" stroked="t" coordsize="21600,21600" o:gfxdata="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zrHWWdkAAAALAQAADwAA&#10;AAAAAAABACAAAAAiAAAAZHJzL2Rvd25yZXYueG1sUEsBAhQAFAAAAAgAh07iQJDa/OsVAgAAAQQA&#10;AA4AAAAAAAAAAQAgAAAAKAEAAGRycy9lMm9Eb2MueG1sUEsFBgAAAAAGAAYAWQEAAK8FAAAAAA==&#10;">
                <v:fill on="f" focussize="0,0"/>
                <v:stroke color="#4A7EBB [3204]" joinstyle="round" endarrow="open"/>
                <v:imagedata o:title=""/>
                <o:lock v:ext="edit" aspectratio="f"/>
              </v:shape>
            </w:pict>
          </mc:Fallback>
        </mc:AlternateContent>
      </w:r>
      <w:r>
        <w:rPr>
          <w:rFonts w:hint="eastAsia" w:ascii="宋体" w:hAnsi="宋体" w:eastAsia="宋体" w:cs="宋体"/>
          <w:b/>
          <w:color w:val="auto"/>
          <w:sz w:val="36"/>
          <w:szCs w:val="20"/>
          <w:highlight w:val="none"/>
        </w:rPr>
        <mc:AlternateContent>
          <mc:Choice Requires="wps">
            <w:drawing>
              <wp:anchor distT="0" distB="0" distL="114300" distR="114300" simplePos="0" relativeHeight="251668480" behindDoc="0" locked="0" layoutInCell="1" allowOverlap="1">
                <wp:simplePos x="0" y="0"/>
                <wp:positionH relativeFrom="column">
                  <wp:posOffset>1906270</wp:posOffset>
                </wp:positionH>
                <wp:positionV relativeFrom="paragraph">
                  <wp:posOffset>2437765</wp:posOffset>
                </wp:positionV>
                <wp:extent cx="0" cy="262255"/>
                <wp:effectExtent l="95250" t="0" r="57150" b="62230"/>
                <wp:wrapNone/>
                <wp:docPr id="44" name="直接箭头连接符 44"/>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91.95pt;height:20.65pt;width:0pt;z-index:251668480;mso-width-relative:page;mso-height-relative:page;" filled="f" stroked="t" coordsize="21600,21600" o:gfxdata="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yPnwL2QAAAAsBAAAPAAAA&#10;AAAAAAEAIAAAACIAAABkcnMvZG93bnJldi54bWxQSwECFAAUAAAACACHTuJAbFzA+RQCAAABBAAA&#10;DgAAAAAAAAABACAAAAAoAQAAZHJzL2Uyb0RvYy54bWxQSwUGAAAAAAYABgBZAQAArgUAAAAA&#10;">
                <v:fill on="f" focussize="0,0"/>
                <v:stroke color="#4A7EBB [3204]" joinstyle="round" endarrow="open"/>
                <v:imagedata o:title=""/>
                <o:lock v:ext="edit" aspectratio="f"/>
              </v:shape>
            </w:pict>
          </mc:Fallback>
        </mc:AlternateContent>
      </w:r>
      <w:r>
        <w:rPr>
          <w:rFonts w:hint="eastAsia" w:ascii="宋体" w:hAnsi="宋体" w:eastAsia="宋体" w:cs="宋体"/>
          <w:b/>
          <w:color w:val="auto"/>
          <w:sz w:val="36"/>
          <w:szCs w:val="20"/>
          <w:highlight w:val="none"/>
        </w:rPr>
        <mc:AlternateContent>
          <mc:Choice Requires="wps">
            <w:drawing>
              <wp:anchor distT="0" distB="0" distL="114300" distR="114300" simplePos="0" relativeHeight="251669504" behindDoc="0" locked="0" layoutInCell="1" allowOverlap="1">
                <wp:simplePos x="0" y="0"/>
                <wp:positionH relativeFrom="column">
                  <wp:posOffset>1906270</wp:posOffset>
                </wp:positionH>
                <wp:positionV relativeFrom="paragraph">
                  <wp:posOffset>1921510</wp:posOffset>
                </wp:positionV>
                <wp:extent cx="0" cy="262255"/>
                <wp:effectExtent l="95250" t="0" r="57150" b="62230"/>
                <wp:wrapNone/>
                <wp:docPr id="45" name="直接箭头连接符 45"/>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51.3pt;height:20.65pt;width:0pt;z-index:251669504;mso-width-relative:page;mso-height-relative:page;" filled="f" stroked="t" coordsize="21600,21600" o:gfxdata="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IVti8rYAAAACwEAAA8AAAAA&#10;AAAAAQAgAAAAIgAAAGRycy9kb3ducmV2LnhtbFBLAQIUABQAAAAIAIdO4kBlaPkwFAIAAAEEAAAO&#10;AAAAAAAAAAEAIAAAACcBAABkcnMvZTJvRG9jLnhtbFBLBQYAAAAABgAGAFkBAACtBQAAAAA=&#10;">
                <v:fill on="f" focussize="0,0"/>
                <v:stroke color="#4A7EBB [3204]" joinstyle="round" endarrow="open"/>
                <v:imagedata o:title=""/>
                <o:lock v:ext="edit" aspectratio="f"/>
              </v:shape>
            </w:pict>
          </mc:Fallback>
        </mc:AlternateContent>
      </w:r>
      <w:r>
        <w:rPr>
          <w:rFonts w:hint="eastAsia" w:ascii="宋体" w:hAnsi="宋体" w:eastAsia="宋体" w:cs="宋体"/>
          <w:b/>
          <w:color w:val="auto"/>
          <w:sz w:val="36"/>
          <w:szCs w:val="20"/>
          <w:highlight w:val="none"/>
        </w:rPr>
        <mc:AlternateContent>
          <mc:Choice Requires="wps">
            <w:drawing>
              <wp:anchor distT="0" distB="0" distL="114300" distR="114300" simplePos="0" relativeHeight="251670528" behindDoc="0" locked="0" layoutInCell="1" allowOverlap="1">
                <wp:simplePos x="0" y="0"/>
                <wp:positionH relativeFrom="column">
                  <wp:posOffset>1906270</wp:posOffset>
                </wp:positionH>
                <wp:positionV relativeFrom="paragraph">
                  <wp:posOffset>1396365</wp:posOffset>
                </wp:positionV>
                <wp:extent cx="0" cy="262255"/>
                <wp:effectExtent l="95250" t="0" r="57150" b="62230"/>
                <wp:wrapNone/>
                <wp:docPr id="46" name="直接箭头连接符 46"/>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09.95pt;height:20.65pt;width:0pt;z-index:251670528;mso-width-relative:page;mso-height-relative:page;" filled="f" stroked="t" coordsize="21600,21600" o:gfxdata="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CZCjqrYAAAACwEAAA8AAAAA&#10;AAAAAQAgAAAAIgAAAGRycy9kb3ducmV2LnhtbFBLAQIUABQAAAAIAIdO4kA/MsOwFAIAAAEEAAAO&#10;AAAAAAAAAAEAIAAAACcBAABkcnMvZTJvRG9jLnhtbFBLBQYAAAAABgAGAFkBAACtBQAAAAA=&#10;">
                <v:fill on="f" focussize="0,0"/>
                <v:stroke color="#4A7EBB [3204]" joinstyle="round" endarrow="open"/>
                <v:imagedata o:title=""/>
                <o:lock v:ext="edit" aspectratio="f"/>
              </v:shape>
            </w:pict>
          </mc:Fallback>
        </mc:AlternateContent>
      </w:r>
      <w:r>
        <w:rPr>
          <w:rFonts w:hint="eastAsia" w:ascii="宋体" w:hAnsi="宋体" w:eastAsia="宋体" w:cs="宋体"/>
          <w:b/>
          <w:color w:val="auto"/>
          <w:sz w:val="36"/>
          <w:szCs w:val="20"/>
          <w:highlight w:val="none"/>
        </w:rPr>
        <mc:AlternateContent>
          <mc:Choice Requires="wps">
            <w:drawing>
              <wp:anchor distT="0" distB="0" distL="114300" distR="114300" simplePos="0" relativeHeight="251673600" behindDoc="0" locked="0" layoutInCell="1" allowOverlap="1">
                <wp:simplePos x="0" y="0"/>
                <wp:positionH relativeFrom="column">
                  <wp:posOffset>1906270</wp:posOffset>
                </wp:positionH>
                <wp:positionV relativeFrom="paragraph">
                  <wp:posOffset>3487420</wp:posOffset>
                </wp:positionV>
                <wp:extent cx="0" cy="262255"/>
                <wp:effectExtent l="95250" t="0" r="57150" b="62230"/>
                <wp:wrapNone/>
                <wp:docPr id="47" name="直接箭头连接符 47"/>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274.6pt;height:20.65pt;width:0pt;z-index:251673600;mso-width-relative:page;mso-height-relative:page;" filled="f" stroked="t" coordsize="21600,21600" o:gfxdata="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QAE9f9kAAAALAQAADwAA&#10;AAAAAAABACAAAAAiAAAAZHJzL2Rvd25yZXYueG1sUEsBAhQAFAAAAAgAh07iQDYG+nkVAgAAAQQA&#10;AA4AAAAAAAAAAQAgAAAAKAEAAGRycy9lMm9Eb2MueG1sUEsFBgAAAAAGAAYAWQEAAK8FAAAAAA==&#10;">
                <v:fill on="f" focussize="0,0"/>
                <v:stroke color="#4A7EBB [3204]" joinstyle="round" endarrow="open"/>
                <v:imagedata o:title=""/>
                <o:lock v:ext="edit" aspectratio="f"/>
              </v:shape>
            </w:pict>
          </mc:Fallback>
        </mc:AlternateContent>
      </w:r>
      <w:r>
        <w:rPr>
          <w:rFonts w:hint="eastAsia" w:ascii="宋体" w:hAnsi="宋体" w:eastAsia="宋体" w:cs="宋体"/>
          <w:b/>
          <w:color w:val="auto"/>
          <w:sz w:val="36"/>
          <w:szCs w:val="20"/>
          <w:highlight w:val="none"/>
        </w:rPr>
        <mc:AlternateContent>
          <mc:Choice Requires="wps">
            <w:drawing>
              <wp:anchor distT="0" distB="0" distL="114300" distR="114300" simplePos="0" relativeHeight="251674624" behindDoc="0" locked="0" layoutInCell="1" allowOverlap="1">
                <wp:simplePos x="0" y="0"/>
                <wp:positionH relativeFrom="column">
                  <wp:posOffset>1906270</wp:posOffset>
                </wp:positionH>
                <wp:positionV relativeFrom="paragraph">
                  <wp:posOffset>2962910</wp:posOffset>
                </wp:positionV>
                <wp:extent cx="0" cy="262255"/>
                <wp:effectExtent l="95250" t="0" r="57150" b="62230"/>
                <wp:wrapNone/>
                <wp:docPr id="48" name="直接箭头连接符 48"/>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233.3pt;height:20.65pt;width:0pt;z-index:251674624;mso-width-relative:page;mso-height-relative:page;" filled="f" stroked="t" coordsize="21600,21600" o:gfxdata="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M6aQ52QAAAAsBAAAPAAAA&#10;AAAAAAEAIAAAACIAAABkcnMvZG93bnJldi54bWxQSwECFAAUAAAACACHTuJAxz+6lBQCAAABBAAA&#10;DgAAAAAAAAABACAAAAAoAQAAZHJzL2Uyb0RvYy54bWxQSwUGAAAAAAYABgBZAQAArgUAAAAA&#10;">
                <v:fill on="f" focussize="0,0"/>
                <v:stroke color="#4A7EBB [3204]" joinstyle="round" endarrow="open"/>
                <v:imagedata o:title=""/>
                <o:lock v:ext="edit" aspectratio="f"/>
              </v:shape>
            </w:pict>
          </mc:Fallback>
        </mc:AlternateContent>
      </w:r>
      <w:r>
        <w:rPr>
          <w:rFonts w:hint="eastAsia" w:ascii="宋体" w:hAnsi="宋体" w:eastAsia="宋体" w:cs="宋体"/>
          <w:b/>
          <w:color w:val="auto"/>
          <w:sz w:val="36"/>
          <w:szCs w:val="20"/>
          <w:highlight w:val="none"/>
        </w:rPr>
        <mc:AlternateContent>
          <mc:Choice Requires="wps">
            <w:drawing>
              <wp:anchor distT="0" distB="0" distL="114300" distR="114300" simplePos="0" relativeHeight="251677696" behindDoc="0" locked="0" layoutInCell="1" allowOverlap="1">
                <wp:simplePos x="0" y="0"/>
                <wp:positionH relativeFrom="column">
                  <wp:posOffset>1906270</wp:posOffset>
                </wp:positionH>
                <wp:positionV relativeFrom="paragraph">
                  <wp:posOffset>4012565</wp:posOffset>
                </wp:positionV>
                <wp:extent cx="0" cy="262255"/>
                <wp:effectExtent l="95250" t="0" r="57150" b="62230"/>
                <wp:wrapNone/>
                <wp:docPr id="49" name="直接箭头连接符 49"/>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315.95pt;height:20.65pt;width:0pt;z-index:251677696;mso-width-relative:page;mso-height-relative:page;" filled="f" stroked="t" coordsize="21600,21600" o:gfxdata="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L4rJWdkAAAALAQAADwAA&#10;AAAAAAABACAAAAAiAAAAZHJzL2Rvd25yZXYueG1sUEsBAhQAFAAAAAgAh07iQM4Lg10VAgAAAQQA&#10;AA4AAAAAAAAAAQAgAAAAKAEAAGRycy9lMm9Eb2MueG1sUEsFBgAAAAAGAAYAWQEAAK8FAAAAAA==&#10;">
                <v:fill on="f" focussize="0,0"/>
                <v:stroke color="#4A7EBB [3204]" joinstyle="round" endarrow="open"/>
                <v:imagedata o:title=""/>
                <o:lock v:ext="edit" aspectratio="f"/>
              </v:shape>
            </w:pict>
          </mc:Fallback>
        </mc:AlternateContent>
      </w:r>
      <w:r>
        <w:rPr>
          <w:rFonts w:hint="eastAsia" w:ascii="宋体" w:hAnsi="宋体" w:eastAsia="宋体" w:cs="宋体"/>
          <w:b/>
          <w:color w:val="auto"/>
          <w:sz w:val="36"/>
          <w:szCs w:val="20"/>
          <w:highlight w:val="none"/>
        </w:rPr>
        <w:br w:type="page"/>
      </w:r>
    </w:p>
    <w:p w14:paraId="737B948E">
      <w:pPr>
        <w:adjustRightInd/>
        <w:spacing w:line="360" w:lineRule="auto"/>
        <w:jc w:val="center"/>
        <w:outlineLvl w:val="0"/>
        <w:rPr>
          <w:rFonts w:hint="eastAsia" w:ascii="宋体" w:hAnsi="宋体" w:eastAsia="宋体" w:cs="宋体"/>
          <w:b/>
          <w:color w:val="auto"/>
          <w:sz w:val="36"/>
          <w:szCs w:val="20"/>
          <w:highlight w:val="none"/>
        </w:rPr>
      </w:pPr>
      <w:bookmarkStart w:id="75" w:name="_Toc7293"/>
      <w:r>
        <w:rPr>
          <w:rFonts w:hint="eastAsia" w:ascii="宋体" w:hAnsi="宋体" w:eastAsia="宋体" w:cs="宋体"/>
          <w:b/>
          <w:color w:val="auto"/>
          <w:sz w:val="36"/>
          <w:szCs w:val="20"/>
          <w:highlight w:val="none"/>
        </w:rPr>
        <w:t>第三部分</w:t>
      </w:r>
      <w:bookmarkEnd w:id="9"/>
      <w:r>
        <w:rPr>
          <w:rFonts w:hint="eastAsia" w:ascii="宋体" w:hAnsi="宋体" w:eastAsia="宋体" w:cs="宋体"/>
          <w:b/>
          <w:color w:val="auto"/>
          <w:sz w:val="36"/>
          <w:szCs w:val="20"/>
          <w:highlight w:val="none"/>
        </w:rPr>
        <w:t xml:space="preserve">  供应商须知</w:t>
      </w:r>
      <w:bookmarkEnd w:id="10"/>
      <w:bookmarkEnd w:id="75"/>
    </w:p>
    <w:p w14:paraId="0235B0B5">
      <w:pPr>
        <w:adjustRightInd/>
        <w:spacing w:line="360" w:lineRule="auto"/>
        <w:jc w:val="center"/>
        <w:outlineLvl w:val="0"/>
        <w:rPr>
          <w:rFonts w:hint="eastAsia" w:ascii="宋体" w:hAnsi="宋体" w:eastAsia="宋体" w:cs="宋体"/>
          <w:b/>
          <w:color w:val="auto"/>
          <w:sz w:val="36"/>
          <w:szCs w:val="20"/>
          <w:highlight w:val="none"/>
        </w:rPr>
      </w:pPr>
      <w:bookmarkStart w:id="76" w:name="_Toc1558"/>
      <w:bookmarkStart w:id="77" w:name="_Toc6266"/>
      <w:r>
        <w:rPr>
          <w:rFonts w:hint="eastAsia" w:ascii="宋体" w:hAnsi="宋体" w:eastAsia="宋体" w:cs="宋体"/>
          <w:b/>
          <w:color w:val="auto"/>
          <w:sz w:val="36"/>
          <w:szCs w:val="20"/>
          <w:highlight w:val="none"/>
        </w:rPr>
        <w:t>一、前附表</w:t>
      </w:r>
      <w:bookmarkEnd w:id="76"/>
      <w:bookmarkEnd w:id="77"/>
    </w:p>
    <w:tbl>
      <w:tblPr>
        <w:tblStyle w:val="60"/>
        <w:tblW w:w="927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681"/>
        <w:gridCol w:w="1996"/>
        <w:gridCol w:w="6602"/>
      </w:tblGrid>
      <w:tr w14:paraId="1F98C6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34" w:hRule="atLeast"/>
          <w:tblHeader/>
          <w:jc w:val="center"/>
        </w:trPr>
        <w:tc>
          <w:tcPr>
            <w:tcW w:w="681" w:type="dxa"/>
            <w:tcBorders>
              <w:tl2br w:val="nil"/>
              <w:tr2bl w:val="nil"/>
            </w:tcBorders>
            <w:vAlign w:val="center"/>
          </w:tcPr>
          <w:p w14:paraId="30F5BC5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1996" w:type="dxa"/>
            <w:tcBorders>
              <w:tl2br w:val="nil"/>
              <w:tr2bl w:val="nil"/>
            </w:tcBorders>
            <w:vAlign w:val="center"/>
          </w:tcPr>
          <w:p w14:paraId="1343C63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事项</w:t>
            </w:r>
          </w:p>
        </w:tc>
        <w:tc>
          <w:tcPr>
            <w:tcW w:w="6602" w:type="dxa"/>
            <w:tcBorders>
              <w:tl2br w:val="nil"/>
              <w:tr2bl w:val="nil"/>
            </w:tcBorders>
            <w:vAlign w:val="center"/>
          </w:tcPr>
          <w:p w14:paraId="117790D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本项目的特别规定</w:t>
            </w:r>
          </w:p>
        </w:tc>
      </w:tr>
      <w:tr w14:paraId="437286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32" w:hRule="atLeast"/>
          <w:jc w:val="center"/>
        </w:trPr>
        <w:tc>
          <w:tcPr>
            <w:tcW w:w="681" w:type="dxa"/>
            <w:tcBorders>
              <w:tl2br w:val="nil"/>
              <w:tr2bl w:val="nil"/>
            </w:tcBorders>
            <w:vAlign w:val="center"/>
          </w:tcPr>
          <w:p w14:paraId="54E3654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996" w:type="dxa"/>
            <w:tcBorders>
              <w:tl2br w:val="nil"/>
              <w:tr2bl w:val="nil"/>
            </w:tcBorders>
            <w:vAlign w:val="center"/>
          </w:tcPr>
          <w:p w14:paraId="3028149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项目属性</w:t>
            </w:r>
          </w:p>
        </w:tc>
        <w:tc>
          <w:tcPr>
            <w:tcW w:w="6602" w:type="dxa"/>
            <w:tcBorders>
              <w:tl2br w:val="nil"/>
              <w:tr2bl w:val="nil"/>
            </w:tcBorders>
            <w:vAlign w:val="center"/>
          </w:tcPr>
          <w:p w14:paraId="0356EBDF">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400" w:lineRule="exact"/>
              <w:ind w:left="0" w:right="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服务类。</w:t>
            </w:r>
          </w:p>
        </w:tc>
      </w:tr>
      <w:tr w14:paraId="6E965B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71" w:hRule="atLeast"/>
          <w:jc w:val="center"/>
        </w:trPr>
        <w:tc>
          <w:tcPr>
            <w:tcW w:w="681" w:type="dxa"/>
            <w:tcBorders>
              <w:tl2br w:val="nil"/>
              <w:tr2bl w:val="nil"/>
            </w:tcBorders>
            <w:vAlign w:val="center"/>
          </w:tcPr>
          <w:p w14:paraId="61A90EB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996" w:type="dxa"/>
            <w:tcBorders>
              <w:tl2br w:val="nil"/>
              <w:tr2bl w:val="nil"/>
            </w:tcBorders>
            <w:vAlign w:val="center"/>
          </w:tcPr>
          <w:p w14:paraId="3C8A606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textAlignment w:val="auto"/>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采购标的及其对应的中小企业划分标准所属行业</w:t>
            </w:r>
          </w:p>
        </w:tc>
        <w:tc>
          <w:tcPr>
            <w:tcW w:w="6602" w:type="dxa"/>
            <w:tcBorders>
              <w:tl2br w:val="nil"/>
              <w:tr2bl w:val="nil"/>
            </w:tcBorders>
            <w:vAlign w:val="center"/>
          </w:tcPr>
          <w:p w14:paraId="3ED1DDF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（1）本项目是否专门面向中小企业：</w:t>
            </w:r>
            <w:r>
              <w:rPr>
                <w:rFonts w:hint="eastAsia" w:ascii="宋体" w:hAnsi="宋体" w:eastAsia="宋体" w:cs="宋体"/>
                <w:color w:val="auto"/>
                <w:kern w:val="0"/>
                <w:sz w:val="24"/>
                <w:highlight w:val="none"/>
                <w:lang w:val="en-US" w:eastAsia="zh-CN"/>
              </w:rPr>
              <w:t>是</w:t>
            </w:r>
            <w:r>
              <w:rPr>
                <w:rFonts w:hint="eastAsia" w:ascii="宋体" w:hAnsi="宋体" w:eastAsia="宋体" w:cs="宋体"/>
                <w:color w:val="auto"/>
                <w:kern w:val="0"/>
                <w:sz w:val="24"/>
                <w:highlight w:val="none"/>
              </w:rPr>
              <w:t>。</w:t>
            </w:r>
          </w:p>
          <w:p w14:paraId="0B2AFEE8">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400" w:lineRule="exact"/>
              <w:ind w:left="0" w:right="0"/>
              <w:textAlignment w:val="auto"/>
              <w:rPr>
                <w:rFonts w:hint="eastAsia" w:ascii="宋体" w:hAnsi="宋体" w:eastAsia="宋体" w:cs="宋体"/>
                <w:color w:val="auto"/>
                <w:kern w:val="0"/>
                <w:sz w:val="24"/>
                <w:highlight w:val="none"/>
                <w:u w:val="none"/>
              </w:rPr>
            </w:pP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en-US" w:eastAsia="zh-CN"/>
              </w:rPr>
              <w:t>2</w:t>
            </w:r>
            <w:r>
              <w:rPr>
                <w:rFonts w:hint="eastAsia" w:ascii="宋体" w:hAnsi="宋体" w:eastAsia="宋体" w:cs="宋体"/>
                <w:color w:val="auto"/>
                <w:kern w:val="0"/>
                <w:sz w:val="24"/>
                <w:highlight w:val="none"/>
              </w:rPr>
              <w:t>）标的：</w:t>
            </w:r>
            <w:r>
              <w:rPr>
                <w:rFonts w:hint="eastAsia" w:ascii="宋体" w:hAnsi="宋体" w:eastAsia="宋体" w:cs="宋体"/>
                <w:color w:val="auto"/>
                <w:kern w:val="0"/>
                <w:sz w:val="24"/>
                <w:highlight w:val="none"/>
                <w:u w:val="single"/>
              </w:rPr>
              <w:t xml:space="preserve">2025年市公共数据平台运维服务 </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u w:val="none"/>
              </w:rPr>
              <w:t>属于</w:t>
            </w:r>
            <w:r>
              <w:rPr>
                <w:rFonts w:hint="eastAsia" w:ascii="宋体" w:hAnsi="宋体" w:eastAsia="宋体" w:cs="宋体"/>
                <w:color w:val="auto"/>
                <w:kern w:val="0"/>
                <w:sz w:val="24"/>
                <w:highlight w:val="none"/>
                <w:u w:val="single"/>
              </w:rPr>
              <w:t xml:space="preserve"> 软件和信息技术服务业</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u w:val="none"/>
              </w:rPr>
              <w:t>行业；</w:t>
            </w:r>
          </w:p>
          <w:p w14:paraId="293C3DC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textAlignment w:val="auto"/>
              <w:rPr>
                <w:rFonts w:hint="eastAsia"/>
                <w:color w:val="auto"/>
                <w:highlight w:val="none"/>
                <w:lang w:val="en-US"/>
              </w:rPr>
            </w:pPr>
            <w:r>
              <w:rPr>
                <w:rFonts w:hint="eastAsia" w:ascii="宋体" w:hAnsi="宋体" w:eastAsia="宋体" w:cs="宋体"/>
                <w:color w:val="auto"/>
                <w:kern w:val="0"/>
                <w:sz w:val="24"/>
                <w:highlight w:val="none"/>
                <w:lang w:val="en-US"/>
              </w:rPr>
              <w:t>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tc>
      </w:tr>
      <w:tr w14:paraId="4FF999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1" w:hRule="atLeast"/>
          <w:jc w:val="center"/>
        </w:trPr>
        <w:tc>
          <w:tcPr>
            <w:tcW w:w="681" w:type="dxa"/>
            <w:tcBorders>
              <w:tl2br w:val="nil"/>
              <w:tr2bl w:val="nil"/>
            </w:tcBorders>
            <w:vAlign w:val="center"/>
          </w:tcPr>
          <w:p w14:paraId="2A15A31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1996" w:type="dxa"/>
            <w:tcBorders>
              <w:tl2br w:val="nil"/>
              <w:tr2bl w:val="nil"/>
            </w:tcBorders>
            <w:vAlign w:val="center"/>
          </w:tcPr>
          <w:p w14:paraId="6AF6A99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是否允许采购进口产品</w:t>
            </w:r>
          </w:p>
        </w:tc>
        <w:tc>
          <w:tcPr>
            <w:tcW w:w="6602" w:type="dxa"/>
            <w:tcBorders>
              <w:tl2br w:val="nil"/>
              <w:tr2bl w:val="nil"/>
            </w:tcBorders>
            <w:vAlign w:val="center"/>
          </w:tcPr>
          <w:p w14:paraId="425424AF">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400" w:lineRule="exact"/>
              <w:ind w:left="0" w:right="0"/>
              <w:textAlignment w:val="auto"/>
              <w:rPr>
                <w:rFonts w:hint="eastAsia" w:ascii="宋体" w:hAnsi="宋体" w:eastAsia="宋体" w:cs="宋体"/>
                <w:color w:val="auto"/>
                <w:kern w:val="0"/>
                <w:sz w:val="24"/>
                <w:highlight w:val="none"/>
              </w:rPr>
            </w:pPr>
            <w:sdt>
              <w:sdtPr>
                <w:rPr>
                  <w:rFonts w:hint="eastAsia" w:ascii="宋体" w:hAnsi="宋体" w:eastAsia="宋体" w:cs="宋体"/>
                  <w:color w:val="auto"/>
                  <w:kern w:val="0"/>
                  <w:sz w:val="24"/>
                  <w:highlight w:val="none"/>
                </w:rPr>
                <w:id w:val="-1"/>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highlight w:val="none"/>
              </w:rPr>
              <w:t>本项目不允许采购进口产品。</w:t>
            </w:r>
          </w:p>
          <w:p w14:paraId="0E69090E">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400" w:lineRule="exact"/>
              <w:ind w:left="0" w:right="0"/>
              <w:textAlignment w:val="auto"/>
              <w:rPr>
                <w:rFonts w:hint="eastAsia" w:ascii="宋体" w:hAnsi="宋体" w:eastAsia="宋体" w:cs="宋体"/>
                <w:color w:val="auto"/>
                <w:highlight w:val="none"/>
              </w:rPr>
            </w:pPr>
            <w:sdt>
              <w:sdtPr>
                <w:rPr>
                  <w:rFonts w:hint="eastAsia" w:ascii="宋体" w:hAnsi="宋体" w:eastAsia="宋体" w:cs="宋体"/>
                  <w:color w:val="auto"/>
                  <w:kern w:val="0"/>
                  <w:sz w:val="24"/>
                  <w:highlight w:val="none"/>
                </w:rPr>
                <w:id w:val="700466009"/>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可以就</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采购进口产品。</w:t>
            </w:r>
          </w:p>
        </w:tc>
      </w:tr>
      <w:tr w14:paraId="2D5FD5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1" w:hRule="atLeast"/>
          <w:jc w:val="center"/>
        </w:trPr>
        <w:tc>
          <w:tcPr>
            <w:tcW w:w="681" w:type="dxa"/>
            <w:tcBorders>
              <w:tl2br w:val="nil"/>
              <w:tr2bl w:val="nil"/>
            </w:tcBorders>
            <w:vAlign w:val="center"/>
          </w:tcPr>
          <w:p w14:paraId="4C49AB0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1996" w:type="dxa"/>
            <w:tcBorders>
              <w:tl2br w:val="nil"/>
              <w:tr2bl w:val="nil"/>
            </w:tcBorders>
            <w:vAlign w:val="center"/>
          </w:tcPr>
          <w:p w14:paraId="454D7A1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firstLine="482" w:firstLineChars="200"/>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分包</w:t>
            </w:r>
          </w:p>
        </w:tc>
        <w:tc>
          <w:tcPr>
            <w:tcW w:w="6602" w:type="dxa"/>
            <w:tcBorders>
              <w:tl2br w:val="nil"/>
              <w:tr2bl w:val="nil"/>
            </w:tcBorders>
            <w:vAlign w:val="center"/>
          </w:tcPr>
          <w:p w14:paraId="60A478F5">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400" w:lineRule="exact"/>
              <w:ind w:left="0" w:right="0"/>
              <w:textAlignment w:val="auto"/>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226860409"/>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szCs w:val="24"/>
                    <w:highlight w:val="none"/>
                    <w:lang w:val="en-US" w:eastAsia="zh-CN" w:bidi="ar-SA"/>
                  </w:rPr>
                  <w:t>☐</w:t>
                </w:r>
              </w:sdtContent>
            </w:sdt>
            <w:r>
              <w:rPr>
                <w:rFonts w:hint="eastAsia" w:ascii="宋体" w:hAnsi="宋体" w:eastAsia="宋体" w:cs="宋体"/>
                <w:color w:val="auto"/>
                <w:kern w:val="0"/>
                <w:sz w:val="24"/>
                <w:highlight w:val="none"/>
              </w:rPr>
              <w:t xml:space="preserve"> A</w:t>
            </w:r>
            <w:r>
              <w:rPr>
                <w:rFonts w:hint="eastAsia" w:ascii="宋体" w:hAnsi="宋体" w:eastAsia="宋体" w:cs="宋体"/>
                <w:color w:val="auto"/>
                <w:sz w:val="24"/>
                <w:highlight w:val="none"/>
              </w:rPr>
              <w:t>同意将非主体、非关键性的</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工作分包。</w:t>
            </w:r>
          </w:p>
          <w:p w14:paraId="29ADA922">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400" w:lineRule="exact"/>
              <w:ind w:left="0" w:right="0"/>
              <w:textAlignment w:val="auto"/>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59420638"/>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highlight w:val="none"/>
              </w:rPr>
              <w:t xml:space="preserve"> B</w:t>
            </w:r>
            <w:r>
              <w:rPr>
                <w:rFonts w:hint="eastAsia" w:ascii="宋体" w:hAnsi="宋体" w:eastAsia="宋体" w:cs="宋体"/>
                <w:color w:val="auto"/>
                <w:sz w:val="24"/>
                <w:highlight w:val="none"/>
              </w:rPr>
              <w:t>不同意分包。</w:t>
            </w:r>
          </w:p>
        </w:tc>
      </w:tr>
      <w:tr w14:paraId="7EFDCA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71" w:hRule="atLeast"/>
          <w:jc w:val="center"/>
        </w:trPr>
        <w:tc>
          <w:tcPr>
            <w:tcW w:w="681" w:type="dxa"/>
            <w:tcBorders>
              <w:tl2br w:val="nil"/>
              <w:tr2bl w:val="nil"/>
            </w:tcBorders>
            <w:vAlign w:val="center"/>
          </w:tcPr>
          <w:p w14:paraId="0A0B975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p>
        </w:tc>
        <w:tc>
          <w:tcPr>
            <w:tcW w:w="1996" w:type="dxa"/>
            <w:tcBorders>
              <w:tl2br w:val="nil"/>
              <w:tr2bl w:val="nil"/>
            </w:tcBorders>
            <w:vAlign w:val="center"/>
          </w:tcPr>
          <w:p w14:paraId="391DDB8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开标前答疑会或现场考察</w:t>
            </w:r>
          </w:p>
        </w:tc>
        <w:tc>
          <w:tcPr>
            <w:tcW w:w="6602" w:type="dxa"/>
            <w:tcBorders>
              <w:tl2br w:val="nil"/>
              <w:tr2bl w:val="nil"/>
            </w:tcBorders>
            <w:vAlign w:val="center"/>
          </w:tcPr>
          <w:p w14:paraId="74D01732">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400" w:lineRule="exact"/>
              <w:ind w:left="0" w:right="0"/>
              <w:textAlignment w:val="auto"/>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895745589"/>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不组织。</w:t>
            </w:r>
          </w:p>
          <w:p w14:paraId="25AD7592">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400" w:lineRule="exact"/>
              <w:ind w:left="0" w:right="0"/>
              <w:textAlignment w:val="auto"/>
              <w:rPr>
                <w:rFonts w:hint="eastAsia" w:ascii="宋体" w:hAnsi="宋体" w:eastAsia="宋体" w:cs="宋体"/>
                <w:color w:val="auto"/>
                <w:sz w:val="24"/>
                <w:szCs w:val="20"/>
                <w:highlight w:val="none"/>
              </w:rPr>
            </w:pPr>
            <w:sdt>
              <w:sdtPr>
                <w:rPr>
                  <w:rFonts w:hint="eastAsia" w:ascii="宋体" w:hAnsi="宋体" w:eastAsia="宋体" w:cs="宋体"/>
                  <w:color w:val="auto"/>
                  <w:kern w:val="0"/>
                  <w:sz w:val="24"/>
                  <w:highlight w:val="none"/>
                </w:rPr>
                <w:id w:val="935748853"/>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B组织，</w:t>
            </w:r>
            <w:r>
              <w:rPr>
                <w:rFonts w:hint="eastAsia" w:ascii="宋体" w:hAnsi="宋体" w:eastAsia="宋体" w:cs="宋体"/>
                <w:color w:val="auto"/>
                <w:sz w:val="24"/>
                <w:highlight w:val="none"/>
              </w:rPr>
              <w:t>时间：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,地点：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，联系方式：</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szCs w:val="20"/>
                <w:highlight w:val="none"/>
              </w:rPr>
              <w:t>。</w:t>
            </w:r>
          </w:p>
        </w:tc>
      </w:tr>
      <w:tr w14:paraId="711CB2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763" w:hRule="atLeast"/>
          <w:jc w:val="center"/>
        </w:trPr>
        <w:tc>
          <w:tcPr>
            <w:tcW w:w="681" w:type="dxa"/>
            <w:tcBorders>
              <w:tl2br w:val="nil"/>
              <w:tr2bl w:val="nil"/>
            </w:tcBorders>
            <w:vAlign w:val="center"/>
          </w:tcPr>
          <w:p w14:paraId="3A0267F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6</w:t>
            </w:r>
          </w:p>
        </w:tc>
        <w:tc>
          <w:tcPr>
            <w:tcW w:w="1996" w:type="dxa"/>
            <w:tcBorders>
              <w:tl2br w:val="nil"/>
              <w:tr2bl w:val="nil"/>
            </w:tcBorders>
            <w:vAlign w:val="center"/>
          </w:tcPr>
          <w:p w14:paraId="7B076A3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样品提供</w:t>
            </w:r>
          </w:p>
        </w:tc>
        <w:tc>
          <w:tcPr>
            <w:tcW w:w="6602" w:type="dxa"/>
            <w:tcBorders>
              <w:tl2br w:val="nil"/>
              <w:tr2bl w:val="nil"/>
            </w:tcBorders>
            <w:vAlign w:val="center"/>
          </w:tcPr>
          <w:p w14:paraId="035EC744">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400" w:lineRule="exact"/>
              <w:ind w:left="0" w:right="0"/>
              <w:textAlignment w:val="auto"/>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08225390"/>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不要求提供。</w:t>
            </w:r>
          </w:p>
          <w:p w14:paraId="2FDB1085">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400" w:lineRule="exact"/>
              <w:ind w:left="0" w:right="0"/>
              <w:textAlignment w:val="auto"/>
              <w:rPr>
                <w:rFonts w:hint="eastAsia" w:ascii="宋体" w:hAnsi="宋体" w:eastAsia="宋体" w:cs="宋体"/>
                <w:color w:val="auto"/>
                <w:kern w:val="0"/>
                <w:sz w:val="24"/>
                <w:highlight w:val="none"/>
              </w:rPr>
            </w:pPr>
            <w:sdt>
              <w:sdtPr>
                <w:rPr>
                  <w:rFonts w:hint="eastAsia" w:ascii="宋体" w:hAnsi="宋体" w:eastAsia="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B要求提供，</w:t>
            </w:r>
          </w:p>
          <w:p w14:paraId="3016ACDD">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400" w:lineRule="exact"/>
              <w:ind w:left="0" w:right="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r>
              <w:rPr>
                <w:rFonts w:hint="eastAsia" w:ascii="宋体" w:hAnsi="宋体" w:eastAsia="宋体" w:cs="宋体"/>
                <w:snapToGrid w:val="0"/>
                <w:color w:val="auto"/>
                <w:kern w:val="28"/>
                <w:sz w:val="24"/>
                <w:highlight w:val="none"/>
              </w:rPr>
              <w:t>样品：</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w:t>
            </w:r>
          </w:p>
          <w:p w14:paraId="7E3ACA1A">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400" w:lineRule="exact"/>
              <w:ind w:left="0" w:right="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r>
              <w:rPr>
                <w:rFonts w:hint="eastAsia" w:ascii="宋体" w:hAnsi="宋体" w:eastAsia="宋体" w:cs="宋体"/>
                <w:snapToGrid w:val="0"/>
                <w:color w:val="auto"/>
                <w:kern w:val="28"/>
                <w:sz w:val="24"/>
                <w:highlight w:val="none"/>
              </w:rPr>
              <w:t>样品制作的标准和要求：</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w:t>
            </w:r>
          </w:p>
          <w:p w14:paraId="4380E68E">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400" w:lineRule="exact"/>
              <w:ind w:left="0" w:right="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（3）样品的评审方法以及评审标准</w:t>
            </w:r>
            <w:r>
              <w:rPr>
                <w:rFonts w:hint="eastAsia" w:ascii="宋体" w:hAnsi="宋体" w:eastAsia="宋体" w:cs="宋体"/>
                <w:snapToGrid w:val="0"/>
                <w:color w:val="auto"/>
                <w:kern w:val="28"/>
                <w:sz w:val="24"/>
                <w:highlight w:val="none"/>
              </w:rPr>
              <w:t>：详见</w:t>
            </w:r>
            <w:r>
              <w:rPr>
                <w:rFonts w:hint="eastAsia" w:ascii="宋体" w:hAnsi="宋体" w:eastAsia="宋体" w:cs="宋体"/>
                <w:color w:val="auto"/>
                <w:sz w:val="24"/>
                <w:highlight w:val="none"/>
                <w:u w:val="single"/>
              </w:rPr>
              <w:t>评审标准</w:t>
            </w:r>
            <w:r>
              <w:rPr>
                <w:rFonts w:hint="eastAsia" w:ascii="宋体" w:hAnsi="宋体" w:eastAsia="宋体" w:cs="宋体"/>
                <w:color w:val="auto"/>
                <w:kern w:val="0"/>
                <w:sz w:val="24"/>
                <w:highlight w:val="none"/>
              </w:rPr>
              <w:t>；</w:t>
            </w:r>
          </w:p>
          <w:p w14:paraId="2A36CBB6">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400" w:lineRule="exact"/>
              <w:ind w:left="0" w:right="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（4）是否需要随样品提交检测报告：</w:t>
            </w:r>
            <w:sdt>
              <w:sdtPr>
                <w:rPr>
                  <w:rFonts w:hint="eastAsia" w:ascii="宋体" w:hAnsi="宋体" w:eastAsia="宋体" w:cs="宋体"/>
                  <w:color w:val="auto"/>
                  <w:kern w:val="0"/>
                  <w:sz w:val="24"/>
                  <w:highlight w:val="none"/>
                </w:rPr>
                <w:id w:val="1303421454"/>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否；</w:t>
            </w:r>
            <w:sdt>
              <w:sdtPr>
                <w:rPr>
                  <w:rFonts w:hint="eastAsia" w:ascii="宋体" w:hAnsi="宋体" w:eastAsia="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是，检测机构的要求</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；检测内容</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w:t>
            </w:r>
          </w:p>
          <w:p w14:paraId="14463F09">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400" w:lineRule="exact"/>
              <w:ind w:left="0" w:right="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（5）提供样品的时间：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；地点：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；联系人</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28"/>
                <w:sz w:val="24"/>
                <w:highlight w:val="none"/>
              </w:rPr>
              <w:t>联系电话：</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。请供应商在上述时间内提供样品并按规定位置安装完毕。超过截止时间的，采购人或采购代理机构将不予接收，并将清场并封闭样品现场。</w:t>
            </w:r>
          </w:p>
          <w:p w14:paraId="4725CF51">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400" w:lineRule="exact"/>
              <w:ind w:left="0" w:right="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(6)采购活动结束后，对于未成交人提供的样品，采购人、</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将通知未成交人在规定的时间内取回，逾期未取回的，采购人、</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不负保管义务；对于成交人提供的样品，采购人将进行保管、封存，并作为履约验收的参考。</w:t>
            </w:r>
          </w:p>
          <w:p w14:paraId="3B597534">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400" w:lineRule="exact"/>
              <w:ind w:left="0" w:right="0"/>
              <w:textAlignment w:val="auto"/>
              <w:rPr>
                <w:rFonts w:hint="eastAsia" w:ascii="宋体" w:hAnsi="宋体" w:eastAsia="宋体" w:cs="宋体"/>
                <w:b/>
                <w:color w:val="auto"/>
                <w:sz w:val="24"/>
                <w:highlight w:val="none"/>
              </w:rPr>
            </w:pPr>
            <w:r>
              <w:rPr>
                <w:rFonts w:hint="eastAsia" w:ascii="宋体" w:hAnsi="宋体" w:eastAsia="宋体" w:cs="宋体"/>
                <w:color w:val="auto"/>
                <w:sz w:val="24"/>
                <w:highlight w:val="none"/>
              </w:rPr>
              <w:t>（7）制作、运输、安装和保管样品所发生的一切费用由供应商自理。</w:t>
            </w:r>
          </w:p>
        </w:tc>
      </w:tr>
      <w:tr w14:paraId="70AB02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681" w:type="dxa"/>
            <w:tcBorders>
              <w:tl2br w:val="nil"/>
              <w:tr2bl w:val="nil"/>
            </w:tcBorders>
            <w:vAlign w:val="center"/>
          </w:tcPr>
          <w:p w14:paraId="09CA06C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7</w:t>
            </w:r>
          </w:p>
        </w:tc>
        <w:tc>
          <w:tcPr>
            <w:tcW w:w="1996" w:type="dxa"/>
            <w:tcBorders>
              <w:tl2br w:val="nil"/>
              <w:tr2bl w:val="nil"/>
            </w:tcBorders>
            <w:vAlign w:val="center"/>
          </w:tcPr>
          <w:p w14:paraId="5F18CB7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jc w:val="center"/>
              <w:textAlignment w:val="auto"/>
              <w:rPr>
                <w:rFonts w:hint="eastAsia" w:ascii="宋体" w:hAnsi="宋体" w:eastAsia="宋体" w:cs="宋体"/>
                <w:bCs/>
                <w:color w:val="auto"/>
                <w:sz w:val="24"/>
                <w:highlight w:val="none"/>
              </w:rPr>
            </w:pPr>
            <w:r>
              <w:rPr>
                <w:rFonts w:hint="eastAsia" w:ascii="宋体" w:hAnsi="宋体" w:eastAsia="宋体" w:cs="宋体"/>
                <w:b/>
                <w:color w:val="auto"/>
                <w:sz w:val="24"/>
                <w:highlight w:val="none"/>
              </w:rPr>
              <w:t>方案讲解演示</w:t>
            </w:r>
          </w:p>
        </w:tc>
        <w:tc>
          <w:tcPr>
            <w:tcW w:w="6602" w:type="dxa"/>
            <w:tcBorders>
              <w:tl2br w:val="nil"/>
              <w:tr2bl w:val="nil"/>
            </w:tcBorders>
            <w:vAlign w:val="center"/>
          </w:tcPr>
          <w:p w14:paraId="5EE0509F">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400" w:lineRule="exact"/>
              <w:ind w:left="0" w:right="0"/>
              <w:textAlignment w:val="auto"/>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818459299"/>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不组织。</w:t>
            </w:r>
          </w:p>
          <w:p w14:paraId="1DDED5F4">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400" w:lineRule="exact"/>
              <w:ind w:left="0" w:right="0"/>
              <w:textAlignment w:val="auto"/>
              <w:rPr>
                <w:rFonts w:hint="eastAsia" w:ascii="宋体" w:hAnsi="宋体" w:eastAsia="宋体" w:cs="宋体"/>
                <w:color w:val="auto"/>
                <w:kern w:val="0"/>
                <w:sz w:val="24"/>
                <w:highlight w:val="none"/>
              </w:rPr>
            </w:pPr>
            <w:sdt>
              <w:sdtPr>
                <w:rPr>
                  <w:rFonts w:hint="eastAsia" w:ascii="宋体" w:hAnsi="宋体" w:eastAsia="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B组织。</w:t>
            </w:r>
          </w:p>
          <w:p w14:paraId="2D742F6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（1）在评审时安排每个供应商进行方案讲解演示。每个供应商时间不超过</w:t>
            </w:r>
            <w:r>
              <w:rPr>
                <w:rFonts w:hint="eastAsia" w:ascii="宋体" w:hAnsi="宋体" w:eastAsia="宋体" w:cs="宋体"/>
                <w:color w:val="auto"/>
                <w:kern w:val="0"/>
                <w:sz w:val="24"/>
                <w:highlight w:val="none"/>
                <w:u w:val="single"/>
              </w:rPr>
              <w:t>20</w:t>
            </w:r>
            <w:r>
              <w:rPr>
                <w:rFonts w:hint="eastAsia" w:ascii="宋体" w:hAnsi="宋体" w:eastAsia="宋体" w:cs="宋体"/>
                <w:color w:val="auto"/>
                <w:kern w:val="0"/>
                <w:sz w:val="24"/>
                <w:highlight w:val="none"/>
                <w:u w:val="single"/>
                <w:lang w:eastAsia="zh-CN"/>
              </w:rPr>
              <w:t>（</w:t>
            </w:r>
            <w:r>
              <w:rPr>
                <w:rFonts w:hint="eastAsia" w:ascii="宋体" w:hAnsi="宋体" w:eastAsia="宋体" w:cs="宋体"/>
                <w:color w:val="auto"/>
                <w:kern w:val="0"/>
                <w:sz w:val="24"/>
                <w:highlight w:val="none"/>
                <w:u w:val="single"/>
                <w:lang w:val="en-US" w:eastAsia="zh-CN"/>
              </w:rPr>
              <w:t>编制时可根据项目情况进行调整</w:t>
            </w:r>
            <w:r>
              <w:rPr>
                <w:rFonts w:hint="eastAsia" w:ascii="宋体" w:hAnsi="宋体" w:eastAsia="宋体" w:cs="宋体"/>
                <w:color w:val="auto"/>
                <w:kern w:val="0"/>
                <w:sz w:val="24"/>
                <w:highlight w:val="none"/>
                <w:u w:val="single"/>
                <w:lang w:eastAsia="zh-CN"/>
              </w:rPr>
              <w:t>）</w:t>
            </w:r>
            <w:r>
              <w:rPr>
                <w:rFonts w:hint="eastAsia" w:ascii="宋体" w:hAnsi="宋体" w:eastAsia="宋体" w:cs="宋体"/>
                <w:color w:val="auto"/>
                <w:kern w:val="0"/>
                <w:sz w:val="24"/>
                <w:highlight w:val="none"/>
              </w:rPr>
              <w:t>分钟，讲解次序以响应文件解密时间先后次序为准，讲解演示人员不超过</w:t>
            </w:r>
            <w:r>
              <w:rPr>
                <w:rFonts w:hint="eastAsia" w:ascii="宋体" w:hAnsi="宋体" w:eastAsia="宋体" w:cs="宋体"/>
                <w:color w:val="auto"/>
                <w:kern w:val="0"/>
                <w:sz w:val="24"/>
                <w:highlight w:val="none"/>
                <w:u w:val="single"/>
              </w:rPr>
              <w:t>3</w:t>
            </w:r>
            <w:r>
              <w:rPr>
                <w:rFonts w:hint="eastAsia" w:ascii="宋体" w:hAnsi="宋体" w:eastAsia="宋体" w:cs="宋体"/>
                <w:color w:val="auto"/>
                <w:kern w:val="0"/>
                <w:sz w:val="24"/>
                <w:highlight w:val="none"/>
                <w:u w:val="single"/>
                <w:lang w:eastAsia="zh-CN"/>
              </w:rPr>
              <w:t>（</w:t>
            </w:r>
            <w:r>
              <w:rPr>
                <w:rFonts w:hint="eastAsia" w:ascii="宋体" w:hAnsi="宋体" w:eastAsia="宋体" w:cs="宋体"/>
                <w:color w:val="auto"/>
                <w:kern w:val="0"/>
                <w:sz w:val="24"/>
                <w:highlight w:val="none"/>
                <w:u w:val="single"/>
                <w:lang w:val="en-US" w:eastAsia="zh-CN"/>
              </w:rPr>
              <w:t>编制时可根据项目情况进行调整</w:t>
            </w:r>
            <w:r>
              <w:rPr>
                <w:rFonts w:hint="eastAsia" w:ascii="宋体" w:hAnsi="宋体" w:eastAsia="宋体" w:cs="宋体"/>
                <w:color w:val="auto"/>
                <w:kern w:val="0"/>
                <w:sz w:val="24"/>
                <w:highlight w:val="none"/>
                <w:u w:val="single"/>
                <w:lang w:eastAsia="zh-CN"/>
              </w:rPr>
              <w:t>）</w:t>
            </w:r>
            <w:r>
              <w:rPr>
                <w:rFonts w:hint="eastAsia" w:ascii="宋体" w:hAnsi="宋体" w:eastAsia="宋体" w:cs="宋体"/>
                <w:color w:val="auto"/>
                <w:kern w:val="0"/>
                <w:sz w:val="24"/>
                <w:highlight w:val="none"/>
              </w:rPr>
              <w:t>人。讲解演示结束后按要求解答评标委员会提问。</w:t>
            </w:r>
          </w:p>
          <w:p w14:paraId="552C8CA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（2）方案讲解演示可选择以下其中一种方式：</w:t>
            </w:r>
          </w:p>
          <w:p w14:paraId="700F952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方式一：政采云平台在线讲解演示。政采云平台在线讲解需供应商根据政采云平台操作要求做好准备工作，提前完善软硬件配置环境。</w:t>
            </w:r>
          </w:p>
          <w:p w14:paraId="5DC2FA8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方式二：交易中心现场讲解演示。现场讲解地点为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，讲解演示所用电脑等设备由供应商自备。现场讲解演示人员进场时提供讲解人员名单（加盖公章或授权代表签名）及身份证明，否则不得讲解演示。</w:t>
            </w:r>
          </w:p>
          <w:p w14:paraId="0FA7FD8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textAlignment w:val="auto"/>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rPr>
              <w:t>注：因供应商自身原因导致无法演示或者演示效果不理想的，责任自负。因平台原因导致本项目方案讲解演示环节无法顺利开展，按照《浙江省政府采购项目电子交易管理暂行办法》相关规定执行。</w:t>
            </w:r>
          </w:p>
        </w:tc>
      </w:tr>
      <w:tr w14:paraId="7DE49E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290" w:hRule="atLeast"/>
          <w:jc w:val="center"/>
        </w:trPr>
        <w:tc>
          <w:tcPr>
            <w:tcW w:w="681" w:type="dxa"/>
            <w:vMerge w:val="restart"/>
            <w:tcBorders>
              <w:tl2br w:val="nil"/>
              <w:tr2bl w:val="nil"/>
            </w:tcBorders>
            <w:vAlign w:val="center"/>
          </w:tcPr>
          <w:p w14:paraId="37C16B5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8</w:t>
            </w:r>
          </w:p>
        </w:tc>
        <w:tc>
          <w:tcPr>
            <w:tcW w:w="1996" w:type="dxa"/>
            <w:vMerge w:val="restart"/>
            <w:tcBorders>
              <w:tl2br w:val="nil"/>
              <w:tr2bl w:val="nil"/>
            </w:tcBorders>
            <w:vAlign w:val="center"/>
          </w:tcPr>
          <w:p w14:paraId="2B3EEAE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供应商应当提供的资格、资信证明文件</w:t>
            </w:r>
          </w:p>
        </w:tc>
        <w:tc>
          <w:tcPr>
            <w:tcW w:w="6602" w:type="dxa"/>
            <w:tcBorders>
              <w:tl2br w:val="nil"/>
              <w:tr2bl w:val="nil"/>
            </w:tcBorders>
            <w:vAlign w:val="center"/>
          </w:tcPr>
          <w:p w14:paraId="1FBF994D">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400" w:lineRule="exact"/>
              <w:ind w:left="0" w:right="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（1）资格证明文件：见</w:t>
            </w:r>
            <w:r>
              <w:rPr>
                <w:rFonts w:hint="eastAsia" w:ascii="宋体" w:hAnsi="宋体" w:eastAsia="宋体" w:cs="宋体"/>
                <w:color w:val="auto"/>
                <w:sz w:val="24"/>
                <w:highlight w:val="none"/>
                <w:lang w:val="zh-CN"/>
              </w:rPr>
              <w:t>竞争性磋商</w:t>
            </w:r>
            <w:r>
              <w:rPr>
                <w:rFonts w:hint="eastAsia" w:ascii="宋体" w:hAnsi="宋体" w:eastAsia="宋体" w:cs="宋体"/>
                <w:color w:val="auto"/>
                <w:sz w:val="24"/>
                <w:highlight w:val="none"/>
              </w:rPr>
              <w:t>文件第</w:t>
            </w:r>
            <w:r>
              <w:rPr>
                <w:rFonts w:hint="eastAsia" w:ascii="宋体" w:hAnsi="宋体" w:eastAsia="宋体" w:cs="宋体"/>
                <w:color w:val="auto"/>
                <w:sz w:val="24"/>
                <w:highlight w:val="none"/>
                <w:lang w:val="en-US" w:eastAsia="zh-CN"/>
              </w:rPr>
              <w:t>三</w:t>
            </w:r>
            <w:r>
              <w:rPr>
                <w:rFonts w:hint="eastAsia" w:ascii="宋体" w:hAnsi="宋体" w:eastAsia="宋体" w:cs="宋体"/>
                <w:color w:val="auto"/>
                <w:sz w:val="24"/>
                <w:highlight w:val="none"/>
              </w:rPr>
              <w:t>部分</w:t>
            </w:r>
            <w:r>
              <w:rPr>
                <w:rFonts w:hint="eastAsia" w:ascii="宋体" w:hAnsi="宋体" w:eastAsia="宋体" w:cs="宋体"/>
                <w:color w:val="auto"/>
                <w:sz w:val="24"/>
                <w:highlight w:val="none"/>
                <w:lang w:val="en-US" w:eastAsia="zh-CN"/>
              </w:rPr>
              <w:t>“六、响应文件的编制”</w:t>
            </w:r>
            <w:r>
              <w:rPr>
                <w:rFonts w:hint="eastAsia" w:ascii="宋体" w:hAnsi="宋体" w:eastAsia="宋体" w:cs="宋体"/>
                <w:color w:val="auto"/>
                <w:sz w:val="24"/>
                <w:highlight w:val="none"/>
              </w:rPr>
              <w:t>。</w:t>
            </w:r>
          </w:p>
          <w:p w14:paraId="51745604">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400" w:lineRule="exact"/>
              <w:ind w:left="0" w:right="0"/>
              <w:textAlignment w:val="auto"/>
              <w:rPr>
                <w:rFonts w:hint="eastAsia" w:ascii="宋体" w:hAnsi="宋体" w:eastAsia="宋体" w:cs="宋体"/>
                <w:snapToGrid w:val="0"/>
                <w:color w:val="auto"/>
                <w:kern w:val="0"/>
                <w:szCs w:val="21"/>
                <w:highlight w:val="none"/>
              </w:rPr>
            </w:pPr>
            <w:r>
              <w:rPr>
                <w:rFonts w:hint="eastAsia" w:ascii="宋体" w:hAnsi="宋体" w:eastAsia="宋体" w:cs="宋体"/>
                <w:color w:val="auto"/>
                <w:kern w:val="0"/>
                <w:sz w:val="24"/>
                <w:highlight w:val="none"/>
                <w:lang w:val="zh-CN"/>
              </w:rPr>
              <w:t>供应商未提供有效的资格证明文件的，视为供应商不具备磋商文件中规定的资格要求，响应无效。</w:t>
            </w:r>
          </w:p>
        </w:tc>
      </w:tr>
      <w:tr w14:paraId="1BB893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32" w:hRule="atLeast"/>
          <w:jc w:val="center"/>
        </w:trPr>
        <w:tc>
          <w:tcPr>
            <w:tcW w:w="681" w:type="dxa"/>
            <w:vMerge w:val="continue"/>
            <w:tcBorders>
              <w:tl2br w:val="nil"/>
              <w:tr2bl w:val="nil"/>
            </w:tcBorders>
            <w:vAlign w:val="center"/>
          </w:tcPr>
          <w:p w14:paraId="2FEB7CC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jc w:val="center"/>
              <w:textAlignment w:val="auto"/>
              <w:rPr>
                <w:rFonts w:hint="eastAsia" w:ascii="宋体" w:hAnsi="宋体" w:eastAsia="宋体" w:cs="宋体"/>
                <w:color w:val="auto"/>
                <w:sz w:val="24"/>
                <w:highlight w:val="none"/>
              </w:rPr>
            </w:pPr>
          </w:p>
        </w:tc>
        <w:tc>
          <w:tcPr>
            <w:tcW w:w="1996" w:type="dxa"/>
            <w:vMerge w:val="continue"/>
            <w:tcBorders>
              <w:tl2br w:val="nil"/>
              <w:tr2bl w:val="nil"/>
            </w:tcBorders>
            <w:vAlign w:val="center"/>
          </w:tcPr>
          <w:p w14:paraId="7895D29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jc w:val="center"/>
              <w:textAlignment w:val="auto"/>
              <w:rPr>
                <w:rFonts w:hint="eastAsia" w:ascii="宋体" w:hAnsi="宋体" w:eastAsia="宋体" w:cs="宋体"/>
                <w:b/>
                <w:color w:val="auto"/>
                <w:sz w:val="24"/>
                <w:highlight w:val="none"/>
              </w:rPr>
            </w:pPr>
          </w:p>
        </w:tc>
        <w:tc>
          <w:tcPr>
            <w:tcW w:w="6602" w:type="dxa"/>
            <w:tcBorders>
              <w:tl2br w:val="nil"/>
              <w:tr2bl w:val="nil"/>
            </w:tcBorders>
            <w:vAlign w:val="center"/>
          </w:tcPr>
          <w:p w14:paraId="268254F0">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400" w:lineRule="exact"/>
              <w:ind w:left="0" w:right="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（2）资信证明文件：根据磋商文件第五部分评审标准提供。</w:t>
            </w:r>
          </w:p>
        </w:tc>
      </w:tr>
      <w:tr w14:paraId="1BAEEA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290" w:hRule="atLeast"/>
          <w:jc w:val="center"/>
        </w:trPr>
        <w:tc>
          <w:tcPr>
            <w:tcW w:w="681" w:type="dxa"/>
            <w:tcBorders>
              <w:tl2br w:val="nil"/>
              <w:tr2bl w:val="nil"/>
            </w:tcBorders>
            <w:vAlign w:val="center"/>
          </w:tcPr>
          <w:p w14:paraId="0D20A69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9</w:t>
            </w:r>
          </w:p>
        </w:tc>
        <w:tc>
          <w:tcPr>
            <w:tcW w:w="1996" w:type="dxa"/>
            <w:tcBorders>
              <w:tl2br w:val="nil"/>
              <w:tr2bl w:val="nil"/>
            </w:tcBorders>
            <w:vAlign w:val="center"/>
          </w:tcPr>
          <w:p w14:paraId="40519E8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节能产品、环境标志产品</w:t>
            </w:r>
          </w:p>
        </w:tc>
        <w:tc>
          <w:tcPr>
            <w:tcW w:w="6602" w:type="dxa"/>
            <w:tcBorders>
              <w:tl2br w:val="nil"/>
              <w:tr2bl w:val="nil"/>
            </w:tcBorders>
            <w:vAlign w:val="center"/>
          </w:tcPr>
          <w:p w14:paraId="221A09D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textAlignment w:val="auto"/>
              <w:rPr>
                <w:rFonts w:hint="eastAsia" w:ascii="宋体" w:hAnsi="宋体" w:eastAsia="宋体" w:cs="宋体"/>
                <w:color w:val="auto"/>
                <w:highlight w:val="none"/>
              </w:rPr>
            </w:pPr>
            <w:r>
              <w:rPr>
                <w:rFonts w:hint="eastAsia" w:ascii="宋体" w:hAnsi="宋体" w:eastAsia="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4D2757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124" w:hRule="atLeast"/>
          <w:jc w:val="center"/>
        </w:trPr>
        <w:tc>
          <w:tcPr>
            <w:tcW w:w="681" w:type="dxa"/>
            <w:tcBorders>
              <w:tl2br w:val="nil"/>
              <w:tr2bl w:val="nil"/>
            </w:tcBorders>
            <w:vAlign w:val="center"/>
          </w:tcPr>
          <w:p w14:paraId="52D6D8A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10</w:t>
            </w:r>
          </w:p>
        </w:tc>
        <w:tc>
          <w:tcPr>
            <w:tcW w:w="1996" w:type="dxa"/>
            <w:tcBorders>
              <w:tl2br w:val="nil"/>
              <w:tr2bl w:val="nil"/>
            </w:tcBorders>
            <w:vAlign w:val="center"/>
          </w:tcPr>
          <w:p w14:paraId="3E7EDFC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投标</w:t>
            </w:r>
            <w:r>
              <w:rPr>
                <w:rFonts w:hint="eastAsia" w:ascii="宋体" w:hAnsi="宋体" w:eastAsia="宋体" w:cs="宋体"/>
                <w:b/>
                <w:color w:val="auto"/>
                <w:sz w:val="24"/>
                <w:highlight w:val="none"/>
              </w:rPr>
              <w:t>报价要求</w:t>
            </w:r>
          </w:p>
        </w:tc>
        <w:tc>
          <w:tcPr>
            <w:tcW w:w="6602" w:type="dxa"/>
            <w:tcBorders>
              <w:tl2br w:val="nil"/>
              <w:tr2bl w:val="nil"/>
            </w:tcBorders>
            <w:vAlign w:val="center"/>
          </w:tcPr>
          <w:p w14:paraId="54FA6D4A">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00" w:lineRule="exact"/>
              <w:ind w:left="0" w:right="0"/>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有关本项目实施所需的所有费用（含税费）均计入报价。《最后报价</w:t>
            </w:r>
            <w:r>
              <w:rPr>
                <w:rFonts w:hint="eastAsia" w:ascii="宋体" w:hAnsi="宋体" w:eastAsia="宋体" w:cs="宋体"/>
                <w:color w:val="auto"/>
                <w:sz w:val="24"/>
                <w:highlight w:val="none"/>
              </w:rPr>
              <w:t>一览表（报价表）</w:t>
            </w:r>
            <w:r>
              <w:rPr>
                <w:rFonts w:hint="eastAsia" w:ascii="宋体" w:hAnsi="宋体" w:eastAsia="宋体" w:cs="宋体"/>
                <w:color w:val="auto"/>
                <w:kern w:val="0"/>
                <w:sz w:val="24"/>
                <w:highlight w:val="none"/>
                <w:lang w:val="zh-CN"/>
              </w:rPr>
              <w:t>》</w:t>
            </w:r>
            <w:r>
              <w:rPr>
                <w:rFonts w:hint="eastAsia" w:ascii="宋体" w:hAnsi="宋体" w:eastAsia="宋体" w:cs="宋体"/>
                <w:color w:val="auto"/>
                <w:sz w:val="24"/>
                <w:highlight w:val="none"/>
              </w:rPr>
              <w:t>是最后报价的唯一载体</w:t>
            </w:r>
            <w:r>
              <w:rPr>
                <w:rFonts w:hint="eastAsia" w:ascii="宋体" w:hAnsi="宋体" w:eastAsia="宋体" w:cs="宋体"/>
                <w:color w:val="auto"/>
                <w:kern w:val="0"/>
                <w:sz w:val="24"/>
                <w:highlight w:val="none"/>
                <w:lang w:val="zh-CN"/>
              </w:rPr>
              <w:t>。</w:t>
            </w:r>
            <w:r>
              <w:rPr>
                <w:rFonts w:hint="eastAsia" w:ascii="宋体" w:hAnsi="宋体" w:eastAsia="宋体" w:cs="宋体"/>
                <w:b/>
                <w:bCs/>
                <w:color w:val="auto"/>
                <w:sz w:val="24"/>
                <w:highlight w:val="none"/>
              </w:rPr>
              <w:t>如</w:t>
            </w:r>
            <w:r>
              <w:rPr>
                <w:rFonts w:hint="eastAsia" w:ascii="宋体" w:hAnsi="宋体" w:eastAsia="宋体" w:cs="宋体"/>
                <w:b/>
                <w:bCs/>
                <w:color w:val="auto"/>
                <w:sz w:val="24"/>
                <w:highlight w:val="none"/>
                <w:lang w:val="en-US" w:eastAsia="zh-CN"/>
              </w:rPr>
              <w:t>供应商</w:t>
            </w:r>
            <w:r>
              <w:rPr>
                <w:rFonts w:hint="eastAsia" w:ascii="宋体" w:hAnsi="宋体" w:eastAsia="宋体" w:cs="宋体"/>
                <w:b/>
                <w:bCs/>
                <w:color w:val="auto"/>
                <w:sz w:val="24"/>
                <w:highlight w:val="none"/>
              </w:rPr>
              <w:t>在政府采购云平台填写的报价与</w:t>
            </w:r>
            <w:r>
              <w:rPr>
                <w:rFonts w:hint="eastAsia" w:ascii="宋体" w:hAnsi="宋体" w:eastAsia="宋体" w:cs="宋体"/>
                <w:b/>
                <w:bCs/>
                <w:color w:val="auto"/>
                <w:sz w:val="24"/>
                <w:highlight w:val="none"/>
                <w:lang w:val="en-US" w:eastAsia="zh-CN"/>
              </w:rPr>
              <w:t>响应</w:t>
            </w:r>
            <w:r>
              <w:rPr>
                <w:rFonts w:hint="eastAsia" w:ascii="宋体" w:hAnsi="宋体" w:eastAsia="宋体" w:cs="宋体"/>
                <w:b/>
                <w:bCs/>
                <w:color w:val="auto"/>
                <w:sz w:val="24"/>
                <w:highlight w:val="none"/>
              </w:rPr>
              <w:t>文件报价文件中报价一览表（初次报价）不一致的，以</w:t>
            </w:r>
            <w:r>
              <w:rPr>
                <w:rFonts w:hint="eastAsia" w:ascii="宋体" w:hAnsi="宋体" w:eastAsia="宋体" w:cs="宋体"/>
                <w:b/>
                <w:bCs/>
                <w:color w:val="auto"/>
                <w:sz w:val="24"/>
                <w:highlight w:val="none"/>
                <w:lang w:val="en-US" w:eastAsia="zh-CN"/>
              </w:rPr>
              <w:t>响应</w:t>
            </w:r>
            <w:r>
              <w:rPr>
                <w:rFonts w:hint="eastAsia" w:ascii="宋体" w:hAnsi="宋体" w:eastAsia="宋体" w:cs="宋体"/>
                <w:b/>
                <w:bCs/>
                <w:color w:val="auto"/>
                <w:sz w:val="24"/>
                <w:highlight w:val="none"/>
              </w:rPr>
              <w:t>文件中报价一览表（初次报价）为准。</w:t>
            </w:r>
            <w:r>
              <w:rPr>
                <w:rFonts w:hint="eastAsia" w:ascii="宋体" w:hAnsi="宋体" w:eastAsia="宋体" w:cs="宋体"/>
                <w:color w:val="auto"/>
                <w:kern w:val="0"/>
                <w:sz w:val="24"/>
                <w:highlight w:val="none"/>
                <w:lang w:val="zh-CN"/>
              </w:rPr>
              <w:t>磋商文件中价格全部采用人民币报价。磋商文件未列明，而供应商认为必需的费用也需列入报价。</w:t>
            </w:r>
          </w:p>
          <w:p w14:paraId="7F20E88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jc w:val="left"/>
              <w:textAlignment w:val="auto"/>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最后报价出现下列情形的，响应无效：</w:t>
            </w:r>
          </w:p>
          <w:p w14:paraId="44120E3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firstLine="241" w:firstLineChars="100"/>
              <w:jc w:val="left"/>
              <w:textAlignment w:val="auto"/>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响应文件出现不是唯一的、有选择性的最后报价的；</w:t>
            </w:r>
          </w:p>
          <w:p w14:paraId="55D373F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firstLine="241" w:firstLineChars="100"/>
              <w:jc w:val="left"/>
              <w:textAlignment w:val="auto"/>
              <w:rPr>
                <w:rFonts w:hint="eastAsia" w:ascii="宋体" w:hAnsi="宋体" w:eastAsia="宋体" w:cs="宋体"/>
                <w:color w:val="auto"/>
                <w:kern w:val="0"/>
                <w:sz w:val="24"/>
                <w:highlight w:val="none"/>
                <w:lang w:val="zh-CN"/>
              </w:rPr>
            </w:pPr>
            <w:r>
              <w:rPr>
                <w:rFonts w:hint="eastAsia" w:ascii="宋体" w:hAnsi="宋体" w:eastAsia="宋体" w:cs="宋体"/>
                <w:b/>
                <w:color w:val="auto"/>
                <w:kern w:val="0"/>
                <w:sz w:val="24"/>
                <w:highlight w:val="none"/>
                <w:lang w:val="zh-CN"/>
              </w:rPr>
              <w:t>最后报价超过磋商文件中规定的预算金额或者最高限价的；</w:t>
            </w:r>
          </w:p>
          <w:p w14:paraId="0A41D40E">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400" w:lineRule="exact"/>
              <w:ind w:left="0" w:right="0" w:firstLine="241" w:firstLineChars="100"/>
              <w:textAlignment w:val="auto"/>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rPr>
              <w:t>最后报价明显低于其他通过符合性审查</w:t>
            </w:r>
            <w:r>
              <w:rPr>
                <w:rFonts w:hint="eastAsia" w:ascii="宋体" w:hAnsi="宋体" w:cs="宋体"/>
                <w:b/>
                <w:color w:val="auto"/>
                <w:kern w:val="0"/>
                <w:sz w:val="24"/>
                <w:highlight w:val="none"/>
                <w:lang w:val="en-US" w:eastAsia="zh-CN"/>
              </w:rPr>
              <w:t>的</w:t>
            </w:r>
            <w:r>
              <w:rPr>
                <w:rFonts w:hint="eastAsia" w:ascii="宋体" w:hAnsi="宋体" w:eastAsia="宋体" w:cs="宋体"/>
                <w:b/>
                <w:color w:val="auto"/>
                <w:kern w:val="0"/>
                <w:sz w:val="24"/>
                <w:highlight w:val="none"/>
              </w:rPr>
              <w:t>供应商的报价，有可能影响产品质量或者不能诚信履约的，未能按要求提供书面说明或者提交相关证明材料证明其报价合理性的</w:t>
            </w:r>
            <w:r>
              <w:rPr>
                <w:rFonts w:hint="eastAsia" w:ascii="宋体" w:hAnsi="宋体" w:eastAsia="宋体" w:cs="宋体"/>
                <w:b/>
                <w:color w:val="auto"/>
                <w:kern w:val="0"/>
                <w:sz w:val="24"/>
                <w:highlight w:val="none"/>
                <w:lang w:val="zh-CN"/>
              </w:rPr>
              <w:t>；</w:t>
            </w:r>
          </w:p>
          <w:p w14:paraId="5D2230B0">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400" w:lineRule="exact"/>
              <w:ind w:left="0" w:right="0" w:firstLine="241" w:firstLineChars="100"/>
              <w:textAlignment w:val="auto"/>
              <w:rPr>
                <w:rFonts w:hint="eastAsia" w:ascii="宋体" w:hAnsi="宋体" w:eastAsia="宋体" w:cs="宋体"/>
                <w:color w:val="auto"/>
                <w:sz w:val="24"/>
                <w:highlight w:val="none"/>
              </w:rPr>
            </w:pPr>
            <w:r>
              <w:rPr>
                <w:rFonts w:hint="eastAsia" w:ascii="宋体" w:hAnsi="宋体" w:eastAsia="宋体" w:cs="宋体"/>
                <w:b/>
                <w:color w:val="auto"/>
                <w:kern w:val="0"/>
                <w:sz w:val="24"/>
                <w:highlight w:val="none"/>
              </w:rPr>
              <w:t>供应商对根据修正原则修正后的报价不确认的</w:t>
            </w:r>
            <w:r>
              <w:rPr>
                <w:rFonts w:hint="eastAsia" w:ascii="宋体" w:hAnsi="宋体" w:eastAsia="宋体" w:cs="宋体"/>
                <w:b/>
                <w:color w:val="auto"/>
                <w:sz w:val="24"/>
                <w:highlight w:val="none"/>
              </w:rPr>
              <w:t>。</w:t>
            </w:r>
          </w:p>
        </w:tc>
      </w:tr>
      <w:tr w14:paraId="27A3AE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610" w:hRule="atLeast"/>
          <w:jc w:val="center"/>
        </w:trPr>
        <w:tc>
          <w:tcPr>
            <w:tcW w:w="681" w:type="dxa"/>
            <w:tcBorders>
              <w:tl2br w:val="nil"/>
              <w:tr2bl w:val="nil"/>
            </w:tcBorders>
            <w:vAlign w:val="center"/>
          </w:tcPr>
          <w:p w14:paraId="4D595A9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11</w:t>
            </w:r>
          </w:p>
        </w:tc>
        <w:tc>
          <w:tcPr>
            <w:tcW w:w="1996" w:type="dxa"/>
            <w:tcBorders>
              <w:tl2br w:val="nil"/>
              <w:tr2bl w:val="nil"/>
            </w:tcBorders>
            <w:vAlign w:val="center"/>
          </w:tcPr>
          <w:p w14:paraId="2306B5E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中小企业信用融资</w:t>
            </w:r>
          </w:p>
        </w:tc>
        <w:tc>
          <w:tcPr>
            <w:tcW w:w="6602" w:type="dxa"/>
            <w:tcBorders>
              <w:tl2br w:val="nil"/>
              <w:tr2bl w:val="nil"/>
            </w:tcBorders>
            <w:vAlign w:val="center"/>
          </w:tcPr>
          <w:p w14:paraId="567DDF5F">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400" w:lineRule="exact"/>
              <w:ind w:left="0" w:right="0" w:firstLine="0" w:firstLineChars="0"/>
              <w:textAlignment w:val="auto"/>
              <w:rPr>
                <w:rFonts w:hint="eastAsia" w:ascii="宋体" w:hAnsi="宋体" w:eastAsia="宋体" w:cs="宋体"/>
                <w:color w:val="auto"/>
                <w:sz w:val="24"/>
                <w:highlight w:val="none"/>
              </w:rPr>
            </w:pPr>
            <w:r>
              <w:rPr>
                <w:rFonts w:hint="eastAsia" w:ascii="宋体" w:hAnsi="宋体" w:eastAsia="宋体" w:cs="宋体"/>
                <w:snapToGrid w:val="0"/>
                <w:color w:val="auto"/>
                <w:kern w:val="28"/>
                <w:sz w:val="24"/>
                <w:highlight w:val="none"/>
              </w:rPr>
              <w:t>供应商成交后也可在“政采云”平台申请政采贷：操作路径：登录政采云平台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0D2538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207" w:hRule="atLeast"/>
          <w:jc w:val="center"/>
        </w:trPr>
        <w:tc>
          <w:tcPr>
            <w:tcW w:w="681" w:type="dxa"/>
            <w:tcBorders>
              <w:tl2br w:val="nil"/>
              <w:tr2bl w:val="nil"/>
            </w:tcBorders>
            <w:vAlign w:val="center"/>
          </w:tcPr>
          <w:p w14:paraId="0C1CB24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12</w:t>
            </w:r>
          </w:p>
        </w:tc>
        <w:tc>
          <w:tcPr>
            <w:tcW w:w="1996" w:type="dxa"/>
            <w:tcBorders>
              <w:tl2br w:val="nil"/>
              <w:tr2bl w:val="nil"/>
            </w:tcBorders>
            <w:vAlign w:val="center"/>
          </w:tcPr>
          <w:p w14:paraId="614C3E0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备份响应文件送达地点和签收人员 </w:t>
            </w:r>
          </w:p>
        </w:tc>
        <w:tc>
          <w:tcPr>
            <w:tcW w:w="6602" w:type="dxa"/>
            <w:tcBorders>
              <w:tl2br w:val="nil"/>
              <w:tr2bl w:val="nil"/>
            </w:tcBorders>
            <w:vAlign w:val="center"/>
          </w:tcPr>
          <w:p w14:paraId="46CD0808">
            <w:pPr>
              <w:keepNext w:val="0"/>
              <w:keepLines w:val="0"/>
              <w:suppressLineNumbers w:val="0"/>
              <w:spacing w:before="0" w:beforeAutospacing="0" w:after="0" w:afterAutospacing="0" w:line="360" w:lineRule="auto"/>
              <w:ind w:left="0" w:right="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（1）供应商如提供备份投标文件的，可采用邮寄</w:t>
            </w:r>
            <w:r>
              <w:rPr>
                <w:rFonts w:hint="eastAsia" w:ascii="宋体" w:hAnsi="宋体" w:cs="宋体"/>
                <w:snapToGrid w:val="0"/>
                <w:color w:val="auto"/>
                <w:kern w:val="28"/>
                <w:sz w:val="24"/>
                <w:highlight w:val="none"/>
                <w:lang w:eastAsia="zh-CN"/>
              </w:rPr>
              <w:t>（</w:t>
            </w:r>
            <w:r>
              <w:rPr>
                <w:rFonts w:hint="eastAsia" w:ascii="宋体" w:hAnsi="宋体" w:cs="宋体"/>
                <w:snapToGrid w:val="0"/>
                <w:color w:val="auto"/>
                <w:kern w:val="28"/>
                <w:sz w:val="24"/>
                <w:highlight w:val="none"/>
                <w:lang w:val="en-US" w:eastAsia="zh-CN"/>
              </w:rPr>
              <w:t>含快递）</w:t>
            </w:r>
            <w:r>
              <w:rPr>
                <w:rFonts w:hint="eastAsia" w:ascii="宋体" w:hAnsi="宋体" w:cs="宋体"/>
                <w:snapToGrid w:val="0"/>
                <w:color w:val="auto"/>
                <w:kern w:val="28"/>
                <w:sz w:val="24"/>
                <w:highlight w:val="none"/>
              </w:rPr>
              <w:t>或直接提交方式递交备份投标文件</w:t>
            </w:r>
            <w:r>
              <w:rPr>
                <w:rFonts w:hint="eastAsia" w:ascii="宋体" w:hAnsi="宋体" w:cs="宋体"/>
                <w:snapToGrid w:val="0"/>
                <w:color w:val="auto"/>
                <w:kern w:val="28"/>
                <w:sz w:val="24"/>
                <w:highlight w:val="none"/>
                <w:lang w:eastAsia="zh-CN"/>
              </w:rPr>
              <w:t>。</w:t>
            </w:r>
            <w:r>
              <w:rPr>
                <w:rFonts w:hint="eastAsia" w:ascii="宋体" w:hAnsi="宋体" w:cs="宋体"/>
                <w:snapToGrid w:val="0"/>
                <w:color w:val="auto"/>
                <w:kern w:val="28"/>
                <w:sz w:val="24"/>
                <w:highlight w:val="none"/>
              </w:rPr>
              <w:t>供应商须将备份投标文件以U盘形式单独放在密封袋中，密封后并在密封袋上注明投标项目名称、</w:t>
            </w:r>
            <w:r>
              <w:rPr>
                <w:rFonts w:hint="eastAsia" w:ascii="宋体" w:hAnsi="宋体" w:cs="宋体"/>
                <w:snapToGrid w:val="0"/>
                <w:color w:val="auto"/>
                <w:kern w:val="28"/>
                <w:sz w:val="24"/>
                <w:highlight w:val="none"/>
                <w:lang w:val="en-US" w:eastAsia="zh-CN"/>
              </w:rPr>
              <w:t>采购编号、</w:t>
            </w:r>
            <w:r>
              <w:rPr>
                <w:rFonts w:hint="eastAsia" w:ascii="宋体" w:hAnsi="宋体" w:cs="宋体"/>
                <w:snapToGrid w:val="0"/>
                <w:color w:val="auto"/>
                <w:kern w:val="28"/>
                <w:sz w:val="24"/>
                <w:highlight w:val="none"/>
              </w:rPr>
              <w:t>投标单位名称并加盖公章。未密封包装或者逾期送达的“备份投标文件”将予以拒收。</w:t>
            </w:r>
          </w:p>
          <w:p w14:paraId="7F9B3704">
            <w:pPr>
              <w:keepNext w:val="0"/>
              <w:keepLines w:val="0"/>
              <w:suppressLineNumbers w:val="0"/>
              <w:spacing w:before="0" w:beforeAutospacing="0" w:after="0" w:afterAutospacing="0" w:line="360" w:lineRule="auto"/>
              <w:ind w:left="0" w:right="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（2）采用</w:t>
            </w:r>
            <w:r>
              <w:rPr>
                <w:rFonts w:hint="eastAsia" w:ascii="宋体" w:hAnsi="宋体" w:cs="宋体"/>
                <w:snapToGrid w:val="0"/>
                <w:color w:val="auto"/>
                <w:kern w:val="28"/>
                <w:sz w:val="24"/>
                <w:highlight w:val="none"/>
                <w:lang w:val="en-US" w:eastAsia="zh-CN"/>
              </w:rPr>
              <w:t>邮寄（含快递）</w:t>
            </w:r>
            <w:r>
              <w:rPr>
                <w:rFonts w:hint="eastAsia" w:ascii="宋体" w:hAnsi="宋体" w:cs="宋体"/>
                <w:snapToGrid w:val="0"/>
                <w:color w:val="auto"/>
                <w:kern w:val="28"/>
                <w:sz w:val="24"/>
                <w:highlight w:val="none"/>
              </w:rPr>
              <w:t>方式递交备份投标文件，需按以下要求递交：供应商应在开标前一日17：00（含）前将备份投标文件邮寄至规定地点，邮寄地址为：宁波市鄞州区天童南路666号中基大厦19楼业务</w:t>
            </w:r>
            <w:r>
              <w:rPr>
                <w:rFonts w:hint="eastAsia" w:ascii="宋体" w:hAnsi="宋体" w:cs="宋体"/>
                <w:snapToGrid w:val="0"/>
                <w:color w:val="auto"/>
                <w:kern w:val="28"/>
                <w:sz w:val="24"/>
                <w:highlight w:val="none"/>
                <w:u w:val="single"/>
                <w:lang w:val="en-US" w:eastAsia="zh-CN"/>
              </w:rPr>
              <w:t xml:space="preserve"> 二 </w:t>
            </w:r>
            <w:r>
              <w:rPr>
                <w:rFonts w:hint="eastAsia" w:ascii="宋体" w:hAnsi="宋体" w:cs="宋体"/>
                <w:snapToGrid w:val="0"/>
                <w:color w:val="auto"/>
                <w:kern w:val="28"/>
                <w:sz w:val="24"/>
                <w:highlight w:val="none"/>
              </w:rPr>
              <w:t>部，收件人：</w:t>
            </w:r>
            <w:r>
              <w:rPr>
                <w:rFonts w:hint="eastAsia" w:ascii="宋体" w:hAnsi="宋体" w:cs="宋体"/>
                <w:snapToGrid w:val="0"/>
                <w:color w:val="auto"/>
                <w:kern w:val="28"/>
                <w:sz w:val="24"/>
                <w:highlight w:val="none"/>
                <w:u w:val="single"/>
                <w:lang w:val="en-US" w:eastAsia="zh-CN"/>
              </w:rPr>
              <w:t xml:space="preserve">  陈冲  </w:t>
            </w:r>
            <w:r>
              <w:rPr>
                <w:rFonts w:hint="eastAsia" w:ascii="宋体" w:hAnsi="宋体" w:cs="宋体"/>
                <w:snapToGrid w:val="0"/>
                <w:color w:val="auto"/>
                <w:kern w:val="28"/>
                <w:sz w:val="24"/>
                <w:highlight w:val="none"/>
              </w:rPr>
              <w:t>，联系方式：</w:t>
            </w:r>
            <w:r>
              <w:rPr>
                <w:rFonts w:hint="eastAsia" w:ascii="宋体" w:hAnsi="宋体" w:cs="宋体"/>
                <w:snapToGrid w:val="0"/>
                <w:color w:val="auto"/>
                <w:kern w:val="28"/>
                <w:sz w:val="24"/>
                <w:highlight w:val="none"/>
                <w:u w:val="single"/>
                <w:lang w:val="en-US" w:eastAsia="zh-CN"/>
              </w:rPr>
              <w:t xml:space="preserve">13081928686 </w:t>
            </w:r>
            <w:r>
              <w:rPr>
                <w:rFonts w:hint="eastAsia" w:ascii="宋体" w:hAnsi="宋体" w:cs="宋体"/>
                <w:snapToGrid w:val="0"/>
                <w:color w:val="auto"/>
                <w:kern w:val="28"/>
                <w:sz w:val="24"/>
                <w:highlight w:val="none"/>
              </w:rPr>
              <w:t>。由采购代理工作人员进行签收，各供应商自行考虑邮寄在途时间，邮寄过程中无论何种因素导致备份投标文件未按时递交的后果，均由供应商自行负责。备份投标文件递交时间以采购代理实际收到备份投标文件的时间为准。</w:t>
            </w:r>
          </w:p>
          <w:p w14:paraId="1A481BC3">
            <w:pPr>
              <w:keepNext w:val="0"/>
              <w:keepLines w:val="0"/>
              <w:suppressLineNumbers w:val="0"/>
              <w:spacing w:before="0" w:beforeAutospacing="0" w:after="0" w:afterAutospacing="0" w:line="360" w:lineRule="auto"/>
              <w:ind w:left="0" w:right="0"/>
              <w:jc w:val="left"/>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（3）采用直接提交方式递交备份投标文件，需按以下要求递交：</w:t>
            </w:r>
            <w:r>
              <w:rPr>
                <w:rFonts w:hint="eastAsia" w:ascii="宋体" w:hAnsi="宋体" w:cs="宋体"/>
                <w:snapToGrid w:val="0"/>
                <w:color w:val="auto"/>
                <w:kern w:val="28"/>
                <w:sz w:val="24"/>
                <w:highlight w:val="none"/>
                <w:u w:val="single"/>
              </w:rPr>
              <w:t>在开标当天投标截止时间前将备份投标文</w:t>
            </w:r>
            <w:r>
              <w:rPr>
                <w:rFonts w:hint="eastAsia" w:ascii="宋体" w:hAnsi="宋体" w:cs="宋体"/>
                <w:snapToGrid w:val="0"/>
                <w:color w:val="auto"/>
                <w:kern w:val="28"/>
                <w:sz w:val="24"/>
                <w:highlight w:val="none"/>
                <w:u w:val="single"/>
                <w:lang w:val="en-US" w:eastAsia="zh-CN"/>
              </w:rPr>
              <w:t>件送</w:t>
            </w:r>
            <w:r>
              <w:rPr>
                <w:rFonts w:hint="eastAsia" w:ascii="宋体" w:hAnsi="宋体" w:cs="宋体"/>
                <w:snapToGrid w:val="0"/>
                <w:color w:val="auto"/>
                <w:kern w:val="28"/>
                <w:sz w:val="24"/>
                <w:highlight w:val="none"/>
                <w:u w:val="single"/>
              </w:rPr>
              <w:t>至</w:t>
            </w:r>
            <w:r>
              <w:rPr>
                <w:rFonts w:hint="eastAsia" w:ascii="宋体" w:hAnsi="宋体" w:eastAsia="宋体" w:cs="宋体"/>
                <w:color w:val="auto"/>
                <w:sz w:val="24"/>
                <w:szCs w:val="24"/>
                <w:highlight w:val="none"/>
                <w:u w:val="single"/>
              </w:rPr>
              <w:t>中基招标会议中心开标室（宁波市鄞州区天童南路666号中基大厦1楼）</w:t>
            </w:r>
            <w:r>
              <w:rPr>
                <w:rFonts w:hint="eastAsia" w:ascii="宋体" w:hAnsi="宋体" w:cs="宋体"/>
                <w:snapToGrid w:val="0"/>
                <w:color w:val="auto"/>
                <w:kern w:val="28"/>
                <w:sz w:val="24"/>
                <w:highlight w:val="none"/>
              </w:rPr>
              <w:t>。</w:t>
            </w:r>
          </w:p>
          <w:p w14:paraId="12940C39">
            <w:pPr>
              <w:pStyle w:val="19"/>
              <w:keepNext w:val="0"/>
              <w:keepLines w:val="0"/>
              <w:suppressLineNumbers w:val="0"/>
              <w:spacing w:before="0" w:beforeAutospacing="0" w:after="0" w:afterAutospacing="0"/>
              <w:ind w:left="0" w:right="0"/>
              <w:rPr>
                <w:rFonts w:hint="eastAsia" w:ascii="宋体" w:hAnsi="宋体" w:eastAsia="宋体" w:cs="宋体"/>
                <w:color w:val="auto"/>
                <w:kern w:val="28"/>
                <w:sz w:val="24"/>
                <w:highlight w:val="none"/>
              </w:rPr>
            </w:pPr>
            <w:r>
              <w:rPr>
                <w:rFonts w:hint="eastAsia" w:ascii="宋体" w:hAnsi="宋体" w:cs="宋体"/>
                <w:b/>
                <w:bCs/>
                <w:snapToGrid w:val="0"/>
                <w:color w:val="auto"/>
                <w:kern w:val="28"/>
                <w:sz w:val="24"/>
                <w:highlight w:val="none"/>
              </w:rPr>
              <w:t>采购人、采购代理机构不强制投标人提交备份投标文件</w:t>
            </w:r>
          </w:p>
        </w:tc>
      </w:tr>
      <w:tr w14:paraId="6E8960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71" w:hRule="atLeast"/>
          <w:jc w:val="center"/>
        </w:trPr>
        <w:tc>
          <w:tcPr>
            <w:tcW w:w="681" w:type="dxa"/>
            <w:tcBorders>
              <w:tl2br w:val="nil"/>
              <w:tr2bl w:val="nil"/>
            </w:tcBorders>
            <w:vAlign w:val="center"/>
          </w:tcPr>
          <w:p w14:paraId="3C2380E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13</w:t>
            </w:r>
          </w:p>
        </w:tc>
        <w:tc>
          <w:tcPr>
            <w:tcW w:w="1996" w:type="dxa"/>
            <w:tcBorders>
              <w:tl2br w:val="nil"/>
              <w:tr2bl w:val="nil"/>
            </w:tcBorders>
            <w:vAlign w:val="center"/>
          </w:tcPr>
          <w:p w14:paraId="521F1BB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特别说明</w:t>
            </w:r>
          </w:p>
        </w:tc>
        <w:tc>
          <w:tcPr>
            <w:tcW w:w="6602" w:type="dxa"/>
            <w:tcBorders>
              <w:tl2br w:val="nil"/>
              <w:tr2bl w:val="nil"/>
            </w:tcBorders>
            <w:vAlign w:val="center"/>
          </w:tcPr>
          <w:p w14:paraId="1CF32869">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400" w:lineRule="exact"/>
              <w:ind w:left="0" w:right="0"/>
              <w:textAlignment w:val="auto"/>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联合体响应的，联合体中有一方或者联合体成员根据分工按磋商文件第五部分评审标准要求提供资信证明文件的，视为符合了相关要求。</w:t>
            </w:r>
          </w:p>
        </w:tc>
      </w:tr>
      <w:tr w14:paraId="425872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833" w:hRule="atLeast"/>
          <w:jc w:val="center"/>
        </w:trPr>
        <w:tc>
          <w:tcPr>
            <w:tcW w:w="681" w:type="dxa"/>
            <w:tcBorders>
              <w:tl2br w:val="nil"/>
              <w:tr2bl w:val="nil"/>
            </w:tcBorders>
            <w:vAlign w:val="center"/>
          </w:tcPr>
          <w:p w14:paraId="084A8D8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14</w:t>
            </w:r>
          </w:p>
        </w:tc>
        <w:tc>
          <w:tcPr>
            <w:tcW w:w="1996" w:type="dxa"/>
            <w:tcBorders>
              <w:tl2br w:val="nil"/>
              <w:tr2bl w:val="nil"/>
            </w:tcBorders>
            <w:vAlign w:val="center"/>
          </w:tcPr>
          <w:p w14:paraId="22166BF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jc w:val="center"/>
              <w:textAlignment w:val="auto"/>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sz w:val="24"/>
                <w:highlight w:val="none"/>
                <w:lang w:val="en-US" w:eastAsia="zh-CN"/>
              </w:rPr>
              <w:t>采购代理服务费</w:t>
            </w:r>
          </w:p>
        </w:tc>
        <w:tc>
          <w:tcPr>
            <w:tcW w:w="6602" w:type="dxa"/>
            <w:tcBorders>
              <w:tl2br w:val="nil"/>
              <w:tr2bl w:val="nil"/>
            </w:tcBorders>
            <w:vAlign w:val="center"/>
          </w:tcPr>
          <w:p w14:paraId="08080FF4">
            <w:pPr>
              <w:keepNext w:val="0"/>
              <w:keepLines w:val="0"/>
              <w:suppressLineNumbers w:val="0"/>
              <w:spacing w:before="0" w:beforeAutospacing="0" w:after="0" w:afterAutospacing="0" w:line="360" w:lineRule="auto"/>
              <w:ind w:left="0" w:right="0"/>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w:t>
            </w:r>
            <w:r>
              <w:rPr>
                <w:rFonts w:hint="eastAsia" w:ascii="宋体" w:hAnsi="宋体" w:eastAsia="宋体" w:cs="宋体"/>
                <w:snapToGrid w:val="0"/>
                <w:color w:val="auto"/>
                <w:kern w:val="28"/>
                <w:sz w:val="24"/>
                <w:highlight w:val="none"/>
                <w:lang w:val="en-US" w:eastAsia="zh-CN"/>
              </w:rPr>
              <w:t>1</w:t>
            </w:r>
            <w:r>
              <w:rPr>
                <w:rFonts w:hint="eastAsia" w:ascii="宋体" w:hAnsi="宋体" w:eastAsia="宋体" w:cs="宋体"/>
                <w:snapToGrid w:val="0"/>
                <w:color w:val="auto"/>
                <w:kern w:val="28"/>
                <w:sz w:val="24"/>
                <w:highlight w:val="none"/>
              </w:rPr>
              <w:t>）</w:t>
            </w:r>
            <w:r>
              <w:rPr>
                <w:rFonts w:hint="eastAsia" w:ascii="宋体" w:hAnsi="宋体" w:eastAsia="宋体" w:cs="宋体"/>
                <w:snapToGrid w:val="0"/>
                <w:color w:val="auto"/>
                <w:kern w:val="28"/>
                <w:sz w:val="24"/>
                <w:highlight w:val="none"/>
                <w:lang w:val="en-US" w:eastAsia="zh-CN"/>
              </w:rPr>
              <w:t>收取方式：成交</w:t>
            </w:r>
            <w:r>
              <w:rPr>
                <w:rFonts w:hint="eastAsia" w:ascii="宋体" w:hAnsi="宋体" w:eastAsia="宋体" w:cs="宋体"/>
                <w:snapToGrid w:val="0"/>
                <w:color w:val="auto"/>
                <w:kern w:val="28"/>
                <w:sz w:val="24"/>
                <w:highlight w:val="none"/>
                <w:lang w:eastAsia="zh-CN"/>
              </w:rPr>
              <w:t>人</w:t>
            </w:r>
            <w:r>
              <w:rPr>
                <w:rFonts w:hint="eastAsia" w:ascii="宋体" w:hAnsi="宋体" w:eastAsia="宋体" w:cs="宋体"/>
                <w:snapToGrid w:val="0"/>
                <w:color w:val="auto"/>
                <w:kern w:val="28"/>
                <w:sz w:val="24"/>
                <w:highlight w:val="none"/>
              </w:rPr>
              <w:t>应当自</w:t>
            </w:r>
            <w:r>
              <w:rPr>
                <w:rFonts w:hint="eastAsia" w:ascii="宋体" w:hAnsi="宋体" w:eastAsia="宋体" w:cs="宋体"/>
                <w:snapToGrid w:val="0"/>
                <w:color w:val="auto"/>
                <w:kern w:val="28"/>
                <w:sz w:val="24"/>
                <w:highlight w:val="none"/>
                <w:lang w:val="en-US" w:eastAsia="zh-CN"/>
              </w:rPr>
              <w:t>成交</w:t>
            </w:r>
            <w:r>
              <w:rPr>
                <w:rFonts w:hint="eastAsia" w:ascii="宋体" w:hAnsi="宋体" w:eastAsia="宋体" w:cs="宋体"/>
                <w:snapToGrid w:val="0"/>
                <w:color w:val="auto"/>
                <w:kern w:val="28"/>
                <w:sz w:val="24"/>
                <w:highlight w:val="none"/>
              </w:rPr>
              <w:t>结果公告发布之日起5个工作日内一次性向采购代理机构支付代理服务费。</w:t>
            </w:r>
          </w:p>
          <w:p w14:paraId="33643CC7">
            <w:pPr>
              <w:keepNext w:val="0"/>
              <w:keepLines w:val="0"/>
              <w:suppressLineNumbers w:val="0"/>
              <w:spacing w:before="0" w:beforeAutospacing="0" w:after="0" w:afterAutospacing="0" w:line="360" w:lineRule="auto"/>
              <w:ind w:left="0" w:right="0"/>
              <w:rPr>
                <w:rFonts w:hint="eastAsia" w:ascii="宋体" w:hAnsi="宋体" w:eastAsia="宋体" w:cs="宋体"/>
                <w:snapToGrid w:val="0"/>
                <w:color w:val="auto"/>
                <w:kern w:val="28"/>
                <w:sz w:val="24"/>
                <w:highlight w:val="none"/>
                <w:lang w:val="en-US" w:eastAsia="zh-CN"/>
              </w:rPr>
            </w:pPr>
            <w:r>
              <w:rPr>
                <w:rFonts w:hint="eastAsia" w:ascii="宋体" w:hAnsi="宋体" w:eastAsia="宋体" w:cs="宋体"/>
                <w:snapToGrid w:val="0"/>
                <w:color w:val="auto"/>
                <w:kern w:val="28"/>
                <w:sz w:val="24"/>
                <w:highlight w:val="none"/>
                <w:lang w:val="en-US" w:eastAsia="zh-CN"/>
              </w:rPr>
              <w:t>（2）采购</w:t>
            </w:r>
            <w:r>
              <w:rPr>
                <w:rFonts w:hint="eastAsia" w:ascii="宋体" w:hAnsi="宋体" w:eastAsia="宋体" w:cs="宋体"/>
                <w:snapToGrid w:val="0"/>
                <w:color w:val="auto"/>
                <w:kern w:val="28"/>
                <w:sz w:val="24"/>
                <w:highlight w:val="none"/>
              </w:rPr>
              <w:t>代理服务费用收取标准：</w:t>
            </w:r>
            <w:r>
              <w:rPr>
                <w:rFonts w:hint="eastAsia" w:ascii="宋体" w:hAnsi="宋体" w:eastAsia="宋体" w:cs="宋体"/>
                <w:snapToGrid w:val="0"/>
                <w:color w:val="auto"/>
                <w:kern w:val="28"/>
                <w:sz w:val="24"/>
                <w:highlight w:val="none"/>
                <w:lang w:val="en-US" w:eastAsia="zh-CN"/>
              </w:rPr>
              <w:t>参照原</w:t>
            </w:r>
            <w:r>
              <w:rPr>
                <w:rFonts w:hint="eastAsia" w:ascii="宋体" w:hAnsi="宋体" w:eastAsia="宋体" w:cs="宋体"/>
                <w:snapToGrid w:val="0"/>
                <w:color w:val="auto"/>
                <w:kern w:val="28"/>
                <w:sz w:val="24"/>
                <w:highlight w:val="none"/>
              </w:rPr>
              <w:t>国家计委计价格〖2002〗1980号文件和国家发改委发改价格[2011]534号通知</w:t>
            </w:r>
            <w:r>
              <w:rPr>
                <w:rFonts w:hint="eastAsia" w:ascii="宋体" w:hAnsi="宋体" w:eastAsia="宋体" w:cs="宋体"/>
                <w:snapToGrid w:val="0"/>
                <w:color w:val="auto"/>
                <w:kern w:val="28"/>
                <w:sz w:val="24"/>
                <w:highlight w:val="none"/>
                <w:lang w:val="en-US" w:eastAsia="zh-CN"/>
              </w:rPr>
              <w:t>中的服务收费标准下浮</w:t>
            </w:r>
            <w:r>
              <w:rPr>
                <w:rFonts w:hint="eastAsia" w:ascii="宋体" w:hAnsi="宋体" w:cs="宋体"/>
                <w:snapToGrid w:val="0"/>
                <w:color w:val="auto"/>
                <w:kern w:val="28"/>
                <w:sz w:val="24"/>
                <w:highlight w:val="none"/>
                <w:lang w:val="en-US" w:eastAsia="zh-CN"/>
              </w:rPr>
              <w:t>8</w:t>
            </w:r>
            <w:r>
              <w:rPr>
                <w:rFonts w:hint="eastAsia" w:ascii="宋体" w:hAnsi="宋体" w:eastAsia="宋体" w:cs="宋体"/>
                <w:snapToGrid w:val="0"/>
                <w:color w:val="auto"/>
                <w:kern w:val="28"/>
                <w:sz w:val="24"/>
                <w:highlight w:val="none"/>
                <w:lang w:val="en-US" w:eastAsia="zh-CN"/>
              </w:rPr>
              <w:t>%，</w:t>
            </w:r>
            <w:r>
              <w:rPr>
                <w:rFonts w:hint="eastAsia" w:ascii="宋体" w:hAnsi="宋体" w:eastAsia="宋体" w:cs="宋体"/>
                <w:snapToGrid w:val="0"/>
                <w:color w:val="auto"/>
                <w:kern w:val="28"/>
                <w:sz w:val="24"/>
                <w:highlight w:val="none"/>
              </w:rPr>
              <w:t>按照</w:t>
            </w:r>
            <w:r>
              <w:rPr>
                <w:rFonts w:hint="eastAsia" w:ascii="宋体" w:hAnsi="宋体" w:eastAsia="宋体" w:cs="宋体"/>
                <w:snapToGrid w:val="0"/>
                <w:color w:val="auto"/>
                <w:kern w:val="28"/>
                <w:sz w:val="24"/>
                <w:highlight w:val="none"/>
                <w:lang w:val="en-US" w:eastAsia="zh-CN"/>
              </w:rPr>
              <w:t>确定成交</w:t>
            </w:r>
            <w:r>
              <w:rPr>
                <w:rFonts w:hint="eastAsia" w:ascii="宋体" w:hAnsi="宋体" w:eastAsia="宋体" w:cs="宋体"/>
                <w:snapToGrid w:val="0"/>
                <w:color w:val="auto"/>
                <w:kern w:val="28"/>
                <w:sz w:val="24"/>
                <w:highlight w:val="none"/>
              </w:rPr>
              <w:t>通知书确定的</w:t>
            </w:r>
            <w:r>
              <w:rPr>
                <w:rFonts w:hint="eastAsia" w:ascii="宋体" w:hAnsi="宋体" w:eastAsia="宋体" w:cs="宋体"/>
                <w:snapToGrid w:val="0"/>
                <w:color w:val="auto"/>
                <w:kern w:val="28"/>
                <w:sz w:val="24"/>
                <w:highlight w:val="none"/>
                <w:lang w:val="en-US" w:eastAsia="zh-CN"/>
              </w:rPr>
              <w:t>成交</w:t>
            </w:r>
            <w:r>
              <w:rPr>
                <w:rFonts w:hint="eastAsia" w:ascii="宋体" w:hAnsi="宋体" w:eastAsia="宋体" w:cs="宋体"/>
                <w:snapToGrid w:val="0"/>
                <w:color w:val="auto"/>
                <w:kern w:val="28"/>
                <w:sz w:val="24"/>
                <w:highlight w:val="none"/>
              </w:rPr>
              <w:t>金额×</w:t>
            </w:r>
            <w:r>
              <w:rPr>
                <w:rFonts w:hint="eastAsia" w:ascii="宋体" w:hAnsi="宋体" w:eastAsia="宋体" w:cs="宋体"/>
                <w:snapToGrid w:val="0"/>
                <w:color w:val="auto"/>
                <w:kern w:val="28"/>
                <w:sz w:val="24"/>
                <w:highlight w:val="none"/>
                <w:lang w:val="en-US" w:eastAsia="zh-CN"/>
              </w:rPr>
              <w:t>3（年）为基数</w:t>
            </w:r>
            <w:r>
              <w:rPr>
                <w:rFonts w:hint="eastAsia" w:ascii="宋体" w:hAnsi="宋体" w:eastAsia="宋体" w:cs="宋体"/>
                <w:snapToGrid w:val="0"/>
                <w:color w:val="auto"/>
                <w:kern w:val="28"/>
                <w:sz w:val="24"/>
                <w:highlight w:val="none"/>
              </w:rPr>
              <w:t>，向</w:t>
            </w:r>
            <w:r>
              <w:rPr>
                <w:rFonts w:hint="eastAsia" w:ascii="宋体" w:hAnsi="宋体" w:eastAsia="宋体" w:cs="宋体"/>
                <w:snapToGrid w:val="0"/>
                <w:color w:val="auto"/>
                <w:kern w:val="28"/>
                <w:sz w:val="24"/>
                <w:highlight w:val="none"/>
                <w:lang w:val="en-US" w:eastAsia="zh-CN"/>
              </w:rPr>
              <w:t>成交</w:t>
            </w:r>
            <w:r>
              <w:rPr>
                <w:rFonts w:hint="eastAsia" w:ascii="宋体" w:hAnsi="宋体" w:eastAsia="宋体" w:cs="宋体"/>
                <w:snapToGrid w:val="0"/>
                <w:color w:val="auto"/>
                <w:kern w:val="28"/>
                <w:sz w:val="24"/>
                <w:highlight w:val="none"/>
              </w:rPr>
              <w:t>人收取</w:t>
            </w:r>
            <w:r>
              <w:rPr>
                <w:rFonts w:hint="eastAsia" w:ascii="宋体" w:hAnsi="宋体" w:cs="宋体"/>
                <w:snapToGrid w:val="0"/>
                <w:color w:val="auto"/>
                <w:kern w:val="28"/>
                <w:sz w:val="24"/>
                <w:highlight w:val="none"/>
                <w:lang w:val="en-US" w:eastAsia="zh-CN"/>
              </w:rPr>
              <w:t>采购代理</w:t>
            </w:r>
            <w:r>
              <w:rPr>
                <w:rFonts w:hint="eastAsia" w:ascii="宋体" w:hAnsi="宋体" w:eastAsia="宋体" w:cs="宋体"/>
                <w:snapToGrid w:val="0"/>
                <w:color w:val="auto"/>
                <w:kern w:val="28"/>
                <w:sz w:val="24"/>
                <w:highlight w:val="none"/>
              </w:rPr>
              <w:t>服务费</w:t>
            </w:r>
            <w:r>
              <w:rPr>
                <w:rFonts w:hint="eastAsia" w:ascii="宋体" w:hAnsi="宋体" w:cs="宋体"/>
                <w:snapToGrid w:val="0"/>
                <w:color w:val="auto"/>
                <w:kern w:val="28"/>
                <w:sz w:val="24"/>
                <w:highlight w:val="none"/>
                <w:lang w:eastAsia="zh-CN"/>
              </w:rPr>
              <w:t>（超过人民币</w:t>
            </w:r>
            <w:r>
              <w:rPr>
                <w:rFonts w:hint="eastAsia" w:ascii="宋体" w:hAnsi="宋体" w:cs="宋体"/>
                <w:snapToGrid w:val="0"/>
                <w:color w:val="auto"/>
                <w:kern w:val="28"/>
                <w:sz w:val="24"/>
                <w:highlight w:val="none"/>
                <w:lang w:val="en-US" w:eastAsia="zh-CN"/>
              </w:rPr>
              <w:t>3</w:t>
            </w:r>
            <w:r>
              <w:rPr>
                <w:rFonts w:hint="eastAsia" w:ascii="宋体" w:hAnsi="宋体" w:cs="宋体"/>
                <w:snapToGrid w:val="0"/>
                <w:color w:val="auto"/>
                <w:kern w:val="28"/>
                <w:sz w:val="24"/>
                <w:highlight w:val="none"/>
                <w:lang w:eastAsia="zh-CN"/>
              </w:rPr>
              <w:t>0000元的按人民币</w:t>
            </w:r>
            <w:r>
              <w:rPr>
                <w:rFonts w:hint="eastAsia" w:ascii="宋体" w:hAnsi="宋体" w:cs="宋体"/>
                <w:snapToGrid w:val="0"/>
                <w:color w:val="auto"/>
                <w:kern w:val="28"/>
                <w:sz w:val="24"/>
                <w:highlight w:val="none"/>
                <w:lang w:val="en-US" w:eastAsia="zh-CN"/>
              </w:rPr>
              <w:t>3</w:t>
            </w:r>
            <w:r>
              <w:rPr>
                <w:rFonts w:hint="eastAsia" w:ascii="宋体" w:hAnsi="宋体" w:cs="宋体"/>
                <w:snapToGrid w:val="0"/>
                <w:color w:val="auto"/>
                <w:kern w:val="28"/>
                <w:sz w:val="24"/>
                <w:highlight w:val="none"/>
                <w:lang w:eastAsia="zh-CN"/>
              </w:rPr>
              <w:t>0000元计）</w:t>
            </w:r>
            <w:r>
              <w:rPr>
                <w:rFonts w:hint="eastAsia" w:ascii="宋体" w:hAnsi="宋体" w:eastAsia="宋体" w:cs="宋体"/>
                <w:snapToGrid w:val="0"/>
                <w:color w:val="auto"/>
                <w:kern w:val="28"/>
                <w:sz w:val="24"/>
                <w:highlight w:val="none"/>
              </w:rPr>
              <w:t>。</w:t>
            </w:r>
          </w:p>
          <w:p w14:paraId="6576F0BF">
            <w:pPr>
              <w:keepNext w:val="0"/>
              <w:keepLines w:val="0"/>
              <w:suppressLineNumbers w:val="0"/>
              <w:spacing w:before="0" w:beforeAutospacing="0" w:after="0" w:afterAutospacing="0" w:line="360" w:lineRule="auto"/>
              <w:ind w:left="0" w:right="0"/>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w:t>
            </w:r>
            <w:r>
              <w:rPr>
                <w:rFonts w:hint="eastAsia" w:ascii="宋体" w:hAnsi="宋体" w:eastAsia="宋体" w:cs="宋体"/>
                <w:snapToGrid w:val="0"/>
                <w:color w:val="auto"/>
                <w:kern w:val="28"/>
                <w:sz w:val="24"/>
                <w:highlight w:val="none"/>
                <w:lang w:val="en-US" w:eastAsia="zh-CN"/>
              </w:rPr>
              <w:t>3</w:t>
            </w:r>
            <w:r>
              <w:rPr>
                <w:rFonts w:hint="eastAsia" w:ascii="宋体" w:hAnsi="宋体" w:eastAsia="宋体" w:cs="宋体"/>
                <w:snapToGrid w:val="0"/>
                <w:color w:val="auto"/>
                <w:kern w:val="28"/>
                <w:sz w:val="24"/>
                <w:highlight w:val="none"/>
              </w:rPr>
              <w:t>）支付形式及账号：</w:t>
            </w:r>
          </w:p>
          <w:p w14:paraId="08C508BD">
            <w:pPr>
              <w:keepNext w:val="0"/>
              <w:keepLines w:val="0"/>
              <w:suppressLineNumbers w:val="0"/>
              <w:spacing w:before="0" w:beforeAutospacing="0" w:after="0" w:afterAutospacing="0" w:line="360" w:lineRule="auto"/>
              <w:ind w:left="0" w:right="0"/>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①代理服务费缴纳形式：汇票/电汇/现金</w:t>
            </w:r>
          </w:p>
          <w:p w14:paraId="3929D438">
            <w:pPr>
              <w:keepNext w:val="0"/>
              <w:keepLines w:val="0"/>
              <w:suppressLineNumbers w:val="0"/>
              <w:spacing w:before="0" w:beforeAutospacing="0" w:after="0" w:afterAutospacing="0" w:line="360" w:lineRule="auto"/>
              <w:ind w:left="0" w:right="0"/>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②代理服务费汇入以下账户 ：</w:t>
            </w:r>
          </w:p>
          <w:p w14:paraId="09222CD8">
            <w:pPr>
              <w:keepNext w:val="0"/>
              <w:keepLines w:val="0"/>
              <w:suppressLineNumbers w:val="0"/>
              <w:spacing w:before="0" w:beforeAutospacing="0" w:after="0" w:afterAutospacing="0" w:line="360" w:lineRule="auto"/>
              <w:ind w:left="0" w:right="0"/>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收款单位（户名）：宁波中基国际招标有限公司</w:t>
            </w:r>
          </w:p>
          <w:p w14:paraId="62ACB758">
            <w:pPr>
              <w:keepNext w:val="0"/>
              <w:keepLines w:val="0"/>
              <w:suppressLineNumbers w:val="0"/>
              <w:spacing w:before="0" w:beforeAutospacing="0" w:after="0" w:afterAutospacing="0" w:line="360" w:lineRule="auto"/>
              <w:ind w:left="0" w:right="0"/>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开户：宁波银行科技支行</w:t>
            </w:r>
          </w:p>
          <w:p w14:paraId="343C83DA">
            <w:pPr>
              <w:keepNext w:val="0"/>
              <w:keepLines w:val="0"/>
              <w:suppressLineNumbers w:val="0"/>
              <w:spacing w:before="0" w:beforeAutospacing="0" w:after="0" w:afterAutospacing="0" w:line="360" w:lineRule="auto"/>
              <w:ind w:left="0" w:right="0"/>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账号：31010122000005488</w:t>
            </w:r>
          </w:p>
          <w:p w14:paraId="36C440C7">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400" w:lineRule="exact"/>
              <w:ind w:left="0" w:right="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snapToGrid w:val="0"/>
                <w:color w:val="auto"/>
                <w:kern w:val="28"/>
                <w:sz w:val="24"/>
                <w:highlight w:val="none"/>
                <w:lang w:val="en-US" w:eastAsia="zh-CN"/>
              </w:rPr>
              <w:t>（4）</w:t>
            </w:r>
            <w:r>
              <w:rPr>
                <w:rFonts w:hint="eastAsia" w:ascii="宋体" w:hAnsi="宋体" w:eastAsia="宋体" w:cs="宋体"/>
                <w:snapToGrid w:val="0"/>
                <w:color w:val="auto"/>
                <w:kern w:val="28"/>
                <w:sz w:val="24"/>
                <w:highlight w:val="none"/>
              </w:rPr>
              <w:t>支付流程：</w:t>
            </w:r>
            <w:r>
              <w:rPr>
                <w:rFonts w:hint="eastAsia" w:ascii="宋体" w:hAnsi="宋体" w:eastAsia="宋体" w:cs="宋体"/>
                <w:snapToGrid w:val="0"/>
                <w:color w:val="auto"/>
                <w:kern w:val="28"/>
                <w:sz w:val="24"/>
                <w:highlight w:val="none"/>
                <w:lang w:val="en-US" w:eastAsia="zh-CN"/>
              </w:rPr>
              <w:t>成交人</w:t>
            </w:r>
            <w:r>
              <w:rPr>
                <w:rFonts w:hint="eastAsia" w:ascii="宋体" w:hAnsi="宋体" w:eastAsia="宋体" w:cs="宋体"/>
                <w:snapToGrid w:val="0"/>
                <w:color w:val="auto"/>
                <w:kern w:val="28"/>
                <w:sz w:val="24"/>
                <w:highlight w:val="none"/>
              </w:rPr>
              <w:t>按照</w:t>
            </w:r>
            <w:r>
              <w:rPr>
                <w:rFonts w:hint="eastAsia" w:ascii="宋体" w:hAnsi="宋体" w:eastAsia="宋体" w:cs="宋体"/>
                <w:snapToGrid w:val="0"/>
                <w:color w:val="auto"/>
                <w:kern w:val="28"/>
                <w:sz w:val="24"/>
                <w:highlight w:val="none"/>
                <w:lang w:val="en-US" w:eastAsia="zh-CN"/>
              </w:rPr>
              <w:t>成交</w:t>
            </w:r>
            <w:r>
              <w:rPr>
                <w:rFonts w:hint="eastAsia" w:ascii="宋体" w:hAnsi="宋体" w:eastAsia="宋体" w:cs="宋体"/>
                <w:snapToGrid w:val="0"/>
                <w:color w:val="auto"/>
                <w:kern w:val="28"/>
                <w:sz w:val="24"/>
                <w:highlight w:val="none"/>
              </w:rPr>
              <w:t>结果公告确定</w:t>
            </w:r>
            <w:r>
              <w:rPr>
                <w:rFonts w:hint="eastAsia" w:ascii="宋体" w:hAnsi="宋体" w:eastAsia="宋体" w:cs="宋体"/>
                <w:snapToGrid w:val="0"/>
                <w:color w:val="auto"/>
                <w:kern w:val="28"/>
                <w:sz w:val="24"/>
                <w:highlight w:val="none"/>
                <w:lang w:val="en-US" w:eastAsia="zh-CN"/>
              </w:rPr>
              <w:t>服务费</w:t>
            </w:r>
            <w:r>
              <w:rPr>
                <w:rFonts w:hint="eastAsia" w:ascii="宋体" w:hAnsi="宋体" w:eastAsia="宋体" w:cs="宋体"/>
                <w:snapToGrid w:val="0"/>
                <w:color w:val="auto"/>
                <w:kern w:val="28"/>
                <w:sz w:val="24"/>
                <w:highlight w:val="none"/>
              </w:rPr>
              <w:t>金额支付至采购代理机构账户后将汇款底单、开票信息和发票邮寄地址发送至</w:t>
            </w:r>
            <w:r>
              <w:rPr>
                <w:rFonts w:hint="eastAsia" w:ascii="宋体" w:hAnsi="宋体" w:eastAsia="宋体" w:cs="宋体"/>
                <w:snapToGrid w:val="0"/>
                <w:color w:val="auto"/>
                <w:kern w:val="28"/>
                <w:sz w:val="24"/>
                <w:highlight w:val="none"/>
                <w:u w:val="single"/>
                <w:lang w:val="en-US" w:eastAsia="zh-CN"/>
              </w:rPr>
              <w:t xml:space="preserve"> 1061816448@qq.com</w:t>
            </w:r>
            <w:r>
              <w:rPr>
                <w:rFonts w:hint="eastAsia" w:ascii="宋体" w:hAnsi="宋体" w:eastAsia="宋体" w:cs="宋体"/>
                <w:snapToGrid w:val="0"/>
                <w:color w:val="auto"/>
                <w:kern w:val="28"/>
                <w:sz w:val="24"/>
                <w:highlight w:val="none"/>
              </w:rPr>
              <w:t>，采购代理机构在收到邮件后开具发票。</w:t>
            </w:r>
          </w:p>
        </w:tc>
      </w:tr>
    </w:tbl>
    <w:p w14:paraId="4C2AE13A">
      <w:pPr>
        <w:snapToGrid w:val="0"/>
        <w:jc w:val="center"/>
        <w:rPr>
          <w:rFonts w:hint="eastAsia" w:ascii="宋体" w:hAnsi="宋体" w:eastAsia="宋体" w:cs="宋体"/>
          <w:b/>
          <w:color w:val="auto"/>
          <w:sz w:val="32"/>
          <w:szCs w:val="20"/>
          <w:highlight w:val="none"/>
        </w:rPr>
      </w:pPr>
    </w:p>
    <w:p w14:paraId="47EE2239">
      <w:pPr>
        <w:rPr>
          <w:rFonts w:hint="eastAsia" w:ascii="宋体" w:hAnsi="宋体" w:eastAsia="宋体" w:cs="宋体"/>
          <w:b/>
          <w:color w:val="auto"/>
          <w:sz w:val="32"/>
          <w:szCs w:val="20"/>
          <w:highlight w:val="none"/>
        </w:rPr>
      </w:pPr>
      <w:bookmarkStart w:id="78" w:name="_Toc17607"/>
      <w:r>
        <w:rPr>
          <w:rFonts w:hint="eastAsia" w:ascii="宋体" w:hAnsi="宋体" w:eastAsia="宋体" w:cs="宋体"/>
          <w:b/>
          <w:color w:val="auto"/>
          <w:sz w:val="32"/>
          <w:szCs w:val="20"/>
          <w:highlight w:val="none"/>
        </w:rPr>
        <w:br w:type="page"/>
      </w:r>
    </w:p>
    <w:p w14:paraId="569B97C6">
      <w:pPr>
        <w:adjustRightInd/>
        <w:spacing w:line="360" w:lineRule="auto"/>
        <w:ind w:firstLine="3845" w:firstLineChars="1197"/>
        <w:outlineLvl w:val="0"/>
        <w:rPr>
          <w:rFonts w:hint="eastAsia" w:ascii="宋体" w:hAnsi="宋体" w:eastAsia="宋体" w:cs="宋体"/>
          <w:b/>
          <w:color w:val="auto"/>
          <w:sz w:val="32"/>
          <w:szCs w:val="20"/>
          <w:highlight w:val="none"/>
        </w:rPr>
      </w:pPr>
      <w:bookmarkStart w:id="79" w:name="_Toc17418"/>
      <w:r>
        <w:rPr>
          <w:rFonts w:hint="eastAsia" w:ascii="宋体" w:hAnsi="宋体" w:eastAsia="宋体" w:cs="宋体"/>
          <w:b/>
          <w:color w:val="auto"/>
          <w:sz w:val="32"/>
          <w:szCs w:val="20"/>
          <w:highlight w:val="none"/>
        </w:rPr>
        <w:t>二、总则</w:t>
      </w:r>
      <w:bookmarkEnd w:id="78"/>
      <w:bookmarkEnd w:id="79"/>
    </w:p>
    <w:p w14:paraId="6D196CF4">
      <w:pPr>
        <w:snapToGrid w:val="0"/>
        <w:spacing w:line="360" w:lineRule="auto"/>
        <w:jc w:val="left"/>
        <w:outlineLvl w:val="1"/>
        <w:rPr>
          <w:rFonts w:hint="eastAsia" w:ascii="宋体" w:hAnsi="宋体" w:eastAsia="宋体" w:cs="宋体"/>
          <w:b/>
          <w:color w:val="auto"/>
          <w:sz w:val="24"/>
          <w:highlight w:val="none"/>
        </w:rPr>
      </w:pPr>
      <w:bookmarkStart w:id="80" w:name="_Toc14113"/>
      <w:bookmarkStart w:id="81" w:name="_Toc7268"/>
      <w:r>
        <w:rPr>
          <w:rFonts w:hint="eastAsia" w:ascii="宋体" w:hAnsi="宋体" w:eastAsia="宋体" w:cs="宋体"/>
          <w:b/>
          <w:color w:val="auto"/>
          <w:sz w:val="24"/>
          <w:highlight w:val="none"/>
        </w:rPr>
        <w:t>1. 适用范围</w:t>
      </w:r>
      <w:bookmarkEnd w:id="80"/>
      <w:bookmarkEnd w:id="81"/>
    </w:p>
    <w:p w14:paraId="1E8BA457">
      <w:pPr>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本磋商文件适用于该项目的邀请、响应、开启响应文件、信用信息查询、资格性审查、评审、成交、合同、验收等行为（法律、法规另有规定的，从其规定）。</w:t>
      </w:r>
    </w:p>
    <w:p w14:paraId="20BEDB48">
      <w:pPr>
        <w:adjustRightInd/>
        <w:spacing w:line="360" w:lineRule="auto"/>
        <w:outlineLvl w:val="0"/>
        <w:rPr>
          <w:rFonts w:hint="eastAsia" w:ascii="宋体" w:hAnsi="宋体" w:eastAsia="宋体" w:cs="宋体"/>
          <w:b/>
          <w:color w:val="auto"/>
          <w:sz w:val="24"/>
          <w:highlight w:val="none"/>
        </w:rPr>
      </w:pPr>
      <w:bookmarkStart w:id="82" w:name="_Toc5477"/>
      <w:bookmarkStart w:id="83" w:name="_Toc24642"/>
      <w:r>
        <w:rPr>
          <w:rFonts w:hint="eastAsia" w:ascii="宋体" w:hAnsi="宋体" w:eastAsia="宋体" w:cs="宋体"/>
          <w:b/>
          <w:color w:val="auto"/>
          <w:sz w:val="24"/>
          <w:highlight w:val="none"/>
        </w:rPr>
        <w:t>2.定义</w:t>
      </w:r>
      <w:bookmarkEnd w:id="82"/>
      <w:bookmarkEnd w:id="83"/>
    </w:p>
    <w:p w14:paraId="6ECA2AE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 “采购人”系指磋商</w:t>
      </w:r>
      <w:r>
        <w:rPr>
          <w:rFonts w:hint="eastAsia" w:ascii="宋体" w:hAnsi="宋体" w:eastAsia="宋体" w:cs="宋体"/>
          <w:color w:val="auto"/>
          <w:sz w:val="24"/>
          <w:highlight w:val="none"/>
          <w:lang w:eastAsia="zh-CN"/>
        </w:rPr>
        <w:t>采购公告</w:t>
      </w:r>
      <w:r>
        <w:rPr>
          <w:rFonts w:hint="eastAsia" w:ascii="宋体" w:hAnsi="宋体" w:eastAsia="宋体" w:cs="宋体"/>
          <w:color w:val="auto"/>
          <w:sz w:val="24"/>
          <w:highlight w:val="none"/>
        </w:rPr>
        <w:t>中载明的本项目的采购人。</w:t>
      </w:r>
    </w:p>
    <w:p w14:paraId="6839B41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 “</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”系指磋商</w:t>
      </w:r>
      <w:r>
        <w:rPr>
          <w:rFonts w:hint="eastAsia" w:ascii="宋体" w:hAnsi="宋体" w:eastAsia="宋体" w:cs="宋体"/>
          <w:color w:val="auto"/>
          <w:sz w:val="24"/>
          <w:highlight w:val="none"/>
          <w:lang w:eastAsia="zh-CN"/>
        </w:rPr>
        <w:t>采购公告</w:t>
      </w:r>
      <w:r>
        <w:rPr>
          <w:rFonts w:hint="eastAsia" w:ascii="宋体" w:hAnsi="宋体" w:eastAsia="宋体" w:cs="宋体"/>
          <w:color w:val="auto"/>
          <w:sz w:val="24"/>
          <w:highlight w:val="none"/>
        </w:rPr>
        <w:t>中载明的本项目的</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w:t>
      </w:r>
    </w:p>
    <w:p w14:paraId="1C9B143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 “供应商”系指响应磋商、参加本次竞争的法人、其他组织或自然人。</w:t>
      </w:r>
    </w:p>
    <w:p w14:paraId="30486F0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 “负责人”系指法人企业的法定负责人，或其他组织为法律、行政法规规定代表单位行使职权的主要负责人，或自然人本人。</w:t>
      </w:r>
    </w:p>
    <w:p w14:paraId="38592C6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2.5 “成交人”系指经评审确定的成交供应商。</w:t>
      </w:r>
    </w:p>
    <w:p w14:paraId="6F0EDC9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2.6“响应文件”系指供应商提交的商务技术文件</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含初次报价文件</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。供应商提交最后报价后，最后报价是供应商响应文件的有效组成部分。</w:t>
      </w:r>
    </w:p>
    <w:p w14:paraId="7BDD27F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2.7“电子交易平台”</w:t>
      </w:r>
      <w:r>
        <w:rPr>
          <w:rFonts w:hint="eastAsia" w:ascii="宋体" w:hAnsi="宋体" w:eastAsia="宋体" w:cs="宋体"/>
          <w:color w:val="auto"/>
          <w:sz w:val="24"/>
          <w:highlight w:val="none"/>
          <w:lang w:val="en-US" w:eastAsia="zh-CN"/>
        </w:rPr>
        <w:t>系</w:t>
      </w:r>
      <w:r>
        <w:rPr>
          <w:rFonts w:hint="eastAsia" w:ascii="宋体" w:hAnsi="宋体" w:eastAsia="宋体" w:cs="宋体"/>
          <w:color w:val="auto"/>
          <w:sz w:val="24"/>
          <w:highlight w:val="none"/>
        </w:rPr>
        <w:t>指本项目政府采购活动所依托的政府采购云平台（</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"https://www.zcygov.cn/" </w:instrText>
      </w:r>
      <w:r>
        <w:rPr>
          <w:rFonts w:hint="eastAsia" w:ascii="宋体" w:hAnsi="宋体" w:eastAsia="宋体" w:cs="宋体"/>
          <w:color w:val="auto"/>
          <w:highlight w:val="none"/>
        </w:rPr>
        <w:fldChar w:fldCharType="separate"/>
      </w:r>
      <w:r>
        <w:rPr>
          <w:rStyle w:val="68"/>
          <w:rFonts w:hint="eastAsia" w:ascii="宋体" w:hAnsi="宋体" w:eastAsia="宋体" w:cs="宋体"/>
          <w:snapToGrid/>
          <w:color w:val="auto"/>
          <w:kern w:val="2"/>
          <w:sz w:val="24"/>
          <w:szCs w:val="24"/>
          <w:highlight w:val="none"/>
        </w:rPr>
        <w:t>https://www.zcygov.cn/</w:t>
      </w:r>
      <w:r>
        <w:rPr>
          <w:rStyle w:val="68"/>
          <w:rFonts w:hint="eastAsia" w:ascii="宋体" w:hAnsi="宋体" w:eastAsia="宋体" w:cs="宋体"/>
          <w:snapToGrid/>
          <w:color w:val="auto"/>
          <w:kern w:val="2"/>
          <w:sz w:val="24"/>
          <w:szCs w:val="24"/>
          <w:highlight w:val="none"/>
        </w:rPr>
        <w:fldChar w:fldCharType="end"/>
      </w:r>
      <w:r>
        <w:rPr>
          <w:rFonts w:hint="eastAsia" w:ascii="宋体" w:hAnsi="宋体" w:eastAsia="宋体" w:cs="宋体"/>
          <w:color w:val="auto"/>
          <w:sz w:val="24"/>
          <w:highlight w:val="none"/>
        </w:rPr>
        <w:t>）。</w:t>
      </w:r>
    </w:p>
    <w:p w14:paraId="0172A58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2.8“电子签名”系指数据电文中以电子形式所含、所附用于识别签名人身份并表明签名人认可其中内容的数据；“公章”系指单位法定名称章。因特殊原因需要使用冠以法定名称的业务专用章的，响应时须提供《业务专用章使用说明函》（附件</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w:t>
      </w:r>
    </w:p>
    <w:p w14:paraId="59E6F62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2.9 </w:t>
      </w:r>
      <w:r>
        <w:rPr>
          <w:rFonts w:hint="eastAsia" w:ascii="宋体" w:hAnsi="宋体" w:eastAsia="宋体" w:cs="宋体"/>
          <w:color w:val="auto"/>
          <w:sz w:val="24"/>
          <w:highlight w:val="none"/>
          <w:u w:val="single"/>
        </w:rPr>
        <w:t>“书面形式”包括数据电文形式与纸质形式。数据电文形式与纸质形式的采购活动具有同等法律效力。</w:t>
      </w:r>
    </w:p>
    <w:p w14:paraId="3C5B201C">
      <w:pPr>
        <w:snapToGrid w:val="0"/>
        <w:spacing w:line="360" w:lineRule="auto"/>
        <w:ind w:firstLine="480" w:firstLineChars="200"/>
        <w:jc w:val="left"/>
        <w:rPr>
          <w:rFonts w:hint="eastAsia" w:ascii="宋体" w:hAnsi="宋体" w:eastAsia="宋体" w:cs="宋体"/>
          <w:b/>
          <w:color w:val="auto"/>
          <w:sz w:val="24"/>
          <w:highlight w:val="none"/>
        </w:rPr>
      </w:pPr>
      <w:r>
        <w:rPr>
          <w:rFonts w:hint="eastAsia" w:ascii="宋体" w:hAnsi="宋体" w:eastAsia="宋体" w:cs="宋体"/>
          <w:color w:val="auto"/>
          <w:sz w:val="24"/>
          <w:highlight w:val="none"/>
        </w:rPr>
        <w:t>2.10 “▲” 系指实质性要求条款，“</w:t>
      </w:r>
      <w:sdt>
        <w:sdtPr>
          <w:rPr>
            <w:rFonts w:hint="eastAsia" w:ascii="宋体" w:hAnsi="宋体" w:eastAsia="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sz w:val="24"/>
          <w:highlight w:val="none"/>
        </w:rPr>
        <w:t>” 系指适用本项目的要求，“</w:t>
      </w:r>
      <w:sdt>
        <w:sdtPr>
          <w:rPr>
            <w:rFonts w:hint="eastAsia" w:ascii="宋体" w:hAnsi="宋体" w:eastAsia="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sz w:val="24"/>
          <w:highlight w:val="none"/>
        </w:rPr>
        <w:t>” 系指不适用本项目的要求。</w:t>
      </w:r>
    </w:p>
    <w:p w14:paraId="447662B0">
      <w:pPr>
        <w:adjustRightInd/>
        <w:spacing w:line="360" w:lineRule="auto"/>
        <w:outlineLvl w:val="0"/>
        <w:rPr>
          <w:rFonts w:hint="eastAsia" w:ascii="宋体" w:hAnsi="宋体" w:eastAsia="宋体" w:cs="宋体"/>
          <w:b/>
          <w:color w:val="auto"/>
          <w:sz w:val="24"/>
          <w:highlight w:val="none"/>
        </w:rPr>
      </w:pPr>
      <w:bookmarkStart w:id="84" w:name="_Toc29318"/>
      <w:bookmarkStart w:id="85" w:name="_Toc14892"/>
      <w:r>
        <w:rPr>
          <w:rFonts w:hint="eastAsia" w:ascii="宋体" w:hAnsi="宋体" w:eastAsia="宋体" w:cs="宋体"/>
          <w:b/>
          <w:color w:val="auto"/>
          <w:sz w:val="24"/>
          <w:highlight w:val="none"/>
        </w:rPr>
        <w:t>3. 响应有效期</w:t>
      </w:r>
      <w:bookmarkEnd w:id="84"/>
      <w:bookmarkEnd w:id="85"/>
    </w:p>
    <w:p w14:paraId="526AAC68">
      <w:pPr>
        <w:spacing w:line="360" w:lineRule="auto"/>
        <w:ind w:firstLine="480" w:firstLineChars="200"/>
        <w:rPr>
          <w:rFonts w:hint="eastAsia" w:ascii="宋体" w:hAnsi="宋体" w:eastAsia="宋体" w:cs="宋体"/>
          <w:b/>
          <w:color w:val="auto"/>
          <w:sz w:val="24"/>
          <w:szCs w:val="21"/>
          <w:highlight w:val="none"/>
        </w:rPr>
      </w:pPr>
      <w:r>
        <w:rPr>
          <w:rFonts w:hint="eastAsia" w:ascii="宋体" w:hAnsi="宋体" w:eastAsia="宋体" w:cs="宋体"/>
          <w:color w:val="auto"/>
          <w:sz w:val="24"/>
          <w:szCs w:val="20"/>
          <w:highlight w:val="none"/>
        </w:rPr>
        <w:t>▲3.1</w:t>
      </w:r>
      <w:r>
        <w:rPr>
          <w:rFonts w:hint="eastAsia" w:ascii="宋体" w:hAnsi="宋体" w:eastAsia="宋体" w:cs="宋体"/>
          <w:b/>
          <w:color w:val="auto"/>
          <w:sz w:val="24"/>
          <w:szCs w:val="20"/>
          <w:highlight w:val="none"/>
        </w:rPr>
        <w:t>响应有效期为从提交响应文件的截止之日起90天。供应商的响应文件中承</w:t>
      </w:r>
      <w:r>
        <w:rPr>
          <w:rFonts w:hint="eastAsia" w:ascii="宋体" w:hAnsi="宋体" w:eastAsia="宋体" w:cs="宋体"/>
          <w:b/>
          <w:color w:val="auto"/>
          <w:sz w:val="24"/>
          <w:szCs w:val="21"/>
          <w:highlight w:val="none"/>
        </w:rPr>
        <w:t>诺的响应有效期少于磋商文件中载明的磋商有效期的，响应无效。</w:t>
      </w:r>
    </w:p>
    <w:p w14:paraId="1BA553F6">
      <w:pPr>
        <w:pStyle w:val="397"/>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3.2响应文件合格提交后，自响应截止日期起，在响应有效期内有效。</w:t>
      </w:r>
    </w:p>
    <w:p w14:paraId="3217AEA9">
      <w:pPr>
        <w:pStyle w:val="397"/>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3.3在原定响应有效期满之前，如果出现特殊情况，</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可以以书面形式通知供应商延长响应有效期。供应商同意延长的，不得要求或被允许修改其响应文件;供应商拒绝延长的，其响应无效。</w:t>
      </w:r>
      <w:r>
        <w:rPr>
          <w:rFonts w:hint="eastAsia" w:ascii="宋体" w:hAnsi="宋体" w:eastAsia="宋体" w:cs="宋体"/>
          <w:color w:val="auto"/>
          <w:szCs w:val="24"/>
          <w:highlight w:val="none"/>
        </w:rPr>
        <w:t>拒绝延长磋商有效期的供应商不得再参与该项目后续采购活动。</w:t>
      </w:r>
    </w:p>
    <w:p w14:paraId="36B1BDFF">
      <w:pPr>
        <w:tabs>
          <w:tab w:val="left" w:pos="3780"/>
        </w:tabs>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4．响应费用</w:t>
      </w:r>
    </w:p>
    <w:p w14:paraId="2786F601">
      <w:pPr>
        <w:pStyle w:val="31"/>
        <w:spacing w:line="360" w:lineRule="auto"/>
        <w:ind w:firstLine="360" w:firstLineChars="15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供应商需自行承担涉及响应的一切费用</w:t>
      </w:r>
      <w:r>
        <w:rPr>
          <w:rFonts w:hint="eastAsia" w:ascii="宋体" w:hAnsi="宋体" w:eastAsia="宋体" w:cs="宋体"/>
          <w:color w:val="auto"/>
          <w:sz w:val="24"/>
          <w:highlight w:val="none"/>
          <w:lang w:val="zh-CN"/>
        </w:rPr>
        <w:t>。</w:t>
      </w:r>
    </w:p>
    <w:p w14:paraId="40CADB30">
      <w:pPr>
        <w:spacing w:line="360" w:lineRule="auto"/>
        <w:jc w:val="center"/>
        <w:rPr>
          <w:rFonts w:hint="eastAsia" w:ascii="宋体" w:hAnsi="宋体" w:eastAsia="宋体" w:cs="宋体"/>
          <w:b/>
          <w:color w:val="auto"/>
          <w:sz w:val="24"/>
          <w:highlight w:val="none"/>
        </w:rPr>
      </w:pPr>
    </w:p>
    <w:p w14:paraId="6C6544C0">
      <w:pPr>
        <w:adjustRightInd/>
        <w:spacing w:line="360" w:lineRule="auto"/>
        <w:jc w:val="center"/>
        <w:outlineLvl w:val="0"/>
        <w:rPr>
          <w:rFonts w:hint="eastAsia" w:ascii="宋体" w:hAnsi="宋体" w:eastAsia="宋体" w:cs="宋体"/>
          <w:b/>
          <w:color w:val="auto"/>
          <w:sz w:val="32"/>
          <w:szCs w:val="20"/>
          <w:highlight w:val="none"/>
        </w:rPr>
      </w:pPr>
      <w:bookmarkStart w:id="86" w:name="_Toc6825"/>
      <w:bookmarkStart w:id="87" w:name="_Toc10292"/>
      <w:r>
        <w:rPr>
          <w:rFonts w:hint="eastAsia" w:ascii="宋体" w:hAnsi="宋体" w:eastAsia="宋体" w:cs="宋体"/>
          <w:b/>
          <w:color w:val="auto"/>
          <w:sz w:val="32"/>
          <w:szCs w:val="20"/>
          <w:highlight w:val="none"/>
        </w:rPr>
        <w:t>三、需要落实的政府采购政策</w:t>
      </w:r>
      <w:bookmarkEnd w:id="86"/>
      <w:bookmarkEnd w:id="87"/>
    </w:p>
    <w:p w14:paraId="4C705D19">
      <w:pPr>
        <w:pStyle w:val="397"/>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1.是否允许采购进口产品要求</w:t>
      </w:r>
    </w:p>
    <w:p w14:paraId="35D434F9">
      <w:pPr>
        <w:pStyle w:val="31"/>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不会对其加以限制，仍将按照公平竞争原则实施采购）；</w:t>
      </w:r>
      <w:r>
        <w:rPr>
          <w:rFonts w:hint="eastAsia" w:ascii="宋体" w:hAnsi="宋体" w:eastAsia="宋体" w:cs="宋体"/>
          <w:color w:val="auto"/>
          <w:kern w:val="0"/>
          <w:sz w:val="24"/>
          <w:highlight w:val="none"/>
        </w:rPr>
        <w:t>优先采购向我国企业转让技术、与我国企业签订消化吸收再创新方案的供应商的进口产品</w:t>
      </w:r>
      <w:r>
        <w:rPr>
          <w:rFonts w:hint="eastAsia" w:ascii="宋体" w:hAnsi="宋体" w:eastAsia="宋体" w:cs="宋体"/>
          <w:color w:val="auto"/>
          <w:sz w:val="24"/>
          <w:highlight w:val="none"/>
        </w:rPr>
        <w:t>。</w:t>
      </w:r>
    </w:p>
    <w:p w14:paraId="070E22EB">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2.支持绿色发展</w:t>
      </w:r>
    </w:p>
    <w:p w14:paraId="20A6692C">
      <w:pPr>
        <w:spacing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color w:val="auto"/>
          <w:sz w:val="24"/>
          <w:highlight w:val="none"/>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磋商文件要求提供相关产品认证证书。</w:t>
      </w:r>
      <w:r>
        <w:rPr>
          <w:rFonts w:hint="eastAsia" w:ascii="宋体" w:hAnsi="宋体" w:eastAsia="宋体" w:cs="宋体"/>
          <w:b/>
          <w:color w:val="auto"/>
          <w:sz w:val="24"/>
          <w:highlight w:val="none"/>
        </w:rPr>
        <w:t>▲采购人拟采购的产品属于政府强制采购的节能产品品目清单范围的，供应商相应的响应产品未获得国家确定的认证机构出具的、处于有效期之内的节能产品认证证书的，响应无效。</w:t>
      </w:r>
    </w:p>
    <w:p w14:paraId="5787583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rPr>
        <w:t>为助力打好污染防治攻坚战，推广使用绿色包装，政府采购货物、工程和服务项目中涉及商品包装和快递包装的，供应商提</w:t>
      </w:r>
      <w:r>
        <w:rPr>
          <w:rFonts w:hint="eastAsia" w:ascii="宋体" w:hAnsi="宋体" w:cs="宋体"/>
          <w:color w:val="auto"/>
          <w:sz w:val="24"/>
          <w:highlight w:val="none"/>
          <w:lang w:eastAsia="zh-CN"/>
        </w:rPr>
        <w:t>供的</w:t>
      </w:r>
      <w:r>
        <w:rPr>
          <w:rFonts w:hint="eastAsia" w:ascii="宋体" w:hAnsi="宋体" w:eastAsia="宋体" w:cs="宋体"/>
          <w:color w:val="auto"/>
          <w:sz w:val="24"/>
          <w:highlight w:val="none"/>
        </w:rPr>
        <w:t>产品及相关快递服务的具体包装要求要参考《商品包装政府采购</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需求标准（试行）》、《快递包装政府采购需求标准（试行）》。</w:t>
      </w:r>
    </w:p>
    <w:p w14:paraId="537900C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rPr>
        <w:t>鼓励供应商在参加政府采购过程中开展绿色设计、选择绿色材料、打造绿色制造工艺、开展绿色运输、做好废弃产品回收处理，实现产品全周期的绿色环保。</w:t>
      </w:r>
    </w:p>
    <w:p w14:paraId="0B1B267C">
      <w:pPr>
        <w:pStyle w:val="31"/>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3.支持中小企业发展。</w:t>
      </w:r>
    </w:p>
    <w:p w14:paraId="2AB2B24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3.1中小企业，是指在中华人民共和国境内依法设立，依据国务院批准的中小企业划分标准确定的中型企业、小型企业和微型企业，但与大企业的负责人为同一人，或者与大企业存在直接控股、管理关系的除外。</w:t>
      </w:r>
    </w:p>
    <w:p w14:paraId="373991F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符合中小企业划分标准的个体工商户，在政府采购活动中视同中小企业。</w:t>
      </w:r>
    </w:p>
    <w:p w14:paraId="3B4ADE9A">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bCs/>
          <w:color w:val="auto"/>
          <w:sz w:val="24"/>
          <w:highlight w:val="none"/>
        </w:rPr>
        <w:t>3.2</w:t>
      </w:r>
      <w:r>
        <w:rPr>
          <w:rFonts w:hint="eastAsia" w:ascii="宋体" w:hAnsi="宋体" w:eastAsia="宋体" w:cs="宋体"/>
          <w:color w:val="auto"/>
          <w:kern w:val="0"/>
          <w:sz w:val="24"/>
          <w:highlight w:val="none"/>
        </w:rPr>
        <w:t>在政府采购活动中，服务类项目采购，服务由中小企业承接，即提供服务的人员为中小企业依照《中华人民共和国劳动合同法》订立劳动合同的从业人员，享受中小企业扶持政策。</w:t>
      </w:r>
    </w:p>
    <w:p w14:paraId="57CE58A0">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以联合体形式参加政府采购活动，联合体各方均为中小企业的，联合体视同中小企业。其中，联合体各方均为小微企业的，联合体视同小微企业。</w:t>
      </w:r>
    </w:p>
    <w:p w14:paraId="54A3704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对于未预留份额专门面向中小企业的政府采购服务项目，以及预留份额政府采购服务项目中的非预留部分标项，对小型和微型企业的最后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最后报价给予4%的扣除，用扣除后的价格参加评审。组成联合体或者接受分包的小微企业与联合体内其他企业、分包企业之间存在直接控股、管理关系的，不享受价格扣除优惠政策。</w:t>
      </w:r>
    </w:p>
    <w:p w14:paraId="6DD766A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3.4符合《关于促进残疾人就业政府采购政策的通知》（财库〔2017〕141号）规定的条件并提供《残疾人福利性单位声明函》（附件</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）的残疾人福利性单位视同小型、微型企业；</w:t>
      </w:r>
    </w:p>
    <w:p w14:paraId="01E967B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3.5符合《关于政府采购支持监狱企业发展有关问题的通知》（财库[2014]68号）规定的监狱企业并提供由省级以上监狱管理局、戒毒管理局（含新疆生产建设兵团）出具的属于监狱企业证明文件的，视同为小型、微型企业。</w:t>
      </w:r>
    </w:p>
    <w:p w14:paraId="0190B6C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3.6可享受中小企业扶持政策的供应商应按照磋商文件格式要求提供《中小企业声明函》，供应商提供的《中小企业声明函》与实际情况不符的，不享受中小企业扶持政策。声明内容不实的，属于提供虚假材料谋取中标、成交的，依法承担法律责任。</w:t>
      </w:r>
    </w:p>
    <w:p w14:paraId="4807C28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3.7中小企业享受扶持政策获得政府采购合同的，小微企业不得将合同分包给大中型企业，中型企业不得将合同分包给大型企业。</w:t>
      </w:r>
    </w:p>
    <w:p w14:paraId="4DDE5D41">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4.</w:t>
      </w:r>
      <w:r>
        <w:rPr>
          <w:rFonts w:hint="eastAsia" w:ascii="宋体" w:hAnsi="宋体" w:eastAsia="宋体" w:cs="宋体"/>
          <w:b/>
          <w:bCs/>
          <w:color w:val="auto"/>
          <w:sz w:val="24"/>
          <w:highlight w:val="none"/>
        </w:rPr>
        <w:t>支持创新发展</w:t>
      </w:r>
    </w:p>
    <w:p w14:paraId="1441EB1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4.1 对省级以上主管部门认定的首台套产品，自纳入《省推广应用指导目录》起三年内参加政府采购活动，视同已具备相应销售业绩，业绩分为满分。自认定之日起2年内视同已具备相应销售业绩，参加政府采购活动时业绩分值为满分。</w:t>
      </w:r>
    </w:p>
    <w:p w14:paraId="02C8E51B">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5.平等对待内外资企业和符合条件的破产重整企业</w:t>
      </w:r>
    </w:p>
    <w:p w14:paraId="69EAE36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平等对待内外资企业和符合条件的破产重整企业，切实保障企业公平竞争，平等维护企业的合法利益。</w:t>
      </w:r>
    </w:p>
    <w:p w14:paraId="12124842">
      <w:pPr>
        <w:spacing w:line="360" w:lineRule="auto"/>
        <w:ind w:firstLine="480" w:firstLineChars="200"/>
        <w:rPr>
          <w:rFonts w:hint="eastAsia" w:ascii="宋体" w:hAnsi="宋体" w:eastAsia="宋体" w:cs="宋体"/>
          <w:color w:val="auto"/>
          <w:sz w:val="24"/>
          <w:highlight w:val="none"/>
        </w:rPr>
      </w:pPr>
    </w:p>
    <w:p w14:paraId="582702A8">
      <w:pPr>
        <w:adjustRightInd/>
        <w:spacing w:line="360" w:lineRule="auto"/>
        <w:jc w:val="center"/>
        <w:outlineLvl w:val="0"/>
        <w:rPr>
          <w:rFonts w:hint="eastAsia" w:ascii="宋体" w:hAnsi="宋体" w:eastAsia="宋体" w:cs="宋体"/>
          <w:b/>
          <w:color w:val="auto"/>
          <w:sz w:val="32"/>
          <w:szCs w:val="20"/>
          <w:highlight w:val="none"/>
        </w:rPr>
      </w:pPr>
      <w:bookmarkStart w:id="88" w:name="_Toc16742"/>
      <w:bookmarkStart w:id="89" w:name="_Toc21032"/>
      <w:r>
        <w:rPr>
          <w:rFonts w:hint="eastAsia" w:ascii="宋体" w:hAnsi="宋体" w:eastAsia="宋体" w:cs="宋体"/>
          <w:b/>
          <w:color w:val="auto"/>
          <w:sz w:val="32"/>
          <w:szCs w:val="20"/>
          <w:highlight w:val="none"/>
        </w:rPr>
        <w:t>四、询问、质疑与投诉</w:t>
      </w:r>
      <w:bookmarkEnd w:id="88"/>
      <w:bookmarkEnd w:id="89"/>
    </w:p>
    <w:p w14:paraId="5E4600FB">
      <w:pPr>
        <w:pStyle w:val="31"/>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1.在线询问、质疑、投诉</w:t>
      </w:r>
    </w:p>
    <w:p w14:paraId="5FCB5091">
      <w:pPr>
        <w:pStyle w:val="31"/>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D6D860A">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 供应商询问</w:t>
      </w:r>
    </w:p>
    <w:p w14:paraId="0D82E7B8">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6E01878C">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 供应商质疑</w:t>
      </w:r>
    </w:p>
    <w:p w14:paraId="04DCC4BB">
      <w:pPr>
        <w:pStyle w:val="31"/>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val="zh-CN"/>
        </w:rPr>
        <w:t>3</w:t>
      </w:r>
      <w:r>
        <w:rPr>
          <w:rFonts w:hint="eastAsia" w:ascii="宋体" w:hAnsi="宋体" w:eastAsia="宋体" w:cs="宋体"/>
          <w:b/>
          <w:color w:val="auto"/>
          <w:sz w:val="24"/>
          <w:highlight w:val="none"/>
        </w:rPr>
        <w:t>.1质疑提出时效</w:t>
      </w:r>
    </w:p>
    <w:p w14:paraId="7238324F">
      <w:pPr>
        <w:pStyle w:val="31"/>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3.1.1提出质疑的供应商应当是参与所质疑项目采购活动的供应商。潜在供应商已依法获取其可质疑的采购文件的，可以对该文件提出质疑。</w:t>
      </w:r>
    </w:p>
    <w:p w14:paraId="3925FEB2">
      <w:pPr>
        <w:pStyle w:val="31"/>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3</w:t>
      </w:r>
      <w:r>
        <w:rPr>
          <w:rFonts w:hint="eastAsia" w:ascii="宋体" w:hAnsi="宋体" w:eastAsia="宋体" w:cs="宋体"/>
          <w:color w:val="auto"/>
          <w:sz w:val="24"/>
          <w:highlight w:val="none"/>
        </w:rPr>
        <w:t>.1.2供应商认为采购文件、采购过程和成交结果使自己的权益受到损害的，可以在知道或者应知其权益受到损害之日起七个工作日内，以书面形式向采购人或者</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提出质疑，否则，采购人或者</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不予受理：</w:t>
      </w:r>
    </w:p>
    <w:p w14:paraId="7B236C42">
      <w:pPr>
        <w:pStyle w:val="15"/>
        <w:spacing w:line="360" w:lineRule="auto"/>
        <w:ind w:firstLine="434" w:firstLineChars="181"/>
        <w:rPr>
          <w:rFonts w:hint="eastAsia" w:ascii="宋体" w:hAnsi="宋体" w:eastAsia="宋体" w:cs="宋体"/>
          <w:snapToGrid/>
          <w:color w:val="auto"/>
          <w:kern w:val="2"/>
          <w:sz w:val="24"/>
          <w:highlight w:val="none"/>
        </w:rPr>
      </w:pPr>
      <w:r>
        <w:rPr>
          <w:rFonts w:hint="eastAsia" w:ascii="宋体" w:hAnsi="宋体" w:eastAsia="宋体" w:cs="宋体"/>
          <w:snapToGrid/>
          <w:color w:val="auto"/>
          <w:kern w:val="2"/>
          <w:sz w:val="24"/>
          <w:highlight w:val="none"/>
        </w:rPr>
        <w:t>3.1.2.1对采购文件提出质疑的，质疑期限为供应商获得采购文件之日或者采购文件公告期限届满之日起计算，采购文件在获取截止之日后获得的，应当自采购文件公告期限届满之日起计算。</w:t>
      </w:r>
    </w:p>
    <w:p w14:paraId="6A7A20FA">
      <w:pPr>
        <w:pStyle w:val="31"/>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3.1.2.2对采购过程提出质疑的，质疑期限为各采购程序环节结束之日起计算。</w:t>
      </w:r>
    </w:p>
    <w:p w14:paraId="40AFE528">
      <w:pPr>
        <w:pStyle w:val="31"/>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3.1.2.3对采购结果提出质疑的，质疑期限自采购结果公告期限届满之日起计算。</w:t>
      </w:r>
    </w:p>
    <w:p w14:paraId="0C1F2327">
      <w:pPr>
        <w:pStyle w:val="31"/>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3.1.2.4对同一采购程序环节的质疑，供应商须一次性提出。</w:t>
      </w:r>
    </w:p>
    <w:p w14:paraId="67660B6F">
      <w:pPr>
        <w:pStyle w:val="31"/>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3.2质疑答复</w:t>
      </w:r>
    </w:p>
    <w:p w14:paraId="0D556C5E">
      <w:pPr>
        <w:pStyle w:val="620"/>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sz w:val="24"/>
          <w:highlight w:val="none"/>
        </w:rPr>
        <w:t>3.2.</w:t>
      </w:r>
      <w:r>
        <w:rPr>
          <w:rFonts w:hint="eastAsia" w:cs="宋体"/>
          <w:color w:val="auto"/>
          <w:sz w:val="24"/>
          <w:highlight w:val="none"/>
          <w:lang w:val="en-US" w:eastAsia="zh-CN"/>
        </w:rPr>
        <w:t>1</w:t>
      </w:r>
      <w:r>
        <w:rPr>
          <w:rFonts w:hint="eastAsia" w:ascii="宋体" w:hAnsi="宋体" w:eastAsia="宋体" w:cs="宋体"/>
          <w:color w:val="auto"/>
          <w:sz w:val="24"/>
          <w:highlight w:val="none"/>
        </w:rPr>
        <w:t>采购人或者</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应当在收到供应商的书面质疑后七个工作日内作出答复，并以书面形式通知质疑供应商和其他与质疑处理结果有利害关系的政府采购当事人，但答复的内容不得涉及商业秘密。根据《</w:t>
      </w:r>
      <w:r>
        <w:rPr>
          <w:rFonts w:hint="eastAsia" w:ascii="宋体" w:hAnsi="宋体" w:eastAsia="宋体" w:cs="宋体"/>
          <w:color w:val="auto"/>
          <w:sz w:val="24"/>
          <w:highlight w:val="none"/>
          <w:lang w:val="en-US" w:eastAsia="zh-CN"/>
        </w:rPr>
        <w:t>浙江省财政厅关于进一步加强政府采购公平竞争打造最优营商环境的通知》（浙财采监〔2021〕22号</w:t>
      </w:r>
      <w:r>
        <w:rPr>
          <w:rFonts w:hint="eastAsia" w:ascii="宋体" w:hAnsi="宋体" w:eastAsia="宋体" w:cs="宋体"/>
          <w:color w:val="auto"/>
          <w:sz w:val="24"/>
          <w:highlight w:val="none"/>
        </w:rPr>
        <w:t>）</w:t>
      </w:r>
      <w:r>
        <w:rPr>
          <w:rFonts w:hint="eastAsia" w:ascii="宋体" w:hAnsi="宋体" w:eastAsia="宋体" w:cs="宋体"/>
          <w:color w:val="auto"/>
          <w:highlight w:val="none"/>
        </w:rPr>
        <w:t>,采购人或者</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在质疑回复后5个工作日内，在浙江政府采购网的“</w:t>
      </w:r>
      <w:r>
        <w:rPr>
          <w:rFonts w:hint="eastAsia" w:ascii="宋体" w:hAnsi="宋体" w:eastAsia="宋体" w:cs="宋体"/>
          <w:color w:val="auto"/>
          <w:kern w:val="0"/>
          <w:sz w:val="24"/>
          <w:highlight w:val="none"/>
          <w:lang w:val="zh-CN" w:eastAsia="zh-CN"/>
        </w:rPr>
        <w:t>质疑回复公告</w:t>
      </w:r>
      <w:r>
        <w:rPr>
          <w:rFonts w:hint="eastAsia" w:ascii="宋体" w:hAnsi="宋体" w:eastAsia="宋体" w:cs="宋体"/>
          <w:color w:val="auto"/>
          <w:highlight w:val="none"/>
        </w:rPr>
        <w:t>”栏目公开质疑答复，答复内容应当完整。质疑函作为附件上传。</w:t>
      </w:r>
    </w:p>
    <w:p w14:paraId="7B8D6A59">
      <w:pPr>
        <w:pStyle w:val="31"/>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w:t>
      </w:r>
      <w:r>
        <w:rPr>
          <w:rFonts w:hint="eastAsia" w:hAnsi="宋体" w:cs="宋体"/>
          <w:color w:val="auto"/>
          <w:sz w:val="24"/>
          <w:highlight w:val="none"/>
          <w:lang w:val="en-US" w:eastAsia="zh-CN"/>
        </w:rPr>
        <w:t>2</w:t>
      </w:r>
      <w:r>
        <w:rPr>
          <w:rFonts w:hint="eastAsia" w:ascii="宋体" w:hAnsi="宋体" w:eastAsia="宋体" w:cs="宋体"/>
          <w:color w:val="auto"/>
          <w:sz w:val="24"/>
          <w:highlight w:val="none"/>
        </w:rPr>
        <w:t>询问或者质疑事项可能影响采购结果的，采购人应当暂停签订合同，已经签订合同的，应当中止履行合同。</w:t>
      </w:r>
    </w:p>
    <w:p w14:paraId="31833FDC">
      <w:pPr>
        <w:pStyle w:val="31"/>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kern w:val="0"/>
          <w:sz w:val="24"/>
          <w:highlight w:val="none"/>
          <w:lang w:val="zh-CN"/>
        </w:rPr>
        <w:t>3.3质疑函</w:t>
      </w:r>
    </w:p>
    <w:p w14:paraId="395E5E2C">
      <w:pPr>
        <w:pStyle w:val="31"/>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3.3.1供应商提出质疑应当提交质疑函和必要的证明材料。质疑函应当包括下列内容：</w:t>
      </w:r>
    </w:p>
    <w:p w14:paraId="6DB42572">
      <w:pPr>
        <w:pStyle w:val="31"/>
        <w:numPr>
          <w:ilvl w:val="0"/>
          <w:numId w:val="4"/>
        </w:numPr>
        <w:tabs>
          <w:tab w:val="left" w:pos="426"/>
          <w:tab w:val="clear" w:pos="840"/>
        </w:tabs>
        <w:spacing w:line="360" w:lineRule="auto"/>
        <w:ind w:left="284"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供应商的姓名或者名称、地址、邮编、联系人及联系电话；</w:t>
      </w:r>
    </w:p>
    <w:p w14:paraId="2A4CB5EA">
      <w:pPr>
        <w:pStyle w:val="31"/>
        <w:numPr>
          <w:ilvl w:val="0"/>
          <w:numId w:val="4"/>
        </w:numPr>
        <w:tabs>
          <w:tab w:val="left" w:pos="426"/>
          <w:tab w:val="clear" w:pos="840"/>
        </w:tabs>
        <w:spacing w:line="360" w:lineRule="auto"/>
        <w:ind w:left="284"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质疑项目的名称、编号；</w:t>
      </w:r>
    </w:p>
    <w:p w14:paraId="64335EE9">
      <w:pPr>
        <w:pStyle w:val="31"/>
        <w:numPr>
          <w:ilvl w:val="0"/>
          <w:numId w:val="4"/>
        </w:numPr>
        <w:tabs>
          <w:tab w:val="left" w:pos="426"/>
          <w:tab w:val="clear" w:pos="840"/>
        </w:tabs>
        <w:spacing w:line="360" w:lineRule="auto"/>
        <w:ind w:left="284"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具体、明确的质疑事项和与质疑事项相关的请求；</w:t>
      </w:r>
    </w:p>
    <w:p w14:paraId="20BFA10D">
      <w:pPr>
        <w:pStyle w:val="31"/>
        <w:numPr>
          <w:ilvl w:val="0"/>
          <w:numId w:val="4"/>
        </w:numPr>
        <w:tabs>
          <w:tab w:val="left" w:pos="426"/>
          <w:tab w:val="clear" w:pos="840"/>
        </w:tabs>
        <w:spacing w:line="360" w:lineRule="auto"/>
        <w:ind w:left="284"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事实依据；</w:t>
      </w:r>
    </w:p>
    <w:p w14:paraId="4AEEFE61">
      <w:pPr>
        <w:pStyle w:val="31"/>
        <w:numPr>
          <w:ilvl w:val="0"/>
          <w:numId w:val="4"/>
        </w:numPr>
        <w:tabs>
          <w:tab w:val="left" w:pos="426"/>
          <w:tab w:val="clear" w:pos="840"/>
        </w:tabs>
        <w:spacing w:line="360" w:lineRule="auto"/>
        <w:ind w:left="284"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必要的法律依据；</w:t>
      </w:r>
    </w:p>
    <w:p w14:paraId="07DFC5A8">
      <w:pPr>
        <w:pStyle w:val="31"/>
        <w:numPr>
          <w:ilvl w:val="0"/>
          <w:numId w:val="4"/>
        </w:numPr>
        <w:tabs>
          <w:tab w:val="left" w:pos="426"/>
          <w:tab w:val="clear" w:pos="840"/>
        </w:tabs>
        <w:spacing w:line="360" w:lineRule="auto"/>
        <w:ind w:left="284"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提出质疑的日期。</w:t>
      </w:r>
    </w:p>
    <w:p w14:paraId="7FB2A289">
      <w:pPr>
        <w:pStyle w:val="31"/>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供应商提交的质疑函需一式三份。供应商为自然人的，应当由本人签字；供应商为法人或者其他组织的，应当由法定代表人、主要负责人，或者其授权代表签字或者盖章，并加盖公章。</w:t>
      </w:r>
    </w:p>
    <w:p w14:paraId="451F211B">
      <w:pPr>
        <w:pStyle w:val="31"/>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质疑函范本请到浙江政府采购网下载专区下载。</w:t>
      </w:r>
    </w:p>
    <w:p w14:paraId="509163C9">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4.供应商投诉</w:t>
      </w:r>
    </w:p>
    <w:p w14:paraId="02DE4083">
      <w:pPr>
        <w:pStyle w:val="31"/>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4.1质疑供应商对采购人、</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的答复不满意或者采购人、</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未在规定的时间内作出答复的，可以在答复期满后十五个工作日内向同级政府采购监督管理部门提出投诉。</w:t>
      </w:r>
    </w:p>
    <w:p w14:paraId="5FE5DC9E">
      <w:pPr>
        <w:pStyle w:val="31"/>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4.2供应商投诉的事项不得超出已质疑事项的范围，基于质疑答复内容提出的投诉事项除外。</w:t>
      </w:r>
    </w:p>
    <w:p w14:paraId="55578176">
      <w:pPr>
        <w:pStyle w:val="31"/>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4.3供应商投诉应当有明确的请求和必要的证明材料。</w:t>
      </w:r>
    </w:p>
    <w:p w14:paraId="24BB7E86">
      <w:pPr>
        <w:pStyle w:val="31"/>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4.4以联合体形式参加政府采购活动的，其投诉应当由组成联合体的所有供应商共同提出。</w:t>
      </w:r>
    </w:p>
    <w:p w14:paraId="0E271178">
      <w:pPr>
        <w:pStyle w:val="31"/>
        <w:spacing w:line="360" w:lineRule="auto"/>
        <w:ind w:firstLine="480" w:firstLineChars="200"/>
        <w:rPr>
          <w:rFonts w:hint="eastAsia" w:ascii="宋体" w:hAnsi="宋体" w:eastAsia="宋体" w:cs="宋体"/>
          <w:color w:val="auto"/>
          <w:sz w:val="24"/>
          <w:highlight w:val="none"/>
          <w:lang w:val="en-US"/>
        </w:rPr>
      </w:pPr>
      <w:r>
        <w:rPr>
          <w:rFonts w:hint="eastAsia" w:ascii="宋体" w:hAnsi="宋体" w:eastAsia="宋体" w:cs="宋体"/>
          <w:color w:val="auto"/>
          <w:sz w:val="24"/>
          <w:highlight w:val="none"/>
        </w:rPr>
        <w:t>4.5</w:t>
      </w:r>
      <w:r>
        <w:rPr>
          <w:rFonts w:hint="eastAsia" w:ascii="宋体" w:hAnsi="宋体" w:eastAsia="宋体" w:cs="宋体"/>
          <w:color w:val="auto"/>
          <w:sz w:val="24"/>
          <w:szCs w:val="24"/>
          <w:highlight w:val="none"/>
        </w:rPr>
        <w:t>投诉材料可寄送至</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详见《第一部分 邀请供应商》。</w:t>
      </w:r>
    </w:p>
    <w:p w14:paraId="10008FC1">
      <w:pPr>
        <w:pStyle w:val="31"/>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bCs/>
          <w:color w:val="auto"/>
          <w:kern w:val="0"/>
          <w:sz w:val="24"/>
          <w:highlight w:val="none"/>
          <w:lang w:val="en-US" w:eastAsia="zh-CN"/>
        </w:rPr>
        <w:t>投诉书范本请到浙江政府采购网下载专区下载。</w:t>
      </w:r>
    </w:p>
    <w:p w14:paraId="0A97A9B4">
      <w:pPr>
        <w:adjustRightInd/>
        <w:spacing w:line="360" w:lineRule="auto"/>
        <w:jc w:val="center"/>
        <w:outlineLvl w:val="0"/>
        <w:rPr>
          <w:rFonts w:hint="eastAsia" w:ascii="宋体" w:hAnsi="宋体" w:eastAsia="宋体" w:cs="宋体"/>
          <w:b/>
          <w:color w:val="auto"/>
          <w:sz w:val="32"/>
          <w:szCs w:val="20"/>
          <w:highlight w:val="none"/>
        </w:rPr>
      </w:pPr>
    </w:p>
    <w:p w14:paraId="64538667">
      <w:pPr>
        <w:adjustRightInd/>
        <w:spacing w:line="360" w:lineRule="auto"/>
        <w:jc w:val="center"/>
        <w:outlineLvl w:val="0"/>
        <w:rPr>
          <w:rFonts w:hint="eastAsia" w:ascii="宋体" w:hAnsi="宋体" w:eastAsia="宋体" w:cs="宋体"/>
          <w:b/>
          <w:color w:val="auto"/>
          <w:sz w:val="32"/>
          <w:szCs w:val="20"/>
          <w:highlight w:val="none"/>
        </w:rPr>
      </w:pPr>
      <w:bookmarkStart w:id="90" w:name="_Toc2063"/>
      <w:bookmarkStart w:id="91" w:name="_Toc4210"/>
      <w:r>
        <w:rPr>
          <w:rFonts w:hint="eastAsia" w:ascii="宋体" w:hAnsi="宋体" w:eastAsia="宋体" w:cs="宋体"/>
          <w:b/>
          <w:color w:val="auto"/>
          <w:sz w:val="32"/>
          <w:szCs w:val="20"/>
          <w:highlight w:val="none"/>
        </w:rPr>
        <w:t>五、磋商文件构成、修改、解释</w:t>
      </w:r>
      <w:bookmarkEnd w:id="90"/>
      <w:bookmarkEnd w:id="91"/>
    </w:p>
    <w:p w14:paraId="43727584">
      <w:pPr>
        <w:autoSpaceDE w:val="0"/>
        <w:autoSpaceDN w:val="0"/>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1．磋商文件的构成</w:t>
      </w:r>
    </w:p>
    <w:p w14:paraId="78A7E46C">
      <w:pPr>
        <w:pStyle w:val="31"/>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 磋商文件包括下列文件及附件</w:t>
      </w:r>
    </w:p>
    <w:p w14:paraId="7C22DCA7">
      <w:pPr>
        <w:pStyle w:val="31"/>
        <w:numPr>
          <w:ilvl w:val="0"/>
          <w:numId w:val="4"/>
        </w:numPr>
        <w:spacing w:line="360" w:lineRule="auto"/>
        <w:ind w:left="839"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第一部分  邀请供应商</w:t>
      </w:r>
    </w:p>
    <w:p w14:paraId="1B347E92">
      <w:pPr>
        <w:pStyle w:val="31"/>
        <w:numPr>
          <w:ilvl w:val="0"/>
          <w:numId w:val="4"/>
        </w:numPr>
        <w:spacing w:line="360" w:lineRule="auto"/>
        <w:ind w:left="839"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第二部分  竞争性磋商流程</w:t>
      </w:r>
    </w:p>
    <w:p w14:paraId="3783BB64">
      <w:pPr>
        <w:pStyle w:val="31"/>
        <w:numPr>
          <w:ilvl w:val="0"/>
          <w:numId w:val="4"/>
        </w:numPr>
        <w:spacing w:line="360" w:lineRule="auto"/>
        <w:ind w:left="839"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第三部分  供应商须知</w:t>
      </w:r>
    </w:p>
    <w:p w14:paraId="609AB746">
      <w:pPr>
        <w:pStyle w:val="31"/>
        <w:numPr>
          <w:ilvl w:val="0"/>
          <w:numId w:val="4"/>
        </w:numPr>
        <w:spacing w:line="360" w:lineRule="auto"/>
        <w:ind w:left="839"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第四部分  采购需求</w:t>
      </w:r>
    </w:p>
    <w:p w14:paraId="637B6774">
      <w:pPr>
        <w:pStyle w:val="31"/>
        <w:numPr>
          <w:ilvl w:val="0"/>
          <w:numId w:val="4"/>
        </w:numPr>
        <w:spacing w:line="360" w:lineRule="auto"/>
        <w:ind w:left="839"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第五部分  评审方法及评审标准</w:t>
      </w:r>
    </w:p>
    <w:p w14:paraId="5B2C21C2">
      <w:pPr>
        <w:pStyle w:val="31"/>
        <w:numPr>
          <w:ilvl w:val="0"/>
          <w:numId w:val="4"/>
        </w:numPr>
        <w:spacing w:line="360" w:lineRule="auto"/>
        <w:ind w:left="839"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第六部分  拟签订的合同文本</w:t>
      </w:r>
    </w:p>
    <w:p w14:paraId="1E265620">
      <w:pPr>
        <w:pStyle w:val="31"/>
        <w:numPr>
          <w:ilvl w:val="0"/>
          <w:numId w:val="4"/>
        </w:numPr>
        <w:spacing w:line="360" w:lineRule="auto"/>
        <w:ind w:left="839"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第七部分  应提交的有关格式范例</w:t>
      </w:r>
    </w:p>
    <w:p w14:paraId="193FF737">
      <w:pPr>
        <w:pStyle w:val="31"/>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1.2 </w:t>
      </w:r>
      <w:r>
        <w:rPr>
          <w:rFonts w:hint="eastAsia" w:ascii="宋体" w:hAnsi="宋体" w:eastAsia="宋体" w:cs="宋体"/>
          <w:color w:val="auto"/>
          <w:sz w:val="24"/>
          <w:highlight w:val="none"/>
        </w:rPr>
        <w:t>与本项目有关的</w:t>
      </w:r>
      <w:r>
        <w:rPr>
          <w:rFonts w:hint="eastAsia" w:ascii="宋体" w:hAnsi="宋体" w:eastAsia="宋体" w:cs="宋体"/>
          <w:bCs/>
          <w:color w:val="auto"/>
          <w:sz w:val="24"/>
          <w:highlight w:val="none"/>
        </w:rPr>
        <w:t>澄清或者修改的内容为磋商文件的组成部分</w:t>
      </w:r>
      <w:r>
        <w:rPr>
          <w:rFonts w:hint="eastAsia" w:ascii="宋体" w:hAnsi="宋体" w:eastAsia="宋体" w:cs="宋体"/>
          <w:color w:val="auto"/>
          <w:sz w:val="24"/>
          <w:highlight w:val="none"/>
        </w:rPr>
        <w:t>。</w:t>
      </w:r>
    </w:p>
    <w:p w14:paraId="31373D51">
      <w:pPr>
        <w:pStyle w:val="31"/>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 磋商文件的澄清、修改</w:t>
      </w:r>
    </w:p>
    <w:p w14:paraId="6B749EE1">
      <w:pPr>
        <w:pStyle w:val="397"/>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2.1已获取磋商文件的潜在供应商，若有问题需要澄清，应于提交首次响应文件截止时间前，以书面形式向</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提出。</w:t>
      </w:r>
    </w:p>
    <w:p w14:paraId="27BE46DF">
      <w:pPr>
        <w:pStyle w:val="397"/>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2.2</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对磋商文件进行澄清或修改的，将同时通过电子交易平台通知已获取磋商文件的供应商。依法应当公告的，将按规定公告，同时视情况延长提交首次响应文件截止时间和响应文件开启时间。该澄清或者修改的内容为磋商文件的组成部分。</w:t>
      </w:r>
    </w:p>
    <w:p w14:paraId="4E33116C">
      <w:pPr>
        <w:pStyle w:val="397"/>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2.3澄清或者修改的内容可能影响响应文件编制的，采购人、</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应当在提交首次响应文件截止时间至少5日前，通过电子交易平台通知所有获取磋商文件的供应商；不足5日的，采购人、</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应当顺延提交首次响应文件截止时间。</w:t>
      </w:r>
    </w:p>
    <w:p w14:paraId="34BE249C">
      <w:pPr>
        <w:pStyle w:val="397"/>
        <w:snapToGrid w:val="0"/>
        <w:spacing w:before="0"/>
        <w:ind w:firstLine="482"/>
        <w:rPr>
          <w:rFonts w:hint="eastAsia" w:ascii="宋体" w:hAnsi="宋体" w:eastAsia="宋体" w:cs="宋体"/>
          <w:color w:val="auto"/>
          <w:highlight w:val="none"/>
        </w:rPr>
      </w:pPr>
      <w:r>
        <w:rPr>
          <w:rFonts w:hint="eastAsia" w:ascii="宋体" w:hAnsi="宋体" w:eastAsia="宋体" w:cs="宋体"/>
          <w:b/>
          <w:color w:val="auto"/>
          <w:highlight w:val="none"/>
        </w:rPr>
        <w:t>▲</w:t>
      </w:r>
      <w:r>
        <w:rPr>
          <w:rFonts w:hint="eastAsia" w:ascii="宋体" w:hAnsi="宋体" w:eastAsia="宋体" w:cs="宋体"/>
          <w:b/>
          <w:color w:val="auto"/>
          <w:szCs w:val="21"/>
          <w:highlight w:val="none"/>
        </w:rPr>
        <w:t>响应文件未按磋商文件的澄清、修改的内容编制，又不符合实质性要求的，响应无效。</w:t>
      </w:r>
    </w:p>
    <w:p w14:paraId="72D39467">
      <w:pPr>
        <w:pStyle w:val="31"/>
        <w:spacing w:line="360" w:lineRule="auto"/>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3.</w:t>
      </w:r>
      <w:r>
        <w:rPr>
          <w:rFonts w:hint="eastAsia" w:ascii="宋体" w:hAnsi="宋体" w:eastAsia="宋体" w:cs="宋体"/>
          <w:b/>
          <w:color w:val="auto"/>
          <w:sz w:val="24"/>
          <w:szCs w:val="24"/>
          <w:highlight w:val="none"/>
        </w:rPr>
        <w:t>关于分公司</w:t>
      </w:r>
      <w:r>
        <w:rPr>
          <w:rFonts w:hint="eastAsia" w:ascii="宋体" w:hAnsi="宋体" w:eastAsia="宋体" w:cs="宋体"/>
          <w:b/>
          <w:color w:val="auto"/>
          <w:sz w:val="24"/>
          <w:szCs w:val="24"/>
          <w:highlight w:val="none"/>
          <w:lang w:val="en-US" w:eastAsia="zh-CN"/>
        </w:rPr>
        <w:t>响应</w:t>
      </w:r>
    </w:p>
    <w:p w14:paraId="0482DA85">
      <w:pPr>
        <w:pStyle w:val="397"/>
        <w:snapToGrid w:val="0"/>
        <w:spacing w:before="0"/>
        <w:ind w:left="0" w:leftChars="0" w:firstLine="480" w:firstLineChars="20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3.1</w:t>
      </w:r>
      <w:r>
        <w:rPr>
          <w:rFonts w:hint="eastAsia" w:ascii="宋体" w:hAnsi="宋体" w:eastAsia="宋体" w:cs="宋体"/>
          <w:color w:val="auto"/>
          <w:highlight w:val="none"/>
        </w:rPr>
        <w:t>除银行、保险、石油石化、电力、电信等行业外，分公司</w:t>
      </w:r>
      <w:r>
        <w:rPr>
          <w:rFonts w:hint="eastAsia" w:ascii="宋体" w:hAnsi="宋体" w:eastAsia="宋体" w:cs="宋体"/>
          <w:color w:val="auto"/>
          <w:highlight w:val="none"/>
          <w:lang w:val="en-US" w:eastAsia="zh-CN"/>
        </w:rPr>
        <w:t>响应</w:t>
      </w:r>
      <w:r>
        <w:rPr>
          <w:rFonts w:hint="eastAsia" w:ascii="宋体" w:hAnsi="宋体" w:eastAsia="宋体" w:cs="宋体"/>
          <w:color w:val="auto"/>
          <w:highlight w:val="none"/>
        </w:rPr>
        <w:t>的，需提供具有法人资格的总公司的营业执照原件扫描件及授权书，授权书须加盖总公司公章。总公司可就本项目或此类项目在一定范围或时间内出具授权书。已由总公司授权的，总公司取得的相关资质证书对分公司有效。</w:t>
      </w:r>
    </w:p>
    <w:p w14:paraId="3E695C18">
      <w:pPr>
        <w:pStyle w:val="58"/>
        <w:rPr>
          <w:rFonts w:hint="eastAsia" w:ascii="宋体" w:hAnsi="宋体" w:eastAsia="宋体" w:cs="宋体"/>
          <w:color w:val="auto"/>
          <w:highlight w:val="none"/>
          <w:lang w:val="en-US" w:eastAsia="zh-CN"/>
        </w:rPr>
      </w:pPr>
    </w:p>
    <w:p w14:paraId="6E4B3ECC">
      <w:pPr>
        <w:adjustRightInd/>
        <w:spacing w:line="360" w:lineRule="auto"/>
        <w:jc w:val="center"/>
        <w:outlineLvl w:val="0"/>
        <w:rPr>
          <w:rFonts w:hint="eastAsia" w:ascii="宋体" w:hAnsi="宋体" w:eastAsia="宋体" w:cs="宋体"/>
          <w:b/>
          <w:color w:val="auto"/>
          <w:sz w:val="32"/>
          <w:szCs w:val="20"/>
          <w:highlight w:val="none"/>
        </w:rPr>
      </w:pPr>
      <w:bookmarkStart w:id="92" w:name="_Toc6190"/>
      <w:bookmarkStart w:id="93" w:name="_Toc31371"/>
      <w:r>
        <w:rPr>
          <w:rFonts w:hint="eastAsia" w:ascii="宋体" w:hAnsi="宋体" w:eastAsia="宋体" w:cs="宋体"/>
          <w:b/>
          <w:color w:val="auto"/>
          <w:sz w:val="32"/>
          <w:szCs w:val="20"/>
          <w:highlight w:val="none"/>
        </w:rPr>
        <w:t>六、响应文件的编制</w:t>
      </w:r>
      <w:bookmarkEnd w:id="92"/>
      <w:bookmarkEnd w:id="93"/>
    </w:p>
    <w:p w14:paraId="1BBE3161">
      <w:pPr>
        <w:pStyle w:val="31"/>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highlight w:val="none"/>
        </w:rPr>
        <w:t>1. 响应文件的语言</w:t>
      </w:r>
    </w:p>
    <w:p w14:paraId="305A328E">
      <w:pPr>
        <w:pStyle w:val="31"/>
        <w:spacing w:line="360"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sz w:val="24"/>
          <w:highlight w:val="none"/>
        </w:rPr>
        <w:t>响应文件及供应商与采购有关的来往通知、函件和文件均应使用中文。</w:t>
      </w:r>
    </w:p>
    <w:p w14:paraId="53A89756">
      <w:pPr>
        <w:pStyle w:val="31"/>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highlight w:val="none"/>
        </w:rPr>
        <w:t>2. 响应文件的组成</w:t>
      </w:r>
    </w:p>
    <w:p w14:paraId="59471B3E">
      <w:pPr>
        <w:pStyle w:val="31"/>
        <w:spacing w:line="360"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sz w:val="24"/>
          <w:highlight w:val="none"/>
        </w:rPr>
        <w:t>响应文件应当包括以下主要内容：</w:t>
      </w:r>
    </w:p>
    <w:p w14:paraId="3F0C52AB">
      <w:pPr>
        <w:pStyle w:val="31"/>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（1）响应函</w:t>
      </w:r>
    </w:p>
    <w:p w14:paraId="42BC4663">
      <w:pPr>
        <w:pStyle w:val="31"/>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（2）资格文件</w:t>
      </w:r>
    </w:p>
    <w:p w14:paraId="0FBAFF89">
      <w:pPr>
        <w:pStyle w:val="31"/>
        <w:spacing w:line="360"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sz w:val="24"/>
          <w:highlight w:val="none"/>
        </w:rPr>
        <w:t>A、符合参加政府采购活动应当具备的一般条件的承诺函（如以联合体形式参加政府采购活动的，联合体各方均应提交该承诺函）；</w:t>
      </w:r>
    </w:p>
    <w:p w14:paraId="1FCF0E11">
      <w:pPr>
        <w:pStyle w:val="31"/>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B、联合协议（如果有）；</w:t>
      </w:r>
    </w:p>
    <w:p w14:paraId="77D9FAF2">
      <w:pPr>
        <w:pStyle w:val="31"/>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C、落实政府采购政策需满足的资格要求</w:t>
      </w:r>
      <w:r>
        <w:rPr>
          <w:rFonts w:hint="eastAsia" w:hAnsi="宋体" w:cs="宋体"/>
          <w:color w:val="auto"/>
          <w:sz w:val="24"/>
          <w:highlight w:val="none"/>
          <w:lang w:eastAsia="zh-CN"/>
        </w:rPr>
        <w:t>：</w:t>
      </w:r>
      <w:r>
        <w:rPr>
          <w:rFonts w:hint="eastAsia" w:ascii="宋体" w:hAnsi="宋体" w:eastAsia="宋体" w:cs="宋体"/>
          <w:color w:val="auto"/>
          <w:kern w:val="0"/>
          <w:sz w:val="24"/>
          <w:highlight w:val="none"/>
        </w:rPr>
        <w:t>专</w:t>
      </w:r>
      <w:r>
        <w:rPr>
          <w:rFonts w:hint="eastAsia" w:ascii="宋体" w:hAnsi="宋体" w:eastAsia="宋体" w:cs="宋体"/>
          <w:color w:val="auto"/>
          <w:sz w:val="24"/>
          <w:highlight w:val="none"/>
        </w:rPr>
        <w:t>门面向中小企业</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服务全部由符合政策要求的中小企业承接，提供中小企业声明函或残疾人福利性单位声明函或由省级以上监狱管理局、戒毒管理局（含新疆生产建设兵团）出具的属于监狱企业的证明文件；</w:t>
      </w:r>
    </w:p>
    <w:p w14:paraId="3A589D7B">
      <w:pPr>
        <w:pStyle w:val="31"/>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D、符合特定资格条件的有关证明材料（如果有）。</w:t>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 xml:space="preserve"> </w:t>
      </w:r>
    </w:p>
    <w:p w14:paraId="07840556">
      <w:pPr>
        <w:pStyle w:val="31"/>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eastAsia="宋体" w:cs="宋体"/>
          <w:color w:val="auto"/>
          <w:sz w:val="24"/>
          <w:highlight w:val="none"/>
          <w:lang w:val="zh-CN"/>
        </w:rPr>
        <w:t>法人授权书</w:t>
      </w:r>
      <w:r>
        <w:rPr>
          <w:rFonts w:hint="eastAsia" w:ascii="宋体" w:hAnsi="宋体" w:eastAsia="宋体" w:cs="宋体"/>
          <w:color w:val="auto"/>
          <w:sz w:val="24"/>
          <w:highlight w:val="none"/>
        </w:rPr>
        <w:t>；</w:t>
      </w:r>
    </w:p>
    <w:p w14:paraId="4311C732">
      <w:pPr>
        <w:pStyle w:val="31"/>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sz w:val="24"/>
          <w:szCs w:val="24"/>
          <w:highlight w:val="none"/>
        </w:rPr>
        <w:t>（4）</w:t>
      </w:r>
      <w:r>
        <w:rPr>
          <w:rFonts w:hint="eastAsia" w:ascii="宋体" w:hAnsi="宋体" w:eastAsia="宋体" w:cs="宋体"/>
          <w:color w:val="auto"/>
          <w:sz w:val="24"/>
          <w:highlight w:val="none"/>
        </w:rPr>
        <w:t>分包意向协议</w:t>
      </w:r>
      <w:r>
        <w:rPr>
          <w:rFonts w:hint="eastAsia" w:ascii="宋体" w:hAnsi="宋体" w:eastAsia="宋体" w:cs="宋体"/>
          <w:snapToGrid w:val="0"/>
          <w:color w:val="auto"/>
          <w:kern w:val="28"/>
          <w:sz w:val="24"/>
          <w:highlight w:val="none"/>
        </w:rPr>
        <w:t>（如果有)</w:t>
      </w:r>
      <w:r>
        <w:rPr>
          <w:rFonts w:hint="eastAsia" w:ascii="宋体" w:hAnsi="宋体" w:eastAsia="宋体" w:cs="宋体"/>
          <w:color w:val="auto"/>
          <w:kern w:val="0"/>
          <w:sz w:val="24"/>
          <w:highlight w:val="none"/>
          <w:lang w:val="zh-CN"/>
        </w:rPr>
        <w:t>；</w:t>
      </w:r>
    </w:p>
    <w:p w14:paraId="7034560F">
      <w:pPr>
        <w:pStyle w:val="31"/>
        <w:spacing w:line="360"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sz w:val="24"/>
          <w:highlight w:val="none"/>
        </w:rPr>
        <w:t>（5）所有资信文件</w:t>
      </w:r>
      <w:r>
        <w:rPr>
          <w:rFonts w:hint="eastAsia" w:ascii="宋体" w:hAnsi="宋体" w:eastAsia="宋体" w:cs="宋体"/>
          <w:color w:val="auto"/>
          <w:kern w:val="0"/>
          <w:sz w:val="24"/>
          <w:highlight w:val="none"/>
        </w:rPr>
        <w:t>（如果有）；</w:t>
      </w:r>
    </w:p>
    <w:p w14:paraId="2F7EB07F">
      <w:pPr>
        <w:pStyle w:val="31"/>
        <w:spacing w:line="360"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snapToGrid w:val="0"/>
          <w:color w:val="auto"/>
          <w:sz w:val="24"/>
          <w:highlight w:val="none"/>
        </w:rPr>
        <w:t>（</w:t>
      </w:r>
      <w:r>
        <w:rPr>
          <w:rFonts w:hint="eastAsia" w:ascii="宋体" w:hAnsi="宋体" w:eastAsia="宋体" w:cs="宋体"/>
          <w:snapToGrid w:val="0"/>
          <w:color w:val="auto"/>
          <w:sz w:val="24"/>
          <w:highlight w:val="none"/>
          <w:lang w:val="en-US" w:eastAsia="zh-CN"/>
        </w:rPr>
        <w:t>6</w:t>
      </w:r>
      <w:r>
        <w:rPr>
          <w:rFonts w:hint="eastAsia" w:ascii="宋体" w:hAnsi="宋体" w:eastAsia="宋体" w:cs="宋体"/>
          <w:snapToGrid w:val="0"/>
          <w:color w:val="auto"/>
          <w:sz w:val="24"/>
          <w:highlight w:val="none"/>
        </w:rPr>
        <w:t>）</w:t>
      </w:r>
      <w:r>
        <w:rPr>
          <w:rFonts w:hint="eastAsia" w:ascii="宋体" w:hAnsi="宋体" w:eastAsia="宋体" w:cs="宋体"/>
          <w:color w:val="auto"/>
          <w:kern w:val="0"/>
          <w:sz w:val="24"/>
          <w:highlight w:val="none"/>
          <w:lang w:val="zh-CN"/>
        </w:rPr>
        <w:t>关于对磋商文件中有关条款的拒绝声明 (如果有)</w:t>
      </w:r>
      <w:r>
        <w:rPr>
          <w:rFonts w:hint="eastAsia" w:ascii="宋体" w:hAnsi="宋体" w:eastAsia="宋体" w:cs="宋体"/>
          <w:color w:val="auto"/>
          <w:sz w:val="24"/>
          <w:highlight w:val="none"/>
          <w:lang w:val="zh-CN"/>
        </w:rPr>
        <w:t xml:space="preserve"> ；</w:t>
      </w:r>
    </w:p>
    <w:p w14:paraId="1CCCDE9F">
      <w:pPr>
        <w:pStyle w:val="31"/>
        <w:spacing w:line="360"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认为需要的其他商务文件或说明 (如果有) ；</w:t>
      </w:r>
    </w:p>
    <w:p w14:paraId="0F67DD93">
      <w:pPr>
        <w:pStyle w:val="31"/>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w:t>
      </w:r>
      <w:r>
        <w:rPr>
          <w:rFonts w:hint="eastAsia" w:ascii="宋体" w:hAnsi="宋体" w:eastAsia="宋体" w:cs="宋体"/>
          <w:color w:val="auto"/>
          <w:kern w:val="0"/>
          <w:sz w:val="24"/>
          <w:highlight w:val="none"/>
          <w:lang w:val="en-US" w:eastAsia="zh-CN"/>
        </w:rPr>
        <w:t>8</w:t>
      </w:r>
      <w:r>
        <w:rPr>
          <w:rFonts w:hint="eastAsia" w:ascii="宋体" w:hAnsi="宋体" w:eastAsia="宋体" w:cs="宋体"/>
          <w:color w:val="auto"/>
          <w:kern w:val="0"/>
          <w:sz w:val="24"/>
          <w:highlight w:val="none"/>
          <w:lang w:val="zh-CN"/>
        </w:rPr>
        <w:t>）</w:t>
      </w:r>
      <w:r>
        <w:rPr>
          <w:rFonts w:hint="eastAsia" w:ascii="宋体" w:hAnsi="宋体" w:eastAsia="宋体" w:cs="宋体"/>
          <w:color w:val="auto"/>
          <w:sz w:val="24"/>
          <w:highlight w:val="none"/>
          <w:lang w:val="zh-CN"/>
        </w:rPr>
        <w:t>针对本项目《第四部分  采购需求》和“第五部分  评审方法及评审标准  评审方法前附表”中的条款拟定完整方案，格式自拟；</w:t>
      </w:r>
    </w:p>
    <w:p w14:paraId="0A8BCBCE">
      <w:pPr>
        <w:pStyle w:val="31"/>
        <w:spacing w:line="360" w:lineRule="auto"/>
        <w:ind w:firstLine="480" w:firstLineChars="2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w:t>
      </w:r>
      <w:r>
        <w:rPr>
          <w:rFonts w:hint="eastAsia" w:ascii="宋体" w:hAnsi="宋体" w:eastAsia="宋体" w:cs="宋体"/>
          <w:color w:val="auto"/>
          <w:sz w:val="24"/>
          <w:highlight w:val="none"/>
          <w:lang w:val="zh-CN"/>
        </w:rPr>
        <w:t>针对本项目《第四部分  采购需求》和“第五部分  评审方法及评审标准  评审方法前附表”中</w:t>
      </w:r>
      <w:r>
        <w:rPr>
          <w:rFonts w:hint="eastAsia" w:ascii="宋体" w:hAnsi="宋体" w:eastAsia="宋体" w:cs="宋体"/>
          <w:color w:val="auto"/>
          <w:sz w:val="24"/>
          <w:highlight w:val="none"/>
          <w:lang w:val="en-US" w:eastAsia="zh-CN"/>
        </w:rPr>
        <w:t>需要提供的人员资质证书、工作经验证明材料、社保证明、认证证书和全国认证认可信息公共服务平台官网认证截图等</w:t>
      </w:r>
      <w:r>
        <w:rPr>
          <w:rFonts w:hint="eastAsia" w:hAnsi="宋体" w:cs="宋体"/>
          <w:color w:val="auto"/>
          <w:sz w:val="24"/>
          <w:szCs w:val="24"/>
          <w:highlight w:val="none"/>
          <w:lang w:val="en-US" w:eastAsia="zh-CN"/>
        </w:rPr>
        <w:t>（如有）；</w:t>
      </w:r>
    </w:p>
    <w:p w14:paraId="7A26E856">
      <w:pPr>
        <w:pStyle w:val="31"/>
        <w:spacing w:line="360" w:lineRule="auto"/>
        <w:ind w:firstLine="480" w:firstLineChars="200"/>
        <w:rPr>
          <w:rFonts w:hint="eastAsia" w:ascii="宋体" w:hAnsi="宋体" w:eastAsia="宋体" w:cs="宋体"/>
          <w:color w:val="auto"/>
          <w:kern w:val="0"/>
          <w:sz w:val="24"/>
          <w:szCs w:val="24"/>
          <w:highlight w:val="none"/>
          <w:lang w:val="zh-CN"/>
        </w:rPr>
      </w:pPr>
      <w:r>
        <w:rPr>
          <w:rFonts w:hint="eastAsia" w:hAnsi="宋体" w:cs="宋体"/>
          <w:color w:val="auto"/>
          <w:kern w:val="0"/>
          <w:sz w:val="24"/>
          <w:szCs w:val="24"/>
          <w:highlight w:val="none"/>
          <w:lang w:val="zh-CN"/>
        </w:rPr>
        <w:t>（</w:t>
      </w:r>
      <w:r>
        <w:rPr>
          <w:rFonts w:hint="eastAsia" w:hAnsi="宋体" w:cs="宋体"/>
          <w:color w:val="auto"/>
          <w:kern w:val="0"/>
          <w:sz w:val="24"/>
          <w:szCs w:val="24"/>
          <w:highlight w:val="none"/>
          <w:lang w:val="en-US" w:eastAsia="zh-CN"/>
        </w:rPr>
        <w:t>10）</w:t>
      </w:r>
      <w:r>
        <w:rPr>
          <w:rFonts w:hint="eastAsia" w:ascii="宋体" w:hAnsi="宋体" w:eastAsia="宋体" w:cs="宋体"/>
          <w:color w:val="auto"/>
          <w:kern w:val="0"/>
          <w:sz w:val="24"/>
          <w:szCs w:val="24"/>
          <w:highlight w:val="none"/>
          <w:lang w:val="zh-CN"/>
        </w:rPr>
        <w:t>认为需要的其他技术文件或说明（如果有）；</w:t>
      </w:r>
    </w:p>
    <w:p w14:paraId="7BC1AAA6">
      <w:pPr>
        <w:pStyle w:val="31"/>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1</w:t>
      </w:r>
      <w:r>
        <w:rPr>
          <w:rFonts w:hint="eastAsia" w:hAnsi="宋体" w:cs="宋体"/>
          <w:color w:val="auto"/>
          <w:sz w:val="24"/>
          <w:szCs w:val="24"/>
          <w:highlight w:val="none"/>
          <w:lang w:val="en-US" w:eastAsia="zh-CN"/>
        </w:rPr>
        <w:t>1</w:t>
      </w:r>
      <w:r>
        <w:rPr>
          <w:rFonts w:hint="eastAsia" w:ascii="宋体" w:hAnsi="宋体" w:eastAsia="宋体" w:cs="宋体"/>
          <w:color w:val="auto"/>
          <w:sz w:val="24"/>
          <w:szCs w:val="24"/>
          <w:highlight w:val="none"/>
        </w:rPr>
        <w:t>）</w:t>
      </w:r>
      <w:r>
        <w:rPr>
          <w:rFonts w:hint="eastAsia" w:ascii="宋体" w:hAnsi="宋体" w:eastAsia="宋体" w:cs="宋体"/>
          <w:color w:val="auto"/>
          <w:kern w:val="0"/>
          <w:sz w:val="24"/>
          <w:highlight w:val="none"/>
          <w:lang w:val="zh-CN"/>
        </w:rPr>
        <w:t>政府采购供应商廉洁自律承诺书；</w:t>
      </w:r>
    </w:p>
    <w:p w14:paraId="40F7ECF5">
      <w:pPr>
        <w:pStyle w:val="31"/>
        <w:spacing w:line="360" w:lineRule="auto"/>
        <w:ind w:firstLine="480" w:firstLineChars="200"/>
        <w:rPr>
          <w:rFonts w:hint="eastAsia" w:ascii="宋体" w:hAnsi="宋体" w:eastAsia="宋体" w:cs="宋体"/>
          <w:color w:val="auto"/>
          <w:kern w:val="0"/>
          <w:sz w:val="24"/>
          <w:highlight w:val="none"/>
          <w:lang w:val="zh-CN" w:eastAsia="zh-CN"/>
        </w:rPr>
      </w:pPr>
      <w:r>
        <w:rPr>
          <w:rFonts w:hint="eastAsia" w:ascii="宋体" w:hAnsi="宋体" w:eastAsia="宋体" w:cs="宋体"/>
          <w:color w:val="auto"/>
          <w:kern w:val="0"/>
          <w:sz w:val="24"/>
          <w:highlight w:val="none"/>
          <w:lang w:val="zh-CN" w:eastAsia="zh-CN"/>
        </w:rPr>
        <w:t>（1</w:t>
      </w:r>
      <w:r>
        <w:rPr>
          <w:rFonts w:hint="eastAsia" w:hAnsi="宋体" w:cs="宋体"/>
          <w:color w:val="auto"/>
          <w:kern w:val="0"/>
          <w:sz w:val="24"/>
          <w:highlight w:val="none"/>
          <w:lang w:val="en-US" w:eastAsia="zh-CN"/>
        </w:rPr>
        <w:t>2</w:t>
      </w:r>
      <w:r>
        <w:rPr>
          <w:rFonts w:hint="eastAsia" w:ascii="宋体" w:hAnsi="宋体" w:eastAsia="宋体" w:cs="宋体"/>
          <w:color w:val="auto"/>
          <w:kern w:val="0"/>
          <w:sz w:val="24"/>
          <w:highlight w:val="none"/>
          <w:lang w:val="zh-CN" w:eastAsia="zh-CN"/>
        </w:rPr>
        <w:t>）报价文件</w:t>
      </w:r>
    </w:p>
    <w:p w14:paraId="7BAC21E9">
      <w:pPr>
        <w:pStyle w:val="31"/>
        <w:spacing w:line="360" w:lineRule="auto"/>
        <w:ind w:firstLine="480" w:firstLineChars="200"/>
        <w:rPr>
          <w:rFonts w:hint="eastAsia" w:ascii="宋体" w:hAnsi="宋体" w:eastAsia="宋体" w:cs="宋体"/>
          <w:color w:val="auto"/>
          <w:kern w:val="0"/>
          <w:sz w:val="24"/>
          <w:highlight w:val="none"/>
          <w:lang w:val="zh-CN" w:eastAsia="zh-CN"/>
        </w:rPr>
      </w:pPr>
      <w:r>
        <w:rPr>
          <w:rFonts w:hint="eastAsia" w:ascii="宋体" w:hAnsi="宋体" w:eastAsia="宋体" w:cs="宋体"/>
          <w:color w:val="auto"/>
          <w:kern w:val="0"/>
          <w:sz w:val="24"/>
          <w:highlight w:val="none"/>
          <w:lang w:val="zh-CN" w:eastAsia="zh-CN"/>
        </w:rPr>
        <w:t>A、报价一览表；</w:t>
      </w:r>
    </w:p>
    <w:p w14:paraId="60C24499">
      <w:pPr>
        <w:pStyle w:val="31"/>
        <w:spacing w:line="360" w:lineRule="auto"/>
        <w:ind w:firstLine="480" w:firstLineChars="200"/>
        <w:rPr>
          <w:rFonts w:hint="eastAsia" w:ascii="宋体" w:hAnsi="宋体" w:eastAsia="宋体" w:cs="宋体"/>
          <w:color w:val="auto"/>
          <w:kern w:val="0"/>
          <w:sz w:val="24"/>
          <w:highlight w:val="none"/>
          <w:lang w:val="zh-CN" w:eastAsia="zh-CN"/>
        </w:rPr>
      </w:pPr>
      <w:r>
        <w:rPr>
          <w:rFonts w:hint="eastAsia" w:ascii="宋体" w:hAnsi="宋体" w:eastAsia="宋体" w:cs="宋体"/>
          <w:color w:val="auto"/>
          <w:kern w:val="0"/>
          <w:sz w:val="24"/>
          <w:highlight w:val="none"/>
          <w:lang w:val="zh-CN" w:eastAsia="zh-CN"/>
        </w:rPr>
        <w:t>B、报价明细表。</w:t>
      </w:r>
    </w:p>
    <w:p w14:paraId="76AA42D5">
      <w:pPr>
        <w:pStyle w:val="31"/>
        <w:spacing w:line="360" w:lineRule="auto"/>
        <w:ind w:firstLine="482" w:firstLineChars="200"/>
        <w:rPr>
          <w:rFonts w:hint="eastAsia" w:ascii="宋体" w:hAnsi="宋体" w:eastAsia="宋体" w:cs="宋体"/>
          <w:color w:val="auto"/>
          <w:kern w:val="0"/>
          <w:sz w:val="24"/>
          <w:highlight w:val="none"/>
          <w:lang w:val="zh-CN" w:eastAsia="zh-CN"/>
        </w:rPr>
      </w:pPr>
      <w:r>
        <w:rPr>
          <w:rFonts w:hint="eastAsia" w:ascii="宋体" w:hAnsi="宋体" w:cs="宋体"/>
          <w:b/>
          <w:bCs/>
          <w:color w:val="auto"/>
          <w:sz w:val="24"/>
          <w:highlight w:val="none"/>
        </w:rPr>
        <w:t>注：</w:t>
      </w:r>
      <w:r>
        <w:rPr>
          <w:rFonts w:hint="eastAsia" w:ascii="宋体" w:hAnsi="宋体" w:cs="宋体"/>
          <w:b/>
          <w:bCs/>
          <w:color w:val="auto"/>
          <w:sz w:val="24"/>
          <w:highlight w:val="none"/>
          <w:lang w:val="en-US" w:eastAsia="zh-CN"/>
        </w:rPr>
        <w:t>供应商</w:t>
      </w:r>
      <w:r>
        <w:rPr>
          <w:rFonts w:hint="eastAsia" w:ascii="宋体" w:hAnsi="宋体" w:cs="宋体"/>
          <w:b/>
          <w:bCs/>
          <w:color w:val="auto"/>
          <w:sz w:val="24"/>
          <w:highlight w:val="none"/>
        </w:rPr>
        <w:t>可事先在公开官网查询、核对相关证书和报告内容，确保响应文件资料准确无误。</w:t>
      </w:r>
      <w:r>
        <w:rPr>
          <w:rFonts w:hint="eastAsia" w:ascii="宋体" w:hAnsi="宋体" w:cs="宋体"/>
          <w:b/>
          <w:bCs/>
          <w:color w:val="auto"/>
          <w:sz w:val="24"/>
          <w:highlight w:val="none"/>
          <w:lang w:val="en-US" w:eastAsia="zh-CN"/>
        </w:rPr>
        <w:t>供应商</w:t>
      </w:r>
      <w:r>
        <w:rPr>
          <w:rFonts w:hint="eastAsia" w:ascii="宋体" w:hAnsi="宋体" w:cs="宋体"/>
          <w:b/>
          <w:bCs/>
          <w:color w:val="auto"/>
          <w:sz w:val="24"/>
          <w:highlight w:val="none"/>
        </w:rPr>
        <w:t>应对响应文件中材料的真实性、合法性负责</w:t>
      </w:r>
      <w:r>
        <w:rPr>
          <w:rFonts w:hint="eastAsia" w:ascii="宋体" w:hAnsi="宋体" w:cs="宋体"/>
          <w:b/>
          <w:bCs/>
          <w:color w:val="auto"/>
          <w:sz w:val="24"/>
          <w:highlight w:val="none"/>
          <w:lang w:eastAsia="zh-CN"/>
        </w:rPr>
        <w:t>。</w:t>
      </w:r>
    </w:p>
    <w:p w14:paraId="0B8F41F4">
      <w:pPr>
        <w:pStyle w:val="31"/>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 响应文件的编制和签署</w:t>
      </w:r>
    </w:p>
    <w:p w14:paraId="7F505E18">
      <w:pPr>
        <w:spacing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color w:val="auto"/>
          <w:kern w:val="0"/>
          <w:sz w:val="24"/>
          <w:highlight w:val="none"/>
          <w:lang w:val="zh-CN"/>
        </w:rPr>
        <w:t>3.1各供应商在编制响应文件时请按照磋商文件第七部分规定的格式进行，混乱的编排导致响应文件被误读或磋商小组查找不到有效文件是供应商的风险。</w:t>
      </w:r>
    </w:p>
    <w:p w14:paraId="27562075">
      <w:pPr>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3.2供应商进行电子交易应安装客户端软件—“政采云电子交易客户端”，并按照磋商文件和电子交易平台的要求编制并加密响应文件。供应商未按规定加密的响应文件，电子交易平台将拒收并提示。</w:t>
      </w:r>
    </w:p>
    <w:p w14:paraId="2F3A40B8">
      <w:pPr>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3.3使用“政采云电子交易客户端”需要提前申领CA数字证书，申领流程请自行前往“浙江政府采购网-下载专区-电子交易客户端-CA驱动和申领流程”进行查阅。</w:t>
      </w:r>
    </w:p>
    <w:p w14:paraId="70028BBE">
      <w:pPr>
        <w:pStyle w:val="397"/>
        <w:snapToGrid w:val="0"/>
        <w:spacing w:before="0"/>
        <w:ind w:firstLine="480"/>
        <w:rPr>
          <w:rFonts w:hint="eastAsia" w:ascii="宋体" w:hAnsi="宋体" w:eastAsia="宋体" w:cs="宋体"/>
          <w:b/>
          <w:color w:val="auto"/>
          <w:highlight w:val="none"/>
        </w:rPr>
      </w:pPr>
      <w:r>
        <w:rPr>
          <w:rFonts w:hint="eastAsia" w:ascii="宋体" w:hAnsi="宋体" w:eastAsia="宋体" w:cs="宋体"/>
          <w:color w:val="auto"/>
          <w:szCs w:val="24"/>
          <w:highlight w:val="none"/>
        </w:rPr>
        <w:t>3.4响应文件按照磋商文件第七部分格式要</w:t>
      </w:r>
      <w:r>
        <w:rPr>
          <w:rFonts w:hint="eastAsia" w:ascii="宋体" w:hAnsi="宋体" w:eastAsia="宋体" w:cs="宋体"/>
          <w:color w:val="auto"/>
          <w:highlight w:val="none"/>
        </w:rPr>
        <w:t>求进行签署、盖章。</w:t>
      </w:r>
      <w:r>
        <w:rPr>
          <w:rFonts w:hint="eastAsia" w:ascii="宋体" w:hAnsi="宋体" w:eastAsia="宋体" w:cs="宋体"/>
          <w:b/>
          <w:color w:val="auto"/>
          <w:highlight w:val="none"/>
        </w:rPr>
        <w:t>▲供应商的响应文件未按照磋商文件要求签署、盖章的，其响应无效</w:t>
      </w:r>
      <w:r>
        <w:rPr>
          <w:rFonts w:hint="eastAsia" w:ascii="宋体" w:hAnsi="宋体" w:eastAsia="宋体" w:cs="宋体"/>
          <w:color w:val="auto"/>
          <w:szCs w:val="24"/>
          <w:highlight w:val="none"/>
        </w:rPr>
        <w:t>。</w:t>
      </w:r>
    </w:p>
    <w:p w14:paraId="5680BD09">
      <w:pPr>
        <w:pStyle w:val="397"/>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szCs w:val="24"/>
          <w:highlight w:val="none"/>
        </w:rPr>
        <w:t>3.5为确保网上操作合法、有效和安全，供应商应当在响应截止时间前完成在“政府采购云平台”的身份认证，确保在电子交易过程中能够对相关数据电文进行加密和使用电子签名。</w:t>
      </w:r>
    </w:p>
    <w:p w14:paraId="11760A44">
      <w:pPr>
        <w:pStyle w:val="397"/>
        <w:snapToGrid w:val="0"/>
        <w:spacing w:before="0"/>
        <w:ind w:firstLine="480"/>
        <w:rPr>
          <w:rFonts w:hint="eastAsia" w:ascii="宋体" w:hAnsi="宋体" w:eastAsia="宋体" w:cs="宋体"/>
          <w:color w:val="auto"/>
          <w:szCs w:val="24"/>
          <w:highlight w:val="none"/>
        </w:rPr>
      </w:pPr>
      <w:r>
        <w:rPr>
          <w:rFonts w:hint="eastAsia" w:ascii="宋体" w:hAnsi="宋体" w:eastAsia="宋体" w:cs="宋体"/>
          <w:color w:val="auto"/>
          <w:highlight w:val="none"/>
        </w:rPr>
        <w:t>3.6磋商文件对响应文件签署、盖章的要求适用于电子签名。</w:t>
      </w:r>
    </w:p>
    <w:p w14:paraId="36E6A548">
      <w:pPr>
        <w:pStyle w:val="31"/>
        <w:spacing w:line="360" w:lineRule="auto"/>
        <w:ind w:firstLine="480" w:firstLineChars="200"/>
        <w:rPr>
          <w:rFonts w:hint="eastAsia" w:ascii="宋体" w:hAnsi="宋体" w:eastAsia="宋体" w:cs="宋体"/>
          <w:color w:val="auto"/>
          <w:sz w:val="24"/>
          <w:szCs w:val="24"/>
          <w:highlight w:val="none"/>
        </w:rPr>
      </w:pPr>
    </w:p>
    <w:p w14:paraId="38F14AA5">
      <w:pPr>
        <w:adjustRightInd/>
        <w:spacing w:line="360" w:lineRule="auto"/>
        <w:jc w:val="center"/>
        <w:outlineLvl w:val="0"/>
        <w:rPr>
          <w:rFonts w:hint="eastAsia" w:ascii="宋体" w:hAnsi="宋体" w:eastAsia="宋体" w:cs="宋体"/>
          <w:b/>
          <w:color w:val="auto"/>
          <w:sz w:val="32"/>
          <w:szCs w:val="20"/>
          <w:highlight w:val="none"/>
        </w:rPr>
      </w:pPr>
    </w:p>
    <w:p w14:paraId="27D4EE9F">
      <w:pPr>
        <w:adjustRightInd/>
        <w:spacing w:line="360" w:lineRule="auto"/>
        <w:jc w:val="center"/>
        <w:outlineLvl w:val="0"/>
        <w:rPr>
          <w:rFonts w:hint="eastAsia" w:ascii="宋体" w:hAnsi="宋体" w:eastAsia="宋体" w:cs="宋体"/>
          <w:b/>
          <w:color w:val="auto"/>
          <w:sz w:val="32"/>
          <w:szCs w:val="20"/>
          <w:highlight w:val="none"/>
        </w:rPr>
      </w:pPr>
      <w:bookmarkStart w:id="94" w:name="_Toc9822"/>
      <w:bookmarkStart w:id="95" w:name="_Toc6177"/>
      <w:r>
        <w:rPr>
          <w:rFonts w:hint="eastAsia" w:ascii="宋体" w:hAnsi="宋体" w:eastAsia="宋体" w:cs="宋体"/>
          <w:b/>
          <w:color w:val="auto"/>
          <w:sz w:val="32"/>
          <w:szCs w:val="20"/>
          <w:highlight w:val="none"/>
        </w:rPr>
        <w:t>七、</w:t>
      </w:r>
      <w:r>
        <w:rPr>
          <w:rFonts w:hint="eastAsia" w:ascii="宋体" w:hAnsi="宋体" w:eastAsia="宋体" w:cs="宋体"/>
          <w:b/>
          <w:color w:val="auto"/>
          <w:sz w:val="32"/>
          <w:szCs w:val="32"/>
          <w:highlight w:val="none"/>
        </w:rPr>
        <w:t>响应</w:t>
      </w:r>
      <w:r>
        <w:rPr>
          <w:rFonts w:hint="eastAsia" w:ascii="宋体" w:hAnsi="宋体" w:eastAsia="宋体" w:cs="宋体"/>
          <w:b/>
          <w:color w:val="auto"/>
          <w:sz w:val="32"/>
          <w:szCs w:val="20"/>
          <w:highlight w:val="none"/>
        </w:rPr>
        <w:t>文件的提交和备份</w:t>
      </w:r>
      <w:bookmarkEnd w:id="94"/>
      <w:bookmarkEnd w:id="95"/>
    </w:p>
    <w:p w14:paraId="57A9BFB2">
      <w:pPr>
        <w:pStyle w:val="397"/>
        <w:spacing w:before="0"/>
        <w:ind w:firstLine="0" w:firstLineChars="0"/>
        <w:rPr>
          <w:rFonts w:hint="eastAsia" w:ascii="宋体" w:hAnsi="宋体" w:eastAsia="宋体" w:cs="宋体"/>
          <w:b/>
          <w:color w:val="auto"/>
          <w:szCs w:val="24"/>
          <w:highlight w:val="none"/>
        </w:rPr>
      </w:pPr>
    </w:p>
    <w:p w14:paraId="06F5D91E">
      <w:pPr>
        <w:pStyle w:val="397"/>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1.响应文件的提交、补充、修改、撤回</w:t>
      </w:r>
    </w:p>
    <w:p w14:paraId="61A91E8F">
      <w:pPr>
        <w:pStyle w:val="397"/>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1.1 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截止时间后提交的响应文件，电子交易平台将拒收。</w:t>
      </w:r>
    </w:p>
    <w:p w14:paraId="756A511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1.2 在响应截止时间以后，不能补充、修改响应文件。</w:t>
      </w:r>
    </w:p>
    <w:p w14:paraId="2AC7883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1.3 在提交“最后报价”后，供应商不能退出磋商。</w:t>
      </w:r>
    </w:p>
    <w:p w14:paraId="3E1C9D0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1.4 电子交易平台收到响应文件，将妥善保存并即时向供应商发出确认回执通知。在响应截止时间前，除供应商补充、修改或者撤回响应文件外，任何单位和个人不得解密或提取响应文件。</w:t>
      </w:r>
    </w:p>
    <w:p w14:paraId="670EA60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1.5 </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可以视情况延长提交响应文件的截止时间。在上述情况下，</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与供应商以前在响应截止期方面的全部权利、责任和义务，将适用于延长至新的响应截止期。</w:t>
      </w:r>
    </w:p>
    <w:p w14:paraId="5D859E26">
      <w:pPr>
        <w:pStyle w:val="31"/>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2.备份响应文件</w:t>
      </w:r>
    </w:p>
    <w:p w14:paraId="4A3A621E">
      <w:pPr>
        <w:pStyle w:val="31"/>
        <w:spacing w:line="360" w:lineRule="auto"/>
        <w:ind w:firstLine="360" w:firstLineChars="15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2.1 供应商在电子交易平台传输提交响应文件后，还可以在响应截止时间前直接提交或者以邮政快递方式递交备份响应文件1份，</w:t>
      </w:r>
      <w:r>
        <w:rPr>
          <w:rFonts w:hint="eastAsia" w:ascii="宋体" w:hAnsi="宋体" w:eastAsia="宋体" w:cs="宋体"/>
          <w:b/>
          <w:color w:val="auto"/>
          <w:sz w:val="24"/>
          <w:szCs w:val="24"/>
          <w:highlight w:val="none"/>
        </w:rPr>
        <w:t>但采购人、</w:t>
      </w:r>
      <w:r>
        <w:rPr>
          <w:rFonts w:hint="eastAsia" w:ascii="宋体" w:hAnsi="宋体" w:eastAsia="宋体" w:cs="宋体"/>
          <w:b/>
          <w:color w:val="auto"/>
          <w:sz w:val="24"/>
          <w:szCs w:val="24"/>
          <w:highlight w:val="none"/>
          <w:lang w:eastAsia="zh-CN"/>
        </w:rPr>
        <w:t>采购代理机构</w:t>
      </w:r>
      <w:r>
        <w:rPr>
          <w:rFonts w:hint="eastAsia" w:ascii="宋体" w:hAnsi="宋体" w:eastAsia="宋体" w:cs="宋体"/>
          <w:b/>
          <w:color w:val="auto"/>
          <w:sz w:val="24"/>
          <w:szCs w:val="24"/>
          <w:highlight w:val="none"/>
        </w:rPr>
        <w:t>不强制或变相强制供应商提交备份响应文件。</w:t>
      </w:r>
    </w:p>
    <w:p w14:paraId="7888849E">
      <w:pPr>
        <w:pStyle w:val="31"/>
        <w:spacing w:line="360" w:lineRule="auto"/>
        <w:ind w:firstLine="360" w:firstLineChars="15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2.2 备份响应文件须在“政采云投标客户端”制作生成，并储存在</w:t>
      </w:r>
      <w:r>
        <w:rPr>
          <w:rFonts w:hint="eastAsia" w:ascii="宋体" w:hAnsi="宋体" w:eastAsia="宋体" w:cs="宋体"/>
          <w:b/>
          <w:bCs/>
          <w:color w:val="auto"/>
          <w:sz w:val="24"/>
          <w:szCs w:val="24"/>
          <w:highlight w:val="none"/>
          <w:u w:val="single"/>
          <w:lang w:val="en-US" w:eastAsia="zh-CN"/>
        </w:rPr>
        <w:t>U盘</w:t>
      </w:r>
      <w:r>
        <w:rPr>
          <w:rFonts w:hint="eastAsia" w:ascii="宋体" w:hAnsi="宋体" w:eastAsia="宋体" w:cs="宋体"/>
          <w:color w:val="auto"/>
          <w:sz w:val="24"/>
          <w:szCs w:val="24"/>
          <w:highlight w:val="none"/>
        </w:rPr>
        <w:t>中。备份响应文件应当密封包装并在包装上加盖公章并注明响应项目名称，供应商名称(联合体响应的，包装物封面需注明联合体响应，并注明联合体成员各方的名称和联合体协议中约定的牵头人的名称)。</w:t>
      </w:r>
      <w:r>
        <w:rPr>
          <w:rFonts w:hint="eastAsia" w:ascii="宋体" w:hAnsi="宋体" w:eastAsia="宋体" w:cs="宋体"/>
          <w:b/>
          <w:color w:val="auto"/>
          <w:sz w:val="24"/>
          <w:highlight w:val="none"/>
        </w:rPr>
        <w:t>▲不符合上述制作、</w:t>
      </w:r>
      <w:r>
        <w:rPr>
          <w:rFonts w:hint="eastAsia" w:ascii="宋体" w:hAnsi="宋体" w:eastAsia="宋体" w:cs="宋体"/>
          <w:b/>
          <w:color w:val="auto"/>
          <w:sz w:val="24"/>
          <w:szCs w:val="24"/>
          <w:highlight w:val="none"/>
        </w:rPr>
        <w:t>存储、密封规定的备份响应文件将被视为无效或者被拒绝接收。</w:t>
      </w:r>
    </w:p>
    <w:p w14:paraId="4715C133">
      <w:pPr>
        <w:pStyle w:val="31"/>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 直接提交备份响应文件的，供应商应于响应截止时间前在</w:t>
      </w:r>
      <w:r>
        <w:rPr>
          <w:rFonts w:hint="eastAsia" w:ascii="宋体" w:hAnsi="宋体" w:eastAsia="宋体" w:cs="宋体"/>
          <w:snapToGrid/>
          <w:color w:val="auto"/>
          <w:kern w:val="2"/>
          <w:sz w:val="24"/>
          <w:szCs w:val="24"/>
          <w:highlight w:val="none"/>
          <w:lang w:val="en-US" w:eastAsia="zh-CN" w:bidi="ar-SA"/>
        </w:rPr>
        <w:t>磋商文件第三部分供应商须知前附表规定的备份响应文件送达地点</w:t>
      </w:r>
      <w:r>
        <w:rPr>
          <w:rFonts w:hint="eastAsia" w:ascii="宋体" w:hAnsi="宋体" w:eastAsia="宋体" w:cs="宋体"/>
          <w:color w:val="auto"/>
          <w:sz w:val="24"/>
          <w:szCs w:val="24"/>
          <w:highlight w:val="none"/>
        </w:rPr>
        <w:t>将备份响应文件提交给</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将拒绝接受逾期送达的备份响应文件。</w:t>
      </w:r>
    </w:p>
    <w:p w14:paraId="191EEB5E">
      <w:pPr>
        <w:pStyle w:val="31"/>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 以邮政快递方式递交备份响应文件的，供应商应先将备份响应文件按要求密封和标记，再进行邮政快递包装后邮寄。备份响应文件须在</w:t>
      </w:r>
      <w:r>
        <w:rPr>
          <w:rFonts w:hint="eastAsia" w:ascii="宋体" w:hAnsi="宋体" w:eastAsia="宋体" w:cs="宋体"/>
          <w:snapToGrid/>
          <w:color w:val="auto"/>
          <w:kern w:val="2"/>
          <w:sz w:val="24"/>
          <w:szCs w:val="24"/>
          <w:highlight w:val="none"/>
          <w:lang w:val="en-US" w:eastAsia="zh-CN" w:bidi="ar-SA"/>
        </w:rPr>
        <w:t>第三部分供应商须知前附表规定的备份响应文件送达</w:t>
      </w:r>
      <w:r>
        <w:rPr>
          <w:rFonts w:hint="eastAsia" w:ascii="宋体" w:hAnsi="宋体" w:eastAsia="宋体" w:cs="宋体"/>
          <w:snapToGrid w:val="0"/>
          <w:color w:val="auto"/>
          <w:kern w:val="2"/>
          <w:sz w:val="24"/>
          <w:szCs w:val="24"/>
          <w:highlight w:val="none"/>
          <w:lang w:val="en-US" w:eastAsia="zh-CN" w:bidi="ar-SA"/>
        </w:rPr>
        <w:t>截止时间之前送达</w:t>
      </w:r>
      <w:r>
        <w:rPr>
          <w:rFonts w:hint="eastAsia" w:ascii="宋体" w:hAnsi="宋体" w:eastAsia="宋体" w:cs="宋体"/>
          <w:snapToGrid/>
          <w:color w:val="auto"/>
          <w:kern w:val="2"/>
          <w:sz w:val="24"/>
          <w:szCs w:val="24"/>
          <w:highlight w:val="none"/>
          <w:lang w:val="en-US" w:eastAsia="zh-CN" w:bidi="ar-SA"/>
        </w:rPr>
        <w:t>磋商文件第三部分供应商须知前附表规定的备份响应文件送达地点</w:t>
      </w:r>
      <w:r>
        <w:rPr>
          <w:rFonts w:hint="eastAsia" w:ascii="宋体" w:hAnsi="宋体" w:eastAsia="宋体" w:cs="宋体"/>
          <w:color w:val="auto"/>
          <w:sz w:val="24"/>
          <w:szCs w:val="24"/>
          <w:highlight w:val="none"/>
        </w:rPr>
        <w:t>；送达时间以签收人签收时间为准。</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将拒绝接受逾期送达的备份响应文件。邮寄过程中，电子备份响应文件发生泄露、遗失、损坏或延期送达等情况的，由供应商自行负责。</w:t>
      </w:r>
    </w:p>
    <w:p w14:paraId="76BBCF09">
      <w:pPr>
        <w:pStyle w:val="31"/>
        <w:spacing w:line="360" w:lineRule="auto"/>
        <w:ind w:firstLine="361" w:firstLineChars="15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 xml:space="preserve">2.5 </w:t>
      </w:r>
      <w:r>
        <w:rPr>
          <w:rFonts w:hint="eastAsia" w:ascii="宋体" w:hAnsi="宋体" w:eastAsia="宋体" w:cs="宋体"/>
          <w:b/>
          <w:color w:val="auto"/>
          <w:sz w:val="24"/>
          <w:highlight w:val="none"/>
        </w:rPr>
        <w:t>▲</w:t>
      </w:r>
      <w:r>
        <w:rPr>
          <w:rFonts w:hint="eastAsia" w:ascii="宋体" w:hAnsi="宋体" w:eastAsia="宋体" w:cs="宋体"/>
          <w:b/>
          <w:color w:val="auto"/>
          <w:sz w:val="24"/>
          <w:szCs w:val="24"/>
          <w:highlight w:val="none"/>
        </w:rPr>
        <w:t>供应商仅提交备份响应文件，未在电子交易平台传输提交响应文件的，响应无效。</w:t>
      </w:r>
    </w:p>
    <w:p w14:paraId="0F8BE256">
      <w:pPr>
        <w:adjustRightInd/>
        <w:spacing w:line="360" w:lineRule="auto"/>
        <w:jc w:val="center"/>
        <w:outlineLvl w:val="0"/>
        <w:rPr>
          <w:rFonts w:hint="eastAsia" w:ascii="宋体" w:hAnsi="宋体" w:eastAsia="宋体" w:cs="宋体"/>
          <w:b/>
          <w:color w:val="auto"/>
          <w:sz w:val="32"/>
          <w:szCs w:val="20"/>
          <w:highlight w:val="none"/>
        </w:rPr>
      </w:pPr>
    </w:p>
    <w:p w14:paraId="31AC645D">
      <w:pPr>
        <w:adjustRightInd/>
        <w:spacing w:line="360" w:lineRule="auto"/>
        <w:jc w:val="center"/>
        <w:outlineLvl w:val="0"/>
        <w:rPr>
          <w:rFonts w:hint="eastAsia" w:ascii="宋体" w:hAnsi="宋体" w:eastAsia="宋体" w:cs="宋体"/>
          <w:b/>
          <w:color w:val="auto"/>
          <w:sz w:val="32"/>
          <w:szCs w:val="20"/>
          <w:highlight w:val="none"/>
        </w:rPr>
      </w:pPr>
      <w:bookmarkStart w:id="96" w:name="_Toc18161"/>
      <w:bookmarkStart w:id="97" w:name="_Toc1045"/>
      <w:r>
        <w:rPr>
          <w:rFonts w:hint="eastAsia" w:ascii="宋体" w:hAnsi="宋体" w:eastAsia="宋体" w:cs="宋体"/>
          <w:b/>
          <w:color w:val="auto"/>
          <w:sz w:val="32"/>
          <w:szCs w:val="20"/>
          <w:highlight w:val="none"/>
        </w:rPr>
        <w:t>八、</w:t>
      </w:r>
      <w:r>
        <w:rPr>
          <w:rFonts w:hint="eastAsia" w:ascii="宋体" w:hAnsi="宋体" w:eastAsia="宋体" w:cs="宋体"/>
          <w:b/>
          <w:color w:val="auto"/>
          <w:sz w:val="32"/>
          <w:szCs w:val="32"/>
          <w:highlight w:val="none"/>
        </w:rPr>
        <w:t>开启响应文件与信用信息查询</w:t>
      </w:r>
      <w:bookmarkEnd w:id="96"/>
      <w:bookmarkEnd w:id="97"/>
    </w:p>
    <w:p w14:paraId="09A217DE">
      <w:pPr>
        <w:pStyle w:val="31"/>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 开启响应文件</w:t>
      </w:r>
    </w:p>
    <w:p w14:paraId="5D87DEA4">
      <w:pPr>
        <w:pStyle w:val="31"/>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1.1 </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按照磋商文件规定的时间通过电子交易平台组织响应文件开启，所有供应商均应当准时在线参加。</w:t>
      </w:r>
      <w:r>
        <w:rPr>
          <w:rFonts w:hint="eastAsia" w:ascii="宋体" w:hAnsi="宋体" w:eastAsia="宋体" w:cs="宋体"/>
          <w:b/>
          <w:color w:val="auto"/>
          <w:sz w:val="24"/>
          <w:szCs w:val="24"/>
          <w:highlight w:val="none"/>
        </w:rPr>
        <w:t>供应商数量不符合规定的，不得开启响应文件。</w:t>
      </w:r>
    </w:p>
    <w:p w14:paraId="053B5AF5">
      <w:pPr>
        <w:pStyle w:val="31"/>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1.2开启响应文件时，电子交易平台按开启响应文件时间自动提取所有响应文件。</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依托电子交易平台发起开始解密指令，供应商按照平台提示和磋商文件的规定在半小时内完成在线解密。</w:t>
      </w:r>
    </w:p>
    <w:p w14:paraId="0A516F79">
      <w:pPr>
        <w:pStyle w:val="31"/>
        <w:spacing w:line="360" w:lineRule="auto"/>
        <w:ind w:firstLine="361" w:firstLineChars="15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1.3响应文件未在规定时间内成功解密的供应商，如提交了备份响应文件的，以备份响应文件作为依据，否则视为响应文件撤回。响应文件解密成功的供应商，其备份响应文件自动失效。</w:t>
      </w:r>
    </w:p>
    <w:p w14:paraId="5F61ED35">
      <w:pPr>
        <w:pStyle w:val="397"/>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2.信用信息查询</w:t>
      </w:r>
    </w:p>
    <w:p w14:paraId="2A051C9D">
      <w:pPr>
        <w:pStyle w:val="397"/>
        <w:spacing w:before="0"/>
        <w:ind w:firstLine="495"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2.1信用信息查询渠道及截止时间：</w:t>
      </w:r>
      <w:r>
        <w:rPr>
          <w:rFonts w:hint="eastAsia" w:ascii="宋体" w:hAnsi="宋体" w:eastAsia="宋体" w:cs="宋体"/>
          <w:color w:val="auto"/>
          <w:kern w:val="0"/>
          <w:szCs w:val="24"/>
          <w:highlight w:val="none"/>
          <w:lang w:eastAsia="zh-CN"/>
        </w:rPr>
        <w:t>采购代理机构</w:t>
      </w:r>
      <w:r>
        <w:rPr>
          <w:rFonts w:hint="eastAsia" w:ascii="宋体" w:hAnsi="宋体" w:eastAsia="宋体" w:cs="宋体"/>
          <w:color w:val="auto"/>
          <w:kern w:val="0"/>
          <w:szCs w:val="24"/>
          <w:highlight w:val="none"/>
        </w:rPr>
        <w:t>将通过“信用中国”网站(</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"http://www.creditchina.gov.cn" </w:instrText>
      </w:r>
      <w:r>
        <w:rPr>
          <w:rFonts w:hint="eastAsia" w:ascii="宋体" w:hAnsi="宋体" w:eastAsia="宋体" w:cs="宋体"/>
          <w:color w:val="auto"/>
          <w:highlight w:val="none"/>
        </w:rPr>
        <w:fldChar w:fldCharType="separate"/>
      </w:r>
      <w:r>
        <w:rPr>
          <w:rStyle w:val="68"/>
          <w:rFonts w:hint="eastAsia" w:ascii="宋体" w:hAnsi="宋体" w:eastAsia="宋体" w:cs="宋体"/>
          <w:snapToGrid/>
          <w:color w:val="auto"/>
          <w:sz w:val="24"/>
          <w:szCs w:val="24"/>
          <w:highlight w:val="none"/>
        </w:rPr>
        <w:t>www.creditchina.gov.cn</w:t>
      </w:r>
      <w:r>
        <w:rPr>
          <w:rStyle w:val="68"/>
          <w:rFonts w:hint="eastAsia" w:ascii="宋体" w:hAnsi="宋体" w:eastAsia="宋体" w:cs="宋体"/>
          <w:snapToGrid/>
          <w:color w:val="auto"/>
          <w:sz w:val="24"/>
          <w:szCs w:val="24"/>
          <w:highlight w:val="none"/>
        </w:rPr>
        <w:fldChar w:fldCharType="end"/>
      </w:r>
      <w:r>
        <w:rPr>
          <w:rFonts w:hint="eastAsia" w:ascii="宋体" w:hAnsi="宋体" w:eastAsia="宋体" w:cs="宋体"/>
          <w:color w:val="auto"/>
          <w:kern w:val="0"/>
          <w:szCs w:val="24"/>
          <w:highlight w:val="none"/>
        </w:rPr>
        <w:t>)、中国政府采购网(www.ccgp.gov.cn)渠道查询供应商响应截止时间前的信用记录。</w:t>
      </w:r>
    </w:p>
    <w:p w14:paraId="708108EF">
      <w:pPr>
        <w:pStyle w:val="397"/>
        <w:spacing w:before="0"/>
        <w:ind w:firstLine="495"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2.2信用信息查询记录和证据留存的具体方式：现场查询的供应商的信用记录、查询结果经确认后存档。</w:t>
      </w:r>
    </w:p>
    <w:p w14:paraId="700AE96D">
      <w:pPr>
        <w:pStyle w:val="397"/>
        <w:spacing w:before="0"/>
        <w:ind w:firstLine="495"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2.3信用信息的使用规则：经查询列入失信被执行人名单、</w:t>
      </w:r>
      <w:r>
        <w:rPr>
          <w:rFonts w:hint="eastAsia" w:ascii="宋体" w:hAnsi="宋体" w:eastAsia="宋体" w:cs="宋体"/>
          <w:color w:val="auto"/>
          <w:sz w:val="24"/>
          <w:highlight w:val="none"/>
          <w:lang w:val="en-US" w:eastAsia="zh-CN"/>
        </w:rPr>
        <w:t>重大税收违法失信主体、</w:t>
      </w:r>
      <w:r>
        <w:rPr>
          <w:rFonts w:hint="eastAsia" w:ascii="宋体" w:hAnsi="宋体" w:eastAsia="宋体" w:cs="宋体"/>
          <w:color w:val="auto"/>
          <w:kern w:val="0"/>
          <w:szCs w:val="24"/>
          <w:highlight w:val="none"/>
        </w:rPr>
        <w:t>政府采购严重违法失信行为记录名单的供应商将被拒绝参与政府采购活动。</w:t>
      </w:r>
    </w:p>
    <w:p w14:paraId="253F09F9">
      <w:pPr>
        <w:pStyle w:val="397"/>
        <w:spacing w:before="0"/>
        <w:ind w:firstLine="495"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1A4F12BA">
      <w:pPr>
        <w:pStyle w:val="31"/>
        <w:spacing w:line="360" w:lineRule="auto"/>
        <w:rPr>
          <w:rFonts w:hint="eastAsia" w:ascii="宋体" w:hAnsi="宋体" w:eastAsia="宋体" w:cs="宋体"/>
          <w:b/>
          <w:color w:val="auto"/>
          <w:sz w:val="24"/>
          <w:szCs w:val="24"/>
          <w:highlight w:val="none"/>
        </w:rPr>
      </w:pPr>
    </w:p>
    <w:p w14:paraId="37139C22">
      <w:pPr>
        <w:adjustRightInd/>
        <w:spacing w:line="360" w:lineRule="auto"/>
        <w:jc w:val="center"/>
        <w:outlineLvl w:val="0"/>
        <w:rPr>
          <w:rFonts w:hint="eastAsia" w:ascii="宋体" w:hAnsi="宋体" w:eastAsia="宋体" w:cs="宋体"/>
          <w:b/>
          <w:color w:val="auto"/>
          <w:sz w:val="32"/>
          <w:szCs w:val="32"/>
          <w:highlight w:val="none"/>
        </w:rPr>
      </w:pPr>
      <w:bookmarkStart w:id="98" w:name="_Toc10446"/>
      <w:bookmarkStart w:id="99" w:name="_Toc12217"/>
      <w:r>
        <w:rPr>
          <w:rFonts w:hint="eastAsia" w:ascii="宋体" w:hAnsi="宋体" w:eastAsia="宋体" w:cs="宋体"/>
          <w:b/>
          <w:color w:val="auto"/>
          <w:sz w:val="32"/>
          <w:highlight w:val="none"/>
        </w:rPr>
        <w:t>九</w:t>
      </w:r>
      <w:r>
        <w:rPr>
          <w:rFonts w:hint="eastAsia" w:ascii="宋体" w:hAnsi="宋体" w:eastAsia="宋体" w:cs="宋体"/>
          <w:b/>
          <w:color w:val="auto"/>
          <w:sz w:val="32"/>
          <w:szCs w:val="20"/>
          <w:highlight w:val="none"/>
        </w:rPr>
        <w:t>、提交</w:t>
      </w:r>
      <w:r>
        <w:rPr>
          <w:rFonts w:hint="eastAsia" w:ascii="宋体" w:hAnsi="宋体" w:eastAsia="宋体" w:cs="宋体"/>
          <w:b/>
          <w:color w:val="auto"/>
          <w:sz w:val="32"/>
          <w:szCs w:val="32"/>
          <w:highlight w:val="none"/>
        </w:rPr>
        <w:t>最后报价</w:t>
      </w:r>
      <w:bookmarkEnd w:id="98"/>
      <w:bookmarkEnd w:id="99"/>
    </w:p>
    <w:p w14:paraId="62161010">
      <w:pPr>
        <w:snapToGrid w:val="0"/>
        <w:spacing w:line="360" w:lineRule="auto"/>
        <w:rPr>
          <w:rFonts w:hint="eastAsia" w:ascii="宋体" w:hAnsi="宋体" w:eastAsia="宋体" w:cs="宋体"/>
          <w:color w:val="auto"/>
          <w:sz w:val="24"/>
          <w:highlight w:val="none"/>
          <w:u w:val="single"/>
          <w:lang w:val="zh-CN"/>
        </w:rPr>
      </w:pPr>
      <w:r>
        <w:rPr>
          <w:rFonts w:hint="eastAsia" w:ascii="宋体" w:hAnsi="宋体" w:eastAsia="宋体" w:cs="宋体"/>
          <w:b/>
          <w:color w:val="auto"/>
          <w:sz w:val="24"/>
          <w:highlight w:val="none"/>
        </w:rPr>
        <w:t>1.</w:t>
      </w:r>
      <w:r>
        <w:rPr>
          <w:rFonts w:hint="eastAsia" w:ascii="宋体" w:hAnsi="宋体" w:eastAsia="宋体" w:cs="宋体"/>
          <w:color w:val="auto"/>
          <w:sz w:val="24"/>
          <w:highlight w:val="none"/>
        </w:rPr>
        <w:t>供应商的</w:t>
      </w:r>
      <w:r>
        <w:rPr>
          <w:rFonts w:hint="eastAsia" w:ascii="宋体" w:hAnsi="宋体" w:eastAsia="宋体" w:cs="宋体"/>
          <w:b/>
          <w:color w:val="auto"/>
          <w:sz w:val="24"/>
          <w:highlight w:val="none"/>
        </w:rPr>
        <w:t>最后报价文件</w:t>
      </w:r>
      <w:r>
        <w:rPr>
          <w:rFonts w:hint="eastAsia" w:ascii="宋体" w:hAnsi="宋体" w:eastAsia="宋体" w:cs="宋体"/>
          <w:color w:val="auto"/>
          <w:sz w:val="24"/>
          <w:highlight w:val="none"/>
        </w:rPr>
        <w:t>应包括以下内容（均需使用电子签名）：</w:t>
      </w:r>
    </w:p>
    <w:p w14:paraId="2A493925">
      <w:pPr>
        <w:pStyle w:val="31"/>
        <w:snapToGrid w:val="0"/>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1.1最后报价一览表</w:t>
      </w:r>
      <w:r>
        <w:rPr>
          <w:rFonts w:hint="eastAsia" w:ascii="宋体" w:hAnsi="宋体" w:eastAsia="宋体" w:cs="宋体"/>
          <w:color w:val="auto"/>
          <w:sz w:val="24"/>
          <w:szCs w:val="24"/>
          <w:highlight w:val="none"/>
          <w:lang w:eastAsia="zh-CN"/>
        </w:rPr>
        <w:t>。</w:t>
      </w:r>
    </w:p>
    <w:p w14:paraId="495DF6D2">
      <w:pPr>
        <w:adjustRightInd/>
        <w:spacing w:line="360" w:lineRule="auto"/>
        <w:jc w:val="center"/>
        <w:outlineLvl w:val="0"/>
        <w:rPr>
          <w:rFonts w:hint="eastAsia" w:ascii="宋体" w:hAnsi="宋体" w:eastAsia="宋体" w:cs="宋体"/>
          <w:b/>
          <w:color w:val="auto"/>
          <w:sz w:val="32"/>
          <w:szCs w:val="20"/>
          <w:highlight w:val="none"/>
        </w:rPr>
      </w:pPr>
    </w:p>
    <w:p w14:paraId="2ED69133">
      <w:pPr>
        <w:adjustRightInd/>
        <w:spacing w:line="360" w:lineRule="auto"/>
        <w:jc w:val="center"/>
        <w:outlineLvl w:val="0"/>
        <w:rPr>
          <w:rFonts w:hint="eastAsia" w:ascii="宋体" w:hAnsi="宋体" w:eastAsia="宋体" w:cs="宋体"/>
          <w:b/>
          <w:color w:val="auto"/>
          <w:sz w:val="32"/>
          <w:highlight w:val="none"/>
        </w:rPr>
      </w:pPr>
      <w:bookmarkStart w:id="100" w:name="_Toc15608"/>
      <w:bookmarkStart w:id="101" w:name="_Toc12774"/>
      <w:r>
        <w:rPr>
          <w:rFonts w:hint="eastAsia" w:ascii="宋体" w:hAnsi="宋体" w:eastAsia="宋体" w:cs="宋体"/>
          <w:b/>
          <w:color w:val="auto"/>
          <w:sz w:val="32"/>
          <w:szCs w:val="20"/>
          <w:highlight w:val="none"/>
        </w:rPr>
        <w:t>十、</w:t>
      </w:r>
      <w:r>
        <w:rPr>
          <w:rFonts w:hint="eastAsia" w:ascii="宋体" w:hAnsi="宋体" w:eastAsia="宋体" w:cs="宋体"/>
          <w:b/>
          <w:color w:val="auto"/>
          <w:sz w:val="32"/>
          <w:szCs w:val="32"/>
          <w:highlight w:val="none"/>
        </w:rPr>
        <w:t>评审</w:t>
      </w:r>
      <w:bookmarkEnd w:id="100"/>
      <w:bookmarkEnd w:id="101"/>
    </w:p>
    <w:p w14:paraId="79351EFD">
      <w:pPr>
        <w:pStyle w:val="397"/>
        <w:spacing w:before="0"/>
        <w:ind w:firstLine="0" w:firstLineChars="0"/>
        <w:rPr>
          <w:rFonts w:hint="eastAsia" w:ascii="宋体" w:hAnsi="宋体" w:eastAsia="宋体" w:cs="宋体"/>
          <w:b/>
          <w:color w:val="auto"/>
          <w:highlight w:val="none"/>
        </w:rPr>
      </w:pPr>
      <w:r>
        <w:rPr>
          <w:rFonts w:hint="eastAsia" w:ascii="宋体" w:hAnsi="宋体" w:eastAsia="宋体" w:cs="宋体"/>
          <w:b/>
          <w:color w:val="auto"/>
          <w:szCs w:val="24"/>
          <w:highlight w:val="none"/>
        </w:rPr>
        <w:t>1.</w:t>
      </w:r>
      <w:r>
        <w:rPr>
          <w:rFonts w:hint="eastAsia" w:ascii="宋体" w:hAnsi="宋体" w:eastAsia="宋体" w:cs="宋体"/>
          <w:b/>
          <w:color w:val="auto"/>
          <w:highlight w:val="none"/>
        </w:rPr>
        <w:t xml:space="preserve"> 评审方法：</w:t>
      </w:r>
      <w:r>
        <w:rPr>
          <w:rFonts w:hint="eastAsia" w:ascii="宋体" w:hAnsi="宋体" w:eastAsia="宋体" w:cs="宋体"/>
          <w:color w:val="auto"/>
          <w:highlight w:val="none"/>
        </w:rPr>
        <w:t>综合评分法。</w:t>
      </w:r>
    </w:p>
    <w:p w14:paraId="5E1FC7DB">
      <w:pPr>
        <w:pStyle w:val="397"/>
        <w:spacing w:before="0"/>
        <w:ind w:firstLine="0" w:firstLineChars="0"/>
        <w:rPr>
          <w:rFonts w:hint="eastAsia" w:ascii="宋体" w:hAnsi="宋体" w:eastAsia="宋体" w:cs="宋体"/>
          <w:b/>
          <w:color w:val="auto"/>
          <w:highlight w:val="none"/>
        </w:rPr>
      </w:pPr>
      <w:r>
        <w:rPr>
          <w:rFonts w:hint="eastAsia" w:ascii="宋体" w:hAnsi="宋体" w:eastAsia="宋体" w:cs="宋体"/>
          <w:b/>
          <w:color w:val="auto"/>
          <w:highlight w:val="none"/>
        </w:rPr>
        <w:t>2. 价格分计算方法：</w:t>
      </w:r>
      <w:r>
        <w:rPr>
          <w:rFonts w:hint="eastAsia" w:ascii="宋体" w:hAnsi="宋体" w:eastAsia="宋体" w:cs="宋体"/>
          <w:color w:val="auto"/>
          <w:highlight w:val="none"/>
        </w:rPr>
        <w:t>低价优先法。</w:t>
      </w:r>
    </w:p>
    <w:p w14:paraId="68883737">
      <w:pPr>
        <w:pStyle w:val="397"/>
        <w:spacing w:before="0"/>
        <w:ind w:firstLine="0" w:firstLineChars="0"/>
        <w:rPr>
          <w:rFonts w:hint="eastAsia" w:ascii="宋体" w:hAnsi="宋体" w:eastAsia="宋体" w:cs="宋体"/>
          <w:color w:val="auto"/>
          <w:szCs w:val="24"/>
          <w:highlight w:val="none"/>
        </w:rPr>
      </w:pPr>
      <w:r>
        <w:rPr>
          <w:rFonts w:hint="eastAsia" w:ascii="宋体" w:hAnsi="宋体" w:eastAsia="宋体" w:cs="宋体"/>
          <w:b/>
          <w:color w:val="auto"/>
          <w:highlight w:val="none"/>
        </w:rPr>
        <w:t>3. 评审要求：</w:t>
      </w:r>
      <w:r>
        <w:rPr>
          <w:rFonts w:hint="eastAsia" w:ascii="宋体" w:hAnsi="宋体" w:eastAsia="宋体" w:cs="宋体"/>
          <w:color w:val="auto"/>
          <w:highlight w:val="none"/>
        </w:rPr>
        <w:t>详见磋商文件第五部分“评审方法及评审标准”。</w:t>
      </w:r>
    </w:p>
    <w:p w14:paraId="3C314696">
      <w:pPr>
        <w:adjustRightInd/>
        <w:spacing w:line="360" w:lineRule="auto"/>
        <w:jc w:val="center"/>
        <w:outlineLvl w:val="0"/>
        <w:rPr>
          <w:rFonts w:hint="eastAsia" w:ascii="宋体" w:hAnsi="宋体" w:eastAsia="宋体" w:cs="宋体"/>
          <w:color w:val="auto"/>
          <w:sz w:val="24"/>
          <w:highlight w:val="none"/>
        </w:rPr>
      </w:pPr>
    </w:p>
    <w:p w14:paraId="2C97E5D1">
      <w:pPr>
        <w:adjustRightInd/>
        <w:spacing w:line="360" w:lineRule="auto"/>
        <w:jc w:val="center"/>
        <w:outlineLvl w:val="0"/>
        <w:rPr>
          <w:rFonts w:hint="eastAsia" w:ascii="宋体" w:hAnsi="宋体" w:eastAsia="宋体" w:cs="宋体"/>
          <w:b/>
          <w:color w:val="auto"/>
          <w:sz w:val="32"/>
          <w:szCs w:val="20"/>
          <w:highlight w:val="none"/>
        </w:rPr>
      </w:pPr>
      <w:bookmarkStart w:id="102" w:name="_Toc1450"/>
      <w:bookmarkStart w:id="103" w:name="_Toc24899"/>
      <w:r>
        <w:rPr>
          <w:rFonts w:hint="eastAsia" w:ascii="宋体" w:hAnsi="宋体" w:eastAsia="宋体" w:cs="宋体"/>
          <w:b/>
          <w:color w:val="auto"/>
          <w:sz w:val="32"/>
          <w:szCs w:val="20"/>
          <w:highlight w:val="none"/>
        </w:rPr>
        <w:t>十一、</w:t>
      </w:r>
      <w:r>
        <w:rPr>
          <w:rFonts w:hint="eastAsia" w:ascii="宋体" w:hAnsi="宋体" w:eastAsia="宋体" w:cs="宋体"/>
          <w:b/>
          <w:color w:val="auto"/>
          <w:sz w:val="32"/>
          <w:szCs w:val="32"/>
          <w:highlight w:val="none"/>
        </w:rPr>
        <w:t>成交</w:t>
      </w:r>
      <w:bookmarkEnd w:id="102"/>
      <w:bookmarkEnd w:id="103"/>
    </w:p>
    <w:p w14:paraId="2238C588">
      <w:pPr>
        <w:pStyle w:val="31"/>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highlight w:val="none"/>
        </w:rPr>
        <w:t>1. 推荐成交候选供应商</w:t>
      </w:r>
    </w:p>
    <w:p w14:paraId="7B6AE5F0">
      <w:pPr>
        <w:spacing w:line="360" w:lineRule="auto"/>
        <w:ind w:firstLine="465" w:firstLineChars="194"/>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磋商小组将根据综合评分情况，按照评审得分由高到低顺序推荐3名以上成交候选供应商，并编写评审报告。符合财政部门规定情形的，可以推荐2家成交候选供应商。评审得分相同的，按照最后报价由低到高的顺序推荐。评审得分且最后报价相同的，按照技术指标优劣顺序推荐。</w:t>
      </w:r>
    </w:p>
    <w:p w14:paraId="68ED6B87">
      <w:pPr>
        <w:pStyle w:val="31"/>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 确定成交供应商</w:t>
      </w:r>
    </w:p>
    <w:p w14:paraId="3C0DAFC6">
      <w:pPr>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政府采购项目实行全流程电子化，评审报告送交、采购结果确定和结果公告均在线完成。为进一步提升采购结果确定效率，采购代理机构应当依法及时将评审报告在线送交采购人。采购人应当自收到评审报告之日起</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个工作日内在线确定成交供应商。成交通知书和成交结果公告应当在规定时间内同时发出。</w:t>
      </w:r>
      <w:r>
        <w:rPr>
          <w:rFonts w:hint="eastAsia" w:ascii="宋体" w:hAnsi="宋体" w:eastAsia="宋体" w:cs="宋体"/>
          <w:b/>
          <w:bCs/>
          <w:color w:val="auto"/>
          <w:sz w:val="24"/>
          <w:highlight w:val="none"/>
          <w:lang w:val="en-US" w:eastAsia="zh-CN"/>
        </w:rPr>
        <w:t>注：按评审后得分由高到低顺序确定1名成交人。</w:t>
      </w:r>
    </w:p>
    <w:p w14:paraId="41F38D58">
      <w:pPr>
        <w:tabs>
          <w:tab w:val="left" w:pos="0"/>
        </w:tabs>
        <w:spacing w:line="360" w:lineRule="auto"/>
        <w:rPr>
          <w:rFonts w:hint="eastAsia" w:ascii="宋体" w:hAnsi="宋体" w:eastAsia="宋体" w:cs="宋体"/>
          <w:color w:val="auto"/>
          <w:kern w:val="0"/>
          <w:sz w:val="24"/>
          <w:highlight w:val="none"/>
        </w:rPr>
      </w:pPr>
      <w:r>
        <w:rPr>
          <w:rFonts w:hint="eastAsia" w:ascii="宋体" w:hAnsi="宋体" w:eastAsia="宋体" w:cs="宋体"/>
          <w:b/>
          <w:color w:val="auto"/>
          <w:sz w:val="24"/>
          <w:highlight w:val="none"/>
        </w:rPr>
        <w:t>3．成交通知及成交结果公告</w:t>
      </w:r>
    </w:p>
    <w:p w14:paraId="1E32EAB4">
      <w:pPr>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szCs w:val="21"/>
          <w:highlight w:val="none"/>
        </w:rPr>
        <w:t>3.1自成交人确定之日起2个工作日内，</w:t>
      </w:r>
      <w:r>
        <w:rPr>
          <w:rFonts w:hint="eastAsia" w:ascii="宋体" w:hAnsi="宋体" w:eastAsia="宋体" w:cs="宋体"/>
          <w:color w:val="auto"/>
          <w:sz w:val="24"/>
          <w:szCs w:val="21"/>
          <w:highlight w:val="none"/>
          <w:lang w:eastAsia="zh-CN"/>
        </w:rPr>
        <w:t>采购代理机构</w:t>
      </w:r>
      <w:r>
        <w:rPr>
          <w:rFonts w:hint="eastAsia" w:ascii="宋体" w:hAnsi="宋体" w:eastAsia="宋体" w:cs="宋体"/>
          <w:color w:val="auto"/>
          <w:sz w:val="24"/>
          <w:szCs w:val="21"/>
          <w:highlight w:val="none"/>
        </w:rPr>
        <w:t>通过电子交易平台向成交人发出成交通知书，</w:t>
      </w:r>
      <w:r>
        <w:rPr>
          <w:rFonts w:hint="eastAsia" w:ascii="宋体" w:hAnsi="宋体" w:eastAsia="宋体" w:cs="宋体"/>
          <w:color w:val="auto"/>
          <w:sz w:val="24"/>
          <w:highlight w:val="none"/>
        </w:rPr>
        <w:t>同时编制发布采购</w:t>
      </w:r>
      <w:r>
        <w:rPr>
          <w:rFonts w:hint="eastAsia" w:ascii="宋体" w:hAnsi="宋体" w:eastAsia="宋体" w:cs="宋体"/>
          <w:color w:val="auto"/>
          <w:sz w:val="24"/>
          <w:szCs w:val="21"/>
          <w:highlight w:val="none"/>
        </w:rPr>
        <w:t>成交结果公告。</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也可以以纸质形式进行成交通知。</w:t>
      </w:r>
    </w:p>
    <w:p w14:paraId="12246891">
      <w:pPr>
        <w:spacing w:line="360" w:lineRule="auto"/>
        <w:ind w:firstLine="360" w:firstLineChars="150"/>
        <w:rPr>
          <w:rFonts w:hint="eastAsia" w:ascii="宋体" w:hAnsi="宋体" w:eastAsia="宋体" w:cs="宋体"/>
          <w:color w:val="auto"/>
          <w:sz w:val="24"/>
          <w:szCs w:val="21"/>
          <w:highlight w:val="none"/>
        </w:rPr>
      </w:pPr>
      <w:r>
        <w:rPr>
          <w:rFonts w:hint="eastAsia" w:ascii="宋体" w:hAnsi="宋体" w:eastAsia="宋体" w:cs="宋体"/>
          <w:color w:val="auto"/>
          <w:sz w:val="24"/>
          <w:highlight w:val="none"/>
        </w:rPr>
        <w:t>3.2</w:t>
      </w:r>
      <w:r>
        <w:rPr>
          <w:rFonts w:hint="eastAsia" w:ascii="宋体" w:hAnsi="宋体" w:eastAsia="宋体" w:cs="宋体"/>
          <w:color w:val="auto"/>
          <w:sz w:val="24"/>
          <w:szCs w:val="21"/>
          <w:highlight w:val="none"/>
        </w:rPr>
        <w:t>成交</w:t>
      </w:r>
      <w:r>
        <w:rPr>
          <w:rFonts w:hint="eastAsia" w:ascii="宋体" w:hAnsi="宋体" w:eastAsia="宋体" w:cs="宋体"/>
          <w:color w:val="auto"/>
          <w:sz w:val="24"/>
          <w:highlight w:val="none"/>
        </w:rPr>
        <w:t>结果公告内容包括采购人及其委托的</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的名称、地址、联系方式，项目名称和项目编号，成交人名称、地址和成交金额，主要中标标的的名称、服务范围、服务要求、服务时间、服务标准，开标记录、</w:t>
      </w:r>
      <w:bookmarkStart w:id="104" w:name="_Hlk101184471"/>
      <w:r>
        <w:rPr>
          <w:rFonts w:hint="eastAsia" w:ascii="宋体" w:hAnsi="宋体" w:eastAsia="宋体" w:cs="宋体"/>
          <w:color w:val="auto"/>
          <w:sz w:val="24"/>
          <w:highlight w:val="none"/>
        </w:rPr>
        <w:t>资格审查情况、评审专家抽取规则、符合性审查情况</w:t>
      </w:r>
      <w:bookmarkEnd w:id="104"/>
      <w:r>
        <w:rPr>
          <w:rFonts w:hint="eastAsia" w:ascii="宋体" w:hAnsi="宋体" w:eastAsia="宋体" w:cs="宋体"/>
          <w:color w:val="auto"/>
          <w:sz w:val="24"/>
          <w:highlight w:val="none"/>
        </w:rPr>
        <w:t>、成交公告期限以及评审专家名单、评分汇总及明细。</w:t>
      </w:r>
    </w:p>
    <w:p w14:paraId="49779C01">
      <w:pPr>
        <w:spacing w:line="360" w:lineRule="auto"/>
        <w:ind w:firstLine="360" w:firstLineChars="150"/>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3.3公告期限为1个工作日。</w:t>
      </w:r>
    </w:p>
    <w:p w14:paraId="7DC20FE1">
      <w:pPr>
        <w:snapToGrid w:val="0"/>
        <w:spacing w:line="360" w:lineRule="auto"/>
        <w:jc w:val="center"/>
        <w:outlineLvl w:val="0"/>
        <w:rPr>
          <w:rFonts w:hint="eastAsia" w:ascii="宋体" w:hAnsi="宋体" w:eastAsia="宋体" w:cs="宋体"/>
          <w:b/>
          <w:color w:val="auto"/>
          <w:sz w:val="36"/>
          <w:szCs w:val="36"/>
          <w:highlight w:val="none"/>
        </w:rPr>
      </w:pPr>
    </w:p>
    <w:p w14:paraId="6BBCA125">
      <w:pPr>
        <w:snapToGrid w:val="0"/>
        <w:spacing w:line="360" w:lineRule="auto"/>
        <w:jc w:val="center"/>
        <w:outlineLvl w:val="0"/>
        <w:rPr>
          <w:rFonts w:hint="eastAsia" w:ascii="宋体" w:hAnsi="宋体" w:eastAsia="宋体" w:cs="宋体"/>
          <w:b/>
          <w:color w:val="auto"/>
          <w:sz w:val="36"/>
          <w:szCs w:val="36"/>
          <w:highlight w:val="none"/>
        </w:rPr>
      </w:pPr>
      <w:bookmarkStart w:id="105" w:name="_Toc14195"/>
      <w:bookmarkStart w:id="106" w:name="_Toc12081"/>
      <w:r>
        <w:rPr>
          <w:rFonts w:hint="eastAsia" w:ascii="宋体" w:hAnsi="宋体" w:eastAsia="宋体" w:cs="宋体"/>
          <w:b/>
          <w:color w:val="auto"/>
          <w:sz w:val="36"/>
          <w:szCs w:val="36"/>
          <w:highlight w:val="none"/>
        </w:rPr>
        <w:t>十二、合同</w:t>
      </w:r>
      <w:bookmarkEnd w:id="105"/>
      <w:bookmarkEnd w:id="106"/>
    </w:p>
    <w:p w14:paraId="1B6488D5">
      <w:pPr>
        <w:tabs>
          <w:tab w:val="left" w:pos="0"/>
        </w:tabs>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1.合同主要条款：</w:t>
      </w:r>
      <w:r>
        <w:rPr>
          <w:rFonts w:hint="eastAsia" w:ascii="宋体" w:hAnsi="宋体" w:eastAsia="宋体" w:cs="宋体"/>
          <w:color w:val="auto"/>
          <w:sz w:val="24"/>
          <w:highlight w:val="none"/>
        </w:rPr>
        <w:t>详见“第六部分</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拟签订的合同文本”。</w:t>
      </w:r>
    </w:p>
    <w:p w14:paraId="08B55DE0">
      <w:pPr>
        <w:tabs>
          <w:tab w:val="left" w:pos="0"/>
        </w:tabs>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2.合同的签订</w:t>
      </w:r>
    </w:p>
    <w:p w14:paraId="477C4D7F">
      <w:pPr>
        <w:widowControl/>
        <w:shd w:val="clear" w:color="auto" w:fill="FFFFFF"/>
        <w:spacing w:line="360" w:lineRule="auto"/>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szCs w:val="21"/>
          <w:highlight w:val="none"/>
        </w:rPr>
        <w:t>2.1</w:t>
      </w:r>
      <w:r>
        <w:rPr>
          <w:rFonts w:hint="eastAsia" w:ascii="宋体" w:hAnsi="宋体" w:eastAsia="宋体" w:cs="宋体"/>
          <w:color w:val="auto"/>
          <w:kern w:val="0"/>
          <w:sz w:val="24"/>
          <w:highlight w:val="none"/>
        </w:rPr>
        <w:t>除不可抗力等特殊情况外，原则上采购人应当在成交通知书发出之日起</w:t>
      </w:r>
      <w:r>
        <w:rPr>
          <w:rFonts w:hint="eastAsia" w:ascii="宋体" w:hAnsi="宋体" w:eastAsia="宋体" w:cs="宋体"/>
          <w:color w:val="auto"/>
          <w:kern w:val="0"/>
          <w:sz w:val="24"/>
          <w:highlight w:val="none"/>
          <w:lang w:val="en-US" w:eastAsia="zh-CN"/>
        </w:rPr>
        <w:t>30</w:t>
      </w:r>
      <w:r>
        <w:rPr>
          <w:rFonts w:hint="eastAsia" w:ascii="宋体" w:hAnsi="宋体" w:eastAsia="宋体" w:cs="宋体"/>
          <w:color w:val="auto"/>
          <w:kern w:val="0"/>
          <w:sz w:val="24"/>
          <w:highlight w:val="none"/>
        </w:rPr>
        <w:t>日内，与成交供应商按照磋商文件确定的事项签订政府采购合同，并在签订之日起2个工作日内将政府采购合同在浙江政府采购网上公告。</w:t>
      </w:r>
    </w:p>
    <w:p w14:paraId="17836521">
      <w:pPr>
        <w:pStyle w:val="397"/>
        <w:snapToGrid w:val="0"/>
        <w:spacing w:before="0"/>
        <w:ind w:firstLine="480"/>
        <w:rPr>
          <w:rFonts w:hint="eastAsia" w:ascii="宋体" w:hAnsi="宋体" w:eastAsia="宋体" w:cs="宋体"/>
          <w:color w:val="auto"/>
          <w:kern w:val="0"/>
          <w:highlight w:val="none"/>
        </w:rPr>
      </w:pPr>
      <w:r>
        <w:rPr>
          <w:rFonts w:hint="eastAsia" w:ascii="宋体" w:hAnsi="宋体" w:eastAsia="宋体" w:cs="宋体"/>
          <w:color w:val="auto"/>
          <w:kern w:val="0"/>
          <w:highlight w:val="none"/>
          <w:lang w:val="zh-CN"/>
        </w:rPr>
        <w:t>2.2成交人按规定的日期、时间、地点，由法定代表人或其授权代表与采购人代表签订合同。如成交人为联合体的，由联合体成员各方法定代表人或其授权代表与采购人代表签订合同。</w:t>
      </w:r>
    </w:p>
    <w:p w14:paraId="2BED8F46">
      <w:pPr>
        <w:spacing w:line="360" w:lineRule="auto"/>
        <w:ind w:firstLine="465" w:firstLineChars="194"/>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2.</w:t>
      </w:r>
      <w:r>
        <w:rPr>
          <w:rFonts w:hint="eastAsia" w:ascii="宋体" w:hAnsi="宋体" w:cs="宋体"/>
          <w:color w:val="auto"/>
          <w:sz w:val="24"/>
          <w:szCs w:val="21"/>
          <w:highlight w:val="none"/>
          <w:lang w:val="en-US" w:eastAsia="zh-CN"/>
        </w:rPr>
        <w:t>3</w:t>
      </w:r>
      <w:r>
        <w:rPr>
          <w:rFonts w:hint="eastAsia" w:ascii="宋体" w:hAnsi="宋体" w:eastAsia="宋体" w:cs="宋体"/>
          <w:color w:val="auto"/>
          <w:sz w:val="24"/>
          <w:szCs w:val="21"/>
          <w:highlight w:val="none"/>
        </w:rPr>
        <w:t>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14:paraId="6A13E8F6">
      <w:pPr>
        <w:pStyle w:val="397"/>
        <w:snapToGrid w:val="0"/>
        <w:spacing w:before="0" w:after="120"/>
        <w:ind w:firstLine="480"/>
        <w:rPr>
          <w:rFonts w:hint="eastAsia" w:ascii="宋体" w:hAnsi="宋体" w:eastAsia="宋体" w:cs="宋体"/>
          <w:color w:val="auto"/>
          <w:highlight w:val="none"/>
          <w:lang w:eastAsia="zh-CN"/>
        </w:rPr>
      </w:pPr>
      <w:r>
        <w:rPr>
          <w:rFonts w:hint="eastAsia" w:ascii="宋体" w:hAnsi="宋体" w:eastAsia="宋体" w:cs="宋体"/>
          <w:color w:val="auto"/>
          <w:highlight w:val="none"/>
        </w:rPr>
        <w:t>2.</w:t>
      </w:r>
      <w:r>
        <w:rPr>
          <w:rFonts w:hint="eastAsia" w:ascii="宋体" w:hAnsi="宋体" w:cs="宋体"/>
          <w:color w:val="auto"/>
          <w:highlight w:val="none"/>
          <w:lang w:val="en-US" w:eastAsia="zh-CN"/>
        </w:rPr>
        <w:t>4</w:t>
      </w:r>
      <w:r>
        <w:rPr>
          <w:rFonts w:hint="eastAsia" w:ascii="宋体" w:hAnsi="宋体" w:eastAsia="宋体" w:cs="宋体"/>
          <w:color w:val="auto"/>
          <w:highlight w:val="none"/>
        </w:rPr>
        <w:t>采购合同由采购人与成交供应商根据磋商文件、响应文件等内容签订</w:t>
      </w:r>
      <w:r>
        <w:rPr>
          <w:rFonts w:hint="eastAsia" w:ascii="宋体" w:hAnsi="宋体" w:cs="宋体"/>
          <w:color w:val="auto"/>
          <w:highlight w:val="none"/>
          <w:lang w:eastAsia="zh-CN"/>
        </w:rPr>
        <w:t>。</w:t>
      </w:r>
    </w:p>
    <w:p w14:paraId="294F61F6">
      <w:pPr>
        <w:tabs>
          <w:tab w:val="left" w:pos="0"/>
        </w:tabs>
        <w:spacing w:line="360" w:lineRule="auto"/>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rPr>
        <w:t>3．履约保证金</w:t>
      </w:r>
      <w:r>
        <w:rPr>
          <w:rFonts w:hint="eastAsia" w:ascii="宋体" w:hAnsi="宋体" w:eastAsia="宋体" w:cs="宋体"/>
          <w:b/>
          <w:color w:val="auto"/>
          <w:sz w:val="24"/>
          <w:highlight w:val="none"/>
          <w:lang w:eastAsia="zh-CN"/>
        </w:rPr>
        <w:t>（</w:t>
      </w:r>
      <w:r>
        <w:rPr>
          <w:rFonts w:hint="eastAsia" w:ascii="宋体" w:hAnsi="宋体" w:eastAsia="宋体" w:cs="宋体"/>
          <w:b/>
          <w:color w:val="auto"/>
          <w:sz w:val="24"/>
          <w:highlight w:val="none"/>
          <w:lang w:val="en-US" w:eastAsia="zh-CN"/>
        </w:rPr>
        <w:t>如有）</w:t>
      </w:r>
    </w:p>
    <w:p w14:paraId="53821184">
      <w:pPr>
        <w:tabs>
          <w:tab w:val="left" w:pos="0"/>
        </w:tabs>
        <w:spacing w:line="360" w:lineRule="auto"/>
        <w:ind w:firstLine="482"/>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拟签订的合同文本要求成交供应商提交履约保证金的，供应商应当以支票、汇票、本票或者金融机构、担保机构出具的保函等非现金形式提交</w:t>
      </w:r>
      <w:r>
        <w:rPr>
          <w:rFonts w:hint="eastAsia" w:ascii="宋体" w:hAnsi="宋体" w:eastAsia="宋体" w:cs="宋体"/>
          <w:color w:val="auto"/>
          <w:sz w:val="24"/>
          <w:highlight w:val="none"/>
        </w:rPr>
        <w:t>。履约保证金的数额不得超过政府采购合同金额的1%。</w:t>
      </w:r>
    </w:p>
    <w:p w14:paraId="3D9545D6">
      <w:pPr>
        <w:tabs>
          <w:tab w:val="left" w:pos="0"/>
        </w:tabs>
        <w:spacing w:line="360" w:lineRule="auto"/>
        <w:ind w:firstLine="482"/>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0AA44E37">
      <w:pPr>
        <w:pStyle w:val="3"/>
        <w:numPr>
          <w:ilvl w:val="255"/>
          <w:numId w:val="0"/>
        </w:numPr>
        <w:ind w:left="0" w:firstLine="0"/>
        <w:rPr>
          <w:rFonts w:hint="eastAsia" w:ascii="宋体" w:hAnsi="宋体" w:eastAsia="宋体" w:cs="宋体"/>
          <w:color w:val="auto"/>
          <w:highlight w:val="none"/>
          <w:lang w:val="en-US" w:eastAsia="zh-CN"/>
        </w:rPr>
      </w:pPr>
      <w:bookmarkStart w:id="107" w:name="_Toc30791"/>
      <w:bookmarkStart w:id="108" w:name="_Toc27689"/>
      <w:r>
        <w:rPr>
          <w:rFonts w:hint="eastAsia" w:ascii="宋体" w:hAnsi="宋体" w:eastAsia="宋体" w:cs="宋体"/>
          <w:color w:val="auto"/>
          <w:sz w:val="24"/>
          <w:highlight w:val="none"/>
          <w:lang w:val="en-US"/>
        </w:rPr>
        <w:t>4.预付款</w:t>
      </w:r>
      <w:bookmarkEnd w:id="107"/>
      <w:r>
        <w:rPr>
          <w:rFonts w:hint="eastAsia" w:ascii="宋体" w:hAnsi="宋体" w:eastAsia="宋体" w:cs="宋体"/>
          <w:color w:val="auto"/>
          <w:sz w:val="24"/>
          <w:highlight w:val="none"/>
          <w:lang w:val="en-US" w:eastAsia="zh-CN"/>
        </w:rPr>
        <w:t>（如有）</w:t>
      </w:r>
      <w:bookmarkEnd w:id="108"/>
    </w:p>
    <w:p w14:paraId="6EB3EE61">
      <w:pPr>
        <w:tabs>
          <w:tab w:val="left" w:pos="0"/>
        </w:tabs>
        <w:spacing w:line="360" w:lineRule="auto"/>
        <w:ind w:firstLine="480" w:firstLineChars="200"/>
        <w:rPr>
          <w:rFonts w:hint="eastAsia" w:ascii="宋体" w:hAnsi="宋体" w:eastAsia="宋体" w:cs="宋体"/>
          <w:snapToGrid w:val="0"/>
          <w:color w:val="auto"/>
          <w:kern w:val="28"/>
          <w:sz w:val="24"/>
          <w:highlight w:val="none"/>
          <w:lang w:val="en-US" w:eastAsia="zh-CN"/>
        </w:rPr>
      </w:pPr>
      <w:r>
        <w:rPr>
          <w:rFonts w:hint="eastAsia" w:ascii="宋体" w:hAnsi="宋体" w:eastAsia="宋体" w:cs="宋体"/>
          <w:snapToGrid w:val="0"/>
          <w:color w:val="auto"/>
          <w:kern w:val="28"/>
          <w:sz w:val="24"/>
          <w:highlight w:val="none"/>
          <w:lang w:val="en-US" w:eastAsia="zh-CN"/>
        </w:rPr>
        <w:t>详见“第四部分 采购需求”</w:t>
      </w:r>
    </w:p>
    <w:p w14:paraId="113164C4">
      <w:pPr>
        <w:snapToGrid w:val="0"/>
        <w:spacing w:line="360" w:lineRule="auto"/>
        <w:jc w:val="center"/>
        <w:rPr>
          <w:rFonts w:hint="eastAsia" w:ascii="宋体" w:hAnsi="宋体" w:eastAsia="宋体" w:cs="宋体"/>
          <w:b/>
          <w:color w:val="auto"/>
          <w:sz w:val="36"/>
          <w:szCs w:val="36"/>
          <w:highlight w:val="none"/>
        </w:rPr>
      </w:pPr>
    </w:p>
    <w:p w14:paraId="14F1DD5B">
      <w:pPr>
        <w:snapToGrid w:val="0"/>
        <w:spacing w:line="360" w:lineRule="auto"/>
        <w:jc w:val="center"/>
        <w:outlineLvl w:val="0"/>
        <w:rPr>
          <w:rFonts w:hint="eastAsia" w:ascii="宋体" w:hAnsi="宋体" w:eastAsia="宋体" w:cs="宋体"/>
          <w:b/>
          <w:color w:val="auto"/>
          <w:sz w:val="36"/>
          <w:szCs w:val="36"/>
          <w:highlight w:val="none"/>
        </w:rPr>
      </w:pPr>
      <w:bookmarkStart w:id="109" w:name="_Toc26308"/>
      <w:bookmarkStart w:id="110" w:name="_Toc28562"/>
      <w:r>
        <w:rPr>
          <w:rFonts w:hint="eastAsia" w:ascii="宋体" w:hAnsi="宋体" w:eastAsia="宋体" w:cs="宋体"/>
          <w:b/>
          <w:color w:val="auto"/>
          <w:sz w:val="36"/>
          <w:szCs w:val="36"/>
          <w:highlight w:val="none"/>
        </w:rPr>
        <w:t>十三、验收</w:t>
      </w:r>
      <w:bookmarkEnd w:id="109"/>
      <w:bookmarkEnd w:id="110"/>
    </w:p>
    <w:p w14:paraId="0CE13493">
      <w:pPr>
        <w:pStyle w:val="23"/>
        <w:spacing w:line="360" w:lineRule="auto"/>
        <w:ind w:firstLine="0" w:firstLineChars="0"/>
        <w:rPr>
          <w:rFonts w:hint="eastAsia" w:ascii="宋体" w:hAnsi="宋体" w:eastAsia="宋体" w:cs="宋体"/>
          <w:b/>
          <w:color w:val="auto"/>
          <w:highlight w:val="none"/>
        </w:rPr>
      </w:pPr>
      <w:r>
        <w:rPr>
          <w:rFonts w:hint="eastAsia" w:ascii="宋体" w:hAnsi="宋体" w:eastAsia="宋体" w:cs="宋体"/>
          <w:b/>
          <w:color w:val="auto"/>
          <w:highlight w:val="none"/>
        </w:rPr>
        <w:t>1.验收</w:t>
      </w:r>
    </w:p>
    <w:p w14:paraId="440179EC">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7E0C70A2">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1.2采购人可以邀请参加本项目的其他供应商或者第三方机构参与验收。参与验收的供应商或者第三方机构的意见作为验收书的参考资料一并存档。</w:t>
      </w:r>
    </w:p>
    <w:p w14:paraId="26273BC5">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0CA434A1">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1.4验收合格的项目，采购人将根据采购合同的约定及时向供应商支付采购资金、退还履约保证金。验收不合格的项目，采购人将依法及时处理。采购合同的履行、违约责任和解决争议的方式等适用《中华人民共和国民法典》。</w:t>
      </w:r>
    </w:p>
    <w:p w14:paraId="4019C219">
      <w:pPr>
        <w:snapToGrid w:val="0"/>
        <w:spacing w:line="360" w:lineRule="auto"/>
        <w:jc w:val="center"/>
        <w:rPr>
          <w:rFonts w:hint="eastAsia" w:ascii="宋体" w:hAnsi="宋体" w:eastAsia="宋体" w:cs="宋体"/>
          <w:b/>
          <w:color w:val="auto"/>
          <w:sz w:val="36"/>
          <w:szCs w:val="36"/>
          <w:highlight w:val="none"/>
        </w:rPr>
      </w:pPr>
    </w:p>
    <w:p w14:paraId="73D7E762">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36"/>
          <w:szCs w:val="36"/>
          <w:highlight w:val="none"/>
        </w:rPr>
        <w:t>十四、电子交易活动的中止</w:t>
      </w:r>
    </w:p>
    <w:p w14:paraId="55CF9A73">
      <w:pPr>
        <w:tabs>
          <w:tab w:val="left" w:pos="0"/>
        </w:tabs>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 电子交易活动的中止</w:t>
      </w:r>
    </w:p>
    <w:p w14:paraId="250B7C83">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采购过程中出现以下情形，导致电子交易平台无法正常运行，或者无法保证电子交易的公平、公正和安全时，</w:t>
      </w:r>
      <w:r>
        <w:rPr>
          <w:rFonts w:hint="eastAsia" w:ascii="宋体" w:hAnsi="宋体" w:eastAsia="宋体" w:cs="宋体"/>
          <w:color w:val="auto"/>
          <w:kern w:val="0"/>
          <w:sz w:val="24"/>
          <w:highlight w:val="none"/>
          <w:lang w:eastAsia="zh-CN"/>
        </w:rPr>
        <w:t>采购代理机构</w:t>
      </w:r>
      <w:r>
        <w:rPr>
          <w:rFonts w:hint="eastAsia" w:ascii="宋体" w:hAnsi="宋体" w:eastAsia="宋体" w:cs="宋体"/>
          <w:color w:val="auto"/>
          <w:kern w:val="0"/>
          <w:sz w:val="24"/>
          <w:highlight w:val="none"/>
        </w:rPr>
        <w:t>可中止电子交易活动：</w:t>
      </w:r>
    </w:p>
    <w:p w14:paraId="10CCB486">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1.1电子交易平台发生故障而无法登录访问的； </w:t>
      </w:r>
    </w:p>
    <w:p w14:paraId="5D113CC0">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1.2电子交易平台应用或数据库出现错误，不能进行正常操作的；</w:t>
      </w:r>
    </w:p>
    <w:p w14:paraId="4043CB85">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1.3电子交易平台发现严重安全漏洞，有潜在泄密危险的；</w:t>
      </w:r>
    </w:p>
    <w:p w14:paraId="168D2818">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1.4病毒发作导致不能进行正常操作的； </w:t>
      </w:r>
    </w:p>
    <w:p w14:paraId="396D6E83">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1.5其他无法保证电子交易的公平、公正和安全的情况。</w:t>
      </w:r>
    </w:p>
    <w:p w14:paraId="123C0737">
      <w:pPr>
        <w:tabs>
          <w:tab w:val="left" w:pos="0"/>
        </w:tabs>
        <w:spacing w:line="360" w:lineRule="auto"/>
        <w:rPr>
          <w:rFonts w:hint="eastAsia" w:ascii="宋体" w:hAnsi="宋体" w:eastAsia="宋体" w:cs="宋体"/>
          <w:b/>
          <w:color w:val="auto"/>
          <w:sz w:val="36"/>
          <w:szCs w:val="36"/>
          <w:highlight w:val="none"/>
        </w:rPr>
      </w:pPr>
      <w:r>
        <w:rPr>
          <w:rFonts w:hint="eastAsia" w:ascii="宋体" w:hAnsi="宋体" w:eastAsia="宋体" w:cs="宋体"/>
          <w:b/>
          <w:color w:val="auto"/>
          <w:kern w:val="0"/>
          <w:sz w:val="24"/>
          <w:highlight w:val="none"/>
        </w:rPr>
        <w:t>2.</w:t>
      </w:r>
      <w:r>
        <w:rPr>
          <w:rFonts w:hint="eastAsia" w:ascii="宋体" w:hAnsi="宋体" w:eastAsia="宋体" w:cs="宋体"/>
          <w:color w:val="auto"/>
          <w:kern w:val="0"/>
          <w:sz w:val="24"/>
          <w:highlight w:val="none"/>
        </w:rPr>
        <w:t>出现以上情形，不影响采购公平、公正性的，采购组织机构可以待上述情形消除后继续组织电子交易活动；影响或可能影响采购公平、公正性的，应当重新采购。</w:t>
      </w:r>
      <w:bookmarkEnd w:id="11"/>
      <w:bookmarkStart w:id="111" w:name="_Hlt75236101"/>
      <w:bookmarkEnd w:id="111"/>
      <w:bookmarkStart w:id="112" w:name="_Hlt75236290"/>
      <w:bookmarkEnd w:id="112"/>
      <w:bookmarkStart w:id="113" w:name="_Hlt74707468"/>
      <w:bookmarkEnd w:id="113"/>
      <w:bookmarkStart w:id="114" w:name="_Hlt74729768"/>
      <w:bookmarkEnd w:id="114"/>
      <w:bookmarkStart w:id="115" w:name="_Hlt74714665"/>
      <w:bookmarkEnd w:id="115"/>
      <w:bookmarkStart w:id="116" w:name="_Hlt75236011"/>
      <w:bookmarkEnd w:id="116"/>
      <w:bookmarkStart w:id="117" w:name="_Hlt68057669"/>
      <w:bookmarkEnd w:id="117"/>
      <w:bookmarkStart w:id="118" w:name="_Hlt68072990"/>
      <w:bookmarkEnd w:id="118"/>
      <w:bookmarkStart w:id="119" w:name="_Hlt74730295"/>
      <w:bookmarkEnd w:id="119"/>
      <w:bookmarkStart w:id="120" w:name="_Toc164416483"/>
      <w:bookmarkStart w:id="121" w:name="第三部分"/>
      <w:r>
        <w:rPr>
          <w:rFonts w:hint="eastAsia" w:ascii="宋体" w:hAnsi="宋体" w:eastAsia="宋体" w:cs="宋体"/>
          <w:b/>
          <w:color w:val="auto"/>
          <w:sz w:val="36"/>
          <w:szCs w:val="36"/>
          <w:highlight w:val="none"/>
        </w:rPr>
        <w:br w:type="page"/>
      </w:r>
    </w:p>
    <w:p w14:paraId="13B897C4">
      <w:pPr>
        <w:adjustRightInd/>
        <w:spacing w:line="360" w:lineRule="auto"/>
        <w:jc w:val="center"/>
        <w:outlineLvl w:val="0"/>
        <w:rPr>
          <w:rFonts w:hint="eastAsia" w:ascii="宋体" w:hAnsi="宋体" w:eastAsia="宋体" w:cs="宋体"/>
          <w:b/>
          <w:color w:val="auto"/>
          <w:sz w:val="36"/>
          <w:szCs w:val="36"/>
          <w:highlight w:val="none"/>
        </w:rPr>
      </w:pPr>
      <w:bookmarkStart w:id="122" w:name="_Toc2028"/>
      <w:r>
        <w:rPr>
          <w:rFonts w:hint="eastAsia" w:ascii="宋体" w:hAnsi="宋体" w:eastAsia="宋体" w:cs="宋体"/>
          <w:b/>
          <w:color w:val="auto"/>
          <w:sz w:val="36"/>
          <w:szCs w:val="36"/>
          <w:highlight w:val="none"/>
        </w:rPr>
        <w:t>第四部分  采购需求</w:t>
      </w:r>
      <w:bookmarkEnd w:id="122"/>
    </w:p>
    <w:p w14:paraId="211199EF">
      <w:pPr>
        <w:adjustRightInd/>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▲一、重要商务条款一览表</w:t>
      </w:r>
    </w:p>
    <w:tbl>
      <w:tblPr>
        <w:tblStyle w:val="60"/>
        <w:tblW w:w="9272" w:type="dxa"/>
        <w:jc w:val="center"/>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Layout w:type="fixed"/>
        <w:tblCellMar>
          <w:top w:w="0" w:type="dxa"/>
          <w:left w:w="108" w:type="dxa"/>
          <w:bottom w:w="0" w:type="dxa"/>
          <w:right w:w="108" w:type="dxa"/>
        </w:tblCellMar>
      </w:tblPr>
      <w:tblGrid>
        <w:gridCol w:w="945"/>
        <w:gridCol w:w="8327"/>
      </w:tblGrid>
      <w:tr w14:paraId="7F00ABC9">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CellMar>
            <w:top w:w="0" w:type="dxa"/>
            <w:left w:w="108" w:type="dxa"/>
            <w:bottom w:w="0" w:type="dxa"/>
            <w:right w:w="108" w:type="dxa"/>
          </w:tblCellMar>
        </w:tblPrEx>
        <w:trPr>
          <w:trHeight w:val="278" w:hRule="atLeast"/>
          <w:jc w:val="center"/>
        </w:trPr>
        <w:tc>
          <w:tcPr>
            <w:tcW w:w="945" w:type="dxa"/>
            <w:noWrap w:val="0"/>
            <w:vAlign w:val="center"/>
          </w:tcPr>
          <w:p w14:paraId="015EB4ED">
            <w:pPr>
              <w:keepNext w:val="0"/>
              <w:keepLines w:val="0"/>
              <w:suppressLineNumbers w:val="0"/>
              <w:autoSpaceDE w:val="0"/>
              <w:autoSpaceDN w:val="0"/>
              <w:adjustRightInd w:val="0"/>
              <w:spacing w:before="0" w:beforeAutospacing="0" w:after="0" w:afterAutospacing="0" w:line="320" w:lineRule="exact"/>
              <w:ind w:left="0" w:right="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8327" w:type="dxa"/>
            <w:noWrap w:val="0"/>
            <w:vAlign w:val="center"/>
          </w:tcPr>
          <w:p w14:paraId="35451FF2">
            <w:pPr>
              <w:keepNext w:val="0"/>
              <w:keepLines w:val="0"/>
              <w:suppressLineNumbers w:val="0"/>
              <w:autoSpaceDE w:val="0"/>
              <w:autoSpaceDN w:val="0"/>
              <w:adjustRightInd w:val="0"/>
              <w:spacing w:before="0" w:beforeAutospacing="0" w:after="0" w:afterAutospacing="0" w:line="320" w:lineRule="exact"/>
              <w:ind w:left="0" w:right="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内      容</w:t>
            </w:r>
          </w:p>
        </w:tc>
      </w:tr>
      <w:tr w14:paraId="27DA6DAD">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CellMar>
            <w:top w:w="0" w:type="dxa"/>
            <w:left w:w="108" w:type="dxa"/>
            <w:bottom w:w="0" w:type="dxa"/>
            <w:right w:w="108" w:type="dxa"/>
          </w:tblCellMar>
        </w:tblPrEx>
        <w:trPr>
          <w:trHeight w:val="373" w:hRule="atLeast"/>
          <w:jc w:val="center"/>
        </w:trPr>
        <w:tc>
          <w:tcPr>
            <w:tcW w:w="945" w:type="dxa"/>
            <w:noWrap w:val="0"/>
            <w:vAlign w:val="center"/>
          </w:tcPr>
          <w:p w14:paraId="274C7721">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w:t>
            </w:r>
          </w:p>
        </w:tc>
        <w:tc>
          <w:tcPr>
            <w:tcW w:w="8327" w:type="dxa"/>
            <w:noWrap w:val="0"/>
            <w:vAlign w:val="center"/>
          </w:tcPr>
          <w:p w14:paraId="280D3AD5">
            <w:pPr>
              <w:keepNext w:val="0"/>
              <w:keepLines w:val="0"/>
              <w:suppressLineNumbers w:val="0"/>
              <w:spacing w:before="0" w:beforeAutospacing="0" w:after="0" w:afterAutospacing="0" w:line="400" w:lineRule="exact"/>
              <w:ind w:left="0" w:right="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服务地点：采购人指定地点</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宁波市鄞州区范围内）</w:t>
            </w:r>
            <w:r>
              <w:rPr>
                <w:rFonts w:hint="eastAsia" w:ascii="宋体" w:hAnsi="宋体" w:cs="宋体"/>
                <w:color w:val="auto"/>
                <w:sz w:val="24"/>
                <w:szCs w:val="24"/>
                <w:highlight w:val="none"/>
                <w:lang w:eastAsia="zh-CN"/>
              </w:rPr>
              <w:t>。</w:t>
            </w:r>
          </w:p>
        </w:tc>
      </w:tr>
      <w:tr w14:paraId="4D9E10DC">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CellMar>
            <w:top w:w="0" w:type="dxa"/>
            <w:left w:w="108" w:type="dxa"/>
            <w:bottom w:w="0" w:type="dxa"/>
            <w:right w:w="108" w:type="dxa"/>
          </w:tblCellMar>
        </w:tblPrEx>
        <w:trPr>
          <w:trHeight w:val="373" w:hRule="atLeast"/>
          <w:jc w:val="center"/>
        </w:trPr>
        <w:tc>
          <w:tcPr>
            <w:tcW w:w="945" w:type="dxa"/>
            <w:noWrap w:val="0"/>
            <w:vAlign w:val="center"/>
          </w:tcPr>
          <w:p w14:paraId="444F5E9B">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w:t>
            </w:r>
          </w:p>
        </w:tc>
        <w:tc>
          <w:tcPr>
            <w:tcW w:w="8327" w:type="dxa"/>
            <w:noWrap w:val="0"/>
            <w:vAlign w:val="center"/>
          </w:tcPr>
          <w:p w14:paraId="4540B68A">
            <w:pPr>
              <w:keepNext w:val="0"/>
              <w:keepLines w:val="0"/>
              <w:suppressLineNumbers w:val="0"/>
              <w:spacing w:before="0" w:beforeAutospacing="0" w:after="0" w:afterAutospacing="0" w:line="400" w:lineRule="exact"/>
              <w:ind w:left="0" w:right="0"/>
              <w:rPr>
                <w:rFonts w:hint="eastAsia" w:ascii="宋体" w:hAnsi="宋体" w:cs="宋体"/>
                <w:color w:val="auto"/>
                <w:sz w:val="24"/>
                <w:highlight w:val="none"/>
              </w:rPr>
            </w:pPr>
            <w:r>
              <w:rPr>
                <w:rFonts w:hint="eastAsia" w:ascii="宋体" w:hAnsi="宋体" w:eastAsia="宋体" w:cs="宋体"/>
                <w:color w:val="auto"/>
                <w:sz w:val="24"/>
                <w:szCs w:val="24"/>
                <w:highlight w:val="none"/>
              </w:rPr>
              <w:t>服务期限：</w:t>
            </w:r>
            <w:r>
              <w:rPr>
                <w:rFonts w:hint="eastAsia" w:ascii="宋体" w:hAnsi="宋体" w:cs="宋体"/>
                <w:color w:val="auto"/>
                <w:sz w:val="24"/>
                <w:highlight w:val="none"/>
              </w:rPr>
              <w:t>12个月。</w:t>
            </w:r>
          </w:p>
          <w:p w14:paraId="45CCFE47">
            <w:pPr>
              <w:keepNext w:val="0"/>
              <w:keepLines w:val="0"/>
              <w:suppressLineNumbers w:val="0"/>
              <w:spacing w:before="0" w:beforeAutospacing="0" w:after="0" w:afterAutospacing="0" w:line="400" w:lineRule="exact"/>
              <w:ind w:left="0" w:right="0"/>
              <w:rPr>
                <w:rFonts w:hint="eastAsia" w:ascii="宋体" w:hAnsi="宋体" w:eastAsia="宋体" w:cs="宋体"/>
                <w:color w:val="auto"/>
                <w:sz w:val="24"/>
                <w:szCs w:val="24"/>
                <w:highlight w:val="none"/>
              </w:rPr>
            </w:pPr>
            <w:r>
              <w:rPr>
                <w:rFonts w:hint="eastAsia" w:ascii="宋体" w:hAnsi="宋体" w:cs="宋体"/>
                <w:color w:val="auto"/>
                <w:sz w:val="24"/>
                <w:highlight w:val="none"/>
              </w:rPr>
              <w:t>本项目采购有效期为3年，合同一年一签，每年经考核合格，</w:t>
            </w:r>
            <w:r>
              <w:rPr>
                <w:rFonts w:hint="eastAsia" w:ascii="宋体" w:hAnsi="宋体" w:cs="宋体"/>
                <w:color w:val="auto"/>
                <w:sz w:val="24"/>
                <w:highlight w:val="none"/>
                <w:lang w:val="en-US" w:eastAsia="zh-CN"/>
              </w:rPr>
              <w:t>经</w:t>
            </w:r>
            <w:r>
              <w:rPr>
                <w:rFonts w:hint="eastAsia" w:ascii="宋体" w:hAnsi="宋体" w:cs="宋体"/>
                <w:color w:val="auto"/>
                <w:sz w:val="24"/>
                <w:highlight w:val="none"/>
              </w:rPr>
              <w:t>采购人同意</w:t>
            </w:r>
            <w:r>
              <w:rPr>
                <w:rFonts w:hint="eastAsia" w:ascii="宋体" w:hAnsi="宋体" w:cs="宋体"/>
                <w:color w:val="auto"/>
                <w:sz w:val="24"/>
                <w:highlight w:val="none"/>
                <w:lang w:eastAsia="zh-CN"/>
              </w:rPr>
              <w:t>，</w:t>
            </w:r>
            <w:r>
              <w:rPr>
                <w:rFonts w:hint="eastAsia" w:ascii="宋体" w:hAnsi="宋体" w:cs="宋体"/>
                <w:color w:val="auto"/>
                <w:sz w:val="24"/>
                <w:highlight w:val="none"/>
              </w:rPr>
              <w:t>可续订下一年合同，最多续签2次。</w:t>
            </w:r>
          </w:p>
        </w:tc>
      </w:tr>
      <w:tr w14:paraId="760EE8A3">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945" w:type="dxa"/>
            <w:noWrap w:val="0"/>
            <w:vAlign w:val="center"/>
          </w:tcPr>
          <w:p w14:paraId="37796416">
            <w:pPr>
              <w:keepNext w:val="0"/>
              <w:keepLines w:val="0"/>
              <w:suppressLineNumbers w:val="0"/>
              <w:autoSpaceDE w:val="0"/>
              <w:autoSpaceDN w:val="0"/>
              <w:adjustRightInd w:val="0"/>
              <w:spacing w:before="0" w:beforeAutospacing="0" w:after="0" w:afterAutospacing="0" w:line="400" w:lineRule="exact"/>
              <w:ind w:left="0" w:leftChars="0" w:right="0" w:right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8327" w:type="dxa"/>
            <w:noWrap w:val="0"/>
            <w:vAlign w:val="center"/>
          </w:tcPr>
          <w:p w14:paraId="3A7021CB">
            <w:pPr>
              <w:keepNext w:val="0"/>
              <w:keepLines w:val="0"/>
              <w:suppressLineNumbers w:val="0"/>
              <w:spacing w:before="0" w:beforeAutospacing="0" w:after="0" w:afterAutospacing="0" w:line="400" w:lineRule="exact"/>
              <w:ind w:left="0" w:right="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付款方法和条件：</w:t>
            </w:r>
          </w:p>
          <w:p w14:paraId="79FF7295">
            <w:pPr>
              <w:keepNext w:val="0"/>
              <w:keepLines w:val="0"/>
              <w:suppressLineNumbers w:val="0"/>
              <w:spacing w:before="0" w:beforeAutospacing="0" w:after="0" w:afterAutospacing="0" w:line="400" w:lineRule="exact"/>
              <w:ind w:left="0" w:right="0"/>
              <w:rPr>
                <w:rFonts w:hint="eastAsia" w:ascii="宋体" w:hAnsi="宋体" w:eastAsia="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eastAsia="zh-CN"/>
              </w:rPr>
              <w:t>、</w:t>
            </w:r>
            <w:r>
              <w:rPr>
                <w:rFonts w:hint="eastAsia" w:ascii="宋体" w:hAnsi="宋体" w:cs="宋体"/>
                <w:color w:val="auto"/>
                <w:sz w:val="24"/>
                <w:highlight w:val="none"/>
              </w:rPr>
              <w:t>合同</w:t>
            </w:r>
            <w:r>
              <w:rPr>
                <w:rFonts w:hint="eastAsia" w:ascii="宋体" w:hAnsi="宋体" w:eastAsia="宋体" w:cs="宋体"/>
                <w:color w:val="auto"/>
                <w:sz w:val="24"/>
                <w:highlight w:val="none"/>
              </w:rPr>
              <w:t>生效及具备服务条件后7个工作日内，采购人向成交供应商支付合同金额的60%；</w:t>
            </w:r>
          </w:p>
          <w:p w14:paraId="248E3DE6">
            <w:pPr>
              <w:keepNext w:val="0"/>
              <w:keepLines w:val="0"/>
              <w:suppressLineNumbers w:val="0"/>
              <w:spacing w:before="0" w:beforeAutospacing="0" w:after="0" w:afterAutospacing="0" w:line="400" w:lineRule="exact"/>
              <w:ind w:left="0" w:leftChars="0" w:right="0" w:rightChars="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highlight w:val="none"/>
              </w:rPr>
              <w:t>2、2025年</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月</w:t>
            </w:r>
            <w:r>
              <w:rPr>
                <w:rFonts w:hint="eastAsia" w:hAnsi="宋体" w:cs="宋体"/>
                <w:color w:val="auto"/>
                <w:sz w:val="24"/>
                <w:szCs w:val="24"/>
                <w:highlight w:val="none"/>
                <w:lang w:val="en-US" w:eastAsia="zh-CN"/>
              </w:rPr>
              <w:t>底前</w:t>
            </w:r>
            <w:r>
              <w:rPr>
                <w:rFonts w:hint="eastAsia" w:ascii="宋体" w:hAnsi="宋体" w:cs="宋体"/>
                <w:color w:val="auto"/>
                <w:sz w:val="24"/>
                <w:highlight w:val="none"/>
              </w:rPr>
              <w:t>根据阶段性考核情况，在收到成交供应商递交的正规发票后的7个工作日内，至多支付合同金额的40%。</w:t>
            </w:r>
          </w:p>
        </w:tc>
      </w:tr>
      <w:tr w14:paraId="11612840">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CellMar>
            <w:top w:w="0" w:type="dxa"/>
            <w:left w:w="108" w:type="dxa"/>
            <w:bottom w:w="0" w:type="dxa"/>
            <w:right w:w="108" w:type="dxa"/>
          </w:tblCellMar>
        </w:tblPrEx>
        <w:trPr>
          <w:trHeight w:val="373" w:hRule="atLeast"/>
          <w:jc w:val="center"/>
        </w:trPr>
        <w:tc>
          <w:tcPr>
            <w:tcW w:w="945" w:type="dxa"/>
            <w:noWrap w:val="0"/>
            <w:vAlign w:val="center"/>
          </w:tcPr>
          <w:p w14:paraId="4555C66F">
            <w:pPr>
              <w:keepNext w:val="0"/>
              <w:keepLines w:val="0"/>
              <w:suppressLineNumbers w:val="0"/>
              <w:autoSpaceDE w:val="0"/>
              <w:autoSpaceDN w:val="0"/>
              <w:adjustRightInd w:val="0"/>
              <w:spacing w:before="0" w:beforeAutospacing="0" w:after="0" w:afterAutospacing="0" w:line="400" w:lineRule="exact"/>
              <w:ind w:left="0" w:leftChars="0" w:right="0" w:right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8327" w:type="dxa"/>
            <w:noWrap w:val="0"/>
            <w:vAlign w:val="center"/>
          </w:tcPr>
          <w:p w14:paraId="1CA1E307">
            <w:pPr>
              <w:keepNext w:val="0"/>
              <w:keepLines w:val="0"/>
              <w:suppressLineNumbers w:val="0"/>
              <w:spacing w:before="0" w:beforeAutospacing="0" w:after="0" w:afterAutospacing="0" w:line="400" w:lineRule="exact"/>
              <w:ind w:left="0" w:right="0"/>
              <w:rPr>
                <w:rFonts w:hint="eastAsia" w:ascii="宋体" w:hAnsi="宋体" w:cs="宋体"/>
                <w:color w:val="auto"/>
                <w:sz w:val="24"/>
                <w:highlight w:val="none"/>
                <w:lang w:val="zh-CN"/>
              </w:rPr>
            </w:pPr>
            <w:r>
              <w:rPr>
                <w:rFonts w:hint="eastAsia" w:ascii="宋体" w:hAnsi="宋体" w:cs="宋体"/>
                <w:color w:val="auto"/>
                <w:sz w:val="24"/>
                <w:highlight w:val="none"/>
                <w:lang w:val="zh-CN"/>
              </w:rPr>
              <w:t>履约保证金金额：合同总金额的1%</w:t>
            </w:r>
          </w:p>
          <w:p w14:paraId="5B666933">
            <w:pPr>
              <w:keepNext w:val="0"/>
              <w:keepLines w:val="0"/>
              <w:suppressLineNumbers w:val="0"/>
              <w:tabs>
                <w:tab w:val="left" w:pos="884"/>
              </w:tabs>
              <w:spacing w:before="0" w:beforeAutospacing="0" w:after="0" w:afterAutospacing="0" w:line="400" w:lineRule="exact"/>
              <w:ind w:left="0" w:right="0"/>
              <w:jc w:val="left"/>
              <w:rPr>
                <w:rFonts w:hint="eastAsia" w:ascii="宋体" w:hAnsi="宋体" w:cs="宋体"/>
                <w:color w:val="auto"/>
                <w:sz w:val="24"/>
                <w:highlight w:val="none"/>
              </w:rPr>
            </w:pPr>
            <w:r>
              <w:rPr>
                <w:rFonts w:hint="eastAsia" w:ascii="宋体" w:hAnsi="宋体" w:cs="宋体"/>
                <w:color w:val="auto"/>
                <w:sz w:val="24"/>
                <w:highlight w:val="none"/>
              </w:rPr>
              <w:t>履约保证金的形式：支票、汇票、本票或者金融机构、担保机构出具的保函等非现金形式；</w:t>
            </w:r>
          </w:p>
          <w:p w14:paraId="0878701D">
            <w:pPr>
              <w:keepNext w:val="0"/>
              <w:keepLines w:val="0"/>
              <w:suppressLineNumbers w:val="0"/>
              <w:spacing w:before="0" w:beforeAutospacing="0" w:after="0" w:afterAutospacing="0" w:line="400" w:lineRule="exact"/>
              <w:ind w:left="0" w:right="0"/>
              <w:rPr>
                <w:rFonts w:hint="eastAsia" w:ascii="宋体" w:hAnsi="宋体" w:cs="宋体"/>
                <w:color w:val="auto"/>
                <w:sz w:val="24"/>
                <w:highlight w:val="none"/>
                <w:lang w:val="zh-CN"/>
              </w:rPr>
            </w:pPr>
            <w:r>
              <w:rPr>
                <w:rFonts w:hint="eastAsia" w:ascii="宋体" w:hAnsi="宋体" w:cs="宋体"/>
                <w:color w:val="auto"/>
                <w:sz w:val="24"/>
                <w:highlight w:val="none"/>
                <w:lang w:val="zh-CN"/>
              </w:rPr>
              <w:t>履约保证金递交时间：合同签定生效后的7日内</w:t>
            </w:r>
          </w:p>
          <w:p w14:paraId="4261F763">
            <w:pPr>
              <w:keepNext w:val="0"/>
              <w:keepLines w:val="0"/>
              <w:suppressLineNumbers w:val="0"/>
              <w:spacing w:before="0" w:beforeAutospacing="0" w:after="0" w:afterAutospacing="0" w:line="400" w:lineRule="exact"/>
              <w:ind w:left="0" w:leftChars="0" w:right="0" w:rightChars="0"/>
              <w:rPr>
                <w:rFonts w:hint="eastAsia" w:ascii="宋体" w:hAnsi="宋体" w:eastAsia="宋体" w:cs="宋体"/>
                <w:color w:val="auto"/>
                <w:sz w:val="24"/>
                <w:szCs w:val="24"/>
                <w:highlight w:val="none"/>
                <w:lang w:val="zh-CN"/>
              </w:rPr>
            </w:pPr>
            <w:r>
              <w:rPr>
                <w:rFonts w:hint="eastAsia" w:ascii="宋体" w:hAnsi="宋体" w:cs="宋体"/>
                <w:color w:val="auto"/>
                <w:sz w:val="24"/>
                <w:highlight w:val="none"/>
                <w:lang w:val="zh-CN"/>
              </w:rPr>
              <w:t>履约保证金退回时间：合同期结束后由成交供应商发起退回申请，采购人在收到申请的30日内无息退回履约保证金。</w:t>
            </w:r>
            <w:r>
              <w:rPr>
                <w:rFonts w:hint="eastAsia" w:ascii="宋体" w:hAnsi="宋体" w:cs="宋体"/>
                <w:color w:val="auto"/>
                <w:sz w:val="24"/>
                <w:highlight w:val="none"/>
              </w:rPr>
              <w:t>但在合同履行期内，</w:t>
            </w:r>
            <w:r>
              <w:rPr>
                <w:rFonts w:hint="eastAsia" w:ascii="宋体" w:hAnsi="宋体" w:cs="宋体"/>
                <w:color w:val="auto"/>
                <w:sz w:val="24"/>
                <w:highlight w:val="none"/>
                <w:lang w:val="en-US" w:eastAsia="zh-CN"/>
              </w:rPr>
              <w:t>供应商</w:t>
            </w:r>
            <w:r>
              <w:rPr>
                <w:rFonts w:hint="eastAsia" w:ascii="宋体" w:hAnsi="宋体" w:cs="宋体"/>
                <w:color w:val="auto"/>
                <w:sz w:val="24"/>
                <w:highlight w:val="none"/>
              </w:rPr>
              <w:t>未按要求履约的，采购人有权从履约保证金中得到补偿。</w:t>
            </w:r>
          </w:p>
        </w:tc>
      </w:tr>
      <w:tr w14:paraId="52EB2C6D">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CellMar>
            <w:top w:w="0" w:type="dxa"/>
            <w:left w:w="108" w:type="dxa"/>
            <w:bottom w:w="0" w:type="dxa"/>
            <w:right w:w="108" w:type="dxa"/>
          </w:tblCellMar>
        </w:tblPrEx>
        <w:trPr>
          <w:trHeight w:val="373" w:hRule="atLeast"/>
          <w:jc w:val="center"/>
        </w:trPr>
        <w:tc>
          <w:tcPr>
            <w:tcW w:w="945" w:type="dxa"/>
            <w:noWrap w:val="0"/>
            <w:vAlign w:val="center"/>
          </w:tcPr>
          <w:p w14:paraId="0FAF6512">
            <w:pPr>
              <w:keepNext w:val="0"/>
              <w:keepLines w:val="0"/>
              <w:suppressLineNumbers w:val="0"/>
              <w:spacing w:before="0" w:beforeAutospacing="0" w:after="0" w:afterAutospacing="0" w:line="400" w:lineRule="exact"/>
              <w:ind w:left="0" w:leftChars="0" w:right="0" w:rightChars="0"/>
              <w:jc w:val="center"/>
              <w:rPr>
                <w:rFonts w:hint="eastAsia" w:ascii="宋体" w:hAnsi="宋体" w:eastAsia="宋体" w:cs="宋体"/>
                <w:color w:val="auto"/>
                <w:sz w:val="24"/>
                <w:szCs w:val="24"/>
                <w:highlight w:val="none"/>
              </w:rPr>
            </w:pPr>
            <w:r>
              <w:rPr>
                <w:rFonts w:hint="eastAsia" w:ascii="宋体" w:hAnsi="宋体" w:cs="宋体"/>
                <w:color w:val="auto"/>
                <w:kern w:val="0"/>
                <w:sz w:val="21"/>
                <w:szCs w:val="21"/>
                <w:highlight w:val="none"/>
                <w:lang w:val="en-US" w:eastAsia="zh-CN" w:bidi="ar-SA"/>
              </w:rPr>
              <w:t>5</w:t>
            </w:r>
          </w:p>
        </w:tc>
        <w:tc>
          <w:tcPr>
            <w:tcW w:w="8327" w:type="dxa"/>
            <w:noWrap w:val="0"/>
            <w:vAlign w:val="center"/>
          </w:tcPr>
          <w:p w14:paraId="37237BF6">
            <w:pPr>
              <w:keepNext w:val="0"/>
              <w:keepLines w:val="0"/>
              <w:suppressLineNumbers w:val="0"/>
              <w:spacing w:before="0" w:beforeAutospacing="0" w:after="0" w:afterAutospacing="0" w:line="400" w:lineRule="exact"/>
              <w:ind w:left="0" w:leftChars="0" w:right="0" w:rightChars="0"/>
              <w:jc w:val="left"/>
              <w:rPr>
                <w:rFonts w:hint="eastAsia" w:ascii="宋体" w:hAnsi="宋体" w:eastAsia="宋体" w:cs="宋体"/>
                <w:color w:val="auto"/>
                <w:sz w:val="24"/>
                <w:szCs w:val="24"/>
                <w:highlight w:val="none"/>
                <w:lang w:val="zh-CN"/>
              </w:rPr>
            </w:pPr>
            <w:r>
              <w:rPr>
                <w:rFonts w:hint="eastAsia" w:ascii="宋体" w:hAnsi="宋体" w:cs="宋体"/>
                <w:color w:val="auto"/>
                <w:sz w:val="24"/>
                <w:highlight w:val="none"/>
                <w:lang w:val="zh-CN"/>
              </w:rPr>
              <w:t>保密要求</w:t>
            </w:r>
            <w:r>
              <w:rPr>
                <w:rFonts w:hint="eastAsia" w:ascii="宋体" w:hAnsi="宋体" w:cs="宋体"/>
                <w:color w:val="auto"/>
                <w:sz w:val="24"/>
                <w:szCs w:val="24"/>
                <w:highlight w:val="none"/>
                <w:lang w:val="zh-CN" w:eastAsia="zh-CN"/>
              </w:rPr>
              <w:t>：</w:t>
            </w:r>
            <w:r>
              <w:rPr>
                <w:rFonts w:hint="eastAsia" w:ascii="宋体" w:hAnsi="宋体" w:cs="宋体"/>
                <w:color w:val="auto"/>
                <w:sz w:val="24"/>
                <w:szCs w:val="24"/>
                <w:highlight w:val="none"/>
                <w:lang w:val="zh-CN"/>
              </w:rPr>
              <w:t>供应商保证在项目建设过程中有可能涉及到的涉密数据、个人隐私数据的安全。如由于供应商不慎泄露涉密数据或隐私数据，由此引发的刑事、民事责任由供应商自行承担。</w:t>
            </w:r>
          </w:p>
        </w:tc>
      </w:tr>
    </w:tbl>
    <w:p w14:paraId="4BADCB89">
      <w:pPr>
        <w:keepNext w:val="0"/>
        <w:keepLines w:val="0"/>
        <w:pageBreakBefore w:val="0"/>
        <w:widowControl w:val="0"/>
        <w:kinsoku/>
        <w:wordWrap/>
        <w:overflowPunct/>
        <w:topLinePunct w:val="0"/>
        <w:bidi w:val="0"/>
        <w:adjustRightInd/>
        <w:snapToGrid/>
        <w:spacing w:line="360" w:lineRule="auto"/>
        <w:textAlignment w:val="baseline"/>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rPr>
        <w:t>二、</w:t>
      </w:r>
      <w:r>
        <w:rPr>
          <w:rFonts w:hint="eastAsia" w:ascii="宋体" w:hAnsi="宋体" w:eastAsia="宋体" w:cs="宋体"/>
          <w:b/>
          <w:color w:val="auto"/>
          <w:kern w:val="0"/>
          <w:sz w:val="24"/>
          <w:szCs w:val="24"/>
          <w:highlight w:val="none"/>
        </w:rPr>
        <w:t>项目</w:t>
      </w:r>
      <w:r>
        <w:rPr>
          <w:rFonts w:hint="eastAsia" w:ascii="宋体" w:hAnsi="宋体" w:eastAsia="宋体" w:cs="宋体"/>
          <w:b/>
          <w:color w:val="auto"/>
          <w:kern w:val="0"/>
          <w:sz w:val="24"/>
          <w:szCs w:val="24"/>
          <w:highlight w:val="none"/>
          <w:lang w:val="en-US" w:eastAsia="zh-CN"/>
        </w:rPr>
        <w:t>背景</w:t>
      </w:r>
    </w:p>
    <w:p w14:paraId="142CC37A">
      <w:pPr>
        <w:keepNext w:val="0"/>
        <w:keepLines w:val="0"/>
        <w:pageBreakBefore w:val="0"/>
        <w:widowControl w:val="0"/>
        <w:kinsoku/>
        <w:wordWrap/>
        <w:overflowPunct/>
        <w:topLinePunct w:val="0"/>
        <w:bidi w:val="0"/>
        <w:snapToGrid/>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浙江政务服务网宁波数据交换平台（以下简称“交换平台”）</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宁波市数据接口共享平台（以下简称“共享平台”）</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宁波市数据开放平台（以下简称“开放平台”）和宁波市公共数据运维管理系统（以下简称“运管系统”）</w:t>
      </w:r>
      <w:r>
        <w:rPr>
          <w:rFonts w:hint="eastAsia" w:ascii="宋体" w:hAnsi="宋体" w:eastAsia="宋体" w:cs="宋体"/>
          <w:color w:val="auto"/>
          <w:sz w:val="24"/>
          <w:szCs w:val="24"/>
          <w:highlight w:val="none"/>
        </w:rPr>
        <w:t>作为市级平台建设项目，对市级</w:t>
      </w:r>
      <w:r>
        <w:rPr>
          <w:rFonts w:hint="eastAsia" w:ascii="宋体" w:hAnsi="宋体" w:eastAsia="宋体" w:cs="宋体"/>
          <w:color w:val="auto"/>
          <w:sz w:val="24"/>
          <w:szCs w:val="24"/>
          <w:highlight w:val="none"/>
          <w:lang w:eastAsia="zh-CN"/>
        </w:rPr>
        <w:t>数据</w:t>
      </w:r>
      <w:r>
        <w:rPr>
          <w:rFonts w:hint="eastAsia" w:ascii="宋体" w:hAnsi="宋体" w:eastAsia="宋体" w:cs="宋体"/>
          <w:color w:val="auto"/>
          <w:sz w:val="24"/>
          <w:szCs w:val="24"/>
          <w:highlight w:val="none"/>
        </w:rPr>
        <w:t>交换</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数据接口共享</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数据开放和数据管理</w:t>
      </w:r>
      <w:r>
        <w:rPr>
          <w:rFonts w:hint="eastAsia" w:ascii="宋体" w:hAnsi="宋体" w:eastAsia="宋体" w:cs="宋体"/>
          <w:color w:val="auto"/>
          <w:sz w:val="24"/>
          <w:szCs w:val="24"/>
          <w:highlight w:val="none"/>
        </w:rPr>
        <w:t>起到重要作用，为保障交换平台</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共享平台</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开放平台和运管系统</w:t>
      </w:r>
      <w:r>
        <w:rPr>
          <w:rFonts w:hint="eastAsia" w:ascii="宋体" w:hAnsi="宋体" w:eastAsia="宋体" w:cs="宋体"/>
          <w:color w:val="auto"/>
          <w:sz w:val="24"/>
          <w:szCs w:val="24"/>
          <w:highlight w:val="none"/>
        </w:rPr>
        <w:t>稳定运行，特采购专业平台运维服务</w:t>
      </w:r>
      <w:r>
        <w:rPr>
          <w:rFonts w:hint="eastAsia" w:ascii="宋体" w:hAnsi="宋体" w:eastAsia="宋体" w:cs="宋体"/>
          <w:color w:val="auto"/>
          <w:sz w:val="24"/>
          <w:szCs w:val="24"/>
          <w:highlight w:val="none"/>
          <w:lang w:eastAsia="zh-CN"/>
        </w:rPr>
        <w:t>。</w:t>
      </w:r>
    </w:p>
    <w:p w14:paraId="35A38E6D">
      <w:pPr>
        <w:keepNext w:val="0"/>
        <w:keepLines w:val="0"/>
        <w:pageBreakBefore w:val="0"/>
        <w:widowControl w:val="0"/>
        <w:kinsoku/>
        <w:wordWrap/>
        <w:overflowPunct/>
        <w:topLinePunct w:val="0"/>
        <w:bidi w:val="0"/>
        <w:snapToGrid/>
        <w:spacing w:line="360" w:lineRule="auto"/>
        <w:outlineLvl w:val="0"/>
        <w:rPr>
          <w:rFonts w:hint="eastAsia" w:ascii="宋体" w:hAnsi="宋体" w:eastAsia="宋体" w:cs="宋体"/>
          <w:b/>
          <w:bCs/>
          <w:color w:val="auto"/>
          <w:sz w:val="24"/>
          <w:szCs w:val="24"/>
          <w:highlight w:val="none"/>
        </w:rPr>
      </w:pPr>
      <w:bookmarkStart w:id="123" w:name="_Toc8185"/>
      <w:r>
        <w:rPr>
          <w:rFonts w:hint="eastAsia" w:ascii="宋体" w:hAnsi="宋体" w:eastAsia="宋体" w:cs="宋体"/>
          <w:b/>
          <w:bCs/>
          <w:color w:val="auto"/>
          <w:sz w:val="24"/>
          <w:szCs w:val="24"/>
          <w:highlight w:val="none"/>
          <w:lang w:val="en-US" w:eastAsia="zh-CN"/>
        </w:rPr>
        <w:t>三</w:t>
      </w:r>
      <w:r>
        <w:rPr>
          <w:rFonts w:hint="eastAsia" w:ascii="宋体" w:hAnsi="宋体" w:eastAsia="宋体" w:cs="宋体"/>
          <w:b/>
          <w:bCs/>
          <w:color w:val="auto"/>
          <w:sz w:val="24"/>
          <w:szCs w:val="24"/>
          <w:highlight w:val="none"/>
        </w:rPr>
        <w:t>、服务内容</w:t>
      </w:r>
      <w:bookmarkEnd w:id="123"/>
    </w:p>
    <w:p w14:paraId="3C10234C">
      <w:pPr>
        <w:keepNext w:val="0"/>
        <w:keepLines w:val="0"/>
        <w:pageBreakBefore w:val="0"/>
        <w:widowControl w:val="0"/>
        <w:kinsoku/>
        <w:wordWrap/>
        <w:overflowPunct/>
        <w:topLinePunct w:val="0"/>
        <w:bidi w:val="0"/>
        <w:snapToGrid/>
        <w:spacing w:line="360" w:lineRule="auto"/>
        <w:ind w:firstLine="482" w:firstLineChars="200"/>
        <w:outlineLvl w:val="1"/>
        <w:rPr>
          <w:rFonts w:hint="eastAsia" w:ascii="宋体" w:hAnsi="宋体" w:eastAsia="宋体" w:cs="宋体"/>
          <w:b/>
          <w:bCs/>
          <w:color w:val="auto"/>
          <w:sz w:val="24"/>
          <w:szCs w:val="24"/>
          <w:highlight w:val="none"/>
        </w:rPr>
      </w:pPr>
      <w:bookmarkStart w:id="124" w:name="_Toc6644"/>
      <w:bookmarkStart w:id="125" w:name="_Toc19484"/>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一</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交换平台运维服务内容</w:t>
      </w:r>
      <w:bookmarkEnd w:id="124"/>
    </w:p>
    <w:p w14:paraId="3E021073">
      <w:pPr>
        <w:pStyle w:val="105"/>
        <w:keepNext w:val="0"/>
        <w:keepLines w:val="0"/>
        <w:pageBreakBefore w:val="0"/>
        <w:widowControl w:val="0"/>
        <w:kinsoku/>
        <w:wordWrap/>
        <w:overflowPunct/>
        <w:topLinePunct w:val="0"/>
        <w:bidi w:val="0"/>
        <w:snapToGrid/>
        <w:spacing w:line="360" w:lineRule="auto"/>
        <w:ind w:firstLine="482" w:firstLineChars="200"/>
        <w:rPr>
          <w:rFonts w:hint="eastAsia" w:ascii="宋体" w:hAnsi="宋体" w:eastAsia="宋体" w:cs="宋体"/>
          <w:color w:val="auto"/>
          <w:kern w:val="2"/>
          <w:sz w:val="24"/>
          <w:szCs w:val="24"/>
          <w:highlight w:val="none"/>
        </w:rPr>
      </w:pPr>
      <w:r>
        <w:rPr>
          <w:rFonts w:hint="eastAsia" w:ascii="宋体" w:hAnsi="宋体" w:eastAsia="宋体" w:cs="宋体"/>
          <w:b/>
          <w:bCs/>
          <w:color w:val="auto"/>
          <w:kern w:val="2"/>
          <w:sz w:val="24"/>
          <w:szCs w:val="24"/>
          <w:highlight w:val="none"/>
        </w:rPr>
        <w:t>1）日常系统运维实施及监测服务</w:t>
      </w:r>
      <w:r>
        <w:rPr>
          <w:rFonts w:hint="eastAsia" w:ascii="宋体" w:hAnsi="宋体" w:eastAsia="宋体" w:cs="宋体"/>
          <w:b/>
          <w:bCs/>
          <w:color w:val="auto"/>
          <w:kern w:val="2"/>
          <w:sz w:val="24"/>
          <w:szCs w:val="24"/>
          <w:highlight w:val="none"/>
          <w:lang w:eastAsia="zh-CN"/>
        </w:rPr>
        <w:t>。</w:t>
      </w:r>
      <w:r>
        <w:rPr>
          <w:rFonts w:hint="eastAsia" w:ascii="宋体" w:hAnsi="宋体" w:eastAsia="宋体" w:cs="宋体"/>
          <w:color w:val="auto"/>
          <w:kern w:val="2"/>
          <w:sz w:val="24"/>
          <w:szCs w:val="24"/>
          <w:highlight w:val="none"/>
        </w:rPr>
        <w:t>5*8小时工作时间内按规范做好交换平台的交换、归集等各类业务的配置及实施工作。</w:t>
      </w:r>
    </w:p>
    <w:p w14:paraId="685A2346">
      <w:pPr>
        <w:pStyle w:val="105"/>
        <w:keepNext w:val="0"/>
        <w:keepLines w:val="0"/>
        <w:pageBreakBefore w:val="0"/>
        <w:widowControl w:val="0"/>
        <w:kinsoku/>
        <w:wordWrap/>
        <w:overflowPunct/>
        <w:topLinePunct w:val="0"/>
        <w:bidi w:val="0"/>
        <w:snapToGrid/>
        <w:spacing w:line="360" w:lineRule="auto"/>
        <w:ind w:firstLine="480" w:firstLineChars="200"/>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新增任务：做好现有节点上的数据交换实施，根据工作联系单，对新增任务由实施人员评估实施工作量和工作内容</w:t>
      </w:r>
      <w:r>
        <w:rPr>
          <w:rFonts w:hint="eastAsia" w:ascii="宋体" w:hAnsi="宋体" w:eastAsia="宋体" w:cs="宋体"/>
          <w:color w:val="auto"/>
          <w:kern w:val="2"/>
          <w:sz w:val="24"/>
          <w:szCs w:val="24"/>
          <w:highlight w:val="none"/>
          <w:lang w:val="en-US" w:eastAsia="zh-CN"/>
        </w:rPr>
        <w:t>后</w:t>
      </w:r>
      <w:r>
        <w:rPr>
          <w:rFonts w:hint="eastAsia" w:ascii="宋体" w:hAnsi="宋体" w:eastAsia="宋体" w:cs="宋体"/>
          <w:color w:val="auto"/>
          <w:kern w:val="2"/>
          <w:sz w:val="24"/>
          <w:szCs w:val="24"/>
          <w:highlight w:val="none"/>
        </w:rPr>
        <w:t>，提供实施方案，实施完成后提供实施报告，保障数字化改革中各项目的数据共享需求，打通数据共享通道。</w:t>
      </w:r>
    </w:p>
    <w:p w14:paraId="65B42289">
      <w:pPr>
        <w:pStyle w:val="105"/>
        <w:keepNext w:val="0"/>
        <w:keepLines w:val="0"/>
        <w:pageBreakBefore w:val="0"/>
        <w:widowControl w:val="0"/>
        <w:kinsoku/>
        <w:wordWrap/>
        <w:overflowPunct/>
        <w:topLinePunct w:val="0"/>
        <w:bidi w:val="0"/>
        <w:snapToGrid/>
        <w:spacing w:line="360" w:lineRule="auto"/>
        <w:ind w:firstLine="480" w:firstLineChars="200"/>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删除任务：实施人员根据工作联系单对删除任务进行评估，完成流程删除、撤销发布等工作，并记录工作日志。</w:t>
      </w:r>
    </w:p>
    <w:p w14:paraId="278A417C">
      <w:pPr>
        <w:pStyle w:val="105"/>
        <w:keepNext w:val="0"/>
        <w:keepLines w:val="0"/>
        <w:pageBreakBefore w:val="0"/>
        <w:widowControl w:val="0"/>
        <w:kinsoku/>
        <w:wordWrap/>
        <w:overflowPunct/>
        <w:topLinePunct w:val="0"/>
        <w:bidi w:val="0"/>
        <w:snapToGrid/>
        <w:spacing w:line="360" w:lineRule="auto"/>
        <w:ind w:firstLine="480" w:firstLineChars="200"/>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调整任务：实施人员根据工作联系单对调整任务进行评估，做好撤销、修改、重新发布等工作，并记录工作日志。</w:t>
      </w:r>
    </w:p>
    <w:p w14:paraId="201CCD79">
      <w:pPr>
        <w:pStyle w:val="105"/>
        <w:keepNext w:val="0"/>
        <w:keepLines w:val="0"/>
        <w:pageBreakBefore w:val="0"/>
        <w:widowControl w:val="0"/>
        <w:kinsoku/>
        <w:wordWrap/>
        <w:overflowPunct/>
        <w:topLinePunct w:val="0"/>
        <w:bidi w:val="0"/>
        <w:snapToGrid/>
        <w:spacing w:line="360" w:lineRule="auto"/>
        <w:ind w:firstLine="480" w:firstLineChars="200"/>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应急任务：对于需要紧急推送数据的任务，实施人员应快速完成数据表与流程创建并跟进数据的推送情况，同时督促相关人员提交工单补足流程。</w:t>
      </w:r>
    </w:p>
    <w:p w14:paraId="308A7107">
      <w:pPr>
        <w:pStyle w:val="105"/>
        <w:keepNext w:val="0"/>
        <w:keepLines w:val="0"/>
        <w:pageBreakBefore w:val="0"/>
        <w:widowControl w:val="0"/>
        <w:kinsoku/>
        <w:wordWrap/>
        <w:overflowPunct/>
        <w:topLinePunct w:val="0"/>
        <w:bidi w:val="0"/>
        <w:snapToGrid/>
        <w:spacing w:line="360" w:lineRule="auto"/>
        <w:ind w:firstLine="482" w:firstLineChars="200"/>
        <w:rPr>
          <w:rFonts w:hint="eastAsia" w:ascii="宋体" w:hAnsi="宋体" w:eastAsia="宋体" w:cs="宋体"/>
          <w:color w:val="auto"/>
          <w:kern w:val="2"/>
          <w:sz w:val="24"/>
          <w:szCs w:val="24"/>
          <w:highlight w:val="none"/>
        </w:rPr>
      </w:pPr>
      <w:r>
        <w:rPr>
          <w:rFonts w:hint="eastAsia" w:ascii="宋体" w:hAnsi="宋体" w:eastAsia="宋体" w:cs="宋体"/>
          <w:b/>
          <w:bCs/>
          <w:color w:val="auto"/>
          <w:kern w:val="2"/>
          <w:sz w:val="24"/>
          <w:szCs w:val="24"/>
          <w:highlight w:val="none"/>
          <w:lang w:val="en-US" w:eastAsia="zh-CN"/>
        </w:rPr>
        <w:t>2</w:t>
      </w:r>
      <w:r>
        <w:rPr>
          <w:rFonts w:hint="eastAsia" w:ascii="宋体" w:hAnsi="宋体" w:eastAsia="宋体" w:cs="宋体"/>
          <w:b/>
          <w:bCs/>
          <w:color w:val="auto"/>
          <w:kern w:val="2"/>
          <w:sz w:val="24"/>
          <w:szCs w:val="24"/>
          <w:highlight w:val="none"/>
        </w:rPr>
        <w:t>）应急响应及保障服务</w:t>
      </w:r>
      <w:r>
        <w:rPr>
          <w:rFonts w:hint="eastAsia" w:ascii="宋体" w:hAnsi="宋体" w:eastAsia="宋体" w:cs="宋体"/>
          <w:b/>
          <w:bCs/>
          <w:color w:val="auto"/>
          <w:kern w:val="2"/>
          <w:sz w:val="24"/>
          <w:szCs w:val="24"/>
          <w:highlight w:val="none"/>
          <w:lang w:eastAsia="zh-CN"/>
        </w:rPr>
        <w:t>。</w:t>
      </w:r>
      <w:r>
        <w:rPr>
          <w:rFonts w:hint="eastAsia" w:ascii="宋体" w:hAnsi="宋体" w:eastAsia="宋体" w:cs="宋体"/>
          <w:color w:val="auto"/>
          <w:kern w:val="2"/>
          <w:sz w:val="24"/>
          <w:szCs w:val="24"/>
          <w:highlight w:val="none"/>
        </w:rPr>
        <w:t>根据交换平台管理办法和技术规范，制定可行的运维方案，完成平台及相关应用系统的日常运维和异常处理，完成新增和变更交换业务的运维，并提供平台涉及的用户的咨询服务，对日常工作和巡检做好记录。5*8小时运维值守，7*24小时及时响应。每周对前置机、交换中心、数据库进行巡检，做好记录</w:t>
      </w:r>
      <w:r>
        <w:rPr>
          <w:rFonts w:hint="eastAsia" w:ascii="宋体" w:hAnsi="宋体" w:eastAsia="宋体" w:cs="宋体"/>
          <w:color w:val="auto"/>
          <w:kern w:val="2"/>
          <w:sz w:val="24"/>
          <w:szCs w:val="24"/>
          <w:highlight w:val="none"/>
          <w:lang w:eastAsia="zh-CN"/>
        </w:rPr>
        <w:t>，</w:t>
      </w:r>
      <w:r>
        <w:rPr>
          <w:rFonts w:hint="eastAsia" w:ascii="宋体" w:hAnsi="宋体" w:eastAsia="宋体" w:cs="宋体"/>
          <w:color w:val="auto"/>
          <w:kern w:val="2"/>
          <w:sz w:val="24"/>
          <w:szCs w:val="24"/>
          <w:highlight w:val="none"/>
        </w:rPr>
        <w:t>发现问题及时汇报。负责前置机服务器及网络的运维协调工作。做好每日运维信息统计，每日发布运维报告。由专业技术人员驻场对流程运行检查、管控服务。定期对交换前置数据进行清理，保障前置正常。</w:t>
      </w:r>
    </w:p>
    <w:p w14:paraId="0B004D2B">
      <w:pPr>
        <w:pStyle w:val="105"/>
        <w:keepNext w:val="0"/>
        <w:keepLines w:val="0"/>
        <w:pageBreakBefore w:val="0"/>
        <w:widowControl w:val="0"/>
        <w:kinsoku/>
        <w:wordWrap/>
        <w:overflowPunct/>
        <w:topLinePunct w:val="0"/>
        <w:bidi w:val="0"/>
        <w:snapToGrid/>
        <w:spacing w:line="360" w:lineRule="auto"/>
        <w:ind w:firstLine="482" w:firstLineChars="200"/>
        <w:rPr>
          <w:rFonts w:hint="eastAsia" w:ascii="宋体" w:hAnsi="宋体" w:eastAsia="宋体" w:cs="宋体"/>
          <w:color w:val="auto"/>
          <w:kern w:val="2"/>
          <w:sz w:val="24"/>
          <w:szCs w:val="24"/>
          <w:highlight w:val="none"/>
        </w:rPr>
      </w:pPr>
      <w:r>
        <w:rPr>
          <w:rFonts w:hint="eastAsia" w:ascii="宋体" w:hAnsi="宋体" w:eastAsia="宋体" w:cs="宋体"/>
          <w:b/>
          <w:bCs/>
          <w:color w:val="auto"/>
          <w:kern w:val="2"/>
          <w:sz w:val="24"/>
          <w:szCs w:val="24"/>
          <w:highlight w:val="none"/>
          <w:lang w:val="en-US" w:eastAsia="zh-CN"/>
        </w:rPr>
        <w:t>3</w:t>
      </w:r>
      <w:r>
        <w:rPr>
          <w:rFonts w:hint="eastAsia" w:ascii="宋体" w:hAnsi="宋体" w:eastAsia="宋体" w:cs="宋体"/>
          <w:b/>
          <w:bCs/>
          <w:color w:val="auto"/>
          <w:kern w:val="2"/>
          <w:sz w:val="24"/>
          <w:szCs w:val="24"/>
          <w:highlight w:val="none"/>
        </w:rPr>
        <w:t>）</w:t>
      </w:r>
      <w:r>
        <w:rPr>
          <w:rFonts w:hint="eastAsia" w:ascii="宋体" w:hAnsi="宋体" w:eastAsia="宋体" w:cs="宋体"/>
          <w:b/>
          <w:bCs/>
          <w:color w:val="auto"/>
          <w:kern w:val="2"/>
          <w:sz w:val="24"/>
          <w:szCs w:val="24"/>
          <w:highlight w:val="none"/>
          <w:lang w:val="en-US" w:eastAsia="zh-CN"/>
        </w:rPr>
        <w:t>协助</w:t>
      </w:r>
      <w:r>
        <w:rPr>
          <w:rFonts w:hint="eastAsia" w:ascii="宋体" w:hAnsi="宋体" w:eastAsia="宋体" w:cs="宋体"/>
          <w:b/>
          <w:bCs/>
          <w:color w:val="auto"/>
          <w:kern w:val="2"/>
          <w:sz w:val="24"/>
          <w:szCs w:val="24"/>
          <w:highlight w:val="none"/>
        </w:rPr>
        <w:t>工具运维服务</w:t>
      </w:r>
      <w:r>
        <w:rPr>
          <w:rFonts w:hint="eastAsia" w:ascii="宋体" w:hAnsi="宋体" w:eastAsia="宋体" w:cs="宋体"/>
          <w:b/>
          <w:bCs/>
          <w:color w:val="auto"/>
          <w:kern w:val="2"/>
          <w:sz w:val="24"/>
          <w:szCs w:val="24"/>
          <w:highlight w:val="none"/>
          <w:lang w:eastAsia="zh-CN"/>
        </w:rPr>
        <w:t>。</w:t>
      </w:r>
      <w:r>
        <w:rPr>
          <w:rFonts w:hint="eastAsia" w:ascii="宋体" w:hAnsi="宋体" w:eastAsia="宋体" w:cs="宋体"/>
          <w:color w:val="auto"/>
          <w:kern w:val="2"/>
          <w:sz w:val="24"/>
          <w:szCs w:val="24"/>
          <w:highlight w:val="none"/>
        </w:rPr>
        <w:t>对交换平台工具提供运维服务。主要是针对产品的维保服务，协助交换产品bug修复、产品高性能参数调优、提供咨询及建议方案等。</w:t>
      </w:r>
    </w:p>
    <w:p w14:paraId="5D494348">
      <w:pPr>
        <w:pStyle w:val="105"/>
        <w:keepNext w:val="0"/>
        <w:keepLines w:val="0"/>
        <w:pageBreakBefore w:val="0"/>
        <w:widowControl w:val="0"/>
        <w:kinsoku/>
        <w:wordWrap/>
        <w:overflowPunct/>
        <w:topLinePunct w:val="0"/>
        <w:bidi w:val="0"/>
        <w:snapToGrid/>
        <w:spacing w:line="360" w:lineRule="auto"/>
        <w:ind w:firstLine="482" w:firstLineChars="200"/>
        <w:rPr>
          <w:rFonts w:hint="eastAsia" w:ascii="宋体" w:hAnsi="宋体" w:eastAsia="宋体" w:cs="宋体"/>
          <w:b/>
          <w:bCs/>
          <w:color w:val="auto"/>
          <w:kern w:val="2"/>
          <w:sz w:val="24"/>
          <w:szCs w:val="24"/>
          <w:highlight w:val="none"/>
          <w:lang w:eastAsia="zh-CN"/>
        </w:rPr>
      </w:pPr>
      <w:r>
        <w:rPr>
          <w:rFonts w:hint="eastAsia" w:ascii="宋体" w:hAnsi="宋体" w:eastAsia="宋体" w:cs="宋体"/>
          <w:b/>
          <w:bCs/>
          <w:color w:val="auto"/>
          <w:kern w:val="2"/>
          <w:sz w:val="24"/>
          <w:szCs w:val="24"/>
          <w:highlight w:val="none"/>
          <w:lang w:val="en-US" w:eastAsia="zh-CN"/>
        </w:rPr>
        <w:t>4</w:t>
      </w:r>
      <w:r>
        <w:rPr>
          <w:rFonts w:hint="eastAsia" w:ascii="宋体" w:hAnsi="宋体" w:eastAsia="宋体" w:cs="宋体"/>
          <w:b/>
          <w:bCs/>
          <w:color w:val="auto"/>
          <w:kern w:val="2"/>
          <w:sz w:val="24"/>
          <w:szCs w:val="24"/>
          <w:highlight w:val="none"/>
        </w:rPr>
        <w:t>）数据传输运维服务</w:t>
      </w:r>
      <w:r>
        <w:rPr>
          <w:rFonts w:hint="eastAsia" w:ascii="宋体" w:hAnsi="宋体" w:eastAsia="宋体" w:cs="宋体"/>
          <w:b/>
          <w:bCs/>
          <w:color w:val="auto"/>
          <w:kern w:val="2"/>
          <w:sz w:val="24"/>
          <w:szCs w:val="24"/>
          <w:highlight w:val="none"/>
          <w:lang w:eastAsia="zh-CN"/>
        </w:rPr>
        <w:t>。</w:t>
      </w:r>
    </w:p>
    <w:p w14:paraId="242A9375">
      <w:pPr>
        <w:pStyle w:val="105"/>
        <w:keepNext w:val="0"/>
        <w:keepLines w:val="0"/>
        <w:pageBreakBefore w:val="0"/>
        <w:widowControl w:val="0"/>
        <w:kinsoku/>
        <w:wordWrap/>
        <w:overflowPunct/>
        <w:topLinePunct w:val="0"/>
        <w:bidi w:val="0"/>
        <w:snapToGrid/>
        <w:spacing w:line="360" w:lineRule="auto"/>
        <w:ind w:firstLine="480" w:firstLineChars="200"/>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前置库运维：根据前置库管理规范，按照实时归集、实时清理的原则，为业务创建前置库表、存储、建立结构、优化索引与性能，满足数据前置接入需要。重点针对前置库数据的及时清理与交换一致性做好运维，确保数据不丢失，以及高效稳定运行。</w:t>
      </w:r>
    </w:p>
    <w:p w14:paraId="08779D54">
      <w:pPr>
        <w:pStyle w:val="105"/>
        <w:keepNext w:val="0"/>
        <w:keepLines w:val="0"/>
        <w:pageBreakBefore w:val="0"/>
        <w:widowControl w:val="0"/>
        <w:kinsoku/>
        <w:wordWrap/>
        <w:overflowPunct/>
        <w:topLinePunct w:val="0"/>
        <w:bidi w:val="0"/>
        <w:snapToGrid/>
        <w:spacing w:line="360" w:lineRule="auto"/>
        <w:ind w:firstLine="480" w:firstLineChars="200"/>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中心库运维：针对已完成中心库实施工作，保障中心库的可靠运行和安全使用，提供归集数据资源的运维服务。具体包括日常运维和异常处理。管理信息库运维分为基础资料维护、用户信息新增变更辅助服务、用户权限信息维护和系统配置信息维护。基础资料维护指的是维护平台基础资料信息，如账户名称、部门名称、</w:t>
      </w:r>
      <w:r>
        <w:rPr>
          <w:rFonts w:hint="eastAsia" w:ascii="宋体" w:hAnsi="宋体" w:eastAsia="宋体" w:cs="宋体"/>
          <w:color w:val="auto"/>
          <w:kern w:val="2"/>
          <w:sz w:val="24"/>
          <w:szCs w:val="24"/>
          <w:highlight w:val="none"/>
          <w:lang w:eastAsia="zh-CN"/>
        </w:rPr>
        <w:t>联系</w:t>
      </w:r>
      <w:r>
        <w:rPr>
          <w:rFonts w:hint="eastAsia" w:ascii="宋体" w:hAnsi="宋体" w:eastAsia="宋体" w:cs="宋体"/>
          <w:color w:val="auto"/>
          <w:kern w:val="2"/>
          <w:sz w:val="24"/>
          <w:szCs w:val="24"/>
          <w:highlight w:val="none"/>
        </w:rPr>
        <w:t>人员、联系方式等。用户信息新增变更辅助服务指的是当用户信息新增、变更时，提供数据库层面的辅助服务，保证信息准确和数据库同系统之间数据的一致性。用户权限信息维护指的是提供对平台权限信息表的运维服务，保证平台权限分配的合理、稳定和安全。系统配置信息维护指的是提供平台和监控系统配置信息的维护，不定期进行备份，保证数据安全，实现业务的稳定运行。</w:t>
      </w:r>
    </w:p>
    <w:p w14:paraId="1C872CC6">
      <w:pPr>
        <w:pStyle w:val="105"/>
        <w:keepNext w:val="0"/>
        <w:keepLines w:val="0"/>
        <w:pageBreakBefore w:val="0"/>
        <w:widowControl w:val="0"/>
        <w:kinsoku/>
        <w:wordWrap/>
        <w:overflowPunct/>
        <w:topLinePunct w:val="0"/>
        <w:bidi w:val="0"/>
        <w:snapToGrid/>
        <w:spacing w:line="360" w:lineRule="auto"/>
        <w:ind w:firstLine="482" w:firstLineChars="200"/>
        <w:rPr>
          <w:rFonts w:hint="eastAsia" w:ascii="宋体" w:hAnsi="宋体" w:eastAsia="宋体" w:cs="宋体"/>
          <w:color w:val="auto"/>
          <w:kern w:val="2"/>
          <w:sz w:val="24"/>
          <w:szCs w:val="24"/>
          <w:highlight w:val="none"/>
        </w:rPr>
      </w:pPr>
      <w:r>
        <w:rPr>
          <w:rFonts w:hint="eastAsia" w:ascii="宋体" w:hAnsi="宋体" w:eastAsia="宋体" w:cs="宋体"/>
          <w:b/>
          <w:bCs/>
          <w:color w:val="auto"/>
          <w:kern w:val="2"/>
          <w:sz w:val="24"/>
          <w:szCs w:val="24"/>
          <w:highlight w:val="none"/>
          <w:lang w:val="en-US" w:eastAsia="zh-CN"/>
        </w:rPr>
        <w:t>5</w:t>
      </w:r>
      <w:r>
        <w:rPr>
          <w:rFonts w:hint="eastAsia" w:ascii="宋体" w:hAnsi="宋体" w:eastAsia="宋体" w:cs="宋体"/>
          <w:b/>
          <w:bCs/>
          <w:color w:val="auto"/>
          <w:kern w:val="2"/>
          <w:sz w:val="24"/>
          <w:szCs w:val="24"/>
          <w:highlight w:val="none"/>
        </w:rPr>
        <w:t>）数据统计服务</w:t>
      </w:r>
      <w:r>
        <w:rPr>
          <w:rFonts w:hint="eastAsia" w:ascii="宋体" w:hAnsi="宋体" w:eastAsia="宋体" w:cs="宋体"/>
          <w:b/>
          <w:bCs/>
          <w:color w:val="auto"/>
          <w:kern w:val="2"/>
          <w:sz w:val="24"/>
          <w:szCs w:val="24"/>
          <w:highlight w:val="none"/>
          <w:lang w:eastAsia="zh-CN"/>
        </w:rPr>
        <w:t>。</w:t>
      </w:r>
      <w:r>
        <w:rPr>
          <w:rFonts w:hint="eastAsia" w:ascii="宋体" w:hAnsi="宋体" w:eastAsia="宋体" w:cs="宋体"/>
          <w:color w:val="auto"/>
          <w:kern w:val="2"/>
          <w:sz w:val="24"/>
          <w:szCs w:val="24"/>
          <w:highlight w:val="none"/>
        </w:rPr>
        <w:t>对临时需要交换</w:t>
      </w:r>
      <w:r>
        <w:rPr>
          <w:rFonts w:hint="eastAsia" w:ascii="宋体" w:hAnsi="宋体" w:eastAsia="宋体" w:cs="宋体"/>
          <w:color w:val="auto"/>
          <w:kern w:val="2"/>
          <w:sz w:val="24"/>
          <w:szCs w:val="24"/>
          <w:highlight w:val="none"/>
          <w:lang w:val="en-US" w:eastAsia="zh-CN"/>
        </w:rPr>
        <w:t>的</w:t>
      </w:r>
      <w:r>
        <w:rPr>
          <w:rFonts w:hint="eastAsia" w:ascii="宋体" w:hAnsi="宋体" w:eastAsia="宋体" w:cs="宋体"/>
          <w:color w:val="auto"/>
          <w:kern w:val="2"/>
          <w:sz w:val="24"/>
          <w:szCs w:val="24"/>
          <w:highlight w:val="none"/>
        </w:rPr>
        <w:t>数据分析统计，形成报告。</w:t>
      </w:r>
    </w:p>
    <w:p w14:paraId="7747FA5B">
      <w:pPr>
        <w:pStyle w:val="105"/>
        <w:keepNext w:val="0"/>
        <w:keepLines w:val="0"/>
        <w:pageBreakBefore w:val="0"/>
        <w:widowControl w:val="0"/>
        <w:kinsoku/>
        <w:wordWrap/>
        <w:overflowPunct/>
        <w:topLinePunct w:val="0"/>
        <w:bidi w:val="0"/>
        <w:snapToGrid/>
        <w:spacing w:line="360" w:lineRule="auto"/>
        <w:ind w:firstLine="482" w:firstLineChars="200"/>
        <w:rPr>
          <w:rFonts w:hint="eastAsia" w:ascii="宋体" w:hAnsi="宋体" w:eastAsia="宋体" w:cs="宋体"/>
          <w:color w:val="auto"/>
          <w:kern w:val="2"/>
          <w:sz w:val="24"/>
          <w:szCs w:val="24"/>
          <w:highlight w:val="none"/>
        </w:rPr>
      </w:pPr>
      <w:r>
        <w:rPr>
          <w:rFonts w:hint="eastAsia" w:ascii="宋体" w:hAnsi="宋体" w:eastAsia="宋体" w:cs="宋体"/>
          <w:b/>
          <w:bCs/>
          <w:color w:val="auto"/>
          <w:kern w:val="2"/>
          <w:sz w:val="24"/>
          <w:szCs w:val="24"/>
          <w:highlight w:val="none"/>
          <w:lang w:val="en-US" w:eastAsia="zh-CN"/>
        </w:rPr>
        <w:t>6</w:t>
      </w:r>
      <w:r>
        <w:rPr>
          <w:rFonts w:hint="eastAsia" w:ascii="宋体" w:hAnsi="宋体" w:eastAsia="宋体" w:cs="宋体"/>
          <w:b/>
          <w:bCs/>
          <w:color w:val="auto"/>
          <w:kern w:val="2"/>
          <w:sz w:val="24"/>
          <w:szCs w:val="24"/>
          <w:highlight w:val="none"/>
        </w:rPr>
        <w:t>）安全技术支撑服务</w:t>
      </w:r>
      <w:r>
        <w:rPr>
          <w:rFonts w:hint="eastAsia" w:ascii="宋体" w:hAnsi="宋体" w:eastAsia="宋体" w:cs="宋体"/>
          <w:b/>
          <w:bCs/>
          <w:color w:val="auto"/>
          <w:kern w:val="2"/>
          <w:sz w:val="24"/>
          <w:szCs w:val="24"/>
          <w:highlight w:val="none"/>
          <w:lang w:eastAsia="zh-CN"/>
        </w:rPr>
        <w:t>。</w:t>
      </w:r>
      <w:r>
        <w:rPr>
          <w:rFonts w:hint="eastAsia" w:ascii="宋体" w:hAnsi="宋体" w:eastAsia="宋体" w:cs="宋体"/>
          <w:color w:val="auto"/>
          <w:sz w:val="24"/>
          <w:szCs w:val="24"/>
          <w:highlight w:val="none"/>
        </w:rPr>
        <w:t>业务开展过程中，涉及交换平台技术问题，</w:t>
      </w:r>
      <w:r>
        <w:rPr>
          <w:rFonts w:hint="eastAsia" w:ascii="宋体" w:hAnsi="宋体" w:eastAsia="宋体" w:cs="宋体"/>
          <w:color w:val="auto"/>
          <w:sz w:val="24"/>
          <w:szCs w:val="24"/>
          <w:highlight w:val="none"/>
          <w:lang w:eastAsia="zh-CN"/>
        </w:rPr>
        <w:t>服务团队</w:t>
      </w:r>
      <w:r>
        <w:rPr>
          <w:rFonts w:hint="eastAsia" w:ascii="宋体" w:hAnsi="宋体" w:eastAsia="宋体" w:cs="宋体"/>
          <w:color w:val="auto"/>
          <w:sz w:val="24"/>
          <w:szCs w:val="24"/>
          <w:highlight w:val="none"/>
        </w:rPr>
        <w:t>应提供专业的技术咨询服务，并出具相应的技术方案及组织技术实施。</w:t>
      </w:r>
      <w:r>
        <w:rPr>
          <w:rFonts w:hint="eastAsia" w:ascii="宋体" w:hAnsi="宋体" w:eastAsia="宋体" w:cs="宋体"/>
          <w:color w:val="auto"/>
          <w:sz w:val="24"/>
          <w:szCs w:val="24"/>
          <w:highlight w:val="none"/>
          <w:lang w:eastAsia="zh-CN"/>
        </w:rPr>
        <w:t>服务团队</w:t>
      </w:r>
      <w:r>
        <w:rPr>
          <w:rFonts w:hint="eastAsia" w:ascii="宋体" w:hAnsi="宋体" w:eastAsia="宋体" w:cs="宋体"/>
          <w:color w:val="auto"/>
          <w:sz w:val="24"/>
          <w:szCs w:val="24"/>
          <w:highlight w:val="none"/>
        </w:rPr>
        <w:t>除驻场人员外，全程提供专业的技术支持，包括</w:t>
      </w:r>
      <w:r>
        <w:rPr>
          <w:rFonts w:hint="eastAsia" w:ascii="宋体" w:hAnsi="宋体" w:eastAsia="宋体" w:cs="宋体"/>
          <w:color w:val="auto"/>
          <w:sz w:val="24"/>
          <w:szCs w:val="24"/>
          <w:highlight w:val="none"/>
          <w:lang w:val="en-US" w:eastAsia="zh-CN"/>
        </w:rPr>
        <w:t>但</w:t>
      </w:r>
      <w:r>
        <w:rPr>
          <w:rFonts w:hint="eastAsia" w:ascii="宋体" w:hAnsi="宋体" w:eastAsia="宋体" w:cs="宋体"/>
          <w:color w:val="auto"/>
          <w:sz w:val="24"/>
          <w:szCs w:val="24"/>
          <w:highlight w:val="none"/>
        </w:rPr>
        <w:t>不限于数据排查、业务排查等问题排查服务。对于</w:t>
      </w:r>
      <w:r>
        <w:rPr>
          <w:rFonts w:hint="eastAsia" w:ascii="宋体" w:hAnsi="宋体" w:eastAsia="宋体" w:cs="宋体"/>
          <w:color w:val="auto"/>
          <w:sz w:val="24"/>
          <w:szCs w:val="24"/>
          <w:highlight w:val="none"/>
          <w:lang w:eastAsia="zh-CN"/>
        </w:rPr>
        <w:t>其他</w:t>
      </w:r>
      <w:r>
        <w:rPr>
          <w:rFonts w:hint="eastAsia" w:ascii="宋体" w:hAnsi="宋体" w:eastAsia="宋体" w:cs="宋体"/>
          <w:color w:val="auto"/>
          <w:sz w:val="24"/>
          <w:szCs w:val="24"/>
          <w:highlight w:val="none"/>
        </w:rPr>
        <w:t>业务系统需要与交换平台进行对接或协同时，</w:t>
      </w:r>
      <w:r>
        <w:rPr>
          <w:rFonts w:hint="eastAsia" w:ascii="宋体" w:hAnsi="宋体" w:eastAsia="宋体" w:cs="宋体"/>
          <w:color w:val="auto"/>
          <w:sz w:val="24"/>
          <w:szCs w:val="24"/>
          <w:highlight w:val="none"/>
          <w:lang w:eastAsia="zh-CN"/>
        </w:rPr>
        <w:t>服务团队</w:t>
      </w:r>
      <w:r>
        <w:rPr>
          <w:rFonts w:hint="eastAsia" w:ascii="宋体" w:hAnsi="宋体" w:eastAsia="宋体" w:cs="宋体"/>
          <w:color w:val="auto"/>
          <w:sz w:val="24"/>
          <w:szCs w:val="24"/>
          <w:highlight w:val="none"/>
        </w:rPr>
        <w:t>应提供技术支持和配合。指导各业务系统单位做好批量数据共享归集等技术工作。</w:t>
      </w:r>
    </w:p>
    <w:p w14:paraId="7C079095">
      <w:pPr>
        <w:pStyle w:val="105"/>
        <w:keepNext w:val="0"/>
        <w:keepLines w:val="0"/>
        <w:pageBreakBefore w:val="0"/>
        <w:widowControl w:val="0"/>
        <w:kinsoku/>
        <w:wordWrap/>
        <w:overflowPunct/>
        <w:topLinePunct w:val="0"/>
        <w:bidi w:val="0"/>
        <w:snapToGrid/>
        <w:spacing w:line="360" w:lineRule="auto"/>
        <w:ind w:firstLine="482" w:firstLineChars="200"/>
        <w:rPr>
          <w:rFonts w:hint="eastAsia" w:ascii="宋体" w:hAnsi="宋体" w:eastAsia="宋体" w:cs="宋体"/>
          <w:color w:val="auto"/>
          <w:kern w:val="2"/>
          <w:sz w:val="24"/>
          <w:szCs w:val="24"/>
          <w:highlight w:val="none"/>
        </w:rPr>
      </w:pPr>
      <w:r>
        <w:rPr>
          <w:rFonts w:hint="eastAsia" w:ascii="宋体" w:hAnsi="宋体" w:eastAsia="宋体" w:cs="宋体"/>
          <w:b/>
          <w:bCs/>
          <w:color w:val="auto"/>
          <w:kern w:val="2"/>
          <w:sz w:val="24"/>
          <w:szCs w:val="24"/>
          <w:highlight w:val="none"/>
          <w:lang w:val="en-US" w:eastAsia="zh-CN"/>
        </w:rPr>
        <w:t>7）</w:t>
      </w:r>
      <w:r>
        <w:rPr>
          <w:rFonts w:hint="eastAsia" w:ascii="宋体" w:hAnsi="宋体" w:eastAsia="宋体" w:cs="宋体"/>
          <w:b/>
          <w:bCs/>
          <w:color w:val="auto"/>
          <w:kern w:val="2"/>
          <w:sz w:val="24"/>
          <w:szCs w:val="24"/>
          <w:highlight w:val="none"/>
        </w:rPr>
        <w:t>省市县对接服务</w:t>
      </w:r>
      <w:r>
        <w:rPr>
          <w:rFonts w:hint="eastAsia" w:ascii="宋体" w:hAnsi="宋体" w:eastAsia="宋体" w:cs="宋体"/>
          <w:b/>
          <w:bCs/>
          <w:color w:val="auto"/>
          <w:kern w:val="2"/>
          <w:sz w:val="24"/>
          <w:szCs w:val="24"/>
          <w:highlight w:val="none"/>
          <w:lang w:eastAsia="zh-CN"/>
        </w:rPr>
        <w:t>。</w:t>
      </w:r>
      <w:r>
        <w:rPr>
          <w:rFonts w:hint="eastAsia" w:ascii="宋体" w:hAnsi="宋体" w:eastAsia="宋体" w:cs="宋体"/>
          <w:color w:val="auto"/>
          <w:kern w:val="2"/>
          <w:sz w:val="24"/>
          <w:szCs w:val="24"/>
          <w:highlight w:val="none"/>
        </w:rPr>
        <w:t>做好</w:t>
      </w:r>
      <w:r>
        <w:rPr>
          <w:rFonts w:hint="eastAsia" w:ascii="宋体" w:hAnsi="宋体" w:eastAsia="宋体" w:cs="宋体"/>
          <w:color w:val="auto"/>
          <w:kern w:val="2"/>
          <w:sz w:val="24"/>
          <w:szCs w:val="24"/>
          <w:highlight w:val="none"/>
          <w:lang w:val="en-US" w:eastAsia="zh-CN"/>
        </w:rPr>
        <w:t>采购方</w:t>
      </w:r>
      <w:r>
        <w:rPr>
          <w:rFonts w:hint="eastAsia" w:ascii="宋体" w:hAnsi="宋体" w:eastAsia="宋体" w:cs="宋体"/>
          <w:color w:val="auto"/>
          <w:kern w:val="2"/>
          <w:sz w:val="24"/>
          <w:szCs w:val="24"/>
          <w:highlight w:val="none"/>
        </w:rPr>
        <w:t>业务开展过程中省、市下达的对接、统计等工作。</w:t>
      </w:r>
    </w:p>
    <w:p w14:paraId="198CEDC6">
      <w:pPr>
        <w:keepNext w:val="0"/>
        <w:keepLines w:val="0"/>
        <w:pageBreakBefore w:val="0"/>
        <w:widowControl w:val="0"/>
        <w:kinsoku/>
        <w:wordWrap/>
        <w:overflowPunct/>
        <w:topLinePunct w:val="0"/>
        <w:bidi w:val="0"/>
        <w:snapToGrid/>
        <w:spacing w:line="360" w:lineRule="auto"/>
        <w:ind w:firstLine="482" w:firstLineChars="200"/>
        <w:outlineLvl w:val="1"/>
        <w:rPr>
          <w:rFonts w:hint="eastAsia" w:ascii="宋体" w:hAnsi="宋体" w:eastAsia="宋体" w:cs="宋体"/>
          <w:b/>
          <w:bCs/>
          <w:color w:val="auto"/>
          <w:sz w:val="24"/>
          <w:szCs w:val="24"/>
          <w:highlight w:val="none"/>
        </w:rPr>
      </w:pPr>
      <w:bookmarkStart w:id="126" w:name="_Toc1939"/>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二</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共享平台运维服务内容</w:t>
      </w:r>
      <w:bookmarkEnd w:id="126"/>
    </w:p>
    <w:p w14:paraId="40DCFBB5">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kern w:val="2"/>
          <w:sz w:val="24"/>
          <w:szCs w:val="24"/>
          <w:highlight w:val="none"/>
          <w:lang w:val="en-US" w:eastAsia="zh-CN" w:bidi="ar-SA"/>
        </w:rPr>
        <w:t>1）日常接口共享实施及监测服务。</w:t>
      </w:r>
      <w:r>
        <w:rPr>
          <w:rFonts w:hint="eastAsia" w:ascii="宋体" w:hAnsi="宋体" w:eastAsia="宋体" w:cs="宋体"/>
          <w:color w:val="auto"/>
          <w:sz w:val="24"/>
          <w:szCs w:val="24"/>
          <w:highlight w:val="none"/>
        </w:rPr>
        <w:t>对系统运行、接口申请、注册、接口调用量等业务进行监测和巡检，做好运维工作记录，及时发现并处置问题；对有关数据接口的申请、注册等业务进行实施；每天对系统运行、接口数量、种类及调用等业务情况提交统计报表，同时根据需要做好临时性业务统计分析报告。</w:t>
      </w:r>
    </w:p>
    <w:p w14:paraId="0022D0B2">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kern w:val="2"/>
          <w:sz w:val="24"/>
          <w:szCs w:val="24"/>
          <w:highlight w:val="none"/>
          <w:lang w:val="en-US" w:eastAsia="zh-CN" w:bidi="ar-SA"/>
        </w:rPr>
        <w:t>2）应急响应及保障服务。</w:t>
      </w:r>
      <w:r>
        <w:rPr>
          <w:rFonts w:hint="eastAsia" w:ascii="宋体" w:hAnsi="宋体" w:eastAsia="宋体" w:cs="宋体"/>
          <w:color w:val="auto"/>
          <w:sz w:val="24"/>
          <w:szCs w:val="24"/>
          <w:highlight w:val="none"/>
        </w:rPr>
        <w:t>根据共享平台管理办法和技术规范，制定紧急预案，并做好对应的应急措施，确保共享平台在各种异常情况下在规定时间内恢复正常服务。要求7*24小时响应，1小时内恢复业务系统运行。未能达到要求的，服务团队承担事件造成的后果。遇到应急事件，驻场运维人员应在现场处置，服务团队提供技术团队支持，协同省平台做好问题排查和处置，并做好文档记录工作。</w:t>
      </w:r>
    </w:p>
    <w:p w14:paraId="504E9AAB">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kern w:val="2"/>
          <w:sz w:val="24"/>
          <w:szCs w:val="24"/>
          <w:highlight w:val="none"/>
          <w:lang w:val="en-US" w:eastAsia="zh-CN" w:bidi="ar-SA"/>
        </w:rPr>
        <w:t>3）数据统计服务。</w:t>
      </w:r>
      <w:r>
        <w:rPr>
          <w:rFonts w:hint="eastAsia" w:ascii="宋体" w:hAnsi="宋体" w:eastAsia="宋体" w:cs="宋体"/>
          <w:color w:val="auto"/>
          <w:sz w:val="24"/>
          <w:szCs w:val="24"/>
          <w:highlight w:val="none"/>
        </w:rPr>
        <w:t>对临时需要接口平台数据分析统计，形成报告。</w:t>
      </w:r>
    </w:p>
    <w:p w14:paraId="005D8DEF">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kern w:val="2"/>
          <w:sz w:val="24"/>
          <w:szCs w:val="24"/>
          <w:highlight w:val="none"/>
          <w:lang w:val="en-US" w:eastAsia="zh-CN" w:bidi="ar-SA"/>
        </w:rPr>
        <w:t>4）安全技术支撑服务。</w:t>
      </w:r>
      <w:r>
        <w:rPr>
          <w:rFonts w:hint="eastAsia" w:ascii="宋体" w:hAnsi="宋体" w:eastAsia="宋体" w:cs="宋体"/>
          <w:b w:val="0"/>
          <w:bCs w:val="0"/>
          <w:color w:val="auto"/>
          <w:kern w:val="2"/>
          <w:sz w:val="24"/>
          <w:szCs w:val="24"/>
          <w:highlight w:val="none"/>
          <w:lang w:val="en-US" w:eastAsia="zh-CN" w:bidi="ar-SA"/>
        </w:rPr>
        <w:t>在</w:t>
      </w:r>
      <w:r>
        <w:rPr>
          <w:rFonts w:hint="eastAsia" w:ascii="宋体" w:hAnsi="宋体" w:eastAsia="宋体" w:cs="宋体"/>
          <w:color w:val="auto"/>
          <w:sz w:val="24"/>
          <w:szCs w:val="24"/>
          <w:highlight w:val="none"/>
        </w:rPr>
        <w:t>业务开展过程中，涉及共享平台的技术问题，提供专业的技术咨询服务，并出具相应的技术方案及组织技术实施。在服务期内提供专业的技术支持，包括并不限于数据排查、业务排查等问题排查服务。对于其它业务系统需要与共享平台进行对接或协同时，提供技术支持和配合。指导各业务系统单位做好接口注册等技术工作。配合</w:t>
      </w:r>
      <w:r>
        <w:rPr>
          <w:rFonts w:hint="eastAsia" w:ascii="宋体" w:hAnsi="宋体" w:cs="宋体"/>
          <w:color w:val="auto"/>
          <w:sz w:val="24"/>
          <w:szCs w:val="24"/>
          <w:highlight w:val="none"/>
          <w:lang w:val="en-US" w:eastAsia="zh-CN"/>
        </w:rPr>
        <w:t>采购方</w:t>
      </w:r>
      <w:r>
        <w:rPr>
          <w:rFonts w:hint="eastAsia" w:ascii="宋体" w:hAnsi="宋体" w:eastAsia="宋体" w:cs="宋体"/>
          <w:color w:val="auto"/>
          <w:sz w:val="24"/>
          <w:szCs w:val="24"/>
          <w:highlight w:val="none"/>
        </w:rPr>
        <w:t>完成省市工作要求及工作安排。</w:t>
      </w:r>
    </w:p>
    <w:p w14:paraId="669F7CF4">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kern w:val="2"/>
          <w:sz w:val="24"/>
          <w:szCs w:val="24"/>
          <w:highlight w:val="none"/>
          <w:lang w:val="en-US" w:eastAsia="zh-CN" w:bidi="ar-SA"/>
        </w:rPr>
        <w:t>5）协助省市县对接服务。</w:t>
      </w:r>
      <w:r>
        <w:rPr>
          <w:rFonts w:hint="eastAsia" w:ascii="宋体" w:hAnsi="宋体" w:eastAsia="宋体" w:cs="宋体"/>
          <w:color w:val="auto"/>
          <w:sz w:val="24"/>
          <w:szCs w:val="24"/>
          <w:highlight w:val="none"/>
        </w:rPr>
        <w:t>做好业务开展过程中省、市下达的对接、统计等工作。</w:t>
      </w:r>
      <w:bookmarkEnd w:id="125"/>
    </w:p>
    <w:p w14:paraId="04D7A83B">
      <w:pPr>
        <w:keepNext w:val="0"/>
        <w:keepLines w:val="0"/>
        <w:pageBreakBefore w:val="0"/>
        <w:widowControl w:val="0"/>
        <w:kinsoku/>
        <w:wordWrap/>
        <w:overflowPunct/>
        <w:topLinePunct w:val="0"/>
        <w:bidi w:val="0"/>
        <w:snapToGrid/>
        <w:spacing w:line="360" w:lineRule="auto"/>
        <w:ind w:firstLine="482" w:firstLineChars="200"/>
        <w:outlineLvl w:val="1"/>
        <w:rPr>
          <w:rFonts w:hint="eastAsia" w:ascii="宋体" w:hAnsi="宋体" w:eastAsia="宋体" w:cs="宋体"/>
          <w:b/>
          <w:bCs/>
          <w:color w:val="auto"/>
          <w:sz w:val="24"/>
          <w:szCs w:val="24"/>
          <w:highlight w:val="none"/>
        </w:rPr>
      </w:pPr>
      <w:bookmarkStart w:id="127" w:name="_Toc1587"/>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三</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开放</w:t>
      </w:r>
      <w:r>
        <w:rPr>
          <w:rFonts w:hint="eastAsia" w:ascii="宋体" w:hAnsi="宋体" w:eastAsia="宋体" w:cs="宋体"/>
          <w:b/>
          <w:bCs/>
          <w:color w:val="auto"/>
          <w:sz w:val="24"/>
          <w:szCs w:val="24"/>
          <w:highlight w:val="none"/>
        </w:rPr>
        <w:t>平台运维服务内容</w:t>
      </w:r>
      <w:bookmarkEnd w:id="127"/>
    </w:p>
    <w:p w14:paraId="319B9E0A">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kern w:val="2"/>
          <w:sz w:val="24"/>
          <w:szCs w:val="24"/>
          <w:highlight w:val="none"/>
          <w:lang w:val="en-US" w:eastAsia="zh-CN" w:bidi="ar-SA"/>
        </w:rPr>
        <w:t>1）协助数据开放工单实施、数据开放属性复查。</w:t>
      </w:r>
      <w:r>
        <w:rPr>
          <w:rFonts w:hint="eastAsia" w:ascii="宋体" w:hAnsi="宋体" w:eastAsia="宋体" w:cs="宋体"/>
          <w:color w:val="auto"/>
          <w:sz w:val="24"/>
          <w:szCs w:val="24"/>
          <w:highlight w:val="none"/>
        </w:rPr>
        <w:t>根据数据开放管理工作流程，对开放备选清单中的数据集进行核查、反馈。根据开放清单实施开放工作。</w:t>
      </w:r>
    </w:p>
    <w:p w14:paraId="40A257A0">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kern w:val="2"/>
          <w:sz w:val="24"/>
          <w:szCs w:val="24"/>
          <w:highlight w:val="none"/>
          <w:lang w:val="en-US" w:eastAsia="zh-CN" w:bidi="ar-SA"/>
        </w:rPr>
        <w:t>2）协助平台网站安全巡检。</w:t>
      </w:r>
      <w:r>
        <w:rPr>
          <w:rFonts w:hint="eastAsia" w:ascii="宋体" w:hAnsi="宋体" w:eastAsia="宋体" w:cs="宋体"/>
          <w:color w:val="auto"/>
          <w:sz w:val="24"/>
          <w:szCs w:val="24"/>
          <w:highlight w:val="none"/>
        </w:rPr>
        <w:t>针对数据开放平台，服务期内按需提供包括网站访问日志巡查、数据接口日志巡查、平台服务器巡检及网站防篡改巡检在内的网站安全巡检服务，及时发现网站运行过程中的异常及威胁行为，并向相关管理人员汇报和处置，形成报告，保障数据开放平台安全运行。</w:t>
      </w:r>
    </w:p>
    <w:p w14:paraId="687713B5">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kern w:val="2"/>
          <w:sz w:val="24"/>
          <w:szCs w:val="24"/>
          <w:highlight w:val="none"/>
          <w:lang w:val="en-US" w:eastAsia="zh-CN" w:bidi="ar-SA"/>
        </w:rPr>
        <w:t>3）协助处置安全隐患。</w:t>
      </w:r>
      <w:r>
        <w:rPr>
          <w:rFonts w:hint="eastAsia" w:ascii="宋体" w:hAnsi="宋体" w:eastAsia="宋体" w:cs="宋体"/>
          <w:color w:val="auto"/>
          <w:sz w:val="24"/>
          <w:szCs w:val="24"/>
          <w:highlight w:val="none"/>
        </w:rPr>
        <w:t>宁波市数据开放平台系统运维的定期安全处理，需要针对安全巡检发现的问题，定期提供安全扫描的对应处置措施，在服务期内按需提供安全处理服务。</w:t>
      </w:r>
    </w:p>
    <w:p w14:paraId="71F4D7F8">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kern w:val="2"/>
          <w:sz w:val="24"/>
          <w:szCs w:val="24"/>
          <w:highlight w:val="none"/>
          <w:lang w:val="en-US" w:eastAsia="zh-CN" w:bidi="ar-SA"/>
        </w:rPr>
        <w:t>4）定期统计数据，及时总结汇报。</w:t>
      </w:r>
      <w:r>
        <w:rPr>
          <w:rFonts w:hint="eastAsia" w:ascii="宋体" w:hAnsi="宋体" w:eastAsia="宋体" w:cs="宋体"/>
          <w:color w:val="auto"/>
          <w:sz w:val="24"/>
          <w:szCs w:val="24"/>
          <w:highlight w:val="none"/>
        </w:rPr>
        <w:t>宁波市数据开放平台运维需要每月对数据开放工作进行总结，</w:t>
      </w:r>
      <w:r>
        <w:rPr>
          <w:rFonts w:hint="eastAsia" w:ascii="宋体" w:hAnsi="宋体" w:eastAsia="宋体" w:cs="宋体"/>
          <w:color w:val="auto"/>
          <w:sz w:val="24"/>
          <w:szCs w:val="24"/>
          <w:highlight w:val="none"/>
          <w:lang w:val="en-US" w:eastAsia="zh-CN"/>
        </w:rPr>
        <w:t>协助</w:t>
      </w:r>
      <w:r>
        <w:rPr>
          <w:rFonts w:hint="eastAsia" w:ascii="宋体" w:hAnsi="宋体" w:eastAsia="宋体" w:cs="宋体"/>
          <w:color w:val="auto"/>
          <w:sz w:val="24"/>
          <w:szCs w:val="24"/>
          <w:highlight w:val="none"/>
        </w:rPr>
        <w:t>统计开放数据情况</w:t>
      </w:r>
      <w:r>
        <w:rPr>
          <w:rFonts w:hint="eastAsia" w:ascii="宋体" w:hAnsi="宋体" w:eastAsia="宋体" w:cs="宋体"/>
          <w:color w:val="auto"/>
          <w:sz w:val="24"/>
          <w:szCs w:val="24"/>
          <w:highlight w:val="none"/>
          <w:lang w:val="en-US" w:eastAsia="zh-CN"/>
        </w:rPr>
        <w:t>形成月报</w:t>
      </w:r>
      <w:r>
        <w:rPr>
          <w:rFonts w:hint="eastAsia" w:ascii="宋体" w:hAnsi="宋体" w:eastAsia="宋体" w:cs="宋体"/>
          <w:color w:val="auto"/>
          <w:sz w:val="24"/>
          <w:szCs w:val="24"/>
          <w:highlight w:val="none"/>
        </w:rPr>
        <w:t>。</w:t>
      </w:r>
    </w:p>
    <w:p w14:paraId="5A8D6898">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kern w:val="2"/>
          <w:sz w:val="24"/>
          <w:szCs w:val="24"/>
          <w:highlight w:val="none"/>
          <w:lang w:val="en-US" w:eastAsia="zh-CN" w:bidi="ar-SA"/>
        </w:rPr>
        <w:t>5）重保运维。</w:t>
      </w:r>
      <w:r>
        <w:rPr>
          <w:rFonts w:hint="eastAsia" w:ascii="宋体" w:hAnsi="宋体" w:eastAsia="宋体" w:cs="宋体"/>
          <w:color w:val="auto"/>
          <w:sz w:val="24"/>
          <w:szCs w:val="24"/>
          <w:highlight w:val="none"/>
        </w:rPr>
        <w:t>在重点保障重要节假日、重点项目公示期间等特殊时期内，派出安全攻防经验丰富的高级运维服务工程师进驻现场，对目标系统进行现场安全值守和保障，对业务系统的安全状况进行实时监控和日志分析。现场安全保障期间，当目标遭受黑客入侵攻击时，现场值守专家立即对入侵事件进行分析、检测、抑制、处理，查找入侵来源并恢复系统正常运行，完成后给出应急响应报告，报告中</w:t>
      </w:r>
      <w:r>
        <w:rPr>
          <w:rFonts w:hint="eastAsia" w:ascii="宋体" w:hAnsi="宋体" w:cs="宋体"/>
          <w:color w:val="auto"/>
          <w:sz w:val="24"/>
          <w:szCs w:val="24"/>
          <w:highlight w:val="none"/>
          <w:lang w:val="en-US" w:eastAsia="zh-CN"/>
        </w:rPr>
        <w:t>需</w:t>
      </w:r>
      <w:r>
        <w:rPr>
          <w:rFonts w:hint="eastAsia" w:ascii="宋体" w:hAnsi="宋体" w:eastAsia="宋体" w:cs="宋体"/>
          <w:color w:val="auto"/>
          <w:sz w:val="24"/>
          <w:szCs w:val="24"/>
          <w:highlight w:val="none"/>
        </w:rPr>
        <w:t>还原入侵过程，同时给出对应的解决建议。</w:t>
      </w:r>
    </w:p>
    <w:p w14:paraId="5DB07E23">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kern w:val="2"/>
          <w:sz w:val="24"/>
          <w:szCs w:val="24"/>
          <w:highlight w:val="none"/>
          <w:lang w:val="en-US" w:eastAsia="zh-CN" w:bidi="ar-SA"/>
        </w:rPr>
        <w:t>6）其他相关工作。</w:t>
      </w:r>
      <w:r>
        <w:rPr>
          <w:rFonts w:hint="eastAsia" w:ascii="宋体" w:hAnsi="宋体" w:eastAsia="宋体" w:cs="宋体"/>
          <w:color w:val="auto"/>
          <w:sz w:val="24"/>
          <w:szCs w:val="24"/>
          <w:highlight w:val="none"/>
        </w:rPr>
        <w:t>包含临时指示、科技治堵、数林指数及开放大赛等相关工作支撑。</w:t>
      </w:r>
    </w:p>
    <w:p w14:paraId="51BD20FA">
      <w:pPr>
        <w:keepNext w:val="0"/>
        <w:keepLines w:val="0"/>
        <w:pageBreakBefore w:val="0"/>
        <w:widowControl w:val="0"/>
        <w:kinsoku/>
        <w:wordWrap/>
        <w:overflowPunct/>
        <w:topLinePunct w:val="0"/>
        <w:bidi w:val="0"/>
        <w:snapToGrid/>
        <w:spacing w:line="360" w:lineRule="auto"/>
        <w:ind w:firstLine="482" w:firstLineChars="200"/>
        <w:outlineLvl w:val="1"/>
        <w:rPr>
          <w:rFonts w:hint="eastAsia" w:ascii="宋体" w:hAnsi="宋体" w:eastAsia="宋体" w:cs="宋体"/>
          <w:b/>
          <w:bCs/>
          <w:color w:val="auto"/>
          <w:sz w:val="24"/>
          <w:szCs w:val="24"/>
          <w:highlight w:val="none"/>
          <w:lang w:val="en-US" w:eastAsia="zh-CN"/>
        </w:rPr>
      </w:pPr>
      <w:bookmarkStart w:id="128" w:name="_Toc25930"/>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四</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运维管理系统</w:t>
      </w:r>
      <w:r>
        <w:rPr>
          <w:rFonts w:hint="eastAsia" w:ascii="宋体" w:hAnsi="宋体" w:eastAsia="宋体" w:cs="宋体"/>
          <w:b/>
          <w:bCs/>
          <w:color w:val="auto"/>
          <w:sz w:val="24"/>
          <w:szCs w:val="24"/>
          <w:highlight w:val="none"/>
        </w:rPr>
        <w:t>运维服务内容</w:t>
      </w:r>
      <w:bookmarkEnd w:id="128"/>
    </w:p>
    <w:p w14:paraId="6D224ED9">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kern w:val="2"/>
          <w:sz w:val="24"/>
          <w:szCs w:val="24"/>
          <w:highlight w:val="none"/>
          <w:lang w:val="en-US" w:eastAsia="zh-CN" w:bidi="ar-SA"/>
        </w:rPr>
        <w:t>1）系统日常运行监测保障。</w:t>
      </w:r>
      <w:r>
        <w:rPr>
          <w:rFonts w:hint="eastAsia" w:ascii="宋体" w:hAnsi="宋体" w:eastAsia="宋体" w:cs="宋体"/>
          <w:color w:val="auto"/>
          <w:sz w:val="24"/>
          <w:szCs w:val="24"/>
          <w:highlight w:val="none"/>
          <w:lang w:val="en-US" w:eastAsia="zh-CN"/>
        </w:rPr>
        <w:t>持续监测宁波市公共数据运维管理系统服务运行状态、接口返回情况、服务器水位、数据库水位等系统运行关键数据，对异常情况</w:t>
      </w:r>
      <w:r>
        <w:rPr>
          <w:rFonts w:hint="eastAsia" w:ascii="宋体" w:hAnsi="宋体" w:cs="宋体"/>
          <w:color w:val="auto"/>
          <w:sz w:val="24"/>
          <w:szCs w:val="24"/>
          <w:highlight w:val="none"/>
          <w:lang w:val="en-US" w:eastAsia="zh-CN"/>
        </w:rPr>
        <w:t>及时</w:t>
      </w:r>
      <w:r>
        <w:rPr>
          <w:rFonts w:hint="eastAsia" w:ascii="宋体" w:hAnsi="宋体" w:eastAsia="宋体" w:cs="宋体"/>
          <w:color w:val="auto"/>
          <w:sz w:val="24"/>
          <w:szCs w:val="24"/>
          <w:highlight w:val="none"/>
          <w:lang w:val="en-US" w:eastAsia="zh-CN"/>
        </w:rPr>
        <w:t>处置修复，保障系统稳定运行。</w:t>
      </w:r>
    </w:p>
    <w:p w14:paraId="707B8136">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kern w:val="2"/>
          <w:sz w:val="24"/>
          <w:szCs w:val="24"/>
          <w:highlight w:val="none"/>
          <w:lang w:val="en-US" w:eastAsia="zh-CN" w:bidi="ar-SA"/>
        </w:rPr>
        <w:t>2）系统安全技术支撑。</w:t>
      </w:r>
      <w:r>
        <w:rPr>
          <w:rFonts w:hint="eastAsia" w:ascii="宋体" w:hAnsi="宋体" w:eastAsia="宋体" w:cs="宋体"/>
          <w:color w:val="auto"/>
          <w:sz w:val="24"/>
          <w:szCs w:val="24"/>
          <w:highlight w:val="none"/>
          <w:lang w:val="en-US" w:eastAsia="zh-CN"/>
        </w:rPr>
        <w:t>持续保障宁波市公共数据运维管理系统的系统安全、数据安全、网络安全，定期进行漏洞扫描并对漏洞</w:t>
      </w:r>
      <w:r>
        <w:rPr>
          <w:rFonts w:hint="eastAsia" w:ascii="宋体" w:hAnsi="宋体" w:cs="宋体"/>
          <w:color w:val="auto"/>
          <w:sz w:val="24"/>
          <w:szCs w:val="24"/>
          <w:highlight w:val="none"/>
          <w:lang w:val="en-US" w:eastAsia="zh-CN"/>
        </w:rPr>
        <w:t>及时</w:t>
      </w:r>
      <w:r>
        <w:rPr>
          <w:rFonts w:hint="eastAsia" w:ascii="宋体" w:hAnsi="宋体" w:eastAsia="宋体" w:cs="宋体"/>
          <w:color w:val="auto"/>
          <w:sz w:val="24"/>
          <w:szCs w:val="24"/>
          <w:highlight w:val="none"/>
          <w:lang w:val="en-US" w:eastAsia="zh-CN"/>
        </w:rPr>
        <w:t>修复处理，配合完成攻防演练等各项安全保障活动。</w:t>
      </w:r>
    </w:p>
    <w:p w14:paraId="26EF6BC7">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kern w:val="2"/>
          <w:sz w:val="24"/>
          <w:szCs w:val="24"/>
          <w:highlight w:val="none"/>
          <w:lang w:val="en-US" w:eastAsia="zh-CN" w:bidi="ar-SA"/>
        </w:rPr>
        <w:t>3）省市平台对接运维保障。</w:t>
      </w:r>
      <w:r>
        <w:rPr>
          <w:rFonts w:hint="eastAsia" w:ascii="宋体" w:hAnsi="宋体" w:eastAsia="宋体" w:cs="宋体"/>
          <w:color w:val="auto"/>
          <w:sz w:val="24"/>
          <w:szCs w:val="24"/>
          <w:highlight w:val="none"/>
          <w:lang w:val="en-US" w:eastAsia="zh-CN"/>
        </w:rPr>
        <w:t>持续与省级平台对接最新要求，保障与省级平台的对接链路稳定运行，保障公共数据编目、归集、共享、开放、回流等业务稳定开展。</w:t>
      </w:r>
    </w:p>
    <w:p w14:paraId="3651EFAC">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kern w:val="2"/>
          <w:sz w:val="24"/>
          <w:szCs w:val="24"/>
          <w:highlight w:val="none"/>
          <w:lang w:val="en-US" w:eastAsia="zh-CN" w:bidi="ar-SA"/>
        </w:rPr>
        <w:t>4）日常使用问题处置。</w:t>
      </w:r>
      <w:r>
        <w:rPr>
          <w:rFonts w:hint="eastAsia" w:ascii="宋体" w:hAnsi="宋体" w:eastAsia="宋体" w:cs="宋体"/>
          <w:color w:val="auto"/>
          <w:sz w:val="24"/>
          <w:szCs w:val="24"/>
          <w:highlight w:val="none"/>
          <w:lang w:val="en-US" w:eastAsia="zh-CN"/>
        </w:rPr>
        <w:t>建立公共数据运维管理系统日常问题反馈机制，对日常使用产生的问题及时对接响应，排查解决，对完成情况及时反馈。</w:t>
      </w:r>
    </w:p>
    <w:p w14:paraId="7D9E7FBB">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kern w:val="2"/>
          <w:sz w:val="24"/>
          <w:szCs w:val="24"/>
          <w:highlight w:val="none"/>
          <w:lang w:val="en-US" w:eastAsia="zh-CN" w:bidi="ar-SA"/>
        </w:rPr>
        <w:t>5）系统使用答疑。</w:t>
      </w:r>
      <w:r>
        <w:rPr>
          <w:rFonts w:hint="eastAsia" w:ascii="宋体" w:hAnsi="宋体" w:eastAsia="宋体" w:cs="宋体"/>
          <w:color w:val="auto"/>
          <w:sz w:val="24"/>
          <w:szCs w:val="24"/>
          <w:highlight w:val="none"/>
          <w:lang w:val="en-US" w:eastAsia="zh-CN"/>
        </w:rPr>
        <w:t>提供专业运营人员进行日常的系统使用答疑，包括市级相关部门、区县相关部门的使用问题解答。</w:t>
      </w:r>
    </w:p>
    <w:p w14:paraId="2BF8B2F5">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kern w:val="2"/>
          <w:sz w:val="24"/>
          <w:szCs w:val="24"/>
          <w:highlight w:val="none"/>
          <w:lang w:val="en-US" w:eastAsia="zh-CN" w:bidi="ar-SA"/>
        </w:rPr>
        <w:t>6）定期数据统计。</w:t>
      </w:r>
      <w:r>
        <w:rPr>
          <w:rFonts w:hint="eastAsia" w:ascii="宋体" w:hAnsi="宋体" w:eastAsia="宋体" w:cs="宋体"/>
          <w:color w:val="auto"/>
          <w:sz w:val="24"/>
          <w:szCs w:val="24"/>
          <w:highlight w:val="none"/>
        </w:rPr>
        <w:t>对临时需要</w:t>
      </w:r>
      <w:r>
        <w:rPr>
          <w:rFonts w:hint="eastAsia" w:ascii="宋体" w:hAnsi="宋体" w:eastAsia="宋体" w:cs="宋体"/>
          <w:color w:val="auto"/>
          <w:sz w:val="24"/>
          <w:szCs w:val="24"/>
          <w:highlight w:val="none"/>
          <w:lang w:val="en-US" w:eastAsia="zh-CN"/>
        </w:rPr>
        <w:t>运维管理系统</w:t>
      </w:r>
      <w:r>
        <w:rPr>
          <w:rFonts w:hint="eastAsia" w:ascii="宋体" w:hAnsi="宋体" w:eastAsia="宋体" w:cs="宋体"/>
          <w:color w:val="auto"/>
          <w:sz w:val="24"/>
          <w:szCs w:val="24"/>
          <w:highlight w:val="none"/>
        </w:rPr>
        <w:t>数据分析统计，形成报告。</w:t>
      </w:r>
    </w:p>
    <w:p w14:paraId="7962D4BC">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kern w:val="2"/>
          <w:sz w:val="24"/>
          <w:szCs w:val="24"/>
          <w:highlight w:val="none"/>
          <w:lang w:val="en-US" w:eastAsia="zh-CN" w:bidi="ar-SA"/>
        </w:rPr>
        <w:t>7）重保运维。</w:t>
      </w:r>
      <w:r>
        <w:rPr>
          <w:rFonts w:hint="eastAsia" w:ascii="宋体" w:hAnsi="宋体" w:eastAsia="宋体" w:cs="宋体"/>
          <w:color w:val="auto"/>
          <w:sz w:val="24"/>
          <w:szCs w:val="24"/>
          <w:highlight w:val="none"/>
          <w:lang w:val="en-US" w:eastAsia="zh-CN"/>
        </w:rPr>
        <w:t>根据重保要求提供重保应急预案，安排专人值班值守，对异常情况及时处理。</w:t>
      </w:r>
    </w:p>
    <w:p w14:paraId="05EB8500">
      <w:pPr>
        <w:keepNext w:val="0"/>
        <w:keepLines w:val="0"/>
        <w:pageBreakBefore w:val="0"/>
        <w:widowControl w:val="0"/>
        <w:kinsoku/>
        <w:wordWrap/>
        <w:overflowPunct/>
        <w:topLinePunct w:val="0"/>
        <w:bidi w:val="0"/>
        <w:snapToGrid/>
        <w:spacing w:line="360" w:lineRule="auto"/>
        <w:outlineLvl w:val="0"/>
        <w:rPr>
          <w:rFonts w:hint="eastAsia" w:ascii="宋体" w:hAnsi="宋体" w:eastAsia="宋体" w:cs="宋体"/>
          <w:b/>
          <w:bCs/>
          <w:color w:val="auto"/>
          <w:sz w:val="24"/>
          <w:szCs w:val="24"/>
          <w:highlight w:val="none"/>
        </w:rPr>
      </w:pPr>
      <w:bookmarkStart w:id="129" w:name="_Toc25296"/>
      <w:r>
        <w:rPr>
          <w:rFonts w:hint="eastAsia" w:ascii="宋体" w:hAnsi="宋体" w:eastAsia="宋体" w:cs="宋体"/>
          <w:b/>
          <w:bCs/>
          <w:color w:val="auto"/>
          <w:sz w:val="24"/>
          <w:szCs w:val="24"/>
          <w:highlight w:val="none"/>
          <w:lang w:val="en-US" w:eastAsia="zh-CN"/>
        </w:rPr>
        <w:t>四</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工作要求</w:t>
      </w:r>
      <w:bookmarkEnd w:id="129"/>
    </w:p>
    <w:p w14:paraId="7A4B29AD">
      <w:pPr>
        <w:keepNext w:val="0"/>
        <w:keepLines w:val="0"/>
        <w:pageBreakBefore w:val="0"/>
        <w:widowControl w:val="0"/>
        <w:kinsoku/>
        <w:wordWrap/>
        <w:overflowPunct/>
        <w:topLinePunct w:val="0"/>
        <w:bidi w:val="0"/>
        <w:snapToGrid/>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异常处理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根据运维值守反馈，及时定位并解决技术问题。</w:t>
      </w:r>
    </w:p>
    <w:p w14:paraId="7136F329">
      <w:pPr>
        <w:keepNext w:val="0"/>
        <w:keepLines w:val="0"/>
        <w:pageBreakBefore w:val="0"/>
        <w:widowControl w:val="0"/>
        <w:kinsoku/>
        <w:wordWrap/>
        <w:overflowPunct/>
        <w:topLinePunct w:val="0"/>
        <w:bidi w:val="0"/>
        <w:snapToGrid/>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部门</w:t>
      </w:r>
      <w:r>
        <w:rPr>
          <w:rFonts w:hint="eastAsia" w:ascii="宋体" w:hAnsi="宋体" w:cs="宋体"/>
          <w:color w:val="auto"/>
          <w:sz w:val="24"/>
          <w:szCs w:val="24"/>
          <w:highlight w:val="none"/>
          <w:lang w:eastAsia="zh-CN"/>
        </w:rPr>
        <w:t>衔接</w:t>
      </w:r>
      <w:r>
        <w:rPr>
          <w:rFonts w:hint="eastAsia" w:ascii="宋体" w:hAnsi="宋体" w:eastAsia="宋体" w:cs="宋体"/>
          <w:color w:val="auto"/>
          <w:sz w:val="24"/>
          <w:szCs w:val="24"/>
          <w:highlight w:val="none"/>
        </w:rPr>
        <w:t>协调</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监控业务部门数据桥接工作保质保量按时完成。</w:t>
      </w:r>
    </w:p>
    <w:p w14:paraId="176667F6">
      <w:pPr>
        <w:keepNext w:val="0"/>
        <w:keepLines w:val="0"/>
        <w:pageBreakBefore w:val="0"/>
        <w:widowControl w:val="0"/>
        <w:kinsoku/>
        <w:wordWrap/>
        <w:overflowPunct/>
        <w:topLinePunct w:val="0"/>
        <w:bidi w:val="0"/>
        <w:snapToGrid/>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3.应用接入实施</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完成数据技术实施工作，完成流程稳定性测试和数据跟踪核查。</w:t>
      </w:r>
    </w:p>
    <w:p w14:paraId="502F7C41">
      <w:pPr>
        <w:keepNext w:val="0"/>
        <w:keepLines w:val="0"/>
        <w:pageBreakBefore w:val="0"/>
        <w:widowControl w:val="0"/>
        <w:kinsoku/>
        <w:wordWrap/>
        <w:overflowPunct/>
        <w:topLinePunct w:val="0"/>
        <w:bidi w:val="0"/>
        <w:snapToGrid/>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4.交换数据及时销毁</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定期完成前置机数据销毁，保障数据安全</w:t>
      </w:r>
      <w:r>
        <w:rPr>
          <w:rFonts w:hint="eastAsia" w:ascii="宋体" w:hAnsi="宋体" w:eastAsia="宋体" w:cs="宋体"/>
          <w:color w:val="auto"/>
          <w:sz w:val="24"/>
          <w:szCs w:val="24"/>
          <w:highlight w:val="none"/>
        </w:rPr>
        <w:t>。</w:t>
      </w:r>
    </w:p>
    <w:p w14:paraId="7C0D5608">
      <w:pPr>
        <w:keepNext w:val="0"/>
        <w:keepLines w:val="0"/>
        <w:pageBreakBefore w:val="0"/>
        <w:widowControl w:val="0"/>
        <w:kinsoku/>
        <w:wordWrap/>
        <w:overflowPunct/>
        <w:topLinePunct w:val="0"/>
        <w:bidi w:val="0"/>
        <w:snapToGrid/>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5.数据开放核查。完成数据开放核查，确保数据集开放属性合理，保障数据安全开放。</w:t>
      </w:r>
    </w:p>
    <w:p w14:paraId="4ABBB985">
      <w:pPr>
        <w:keepNext w:val="0"/>
        <w:keepLines w:val="0"/>
        <w:pageBreakBefore w:val="0"/>
        <w:widowControl w:val="0"/>
        <w:kinsoku/>
        <w:wordWrap/>
        <w:overflowPunct/>
        <w:topLinePunct w:val="0"/>
        <w:bidi w:val="0"/>
        <w:adjustRightInd/>
        <w:snapToGrid/>
        <w:ind w:firstLineChars="0"/>
        <w:textAlignment w:val="baseline"/>
        <w:rPr>
          <w:rFonts w:hint="eastAsia" w:ascii="宋体" w:hAnsi="宋体" w:eastAsia="宋体" w:cs="宋体"/>
          <w:b/>
          <w:bCs/>
          <w:color w:val="auto"/>
          <w:kern w:val="0"/>
          <w:sz w:val="24"/>
          <w:szCs w:val="24"/>
          <w:highlight w:val="none"/>
          <w:lang w:val="en-US" w:eastAsia="zh-CN"/>
        </w:rPr>
      </w:pPr>
      <w:bookmarkStart w:id="130" w:name="_Toc22223"/>
      <w:r>
        <w:rPr>
          <w:rFonts w:hint="eastAsia" w:ascii="宋体" w:hAnsi="宋体" w:eastAsia="宋体" w:cs="宋体"/>
          <w:b/>
          <w:bCs/>
          <w:color w:val="auto"/>
          <w:kern w:val="0"/>
          <w:sz w:val="24"/>
          <w:highlight w:val="none"/>
          <w:lang w:val="en-US" w:eastAsia="zh-CN"/>
        </w:rPr>
        <w:t>五、</w:t>
      </w:r>
      <w:r>
        <w:rPr>
          <w:rFonts w:hint="eastAsia" w:ascii="宋体" w:hAnsi="宋体" w:eastAsia="宋体" w:cs="宋体"/>
          <w:b/>
          <w:bCs/>
          <w:color w:val="auto"/>
          <w:kern w:val="0"/>
          <w:sz w:val="24"/>
          <w:highlight w:val="none"/>
        </w:rPr>
        <w:t>数据安全要求</w:t>
      </w:r>
    </w:p>
    <w:p w14:paraId="1F94ABCC">
      <w:pPr>
        <w:pStyle w:val="105"/>
        <w:spacing w:line="360" w:lineRule="auto"/>
        <w:ind w:firstLine="480" w:firstLineChars="200"/>
        <w:rPr>
          <w:rFonts w:hint="eastAsia"/>
          <w:color w:val="auto"/>
          <w:highlight w:val="none"/>
          <w:lang w:val="en-US" w:eastAsia="zh-CN"/>
        </w:rPr>
      </w:pPr>
      <w:r>
        <w:rPr>
          <w:rFonts w:hint="eastAsia" w:ascii="宋体" w:hAnsi="宋体" w:eastAsia="宋体" w:cs="宋体"/>
          <w:color w:val="auto"/>
          <w:highlight w:val="none"/>
        </w:rPr>
        <w:t>供应商需遵循的国家和地方数据保护法律法规，如《中华人民共和国数据安全法》等，以及行业标准，数据安全要求需覆盖技术服务的各个环节，从数据收集、存储、处理、传输到销毁。服务提供商应制定应急处理和灾备恢复计划，以减轻不可预见事件的影响。服务商应不定期对团队成员进行数据安全培训，提升数据安全意识，将服务过程中出现各类安全事故的概率降到最低。</w:t>
      </w:r>
    </w:p>
    <w:p w14:paraId="06FFAB3D">
      <w:pPr>
        <w:pStyle w:val="105"/>
        <w:keepNext w:val="0"/>
        <w:keepLines w:val="0"/>
        <w:pageBreakBefore w:val="0"/>
        <w:widowControl w:val="0"/>
        <w:kinsoku/>
        <w:wordWrap/>
        <w:overflowPunct/>
        <w:topLinePunct w:val="0"/>
        <w:bidi w:val="0"/>
        <w:snapToGrid/>
        <w:spacing w:line="360" w:lineRule="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六</w:t>
      </w:r>
      <w:r>
        <w:rPr>
          <w:rFonts w:hint="eastAsia" w:ascii="宋体" w:hAnsi="宋体" w:eastAsia="宋体" w:cs="宋体"/>
          <w:b/>
          <w:bCs/>
          <w:color w:val="auto"/>
          <w:sz w:val="24"/>
          <w:szCs w:val="24"/>
          <w:highlight w:val="none"/>
          <w:lang w:val="en-US" w:eastAsia="zh-CN"/>
        </w:rPr>
        <w:t>、服务人员</w:t>
      </w:r>
    </w:p>
    <w:p w14:paraId="716353DD">
      <w:pPr>
        <w:pStyle w:val="105"/>
        <w:keepNext w:val="0"/>
        <w:keepLines w:val="0"/>
        <w:pageBreakBefore w:val="0"/>
        <w:widowControl w:val="0"/>
        <w:kinsoku/>
        <w:wordWrap/>
        <w:overflowPunct/>
        <w:topLinePunct w:val="0"/>
        <w:bidi w:val="0"/>
        <w:snapToGrid/>
        <w:spacing w:line="360" w:lineRule="auto"/>
        <w:ind w:firstLine="480" w:firstLineChars="200"/>
        <w:rPr>
          <w:rFonts w:hint="eastAsia" w:ascii="宋体" w:hAnsi="宋体" w:eastAsia="宋体" w:cs="宋体"/>
          <w:color w:val="auto"/>
          <w:kern w:val="2"/>
          <w:sz w:val="24"/>
          <w:szCs w:val="24"/>
          <w:highlight w:val="none"/>
        </w:rPr>
      </w:pPr>
      <w:r>
        <w:rPr>
          <w:rFonts w:hint="eastAsia" w:ascii="宋体" w:hAnsi="宋体" w:eastAsia="宋体" w:cs="宋体"/>
          <w:color w:val="auto"/>
          <w:sz w:val="24"/>
          <w:szCs w:val="24"/>
          <w:highlight w:val="none"/>
          <w:lang w:val="en-US" w:eastAsia="zh-CN"/>
        </w:rPr>
        <w:t>本项目</w:t>
      </w:r>
      <w:r>
        <w:rPr>
          <w:rFonts w:hint="eastAsia" w:ascii="宋体" w:hAnsi="宋体" w:eastAsia="宋体" w:cs="宋体"/>
          <w:color w:val="auto"/>
          <w:sz w:val="24"/>
          <w:szCs w:val="24"/>
          <w:highlight w:val="none"/>
        </w:rPr>
        <w:t>安排</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名技术人员提供服务，</w:t>
      </w:r>
      <w:r>
        <w:rPr>
          <w:rFonts w:hint="eastAsia" w:ascii="宋体" w:hAnsi="宋体" w:eastAsia="宋体" w:cs="宋体"/>
          <w:color w:val="auto"/>
          <w:sz w:val="24"/>
          <w:szCs w:val="24"/>
          <w:highlight w:val="none"/>
          <w:lang w:val="en-US" w:eastAsia="zh-CN"/>
        </w:rPr>
        <w:t>服务</w:t>
      </w:r>
      <w:r>
        <w:rPr>
          <w:rFonts w:hint="eastAsia" w:ascii="宋体" w:hAnsi="宋体" w:eastAsia="宋体" w:cs="宋体"/>
          <w:color w:val="auto"/>
          <w:sz w:val="24"/>
          <w:szCs w:val="24"/>
          <w:highlight w:val="none"/>
        </w:rPr>
        <w:t>人员须7*24小时及时响应</w:t>
      </w:r>
      <w:r>
        <w:rPr>
          <w:rFonts w:hint="eastAsia" w:ascii="宋体" w:hAnsi="宋体" w:eastAsia="宋体" w:cs="宋体"/>
          <w:color w:val="auto"/>
          <w:kern w:val="2"/>
          <w:sz w:val="24"/>
          <w:szCs w:val="24"/>
          <w:highlight w:val="none"/>
        </w:rPr>
        <w:t>。</w:t>
      </w:r>
    </w:p>
    <w:p w14:paraId="6E62FB38">
      <w:pPr>
        <w:keepNext w:val="0"/>
        <w:keepLines w:val="0"/>
        <w:pageBreakBefore w:val="0"/>
        <w:widowControl w:val="0"/>
        <w:kinsoku/>
        <w:wordWrap/>
        <w:overflowPunct/>
        <w:topLinePunct w:val="0"/>
        <w:bidi w:val="0"/>
        <w:adjustRightInd/>
        <w:snapToGrid/>
        <w:spacing w:line="360" w:lineRule="auto"/>
        <w:textAlignment w:val="baseline"/>
        <w:rPr>
          <w:rFonts w:hint="eastAsia" w:ascii="宋体" w:hAnsi="宋体" w:eastAsia="宋体" w:cs="宋体"/>
          <w:b/>
          <w:bCs/>
          <w:color w:val="auto"/>
          <w:kern w:val="0"/>
          <w:sz w:val="24"/>
          <w:szCs w:val="24"/>
          <w:highlight w:val="none"/>
        </w:rPr>
      </w:pPr>
      <w:r>
        <w:rPr>
          <w:rFonts w:hint="eastAsia" w:ascii="宋体" w:hAnsi="宋体" w:cs="宋体"/>
          <w:b/>
          <w:bCs/>
          <w:color w:val="auto"/>
          <w:kern w:val="0"/>
          <w:sz w:val="24"/>
          <w:szCs w:val="24"/>
          <w:highlight w:val="none"/>
          <w:lang w:val="en-US" w:eastAsia="zh-CN"/>
        </w:rPr>
        <w:t>七</w:t>
      </w:r>
      <w:r>
        <w:rPr>
          <w:rFonts w:hint="eastAsia" w:ascii="宋体" w:hAnsi="宋体" w:eastAsia="宋体" w:cs="宋体"/>
          <w:b/>
          <w:bCs/>
          <w:color w:val="auto"/>
          <w:kern w:val="0"/>
          <w:sz w:val="24"/>
          <w:szCs w:val="24"/>
          <w:highlight w:val="none"/>
          <w:lang w:val="en-US" w:eastAsia="zh-CN"/>
        </w:rPr>
        <w:t>、</w:t>
      </w:r>
      <w:r>
        <w:rPr>
          <w:rFonts w:hint="eastAsia" w:ascii="宋体" w:hAnsi="宋体" w:cs="宋体"/>
          <w:b/>
          <w:bCs/>
          <w:color w:val="auto"/>
          <w:kern w:val="0"/>
          <w:sz w:val="24"/>
          <w:szCs w:val="24"/>
          <w:highlight w:val="none"/>
          <w:lang w:val="en-US" w:eastAsia="zh-CN"/>
        </w:rPr>
        <w:t>响应</w:t>
      </w:r>
      <w:r>
        <w:rPr>
          <w:rFonts w:hint="eastAsia" w:ascii="宋体" w:hAnsi="宋体" w:eastAsia="宋体" w:cs="宋体"/>
          <w:b/>
          <w:bCs/>
          <w:color w:val="auto"/>
          <w:kern w:val="0"/>
          <w:sz w:val="24"/>
          <w:szCs w:val="24"/>
          <w:highlight w:val="none"/>
        </w:rPr>
        <w:t>要求</w:t>
      </w:r>
    </w:p>
    <w:p w14:paraId="5EA04697">
      <w:pPr>
        <w:pStyle w:val="105"/>
        <w:keepNext w:val="0"/>
        <w:keepLines w:val="0"/>
        <w:pageBreakBefore w:val="0"/>
        <w:widowControl w:val="0"/>
        <w:kinsoku/>
        <w:wordWrap/>
        <w:overflowPunct/>
        <w:topLinePunct w:val="0"/>
        <w:bidi w:val="0"/>
        <w:snapToGrid/>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供应商需在响应文件中提供针对本项目的方案，包含但不限于：</w:t>
      </w:r>
    </w:p>
    <w:p w14:paraId="10CB9935">
      <w:pPr>
        <w:pStyle w:val="105"/>
        <w:keepNext w:val="0"/>
        <w:keepLines w:val="0"/>
        <w:pageBreakBefore w:val="0"/>
        <w:widowControl w:val="0"/>
        <w:kinsoku/>
        <w:wordWrap/>
        <w:overflowPunct/>
        <w:topLinePunct w:val="0"/>
        <w:bidi w:val="0"/>
        <w:snapToGrid/>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1.对项目需求的理解；</w:t>
      </w:r>
    </w:p>
    <w:p w14:paraId="5FC16509">
      <w:pPr>
        <w:pStyle w:val="105"/>
        <w:keepNext w:val="0"/>
        <w:keepLines w:val="0"/>
        <w:pageBreakBefore w:val="0"/>
        <w:widowControl w:val="0"/>
        <w:kinsoku/>
        <w:wordWrap/>
        <w:overflowPunct/>
        <w:topLinePunct w:val="0"/>
        <w:bidi w:val="0"/>
        <w:snapToGrid/>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2.交换平台运维服务（日常系统运维实施及监测服务方案、协助工具运维服务方案、数据传输运维服务方案等）；</w:t>
      </w:r>
    </w:p>
    <w:p w14:paraId="0143389D">
      <w:pPr>
        <w:pStyle w:val="105"/>
        <w:keepNext w:val="0"/>
        <w:keepLines w:val="0"/>
        <w:pageBreakBefore w:val="0"/>
        <w:widowControl w:val="0"/>
        <w:kinsoku/>
        <w:wordWrap/>
        <w:overflowPunct/>
        <w:topLinePunct w:val="0"/>
        <w:bidi w:val="0"/>
        <w:snapToGrid/>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3.共享平台运维服务（日常接口共享实施及监测服务方案等）；</w:t>
      </w:r>
    </w:p>
    <w:p w14:paraId="476879B3">
      <w:pPr>
        <w:pStyle w:val="105"/>
        <w:keepNext w:val="0"/>
        <w:keepLines w:val="0"/>
        <w:pageBreakBefore w:val="0"/>
        <w:widowControl w:val="0"/>
        <w:kinsoku/>
        <w:wordWrap/>
        <w:overflowPunct/>
        <w:topLinePunct w:val="0"/>
        <w:bidi w:val="0"/>
        <w:snapToGrid/>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4.开放平台运维服务（协助数据开放工单实施、数据开放属性复查方案、协助平台网站安全巡检方案、协助处置安全隐患方案等）；</w:t>
      </w:r>
    </w:p>
    <w:p w14:paraId="58A4B4D5">
      <w:pPr>
        <w:pStyle w:val="105"/>
        <w:keepNext w:val="0"/>
        <w:keepLines w:val="0"/>
        <w:pageBreakBefore w:val="0"/>
        <w:widowControl w:val="0"/>
        <w:kinsoku/>
        <w:wordWrap/>
        <w:overflowPunct/>
        <w:topLinePunct w:val="0"/>
        <w:bidi w:val="0"/>
        <w:snapToGrid/>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5.运维管理系统运维服务（系统日常运行监测保障方案、其他工作方案等）；</w:t>
      </w:r>
    </w:p>
    <w:p w14:paraId="72FE78E6">
      <w:pPr>
        <w:pStyle w:val="105"/>
        <w:keepNext w:val="0"/>
        <w:keepLines w:val="0"/>
        <w:pageBreakBefore w:val="0"/>
        <w:widowControl w:val="0"/>
        <w:kinsoku/>
        <w:wordWrap/>
        <w:overflowPunct/>
        <w:topLinePunct w:val="0"/>
        <w:bidi w:val="0"/>
        <w:snapToGrid/>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6.数据统计服务方案；</w:t>
      </w:r>
    </w:p>
    <w:p w14:paraId="6E990093">
      <w:pPr>
        <w:pStyle w:val="105"/>
        <w:keepNext w:val="0"/>
        <w:keepLines w:val="0"/>
        <w:pageBreakBefore w:val="0"/>
        <w:widowControl w:val="0"/>
        <w:kinsoku/>
        <w:wordWrap/>
        <w:overflowPunct/>
        <w:topLinePunct w:val="0"/>
        <w:bidi w:val="0"/>
        <w:snapToGrid/>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7.安全技术支撑服务方案；</w:t>
      </w:r>
    </w:p>
    <w:p w14:paraId="62E4E088">
      <w:pPr>
        <w:pStyle w:val="105"/>
        <w:keepNext w:val="0"/>
        <w:keepLines w:val="0"/>
        <w:pageBreakBefore w:val="0"/>
        <w:widowControl w:val="0"/>
        <w:kinsoku/>
        <w:wordWrap/>
        <w:overflowPunct/>
        <w:topLinePunct w:val="0"/>
        <w:bidi w:val="0"/>
        <w:snapToGrid/>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8.应急响应及保障服务方案；</w:t>
      </w:r>
    </w:p>
    <w:p w14:paraId="62DD0DCF">
      <w:pPr>
        <w:pStyle w:val="105"/>
        <w:keepNext w:val="0"/>
        <w:keepLines w:val="0"/>
        <w:pageBreakBefore w:val="0"/>
        <w:widowControl w:val="0"/>
        <w:kinsoku/>
        <w:wordWrap/>
        <w:overflowPunct/>
        <w:topLinePunct w:val="0"/>
        <w:bidi w:val="0"/>
        <w:snapToGrid/>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9.重保运维方案；</w:t>
      </w:r>
    </w:p>
    <w:p w14:paraId="4C239958">
      <w:pPr>
        <w:pStyle w:val="105"/>
        <w:keepNext w:val="0"/>
        <w:keepLines w:val="0"/>
        <w:pageBreakBefore w:val="0"/>
        <w:widowControl w:val="0"/>
        <w:kinsoku/>
        <w:wordWrap/>
        <w:overflowPunct/>
        <w:topLinePunct w:val="0"/>
        <w:bidi w:val="0"/>
        <w:snapToGrid/>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10.拟投入项目的服务团队；</w:t>
      </w:r>
    </w:p>
    <w:p w14:paraId="30E708B5">
      <w:pPr>
        <w:pStyle w:val="105"/>
        <w:keepNext w:val="0"/>
        <w:keepLines w:val="0"/>
        <w:pageBreakBefore w:val="0"/>
        <w:widowControl w:val="0"/>
        <w:kinsoku/>
        <w:wordWrap/>
        <w:overflowPunct/>
        <w:topLinePunct w:val="0"/>
        <w:bidi w:val="0"/>
        <w:snapToGrid/>
        <w:spacing w:line="360" w:lineRule="auto"/>
        <w:ind w:firstLine="480" w:firstLineChars="2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11.服务承诺和服务质量保证措施；</w:t>
      </w:r>
    </w:p>
    <w:p w14:paraId="51814B52">
      <w:pPr>
        <w:pStyle w:val="105"/>
        <w:keepNext w:val="0"/>
        <w:keepLines w:val="0"/>
        <w:pageBreakBefore w:val="0"/>
        <w:widowControl w:val="0"/>
        <w:kinsoku/>
        <w:wordWrap/>
        <w:overflowPunct/>
        <w:topLinePunct w:val="0"/>
        <w:bidi w:val="0"/>
        <w:snapToGrid/>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12.其他证明材料（如有）。</w:t>
      </w:r>
    </w:p>
    <w:p w14:paraId="36CA57AD">
      <w:pPr>
        <w:keepNext w:val="0"/>
        <w:keepLines w:val="0"/>
        <w:pageBreakBefore w:val="0"/>
        <w:widowControl w:val="0"/>
        <w:kinsoku/>
        <w:wordWrap/>
        <w:overflowPunct/>
        <w:topLinePunct w:val="0"/>
        <w:bidi w:val="0"/>
        <w:adjustRightInd/>
        <w:snapToGrid/>
        <w:ind w:firstLineChars="200"/>
        <w:textAlignment w:val="baseline"/>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lang w:val="en-US" w:eastAsia="zh-CN"/>
        </w:rPr>
        <w:t>八</w:t>
      </w:r>
      <w:r>
        <w:rPr>
          <w:rFonts w:hint="eastAsia" w:ascii="宋体" w:hAnsi="宋体" w:eastAsia="宋体" w:cs="宋体"/>
          <w:b/>
          <w:bCs/>
          <w:color w:val="auto"/>
          <w:kern w:val="0"/>
          <w:sz w:val="24"/>
          <w:highlight w:val="none"/>
        </w:rPr>
        <w:t>、考核要求</w:t>
      </w:r>
    </w:p>
    <w:p w14:paraId="25E6764C">
      <w:pPr>
        <w:pStyle w:val="105"/>
        <w:keepNext w:val="0"/>
        <w:keepLines w:val="0"/>
        <w:pageBreakBefore w:val="0"/>
        <w:widowControl w:val="0"/>
        <w:kinsoku/>
        <w:wordWrap/>
        <w:overflowPunct/>
        <w:topLinePunct w:val="0"/>
        <w:bidi w:val="0"/>
        <w:snapToGrid/>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采购人将针对</w:t>
      </w:r>
      <w:r>
        <w:rPr>
          <w:rFonts w:hint="eastAsia" w:ascii="宋体" w:hAnsi="宋体" w:eastAsia="宋体" w:cs="宋体"/>
          <w:color w:val="auto"/>
          <w:highlight w:val="none"/>
          <w:lang w:val="en-US" w:eastAsia="zh-CN"/>
        </w:rPr>
        <w:t>宁波市数据交换、共享、开放及运维管理工作</w:t>
      </w:r>
      <w:r>
        <w:rPr>
          <w:rFonts w:hint="eastAsia" w:ascii="宋体" w:hAnsi="宋体" w:eastAsia="宋体" w:cs="宋体"/>
          <w:color w:val="auto"/>
          <w:highlight w:val="none"/>
        </w:rPr>
        <w:t>对供应商进行服务质量考核，包括以下几点：</w:t>
      </w:r>
    </w:p>
    <w:p w14:paraId="66811EA8">
      <w:pPr>
        <w:pStyle w:val="105"/>
        <w:keepNext w:val="0"/>
        <w:keepLines w:val="0"/>
        <w:pageBreakBefore w:val="0"/>
        <w:widowControl w:val="0"/>
        <w:kinsoku/>
        <w:wordWrap/>
        <w:overflowPunct/>
        <w:topLinePunct w:val="0"/>
        <w:bidi w:val="0"/>
        <w:snapToGrid/>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rPr>
        <w:t>采购人组织服务单位满意度调查，评价供应商服务满意度。（20分）</w:t>
      </w:r>
    </w:p>
    <w:p w14:paraId="7F7E870A">
      <w:pPr>
        <w:pStyle w:val="105"/>
        <w:keepNext w:val="0"/>
        <w:keepLines w:val="0"/>
        <w:pageBreakBefore w:val="0"/>
        <w:widowControl w:val="0"/>
        <w:kinsoku/>
        <w:wordWrap/>
        <w:overflowPunct/>
        <w:topLinePunct w:val="0"/>
        <w:bidi w:val="0"/>
        <w:snapToGrid/>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服务单位对成果资料及各类文档管理的规范化，每发现一次成果缺失或文档存在重大问题的，扣除5分。（40分）</w:t>
      </w:r>
    </w:p>
    <w:p w14:paraId="345ABC88">
      <w:pPr>
        <w:pStyle w:val="105"/>
        <w:keepNext w:val="0"/>
        <w:keepLines w:val="0"/>
        <w:pageBreakBefore w:val="0"/>
        <w:widowControl w:val="0"/>
        <w:kinsoku/>
        <w:wordWrap/>
        <w:overflowPunct/>
        <w:topLinePunct w:val="0"/>
        <w:bidi w:val="0"/>
        <w:snapToGrid/>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项目团队稳定，响应效率高。(20分)</w:t>
      </w:r>
    </w:p>
    <w:p w14:paraId="5AECF2B9">
      <w:pPr>
        <w:pStyle w:val="105"/>
        <w:keepNext w:val="0"/>
        <w:keepLines w:val="0"/>
        <w:pageBreakBefore w:val="0"/>
        <w:widowControl w:val="0"/>
        <w:kinsoku/>
        <w:wordWrap/>
        <w:overflowPunct/>
        <w:topLinePunct w:val="0"/>
        <w:bidi w:val="0"/>
        <w:snapToGrid/>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服务单位负有安全与保密责任，发生信息安全事故，每次扣减5分。（20分）</w:t>
      </w:r>
    </w:p>
    <w:p w14:paraId="629F2C94">
      <w:pPr>
        <w:pStyle w:val="105"/>
        <w:keepNext w:val="0"/>
        <w:keepLines w:val="0"/>
        <w:pageBreakBefore w:val="0"/>
        <w:widowControl w:val="0"/>
        <w:kinsoku/>
        <w:wordWrap/>
        <w:overflowPunct/>
        <w:topLinePunct w:val="0"/>
        <w:bidi w:val="0"/>
        <w:snapToGrid/>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2025年1</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rPr>
        <w:t>月，由采购人组织进行阶段性考核，成交供应商提交阶段性服务报告</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考核结果大于等于85分的，支付合同剩余款项；小于85分的，采购人有权无条件终止合同，不予支付剩余款项。</w:t>
      </w:r>
    </w:p>
    <w:p w14:paraId="3056E31B">
      <w:pP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br w:type="page"/>
      </w:r>
    </w:p>
    <w:p w14:paraId="0B969B53">
      <w:pPr>
        <w:adjustRightInd/>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 xml:space="preserve">第五部分  </w:t>
      </w:r>
      <w:bookmarkEnd w:id="120"/>
      <w:bookmarkEnd w:id="121"/>
      <w:bookmarkStart w:id="131" w:name="第四部分"/>
      <w:r>
        <w:rPr>
          <w:rFonts w:hint="eastAsia" w:ascii="宋体" w:hAnsi="宋体" w:eastAsia="宋体" w:cs="宋体"/>
          <w:b/>
          <w:color w:val="auto"/>
          <w:sz w:val="36"/>
          <w:szCs w:val="36"/>
          <w:highlight w:val="none"/>
        </w:rPr>
        <w:t>评审方法及评审标准</w:t>
      </w:r>
      <w:bookmarkEnd w:id="130"/>
    </w:p>
    <w:p w14:paraId="6CB72C61">
      <w:pPr>
        <w:pStyle w:val="397"/>
        <w:spacing w:before="0"/>
        <w:ind w:firstLine="643"/>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评审方法前附表</w:t>
      </w:r>
    </w:p>
    <w:tbl>
      <w:tblPr>
        <w:tblStyle w:val="60"/>
        <w:tblW w:w="101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884"/>
        <w:gridCol w:w="7183"/>
        <w:gridCol w:w="717"/>
        <w:gridCol w:w="686"/>
      </w:tblGrid>
      <w:tr w14:paraId="4E900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blHeader/>
          <w:jc w:val="center"/>
        </w:trPr>
        <w:tc>
          <w:tcPr>
            <w:tcW w:w="708" w:type="dxa"/>
            <w:noWrap w:val="0"/>
            <w:vAlign w:val="center"/>
          </w:tcPr>
          <w:p w14:paraId="489621B2">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内容</w:t>
            </w:r>
          </w:p>
        </w:tc>
        <w:tc>
          <w:tcPr>
            <w:tcW w:w="884" w:type="dxa"/>
            <w:noWrap w:val="0"/>
            <w:vAlign w:val="center"/>
          </w:tcPr>
          <w:p w14:paraId="48D3867D">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评分因素分项</w:t>
            </w:r>
          </w:p>
        </w:tc>
        <w:tc>
          <w:tcPr>
            <w:tcW w:w="7183" w:type="dxa"/>
            <w:noWrap w:val="0"/>
            <w:vAlign w:val="center"/>
          </w:tcPr>
          <w:p w14:paraId="6A71F964">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评分标准</w:t>
            </w:r>
          </w:p>
        </w:tc>
        <w:tc>
          <w:tcPr>
            <w:tcW w:w="717" w:type="dxa"/>
            <w:noWrap w:val="0"/>
            <w:vAlign w:val="center"/>
          </w:tcPr>
          <w:p w14:paraId="351AE58F">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分值</w:t>
            </w:r>
          </w:p>
        </w:tc>
        <w:tc>
          <w:tcPr>
            <w:tcW w:w="686" w:type="dxa"/>
            <w:noWrap w:val="0"/>
            <w:vAlign w:val="center"/>
          </w:tcPr>
          <w:p w14:paraId="6B36A28F">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备注</w:t>
            </w:r>
          </w:p>
        </w:tc>
      </w:tr>
      <w:tr w14:paraId="1F20B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8" w:type="dxa"/>
            <w:vMerge w:val="restart"/>
            <w:noWrap w:val="0"/>
            <w:vAlign w:val="center"/>
          </w:tcPr>
          <w:p w14:paraId="553BBF50">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lang w:val="en-US" w:eastAsia="zh-CN"/>
              </w:rPr>
              <w:t>商务技术</w:t>
            </w:r>
            <w:r>
              <w:rPr>
                <w:rFonts w:hint="eastAsia" w:ascii="宋体" w:hAnsi="宋体" w:eastAsia="宋体" w:cs="宋体"/>
                <w:color w:val="auto"/>
                <w:sz w:val="21"/>
                <w:szCs w:val="21"/>
                <w:highlight w:val="none"/>
              </w:rPr>
              <w:t>分（90分）</w:t>
            </w:r>
          </w:p>
        </w:tc>
        <w:tc>
          <w:tcPr>
            <w:tcW w:w="884" w:type="dxa"/>
            <w:tcBorders>
              <w:top w:val="single" w:color="auto" w:sz="4" w:space="0"/>
              <w:left w:val="single" w:color="auto" w:sz="4" w:space="0"/>
              <w:right w:val="single" w:color="auto" w:sz="4" w:space="0"/>
            </w:tcBorders>
            <w:shd w:val="clear" w:color="auto" w:fill="auto"/>
            <w:noWrap w:val="0"/>
            <w:vAlign w:val="center"/>
          </w:tcPr>
          <w:p w14:paraId="09CC3166">
            <w:pPr>
              <w:keepNext w:val="0"/>
              <w:keepLines w:val="0"/>
              <w:pageBreakBefore w:val="0"/>
              <w:widowControl w:val="0"/>
              <w:suppressLineNumbers w:val="0"/>
              <w:kinsoku/>
              <w:wordWrap/>
              <w:overflowPunct/>
              <w:topLinePunct w:val="0"/>
              <w:bidi w:val="0"/>
              <w:spacing w:before="0" w:beforeAutospacing="0" w:after="0" w:afterAutospacing="0" w:line="240" w:lineRule="auto"/>
              <w:ind w:left="0" w:leftChars="0" w:right="0" w:rightChars="0"/>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对项目需求的理解</w:t>
            </w:r>
          </w:p>
        </w:tc>
        <w:tc>
          <w:tcPr>
            <w:tcW w:w="7183" w:type="dxa"/>
            <w:tcBorders>
              <w:top w:val="single" w:color="auto" w:sz="4" w:space="0"/>
              <w:left w:val="single" w:color="auto" w:sz="4" w:space="0"/>
              <w:right w:val="single" w:color="auto" w:sz="4" w:space="0"/>
            </w:tcBorders>
            <w:shd w:val="clear" w:color="auto" w:fill="auto"/>
            <w:noWrap w:val="0"/>
            <w:vAlign w:val="center"/>
          </w:tcPr>
          <w:p w14:paraId="125E934D">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针对采购文件第</w:t>
            </w:r>
            <w:r>
              <w:rPr>
                <w:rFonts w:hint="eastAsia" w:ascii="宋体" w:hAnsi="宋体" w:eastAsia="宋体" w:cs="宋体"/>
                <w:color w:val="auto"/>
                <w:sz w:val="21"/>
                <w:szCs w:val="21"/>
                <w:highlight w:val="none"/>
                <w:lang w:val="en-US" w:eastAsia="zh-CN"/>
              </w:rPr>
              <w:t>四</w:t>
            </w:r>
            <w:r>
              <w:rPr>
                <w:rFonts w:hint="eastAsia" w:ascii="宋体" w:hAnsi="宋体" w:eastAsia="宋体" w:cs="宋体"/>
                <w:color w:val="auto"/>
                <w:sz w:val="21"/>
                <w:szCs w:val="21"/>
                <w:highlight w:val="none"/>
              </w:rPr>
              <w:t>部分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采购需求</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中的</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二、项目背景</w:t>
            </w:r>
            <w:r>
              <w:rPr>
                <w:rFonts w:hint="eastAsia" w:ascii="宋体" w:hAnsi="宋体" w:eastAsia="宋体" w:cs="宋体"/>
                <w:color w:val="auto"/>
                <w:sz w:val="21"/>
                <w:szCs w:val="21"/>
                <w:highlight w:val="none"/>
              </w:rPr>
              <w:t>”，进行服务业务梳理，结合实际对</w:t>
            </w:r>
            <w:r>
              <w:rPr>
                <w:rFonts w:hint="eastAsia" w:ascii="宋体" w:hAnsi="宋体" w:cs="宋体"/>
                <w:color w:val="auto"/>
                <w:sz w:val="21"/>
                <w:szCs w:val="21"/>
                <w:highlight w:val="none"/>
                <w:lang w:val="en-US" w:eastAsia="zh-CN"/>
              </w:rPr>
              <w:t>本项目</w:t>
            </w:r>
            <w:r>
              <w:rPr>
                <w:rFonts w:hint="eastAsia" w:ascii="宋体" w:hAnsi="宋体" w:eastAsia="宋体" w:cs="宋体"/>
                <w:color w:val="auto"/>
                <w:sz w:val="21"/>
                <w:szCs w:val="21"/>
                <w:highlight w:val="none"/>
              </w:rPr>
              <w:t>的需求理解情况进行</w:t>
            </w:r>
            <w:r>
              <w:rPr>
                <w:rFonts w:hint="eastAsia" w:ascii="宋体" w:hAnsi="宋体" w:eastAsia="宋体" w:cs="宋体"/>
                <w:color w:val="auto"/>
                <w:sz w:val="21"/>
                <w:szCs w:val="21"/>
                <w:highlight w:val="none"/>
                <w:lang w:eastAsia="zh-CN"/>
              </w:rPr>
              <w:t>综合</w:t>
            </w:r>
            <w:r>
              <w:rPr>
                <w:rFonts w:hint="eastAsia" w:ascii="宋体" w:hAnsi="宋体" w:eastAsia="宋体" w:cs="宋体"/>
                <w:color w:val="auto"/>
                <w:sz w:val="21"/>
                <w:szCs w:val="21"/>
                <w:highlight w:val="none"/>
              </w:rPr>
              <w:t>评议。</w:t>
            </w:r>
          </w:p>
          <w:p w14:paraId="07A368EC">
            <w:pPr>
              <w:keepNext w:val="0"/>
              <w:keepLines w:val="0"/>
              <w:pageBreakBefore w:val="0"/>
              <w:widowControl w:val="0"/>
              <w:suppressLineNumbers w:val="0"/>
              <w:kinsoku/>
              <w:wordWrap/>
              <w:overflowPunct/>
              <w:topLinePunct w:val="0"/>
              <w:bidi w:val="0"/>
              <w:spacing w:before="0" w:beforeAutospacing="0" w:after="0" w:afterAutospacing="0" w:line="240" w:lineRule="auto"/>
              <w:ind w:left="0" w:leftChars="0" w:right="0" w:rightChars="0"/>
              <w:textAlignment w:val="auto"/>
              <w:rPr>
                <w:rFonts w:hint="eastAsia" w:ascii="宋体" w:hAnsi="宋体" w:eastAsia="宋体" w:cs="宋体"/>
                <w:color w:val="auto"/>
                <w:sz w:val="21"/>
                <w:szCs w:val="21"/>
                <w:highlight w:val="none"/>
              </w:rPr>
            </w:pPr>
            <w:r>
              <w:rPr>
                <w:rFonts w:hint="default" w:ascii="宋体" w:hAnsi="宋体" w:eastAsia="宋体" w:cs="宋体"/>
                <w:color w:val="auto"/>
                <w:sz w:val="21"/>
                <w:szCs w:val="21"/>
                <w:highlight w:val="none"/>
              </w:rPr>
              <w:t>①</w:t>
            </w:r>
            <w:r>
              <w:rPr>
                <w:rFonts w:hint="eastAsia" w:ascii="宋体" w:hAnsi="宋体" w:eastAsia="宋体" w:cs="宋体"/>
                <w:color w:val="auto"/>
                <w:sz w:val="21"/>
                <w:szCs w:val="21"/>
                <w:highlight w:val="none"/>
              </w:rPr>
              <w:t>对项目</w:t>
            </w:r>
            <w:r>
              <w:rPr>
                <w:rFonts w:hint="eastAsia" w:ascii="宋体" w:hAnsi="宋体" w:eastAsia="宋体" w:cs="宋体"/>
                <w:color w:val="auto"/>
                <w:sz w:val="21"/>
                <w:szCs w:val="21"/>
                <w:highlight w:val="none"/>
                <w:lang w:val="en-US" w:eastAsia="zh-CN"/>
              </w:rPr>
              <w:t>需求</w:t>
            </w:r>
            <w:r>
              <w:rPr>
                <w:rFonts w:hint="eastAsia" w:ascii="宋体" w:hAnsi="宋体" w:cs="宋体"/>
                <w:color w:val="auto"/>
                <w:sz w:val="21"/>
                <w:szCs w:val="21"/>
                <w:highlight w:val="none"/>
                <w:lang w:val="en-US" w:eastAsia="zh-CN"/>
              </w:rPr>
              <w:t>理解</w:t>
            </w:r>
            <w:r>
              <w:rPr>
                <w:rFonts w:hint="eastAsia" w:ascii="宋体" w:hAnsi="宋体" w:eastAsia="宋体" w:cs="宋体"/>
                <w:color w:val="auto"/>
                <w:sz w:val="21"/>
                <w:szCs w:val="21"/>
                <w:highlight w:val="none"/>
              </w:rPr>
              <w:t>准确、完善，业务阐述完整、深入，且符合</w:t>
            </w:r>
            <w:r>
              <w:rPr>
                <w:rFonts w:hint="eastAsia" w:ascii="宋体" w:hAnsi="宋体" w:cs="宋体"/>
                <w:color w:val="auto"/>
                <w:sz w:val="21"/>
                <w:szCs w:val="21"/>
                <w:highlight w:val="none"/>
                <w:lang w:val="en-US" w:eastAsia="zh-CN"/>
              </w:rPr>
              <w:t>采购人</w:t>
            </w:r>
            <w:r>
              <w:rPr>
                <w:rFonts w:hint="eastAsia" w:ascii="宋体" w:hAnsi="宋体" w:eastAsia="宋体" w:cs="宋体"/>
                <w:color w:val="auto"/>
                <w:sz w:val="21"/>
                <w:szCs w:val="21"/>
                <w:highlight w:val="none"/>
              </w:rPr>
              <w:t>需求的得</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w:t>
            </w:r>
          </w:p>
          <w:p w14:paraId="3B62FF0B">
            <w:pPr>
              <w:keepNext w:val="0"/>
              <w:keepLines w:val="0"/>
              <w:pageBreakBefore w:val="0"/>
              <w:widowControl w:val="0"/>
              <w:suppressLineNumbers w:val="0"/>
              <w:kinsoku/>
              <w:wordWrap/>
              <w:overflowPunct/>
              <w:topLinePunct w:val="0"/>
              <w:bidi w:val="0"/>
              <w:spacing w:before="0" w:beforeAutospacing="0" w:after="0" w:afterAutospacing="0" w:line="240" w:lineRule="auto"/>
              <w:ind w:left="0" w:leftChars="0" w:right="0" w:rightChars="0"/>
              <w:textAlignment w:val="auto"/>
              <w:rPr>
                <w:rFonts w:hint="eastAsia" w:ascii="宋体" w:hAnsi="宋体" w:eastAsia="宋体" w:cs="宋体"/>
                <w:color w:val="auto"/>
                <w:sz w:val="21"/>
                <w:szCs w:val="21"/>
                <w:highlight w:val="none"/>
              </w:rPr>
            </w:pPr>
            <w:r>
              <w:rPr>
                <w:rFonts w:hint="default" w:ascii="宋体" w:hAnsi="宋体" w:eastAsia="宋体" w:cs="宋体"/>
                <w:color w:val="auto"/>
                <w:sz w:val="21"/>
                <w:szCs w:val="21"/>
                <w:highlight w:val="none"/>
              </w:rPr>
              <w:t>②</w:t>
            </w:r>
            <w:r>
              <w:rPr>
                <w:rFonts w:hint="eastAsia" w:ascii="宋体" w:hAnsi="宋体" w:eastAsia="宋体" w:cs="宋体"/>
                <w:color w:val="auto"/>
                <w:sz w:val="21"/>
                <w:szCs w:val="21"/>
                <w:highlight w:val="none"/>
              </w:rPr>
              <w:t>对项目</w:t>
            </w:r>
            <w:r>
              <w:rPr>
                <w:rFonts w:hint="eastAsia" w:ascii="宋体" w:hAnsi="宋体" w:eastAsia="宋体" w:cs="宋体"/>
                <w:color w:val="auto"/>
                <w:sz w:val="21"/>
                <w:szCs w:val="21"/>
                <w:highlight w:val="none"/>
                <w:lang w:val="en-US" w:eastAsia="zh-CN"/>
              </w:rPr>
              <w:t>需求</w:t>
            </w:r>
            <w:r>
              <w:rPr>
                <w:rFonts w:hint="eastAsia" w:ascii="宋体" w:hAnsi="宋体" w:cs="宋体"/>
                <w:color w:val="auto"/>
                <w:sz w:val="21"/>
                <w:szCs w:val="21"/>
                <w:highlight w:val="none"/>
                <w:lang w:val="en-US" w:eastAsia="zh-CN"/>
              </w:rPr>
              <w:t>理解</w:t>
            </w:r>
            <w:r>
              <w:rPr>
                <w:rFonts w:hint="eastAsia" w:ascii="宋体" w:hAnsi="宋体" w:eastAsia="宋体" w:cs="宋体"/>
                <w:color w:val="auto"/>
                <w:sz w:val="21"/>
                <w:szCs w:val="21"/>
                <w:highlight w:val="none"/>
              </w:rPr>
              <w:t>较准确、较完善，业务阐述较完整、较深入，较符合</w:t>
            </w:r>
            <w:r>
              <w:rPr>
                <w:rFonts w:hint="eastAsia" w:ascii="宋体" w:hAnsi="宋体" w:cs="宋体"/>
                <w:color w:val="auto"/>
                <w:sz w:val="21"/>
                <w:szCs w:val="21"/>
                <w:highlight w:val="none"/>
                <w:lang w:val="en-US" w:eastAsia="zh-CN"/>
              </w:rPr>
              <w:t>采购人</w:t>
            </w:r>
            <w:r>
              <w:rPr>
                <w:rFonts w:hint="eastAsia" w:ascii="宋体" w:hAnsi="宋体" w:eastAsia="宋体" w:cs="宋体"/>
                <w:color w:val="auto"/>
                <w:sz w:val="21"/>
                <w:szCs w:val="21"/>
                <w:highlight w:val="none"/>
              </w:rPr>
              <w:t>需求的得</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w:t>
            </w:r>
          </w:p>
          <w:p w14:paraId="4BB7B26B">
            <w:pPr>
              <w:keepNext w:val="0"/>
              <w:keepLines w:val="0"/>
              <w:pageBreakBefore w:val="0"/>
              <w:widowControl w:val="0"/>
              <w:suppressLineNumbers w:val="0"/>
              <w:kinsoku/>
              <w:wordWrap/>
              <w:overflowPunct/>
              <w:topLinePunct w:val="0"/>
              <w:bidi w:val="0"/>
              <w:spacing w:before="0" w:beforeAutospacing="0" w:after="0" w:afterAutospacing="0" w:line="240" w:lineRule="auto"/>
              <w:ind w:left="0" w:leftChars="0" w:right="0" w:rightChars="0"/>
              <w:textAlignment w:val="auto"/>
              <w:rPr>
                <w:rFonts w:hint="eastAsia" w:ascii="宋体" w:hAnsi="宋体" w:eastAsia="宋体" w:cs="宋体"/>
                <w:color w:val="auto"/>
                <w:sz w:val="21"/>
                <w:szCs w:val="21"/>
                <w:highlight w:val="none"/>
              </w:rPr>
            </w:pPr>
            <w:r>
              <w:rPr>
                <w:rFonts w:hint="default" w:ascii="宋体" w:hAnsi="宋体" w:eastAsia="宋体" w:cs="宋体"/>
                <w:color w:val="auto"/>
                <w:sz w:val="21"/>
                <w:szCs w:val="21"/>
                <w:highlight w:val="none"/>
              </w:rPr>
              <w:t>③</w:t>
            </w:r>
            <w:r>
              <w:rPr>
                <w:rFonts w:hint="eastAsia" w:ascii="宋体" w:hAnsi="宋体" w:eastAsia="宋体" w:cs="宋体"/>
                <w:color w:val="auto"/>
                <w:sz w:val="21"/>
                <w:szCs w:val="21"/>
                <w:highlight w:val="none"/>
              </w:rPr>
              <w:t>对项目的</w:t>
            </w:r>
            <w:r>
              <w:rPr>
                <w:rFonts w:hint="eastAsia" w:ascii="宋体" w:hAnsi="宋体" w:cs="宋体"/>
                <w:color w:val="auto"/>
                <w:sz w:val="21"/>
                <w:szCs w:val="21"/>
                <w:highlight w:val="none"/>
                <w:lang w:val="en-US" w:eastAsia="zh-CN"/>
              </w:rPr>
              <w:t>理解</w:t>
            </w:r>
            <w:r>
              <w:rPr>
                <w:rFonts w:hint="eastAsia" w:ascii="宋体" w:hAnsi="宋体" w:eastAsia="宋体" w:cs="宋体"/>
                <w:color w:val="auto"/>
                <w:sz w:val="21"/>
                <w:szCs w:val="21"/>
                <w:highlight w:val="none"/>
              </w:rPr>
              <w:t>及业务阐述存在缺陷，与本项目采购需求偏离严重的得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w:t>
            </w:r>
          </w:p>
          <w:p w14:paraId="7685B677">
            <w:pPr>
              <w:keepNext w:val="0"/>
              <w:keepLines w:val="0"/>
              <w:pageBreakBefore w:val="0"/>
              <w:widowControl w:val="0"/>
              <w:suppressLineNumbers w:val="0"/>
              <w:kinsoku/>
              <w:wordWrap/>
              <w:overflowPunct/>
              <w:topLinePunct w:val="0"/>
              <w:bidi w:val="0"/>
              <w:spacing w:before="0" w:beforeAutospacing="0" w:after="0" w:afterAutospacing="0" w:line="240" w:lineRule="auto"/>
              <w:ind w:left="0" w:leftChars="0" w:right="0" w:rightChars="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④未提供</w:t>
            </w:r>
            <w:r>
              <w:rPr>
                <w:rFonts w:hint="eastAsia" w:ascii="宋体" w:hAnsi="宋体" w:eastAsia="宋体" w:cs="宋体"/>
                <w:color w:val="auto"/>
                <w:sz w:val="21"/>
                <w:szCs w:val="21"/>
                <w:highlight w:val="none"/>
                <w:lang w:val="en-US" w:eastAsia="zh-CN"/>
              </w:rPr>
              <w:t>需求理解的</w:t>
            </w:r>
            <w:r>
              <w:rPr>
                <w:rFonts w:hint="eastAsia" w:ascii="宋体" w:hAnsi="宋体" w:eastAsia="宋体" w:cs="宋体"/>
                <w:color w:val="auto"/>
                <w:sz w:val="21"/>
                <w:szCs w:val="21"/>
                <w:highlight w:val="none"/>
              </w:rPr>
              <w:t>不得分。</w:t>
            </w:r>
          </w:p>
        </w:tc>
        <w:tc>
          <w:tcPr>
            <w:tcW w:w="717" w:type="dxa"/>
            <w:shd w:val="clear" w:color="auto" w:fill="auto"/>
            <w:noWrap w:val="0"/>
            <w:vAlign w:val="center"/>
          </w:tcPr>
          <w:p w14:paraId="423E1C3E">
            <w:pPr>
              <w:keepNext w:val="0"/>
              <w:keepLines w:val="0"/>
              <w:pageBreakBefore w:val="0"/>
              <w:widowControl w:val="0"/>
              <w:suppressLineNumbers w:val="0"/>
              <w:kinsoku/>
              <w:wordWrap/>
              <w:overflowPunct/>
              <w:topLinePunct w:val="0"/>
              <w:bidi w:val="0"/>
              <w:spacing w:before="0" w:beforeAutospacing="0" w:after="0" w:afterAutospacing="0" w:line="240" w:lineRule="auto"/>
              <w:ind w:left="0" w:leftChars="0" w:right="0" w:right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5</w:t>
            </w:r>
          </w:p>
        </w:tc>
        <w:tc>
          <w:tcPr>
            <w:tcW w:w="686" w:type="dxa"/>
            <w:shd w:val="clear" w:color="auto" w:fill="auto"/>
            <w:noWrap w:val="0"/>
            <w:vAlign w:val="center"/>
          </w:tcPr>
          <w:p w14:paraId="2BC3EB84">
            <w:pPr>
              <w:keepNext w:val="0"/>
              <w:keepLines w:val="0"/>
              <w:pageBreakBefore w:val="0"/>
              <w:widowControl w:val="0"/>
              <w:suppressLineNumbers w:val="0"/>
              <w:kinsoku/>
              <w:wordWrap/>
              <w:overflowPunct/>
              <w:topLinePunct w:val="0"/>
              <w:bidi w:val="0"/>
              <w:spacing w:before="0" w:beforeAutospacing="0" w:after="0" w:afterAutospacing="0" w:line="240" w:lineRule="auto"/>
              <w:ind w:left="0" w:leftChars="0" w:right="0" w:right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主观分</w:t>
            </w:r>
          </w:p>
        </w:tc>
      </w:tr>
      <w:tr w14:paraId="57A27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8" w:type="dxa"/>
            <w:vMerge w:val="continue"/>
            <w:noWrap w:val="0"/>
            <w:vAlign w:val="center"/>
          </w:tcPr>
          <w:p w14:paraId="6609D479">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textAlignment w:val="auto"/>
              <w:rPr>
                <w:rFonts w:hint="eastAsia" w:ascii="宋体" w:hAnsi="宋体" w:eastAsia="宋体" w:cs="宋体"/>
                <w:color w:val="auto"/>
                <w:sz w:val="21"/>
                <w:szCs w:val="21"/>
                <w:highlight w:val="none"/>
              </w:rPr>
            </w:pPr>
          </w:p>
        </w:tc>
        <w:tc>
          <w:tcPr>
            <w:tcW w:w="884" w:type="dxa"/>
            <w:vMerge w:val="restart"/>
            <w:tcBorders>
              <w:top w:val="single" w:color="auto" w:sz="4" w:space="0"/>
              <w:left w:val="single" w:color="auto" w:sz="4" w:space="0"/>
              <w:right w:val="single" w:color="auto" w:sz="4" w:space="0"/>
            </w:tcBorders>
            <w:noWrap w:val="0"/>
            <w:vAlign w:val="center"/>
          </w:tcPr>
          <w:p w14:paraId="27A90AFF">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交换平台运维服务</w:t>
            </w:r>
          </w:p>
        </w:tc>
        <w:tc>
          <w:tcPr>
            <w:tcW w:w="7183" w:type="dxa"/>
            <w:tcBorders>
              <w:top w:val="single" w:color="auto" w:sz="4" w:space="0"/>
              <w:left w:val="single" w:color="auto" w:sz="4" w:space="0"/>
              <w:right w:val="single" w:color="auto" w:sz="4" w:space="0"/>
            </w:tcBorders>
            <w:noWrap w:val="0"/>
            <w:vAlign w:val="center"/>
          </w:tcPr>
          <w:p w14:paraId="1B33934D">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根据</w:t>
            </w:r>
            <w:r>
              <w:rPr>
                <w:rFonts w:hint="eastAsia" w:ascii="宋体" w:hAnsi="宋体" w:eastAsia="宋体" w:cs="宋体"/>
                <w:color w:val="auto"/>
                <w:sz w:val="21"/>
                <w:szCs w:val="21"/>
                <w:highlight w:val="none"/>
                <w:lang w:val="en-US" w:eastAsia="zh-CN"/>
              </w:rPr>
              <w:t>供应商提供针对</w:t>
            </w:r>
            <w:r>
              <w:rPr>
                <w:rFonts w:hint="eastAsia" w:ascii="宋体" w:hAnsi="宋体" w:eastAsia="宋体" w:cs="宋体"/>
                <w:color w:val="auto"/>
                <w:sz w:val="21"/>
                <w:szCs w:val="21"/>
                <w:highlight w:val="none"/>
              </w:rPr>
              <w:t>采购文件第</w:t>
            </w:r>
            <w:r>
              <w:rPr>
                <w:rFonts w:hint="eastAsia" w:ascii="宋体" w:hAnsi="宋体" w:eastAsia="宋体" w:cs="宋体"/>
                <w:color w:val="auto"/>
                <w:sz w:val="21"/>
                <w:szCs w:val="21"/>
                <w:highlight w:val="none"/>
                <w:lang w:val="en-US" w:eastAsia="zh-CN"/>
              </w:rPr>
              <w:t>四</w:t>
            </w:r>
            <w:r>
              <w:rPr>
                <w:rFonts w:hint="eastAsia" w:ascii="宋体" w:hAnsi="宋体" w:eastAsia="宋体" w:cs="宋体"/>
                <w:color w:val="auto"/>
                <w:sz w:val="21"/>
                <w:szCs w:val="21"/>
                <w:highlight w:val="none"/>
              </w:rPr>
              <w:t>部分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采购需求</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三</w:t>
            </w:r>
            <w:r>
              <w:rPr>
                <w:rFonts w:hint="eastAsia" w:ascii="宋体" w:hAnsi="宋体" w:eastAsia="宋体" w:cs="宋体"/>
                <w:color w:val="auto"/>
                <w:sz w:val="21"/>
                <w:szCs w:val="21"/>
                <w:highlight w:val="none"/>
              </w:rPr>
              <w:t>、服务内容”</w:t>
            </w:r>
            <w:r>
              <w:rPr>
                <w:rFonts w:hint="eastAsia" w:ascii="宋体" w:hAnsi="宋体" w:eastAsia="宋体" w:cs="宋体"/>
                <w:color w:val="auto"/>
                <w:sz w:val="21"/>
                <w:szCs w:val="21"/>
                <w:highlight w:val="none"/>
                <w:lang w:val="en-US" w:eastAsia="zh-CN"/>
              </w:rPr>
              <w:t>中关于“</w:t>
            </w:r>
            <w:r>
              <w:rPr>
                <w:rFonts w:hint="eastAsia" w:ascii="宋体" w:hAnsi="宋体" w:eastAsia="宋体" w:cs="宋体"/>
                <w:color w:val="auto"/>
                <w:sz w:val="21"/>
                <w:szCs w:val="21"/>
                <w:highlight w:val="none"/>
              </w:rPr>
              <w:t>交换平台运维服务内容</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的日常系统运维实施及监测服务</w:t>
            </w:r>
            <w:r>
              <w:rPr>
                <w:rFonts w:hint="eastAsia" w:ascii="宋体" w:hAnsi="宋体" w:eastAsia="宋体" w:cs="宋体"/>
                <w:color w:val="auto"/>
                <w:sz w:val="21"/>
                <w:szCs w:val="21"/>
                <w:highlight w:val="none"/>
                <w:lang w:val="en-US" w:eastAsia="zh-CN"/>
              </w:rPr>
              <w:t>方案进行综合评议；</w:t>
            </w:r>
          </w:p>
          <w:p w14:paraId="19565AAA">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textAlignment w:val="auto"/>
              <w:rPr>
                <w:rFonts w:hint="eastAsia"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rPr>
              <w:t>①</w:t>
            </w:r>
            <w:r>
              <w:rPr>
                <w:rFonts w:hint="default" w:ascii="宋体" w:hAnsi="宋体" w:eastAsia="宋体" w:cs="宋体"/>
                <w:color w:val="auto"/>
                <w:sz w:val="21"/>
                <w:szCs w:val="21"/>
                <w:highlight w:val="none"/>
                <w:lang w:val="en-US" w:eastAsia="zh-CN"/>
              </w:rPr>
              <w:t>交换平台的交换、归集等各类业务的配置及实施工作</w:t>
            </w:r>
            <w:r>
              <w:rPr>
                <w:rFonts w:hint="eastAsia" w:ascii="宋体" w:hAnsi="宋体" w:eastAsia="宋体" w:cs="宋体"/>
                <w:color w:val="auto"/>
                <w:sz w:val="21"/>
                <w:szCs w:val="21"/>
                <w:highlight w:val="none"/>
                <w:lang w:val="en-US" w:eastAsia="zh-CN"/>
              </w:rPr>
              <w:t>规范，新增任务、删除任务、调整任务、应急任务的流程有序，规范，完全符合采购文件要求的得5分；</w:t>
            </w:r>
          </w:p>
          <w:p w14:paraId="69329455">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textAlignment w:val="auto"/>
              <w:rPr>
                <w:rFonts w:hint="eastAsia"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rPr>
              <w:t>②</w:t>
            </w:r>
            <w:r>
              <w:rPr>
                <w:rFonts w:hint="eastAsia" w:ascii="宋体" w:hAnsi="宋体" w:eastAsia="宋体" w:cs="宋体"/>
                <w:color w:val="auto"/>
                <w:sz w:val="21"/>
                <w:szCs w:val="21"/>
                <w:highlight w:val="none"/>
                <w:lang w:val="en-US" w:eastAsia="zh-CN"/>
              </w:rPr>
              <w:t>交</w:t>
            </w:r>
            <w:r>
              <w:rPr>
                <w:rFonts w:hint="default" w:ascii="宋体" w:hAnsi="宋体" w:eastAsia="宋体" w:cs="宋体"/>
                <w:color w:val="auto"/>
                <w:sz w:val="21"/>
                <w:szCs w:val="21"/>
                <w:highlight w:val="none"/>
                <w:lang w:val="en-US" w:eastAsia="zh-CN"/>
              </w:rPr>
              <w:t>换平台的交换、归集等各类业务的配置及实施工作</w:t>
            </w:r>
            <w:r>
              <w:rPr>
                <w:rFonts w:hint="eastAsia" w:ascii="宋体" w:hAnsi="宋体" w:eastAsia="宋体" w:cs="宋体"/>
                <w:color w:val="auto"/>
                <w:sz w:val="21"/>
                <w:szCs w:val="21"/>
                <w:highlight w:val="none"/>
                <w:lang w:val="en-US" w:eastAsia="zh-CN"/>
              </w:rPr>
              <w:t>较规范，新增任务、删除任务、调整任务、应急任务的流程较有序，较规范，基本符合采购文件要求的得3分；</w:t>
            </w:r>
          </w:p>
          <w:p w14:paraId="0C0FE216">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textAlignment w:val="auto"/>
              <w:rPr>
                <w:rFonts w:hint="eastAsia"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rPr>
              <w:t>③</w:t>
            </w:r>
            <w:r>
              <w:rPr>
                <w:rFonts w:hint="eastAsia" w:ascii="宋体" w:hAnsi="宋体" w:eastAsia="宋体" w:cs="宋体"/>
                <w:color w:val="auto"/>
                <w:sz w:val="21"/>
                <w:szCs w:val="21"/>
                <w:highlight w:val="none"/>
                <w:lang w:val="en-US" w:eastAsia="zh-CN"/>
              </w:rPr>
              <w:t>交</w:t>
            </w:r>
            <w:r>
              <w:rPr>
                <w:rFonts w:hint="default" w:ascii="宋体" w:hAnsi="宋体" w:eastAsia="宋体" w:cs="宋体"/>
                <w:color w:val="auto"/>
                <w:sz w:val="21"/>
                <w:szCs w:val="21"/>
                <w:highlight w:val="none"/>
                <w:lang w:val="en-US" w:eastAsia="zh-CN"/>
              </w:rPr>
              <w:t>换平台的交换、归集等各类业务的配置及实施工作</w:t>
            </w:r>
            <w:r>
              <w:rPr>
                <w:rFonts w:hint="eastAsia" w:ascii="宋体" w:hAnsi="宋体" w:eastAsia="宋体" w:cs="宋体"/>
                <w:color w:val="auto"/>
                <w:sz w:val="21"/>
                <w:szCs w:val="21"/>
                <w:highlight w:val="none"/>
                <w:lang w:val="en-US" w:eastAsia="zh-CN"/>
              </w:rPr>
              <w:t>欠规范，任务流程</w:t>
            </w:r>
            <w:r>
              <w:rPr>
                <w:rFonts w:hint="eastAsia" w:ascii="宋体" w:hAnsi="宋体" w:cs="宋体"/>
                <w:color w:val="auto"/>
                <w:sz w:val="21"/>
                <w:szCs w:val="21"/>
                <w:highlight w:val="none"/>
                <w:lang w:val="en-US" w:eastAsia="zh-CN"/>
              </w:rPr>
              <w:t>安排</w:t>
            </w:r>
            <w:r>
              <w:rPr>
                <w:rFonts w:hint="default" w:ascii="宋体" w:hAnsi="宋体" w:eastAsia="宋体" w:cs="宋体"/>
                <w:color w:val="auto"/>
                <w:sz w:val="21"/>
                <w:szCs w:val="21"/>
                <w:highlight w:val="none"/>
                <w:lang w:val="en-US" w:eastAsia="zh-CN"/>
              </w:rPr>
              <w:t>无序</w:t>
            </w: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不</w:t>
            </w:r>
            <w:r>
              <w:rPr>
                <w:rFonts w:hint="eastAsia" w:ascii="宋体" w:hAnsi="宋体" w:eastAsia="宋体" w:cs="宋体"/>
                <w:color w:val="auto"/>
                <w:sz w:val="21"/>
                <w:szCs w:val="21"/>
                <w:highlight w:val="none"/>
                <w:lang w:val="en-US" w:eastAsia="zh-CN"/>
              </w:rPr>
              <w:t>规范的得1分；</w:t>
            </w:r>
          </w:p>
          <w:p w14:paraId="0AEEBD37">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④</w:t>
            </w:r>
            <w:r>
              <w:rPr>
                <w:rFonts w:hint="eastAsia" w:ascii="宋体" w:hAnsi="宋体" w:eastAsia="宋体" w:cs="宋体"/>
                <w:color w:val="auto"/>
                <w:sz w:val="21"/>
                <w:szCs w:val="21"/>
                <w:highlight w:val="none"/>
                <w:lang w:val="en-US" w:eastAsia="zh-CN"/>
              </w:rPr>
              <w:t>未提供方案的不得分。</w:t>
            </w:r>
          </w:p>
        </w:tc>
        <w:tc>
          <w:tcPr>
            <w:tcW w:w="717" w:type="dxa"/>
            <w:noWrap w:val="0"/>
            <w:vAlign w:val="center"/>
          </w:tcPr>
          <w:p w14:paraId="20FB1F85">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5</w:t>
            </w:r>
          </w:p>
        </w:tc>
        <w:tc>
          <w:tcPr>
            <w:tcW w:w="686" w:type="dxa"/>
            <w:noWrap w:val="0"/>
            <w:vAlign w:val="center"/>
          </w:tcPr>
          <w:p w14:paraId="353C072B">
            <w:pPr>
              <w:pStyle w:val="22"/>
              <w:keepNext w:val="0"/>
              <w:keepLines w:val="0"/>
              <w:pageBreakBefore w:val="0"/>
              <w:widowControl w:val="0"/>
              <w:suppressLineNumbers w:val="0"/>
              <w:kinsoku/>
              <w:wordWrap/>
              <w:overflowPunct/>
              <w:topLinePunct w:val="0"/>
              <w:bidi w:val="0"/>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主观分</w:t>
            </w:r>
          </w:p>
        </w:tc>
      </w:tr>
      <w:tr w14:paraId="169CC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8" w:type="dxa"/>
            <w:vMerge w:val="continue"/>
            <w:noWrap w:val="0"/>
            <w:vAlign w:val="center"/>
          </w:tcPr>
          <w:p w14:paraId="148CF81C">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textAlignment w:val="auto"/>
              <w:rPr>
                <w:rFonts w:hint="eastAsia" w:ascii="宋体" w:hAnsi="宋体" w:eastAsia="宋体" w:cs="宋体"/>
                <w:color w:val="auto"/>
                <w:sz w:val="21"/>
                <w:szCs w:val="21"/>
                <w:highlight w:val="none"/>
              </w:rPr>
            </w:pPr>
          </w:p>
        </w:tc>
        <w:tc>
          <w:tcPr>
            <w:tcW w:w="884" w:type="dxa"/>
            <w:vMerge w:val="continue"/>
            <w:tcBorders>
              <w:left w:val="single" w:color="auto" w:sz="4" w:space="0"/>
              <w:right w:val="single" w:color="auto" w:sz="4" w:space="0"/>
            </w:tcBorders>
            <w:noWrap w:val="0"/>
            <w:vAlign w:val="center"/>
          </w:tcPr>
          <w:p w14:paraId="49FCFB8E">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jc w:val="center"/>
              <w:textAlignment w:val="auto"/>
              <w:rPr>
                <w:rFonts w:hint="eastAsia" w:ascii="楷体_GB2312" w:hAnsi="楷体_GB2312" w:eastAsia="楷体_GB2312" w:cs="楷体_GB2312"/>
                <w:color w:val="auto"/>
                <w:sz w:val="32"/>
                <w:szCs w:val="32"/>
                <w:highlight w:val="none"/>
              </w:rPr>
            </w:pPr>
          </w:p>
        </w:tc>
        <w:tc>
          <w:tcPr>
            <w:tcW w:w="7183" w:type="dxa"/>
            <w:tcBorders>
              <w:top w:val="single" w:color="auto" w:sz="4" w:space="0"/>
              <w:left w:val="single" w:color="auto" w:sz="4" w:space="0"/>
              <w:right w:val="single" w:color="auto" w:sz="4" w:space="0"/>
            </w:tcBorders>
            <w:noWrap w:val="0"/>
            <w:vAlign w:val="center"/>
          </w:tcPr>
          <w:p w14:paraId="427E575C">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根据</w:t>
            </w:r>
            <w:r>
              <w:rPr>
                <w:rFonts w:hint="eastAsia" w:ascii="宋体" w:hAnsi="宋体" w:eastAsia="宋体" w:cs="宋体"/>
                <w:color w:val="auto"/>
                <w:sz w:val="21"/>
                <w:szCs w:val="21"/>
                <w:highlight w:val="none"/>
                <w:lang w:val="en-US" w:eastAsia="zh-CN"/>
              </w:rPr>
              <w:t>供应商提供针对</w:t>
            </w:r>
            <w:r>
              <w:rPr>
                <w:rFonts w:hint="eastAsia" w:ascii="宋体" w:hAnsi="宋体" w:eastAsia="宋体" w:cs="宋体"/>
                <w:color w:val="auto"/>
                <w:sz w:val="21"/>
                <w:szCs w:val="21"/>
                <w:highlight w:val="none"/>
              </w:rPr>
              <w:t>采购文件第</w:t>
            </w:r>
            <w:r>
              <w:rPr>
                <w:rFonts w:hint="eastAsia" w:ascii="宋体" w:hAnsi="宋体" w:eastAsia="宋体" w:cs="宋体"/>
                <w:color w:val="auto"/>
                <w:sz w:val="21"/>
                <w:szCs w:val="21"/>
                <w:highlight w:val="none"/>
                <w:lang w:val="en-US" w:eastAsia="zh-CN"/>
              </w:rPr>
              <w:t>四</w:t>
            </w:r>
            <w:r>
              <w:rPr>
                <w:rFonts w:hint="eastAsia" w:ascii="宋体" w:hAnsi="宋体" w:eastAsia="宋体" w:cs="宋体"/>
                <w:color w:val="auto"/>
                <w:sz w:val="21"/>
                <w:szCs w:val="21"/>
                <w:highlight w:val="none"/>
              </w:rPr>
              <w:t>部分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采购需求</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三</w:t>
            </w:r>
            <w:r>
              <w:rPr>
                <w:rFonts w:hint="eastAsia" w:ascii="宋体" w:hAnsi="宋体" w:eastAsia="宋体" w:cs="宋体"/>
                <w:color w:val="auto"/>
                <w:sz w:val="21"/>
                <w:szCs w:val="21"/>
                <w:highlight w:val="none"/>
              </w:rPr>
              <w:t>、服务内容”</w:t>
            </w:r>
            <w:r>
              <w:rPr>
                <w:rFonts w:hint="eastAsia" w:ascii="宋体" w:hAnsi="宋体" w:eastAsia="宋体" w:cs="宋体"/>
                <w:color w:val="auto"/>
                <w:sz w:val="21"/>
                <w:szCs w:val="21"/>
                <w:highlight w:val="none"/>
                <w:lang w:val="en-US" w:eastAsia="zh-CN"/>
              </w:rPr>
              <w:t>中关于“</w:t>
            </w:r>
            <w:r>
              <w:rPr>
                <w:rFonts w:hint="eastAsia" w:ascii="宋体" w:hAnsi="宋体" w:eastAsia="宋体" w:cs="宋体"/>
                <w:color w:val="auto"/>
                <w:sz w:val="21"/>
                <w:szCs w:val="21"/>
                <w:highlight w:val="none"/>
              </w:rPr>
              <w:t>交换平台运维服务内容</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的协助工具运维服务</w:t>
            </w:r>
            <w:r>
              <w:rPr>
                <w:rFonts w:hint="eastAsia" w:ascii="宋体" w:hAnsi="宋体" w:eastAsia="宋体" w:cs="宋体"/>
                <w:color w:val="auto"/>
                <w:sz w:val="21"/>
                <w:szCs w:val="21"/>
                <w:highlight w:val="none"/>
                <w:lang w:val="en-US" w:eastAsia="zh-CN"/>
              </w:rPr>
              <w:t>方案进行综合评议；</w:t>
            </w:r>
          </w:p>
          <w:p w14:paraId="193F6D4A">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textAlignment w:val="auto"/>
              <w:rPr>
                <w:rFonts w:hint="default" w:ascii="宋体" w:hAnsi="宋体" w:cs="宋体"/>
                <w:color w:val="auto"/>
                <w:sz w:val="21"/>
                <w:szCs w:val="21"/>
                <w:highlight w:val="none"/>
                <w:lang w:val="en-US" w:eastAsia="zh-CN"/>
              </w:rPr>
            </w:pPr>
            <w:r>
              <w:rPr>
                <w:rFonts w:hint="default" w:ascii="宋体" w:hAnsi="宋体" w:eastAsia="宋体" w:cs="宋体"/>
                <w:color w:val="auto"/>
                <w:sz w:val="21"/>
                <w:szCs w:val="21"/>
                <w:highlight w:val="none"/>
              </w:rPr>
              <w:t>①</w:t>
            </w:r>
            <w:r>
              <w:rPr>
                <w:rFonts w:hint="eastAsia" w:ascii="宋体" w:hAnsi="宋体" w:eastAsia="宋体" w:cs="宋体"/>
                <w:color w:val="auto"/>
                <w:sz w:val="21"/>
                <w:szCs w:val="21"/>
                <w:highlight w:val="none"/>
              </w:rPr>
              <w:t>交换平台工具</w:t>
            </w:r>
            <w:r>
              <w:rPr>
                <w:rFonts w:hint="eastAsia" w:ascii="宋体" w:hAnsi="宋体" w:eastAsia="宋体" w:cs="宋体"/>
                <w:color w:val="auto"/>
                <w:sz w:val="21"/>
                <w:szCs w:val="21"/>
                <w:highlight w:val="none"/>
                <w:lang w:val="en-US" w:eastAsia="zh-CN"/>
              </w:rPr>
              <w:t>的运维服务方案内容全面，</w:t>
            </w:r>
            <w:r>
              <w:rPr>
                <w:rFonts w:hint="eastAsia" w:ascii="宋体" w:hAnsi="宋体" w:cs="宋体"/>
                <w:color w:val="auto"/>
                <w:sz w:val="21"/>
                <w:szCs w:val="21"/>
                <w:highlight w:val="none"/>
                <w:lang w:val="en-US" w:eastAsia="zh-CN"/>
              </w:rPr>
              <w:t>bug修复响应与解决时效快，高性能参数调优专业、安全可行，完全理解客户的性能优化目标、应用场景和当前瓶颈，与客户的实际需求和应用场景紧密结合，咨询及建议内容具有前瞻性和可行性的得5分；</w:t>
            </w:r>
          </w:p>
          <w:p w14:paraId="272F52E9">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textAlignment w:val="auto"/>
              <w:rPr>
                <w:rFonts w:hint="default" w:ascii="宋体" w:hAnsi="宋体" w:cs="宋体"/>
                <w:color w:val="auto"/>
                <w:sz w:val="21"/>
                <w:szCs w:val="21"/>
                <w:highlight w:val="none"/>
                <w:lang w:val="en-US" w:eastAsia="zh-CN"/>
              </w:rPr>
            </w:pPr>
            <w:r>
              <w:rPr>
                <w:rFonts w:hint="default" w:ascii="宋体" w:hAnsi="宋体" w:eastAsia="宋体" w:cs="宋体"/>
                <w:color w:val="auto"/>
                <w:sz w:val="21"/>
                <w:szCs w:val="21"/>
                <w:highlight w:val="none"/>
              </w:rPr>
              <w:t>②</w:t>
            </w:r>
            <w:r>
              <w:rPr>
                <w:rFonts w:hint="eastAsia" w:ascii="宋体" w:hAnsi="宋体" w:eastAsia="宋体" w:cs="宋体"/>
                <w:color w:val="auto"/>
                <w:sz w:val="21"/>
                <w:szCs w:val="21"/>
                <w:highlight w:val="none"/>
              </w:rPr>
              <w:t>交换平台工具</w:t>
            </w:r>
            <w:r>
              <w:rPr>
                <w:rFonts w:hint="eastAsia" w:ascii="宋体" w:hAnsi="宋体" w:eastAsia="宋体" w:cs="宋体"/>
                <w:color w:val="auto"/>
                <w:sz w:val="21"/>
                <w:szCs w:val="21"/>
                <w:highlight w:val="none"/>
                <w:lang w:val="en-US" w:eastAsia="zh-CN"/>
              </w:rPr>
              <w:t>的运维服务方案内容</w:t>
            </w:r>
            <w:r>
              <w:rPr>
                <w:rFonts w:hint="eastAsia" w:ascii="宋体" w:hAnsi="宋体" w:cs="宋体"/>
                <w:color w:val="auto"/>
                <w:sz w:val="21"/>
                <w:szCs w:val="21"/>
                <w:highlight w:val="none"/>
                <w:lang w:val="en-US" w:eastAsia="zh-CN"/>
              </w:rPr>
              <w:t>较</w:t>
            </w:r>
            <w:r>
              <w:rPr>
                <w:rFonts w:hint="eastAsia" w:ascii="宋体" w:hAnsi="宋体" w:eastAsia="宋体" w:cs="宋体"/>
                <w:color w:val="auto"/>
                <w:sz w:val="21"/>
                <w:szCs w:val="21"/>
                <w:highlight w:val="none"/>
                <w:lang w:val="en-US" w:eastAsia="zh-CN"/>
              </w:rPr>
              <w:t>全面，</w:t>
            </w:r>
            <w:r>
              <w:rPr>
                <w:rFonts w:hint="eastAsia" w:ascii="宋体" w:hAnsi="宋体" w:cs="宋体"/>
                <w:color w:val="auto"/>
                <w:sz w:val="21"/>
                <w:szCs w:val="21"/>
                <w:highlight w:val="none"/>
                <w:lang w:val="en-US" w:eastAsia="zh-CN"/>
              </w:rPr>
              <w:t>bug修复响应与解决时效较快，高性能参数调优较专业、较安全可行，基本理解客户的性能优化目标、应用场景和当前瓶颈，与客户的实际需求和应用场景较紧密结合，咨询及建议内容较有前瞻性和可行性的得3分；</w:t>
            </w:r>
          </w:p>
          <w:p w14:paraId="6EB9E34F">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textAlignment w:val="auto"/>
              <w:rPr>
                <w:rFonts w:hint="eastAsia" w:ascii="宋体" w:hAnsi="宋体" w:eastAsia="宋体" w:cs="宋体"/>
                <w:color w:val="auto"/>
                <w:sz w:val="21"/>
                <w:szCs w:val="21"/>
                <w:highlight w:val="none"/>
              </w:rPr>
            </w:pPr>
            <w:r>
              <w:rPr>
                <w:rFonts w:hint="default" w:ascii="宋体" w:hAnsi="宋体" w:eastAsia="宋体" w:cs="宋体"/>
                <w:color w:val="auto"/>
                <w:sz w:val="21"/>
                <w:szCs w:val="21"/>
                <w:highlight w:val="none"/>
              </w:rPr>
              <w:t>③</w:t>
            </w:r>
            <w:r>
              <w:rPr>
                <w:rFonts w:hint="eastAsia" w:ascii="宋体" w:hAnsi="宋体" w:eastAsia="宋体" w:cs="宋体"/>
                <w:color w:val="auto"/>
                <w:sz w:val="21"/>
                <w:szCs w:val="21"/>
                <w:highlight w:val="none"/>
              </w:rPr>
              <w:t>交换平台工具</w:t>
            </w:r>
            <w:r>
              <w:rPr>
                <w:rFonts w:hint="eastAsia" w:ascii="宋体" w:hAnsi="宋体" w:eastAsia="宋体" w:cs="宋体"/>
                <w:color w:val="auto"/>
                <w:sz w:val="21"/>
                <w:szCs w:val="21"/>
                <w:highlight w:val="none"/>
                <w:lang w:val="en-US" w:eastAsia="zh-CN"/>
              </w:rPr>
              <w:t>的运维服务方案内容</w:t>
            </w:r>
            <w:r>
              <w:rPr>
                <w:rFonts w:hint="eastAsia" w:ascii="宋体" w:hAnsi="宋体" w:cs="宋体"/>
                <w:color w:val="auto"/>
                <w:sz w:val="21"/>
                <w:szCs w:val="21"/>
                <w:highlight w:val="none"/>
                <w:lang w:val="en-US" w:eastAsia="zh-CN"/>
              </w:rPr>
              <w:t>简单</w:t>
            </w: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bug修复响应与解决时效迟缓，高性能参数调优不专业、缺乏安全可行性，咨询及建议内容简单的得1分；</w:t>
            </w:r>
          </w:p>
          <w:p w14:paraId="35D4A31C">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④未提供方案</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sz w:val="21"/>
                <w:szCs w:val="21"/>
                <w:highlight w:val="none"/>
              </w:rPr>
              <w:t>不得分。</w:t>
            </w:r>
          </w:p>
        </w:tc>
        <w:tc>
          <w:tcPr>
            <w:tcW w:w="717" w:type="dxa"/>
            <w:shd w:val="clear" w:color="auto" w:fill="auto"/>
            <w:noWrap w:val="0"/>
            <w:vAlign w:val="center"/>
          </w:tcPr>
          <w:p w14:paraId="1C1EB8B6">
            <w:pPr>
              <w:keepNext w:val="0"/>
              <w:keepLines w:val="0"/>
              <w:pageBreakBefore w:val="0"/>
              <w:widowControl w:val="0"/>
              <w:suppressLineNumbers w:val="0"/>
              <w:kinsoku/>
              <w:wordWrap/>
              <w:overflowPunct/>
              <w:topLinePunct w:val="0"/>
              <w:bidi w:val="0"/>
              <w:spacing w:before="0" w:beforeAutospacing="0" w:after="0" w:afterAutospacing="0" w:line="240" w:lineRule="auto"/>
              <w:ind w:left="0" w:leftChars="0" w:right="0" w:right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5</w:t>
            </w:r>
          </w:p>
        </w:tc>
        <w:tc>
          <w:tcPr>
            <w:tcW w:w="686" w:type="dxa"/>
            <w:shd w:val="clear" w:color="auto" w:fill="auto"/>
            <w:noWrap w:val="0"/>
            <w:vAlign w:val="center"/>
          </w:tcPr>
          <w:p w14:paraId="10D91E29">
            <w:pPr>
              <w:pStyle w:val="22"/>
              <w:keepNext w:val="0"/>
              <w:keepLines w:val="0"/>
              <w:pageBreakBefore w:val="0"/>
              <w:widowControl w:val="0"/>
              <w:suppressLineNumbers w:val="0"/>
              <w:kinsoku/>
              <w:wordWrap/>
              <w:overflowPunct/>
              <w:topLinePunct w:val="0"/>
              <w:bidi w:val="0"/>
              <w:spacing w:before="0" w:beforeAutospacing="0" w:after="0" w:afterAutospacing="0" w:line="240" w:lineRule="auto"/>
              <w:ind w:left="0" w:leftChars="0" w:right="0" w:rightChars="0"/>
              <w:jc w:val="center"/>
              <w:textAlignment w:val="auto"/>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sz w:val="21"/>
                <w:szCs w:val="21"/>
                <w:highlight w:val="none"/>
              </w:rPr>
              <w:t>主观分</w:t>
            </w:r>
          </w:p>
        </w:tc>
      </w:tr>
      <w:tr w14:paraId="2043A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3" w:hRule="atLeast"/>
          <w:jc w:val="center"/>
        </w:trPr>
        <w:tc>
          <w:tcPr>
            <w:tcW w:w="708" w:type="dxa"/>
            <w:vMerge w:val="continue"/>
            <w:noWrap w:val="0"/>
            <w:vAlign w:val="center"/>
          </w:tcPr>
          <w:p w14:paraId="5F43ECBB">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textAlignment w:val="auto"/>
              <w:rPr>
                <w:rFonts w:hint="eastAsia" w:ascii="宋体" w:hAnsi="宋体" w:eastAsia="宋体" w:cs="宋体"/>
                <w:color w:val="auto"/>
                <w:sz w:val="21"/>
                <w:szCs w:val="21"/>
                <w:highlight w:val="none"/>
              </w:rPr>
            </w:pPr>
          </w:p>
        </w:tc>
        <w:tc>
          <w:tcPr>
            <w:tcW w:w="884" w:type="dxa"/>
            <w:vMerge w:val="continue"/>
            <w:tcBorders>
              <w:left w:val="single" w:color="auto" w:sz="4" w:space="0"/>
              <w:right w:val="single" w:color="auto" w:sz="4" w:space="0"/>
            </w:tcBorders>
            <w:noWrap w:val="0"/>
            <w:vAlign w:val="center"/>
          </w:tcPr>
          <w:p w14:paraId="6C859911">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rPr>
            </w:pPr>
          </w:p>
        </w:tc>
        <w:tc>
          <w:tcPr>
            <w:tcW w:w="7183" w:type="dxa"/>
            <w:tcBorders>
              <w:top w:val="single" w:color="auto" w:sz="4" w:space="0"/>
              <w:left w:val="single" w:color="auto" w:sz="4" w:space="0"/>
              <w:right w:val="single" w:color="auto" w:sz="4" w:space="0"/>
            </w:tcBorders>
            <w:shd w:val="clear" w:color="auto" w:fill="auto"/>
            <w:noWrap w:val="0"/>
            <w:vAlign w:val="center"/>
          </w:tcPr>
          <w:p w14:paraId="0D9D3AF7">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根据</w:t>
            </w:r>
            <w:r>
              <w:rPr>
                <w:rFonts w:hint="eastAsia" w:ascii="宋体" w:hAnsi="宋体" w:eastAsia="宋体" w:cs="宋体"/>
                <w:color w:val="auto"/>
                <w:sz w:val="21"/>
                <w:szCs w:val="21"/>
                <w:highlight w:val="none"/>
                <w:lang w:val="en-US" w:eastAsia="zh-CN"/>
              </w:rPr>
              <w:t>供应商提供针对</w:t>
            </w:r>
            <w:r>
              <w:rPr>
                <w:rFonts w:hint="eastAsia" w:ascii="宋体" w:hAnsi="宋体" w:eastAsia="宋体" w:cs="宋体"/>
                <w:color w:val="auto"/>
                <w:sz w:val="21"/>
                <w:szCs w:val="21"/>
                <w:highlight w:val="none"/>
              </w:rPr>
              <w:t>采购文件第</w:t>
            </w:r>
            <w:r>
              <w:rPr>
                <w:rFonts w:hint="eastAsia" w:ascii="宋体" w:hAnsi="宋体" w:eastAsia="宋体" w:cs="宋体"/>
                <w:color w:val="auto"/>
                <w:sz w:val="21"/>
                <w:szCs w:val="21"/>
                <w:highlight w:val="none"/>
                <w:lang w:val="en-US" w:eastAsia="zh-CN"/>
              </w:rPr>
              <w:t>四</w:t>
            </w:r>
            <w:r>
              <w:rPr>
                <w:rFonts w:hint="eastAsia" w:ascii="宋体" w:hAnsi="宋体" w:eastAsia="宋体" w:cs="宋体"/>
                <w:color w:val="auto"/>
                <w:sz w:val="21"/>
                <w:szCs w:val="21"/>
                <w:highlight w:val="none"/>
              </w:rPr>
              <w:t>部分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采购需求</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三</w:t>
            </w:r>
            <w:r>
              <w:rPr>
                <w:rFonts w:hint="eastAsia" w:ascii="宋体" w:hAnsi="宋体" w:eastAsia="宋体" w:cs="宋体"/>
                <w:color w:val="auto"/>
                <w:sz w:val="21"/>
                <w:szCs w:val="21"/>
                <w:highlight w:val="none"/>
              </w:rPr>
              <w:t>、服务内容”</w:t>
            </w:r>
            <w:r>
              <w:rPr>
                <w:rFonts w:hint="eastAsia" w:ascii="宋体" w:hAnsi="宋体" w:eastAsia="宋体" w:cs="宋体"/>
                <w:color w:val="auto"/>
                <w:sz w:val="21"/>
                <w:szCs w:val="21"/>
                <w:highlight w:val="none"/>
                <w:lang w:val="en-US" w:eastAsia="zh-CN"/>
              </w:rPr>
              <w:t>中关于“</w:t>
            </w:r>
            <w:r>
              <w:rPr>
                <w:rFonts w:hint="eastAsia" w:ascii="宋体" w:hAnsi="宋体" w:eastAsia="宋体" w:cs="宋体"/>
                <w:color w:val="auto"/>
                <w:sz w:val="21"/>
                <w:szCs w:val="21"/>
                <w:highlight w:val="none"/>
              </w:rPr>
              <w:t>交换平台运维服务内容</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的数据传输运维服务</w:t>
            </w:r>
            <w:r>
              <w:rPr>
                <w:rFonts w:hint="eastAsia" w:ascii="宋体" w:hAnsi="宋体" w:eastAsia="宋体" w:cs="宋体"/>
                <w:color w:val="auto"/>
                <w:sz w:val="21"/>
                <w:szCs w:val="21"/>
                <w:highlight w:val="none"/>
                <w:lang w:val="en-US" w:eastAsia="zh-CN"/>
              </w:rPr>
              <w:t>方案进行综合评议；</w:t>
            </w:r>
          </w:p>
          <w:p w14:paraId="5F5E5E04">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textAlignment w:val="auto"/>
              <w:rPr>
                <w:rFonts w:hint="eastAsia"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rPr>
              <w:t>①</w:t>
            </w:r>
            <w:r>
              <w:rPr>
                <w:rFonts w:hint="eastAsia" w:ascii="宋体" w:hAnsi="宋体" w:eastAsia="宋体" w:cs="宋体"/>
                <w:color w:val="auto"/>
                <w:sz w:val="21"/>
                <w:szCs w:val="21"/>
                <w:highlight w:val="none"/>
                <w:lang w:val="en-US" w:eastAsia="zh-CN"/>
              </w:rPr>
              <w:t>运维管理程序规范，交换数据销毁及时，数据安全有保障的得</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分；</w:t>
            </w:r>
          </w:p>
          <w:p w14:paraId="363296B2">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textAlignment w:val="auto"/>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rPr>
              <w:t>②</w:t>
            </w:r>
            <w:r>
              <w:rPr>
                <w:rFonts w:hint="eastAsia" w:ascii="宋体" w:hAnsi="宋体" w:eastAsia="宋体" w:cs="宋体"/>
                <w:color w:val="auto"/>
                <w:sz w:val="21"/>
                <w:szCs w:val="21"/>
                <w:highlight w:val="none"/>
                <w:lang w:val="en-US" w:eastAsia="zh-CN"/>
              </w:rPr>
              <w:t>运维管理程序较规范，交换数据销毁较及时，数据安全较有保障的得</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分；</w:t>
            </w:r>
          </w:p>
          <w:p w14:paraId="32315BE6">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textAlignment w:val="auto"/>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rPr>
              <w:t>③</w:t>
            </w:r>
            <w:r>
              <w:rPr>
                <w:rFonts w:hint="eastAsia" w:ascii="宋体" w:hAnsi="宋体" w:eastAsia="宋体" w:cs="宋体"/>
                <w:color w:val="auto"/>
                <w:sz w:val="21"/>
                <w:szCs w:val="21"/>
                <w:highlight w:val="none"/>
                <w:lang w:val="en-US" w:eastAsia="zh-CN"/>
              </w:rPr>
              <w:t>运维管理程序欠规范，交换数据</w:t>
            </w:r>
            <w:r>
              <w:rPr>
                <w:rFonts w:hint="eastAsia" w:ascii="宋体" w:hAnsi="宋体" w:cs="宋体"/>
                <w:color w:val="auto"/>
                <w:sz w:val="21"/>
                <w:szCs w:val="21"/>
                <w:highlight w:val="none"/>
                <w:lang w:val="en-US" w:eastAsia="zh-CN"/>
              </w:rPr>
              <w:t>迟缓</w:t>
            </w:r>
            <w:r>
              <w:rPr>
                <w:rFonts w:hint="eastAsia" w:ascii="宋体" w:hAnsi="宋体" w:eastAsia="宋体" w:cs="宋体"/>
                <w:color w:val="auto"/>
                <w:sz w:val="21"/>
                <w:szCs w:val="21"/>
                <w:highlight w:val="none"/>
                <w:lang w:val="en-US" w:eastAsia="zh-CN"/>
              </w:rPr>
              <w:t>，数据安全</w:t>
            </w:r>
            <w:r>
              <w:rPr>
                <w:rFonts w:hint="eastAsia" w:ascii="宋体" w:hAnsi="宋体" w:cs="宋体"/>
                <w:color w:val="auto"/>
                <w:sz w:val="21"/>
                <w:szCs w:val="21"/>
                <w:highlight w:val="none"/>
                <w:lang w:val="en-US" w:eastAsia="zh-CN"/>
              </w:rPr>
              <w:t>无</w:t>
            </w:r>
            <w:r>
              <w:rPr>
                <w:rFonts w:hint="eastAsia" w:ascii="宋体" w:hAnsi="宋体" w:eastAsia="宋体" w:cs="宋体"/>
                <w:color w:val="auto"/>
                <w:sz w:val="21"/>
                <w:szCs w:val="21"/>
                <w:highlight w:val="none"/>
                <w:lang w:val="en-US" w:eastAsia="zh-CN"/>
              </w:rPr>
              <w:t>保障的得1分；</w:t>
            </w:r>
          </w:p>
          <w:p w14:paraId="7E784BBC">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④</w:t>
            </w:r>
            <w:r>
              <w:rPr>
                <w:rFonts w:hint="eastAsia" w:ascii="宋体" w:hAnsi="宋体" w:eastAsia="宋体" w:cs="宋体"/>
                <w:color w:val="auto"/>
                <w:sz w:val="21"/>
                <w:szCs w:val="21"/>
                <w:highlight w:val="none"/>
                <w:lang w:val="en-US" w:eastAsia="zh-CN"/>
              </w:rPr>
              <w:t>未提供方案的不得分。</w:t>
            </w:r>
          </w:p>
        </w:tc>
        <w:tc>
          <w:tcPr>
            <w:tcW w:w="717" w:type="dxa"/>
            <w:shd w:val="clear" w:color="auto" w:fill="auto"/>
            <w:noWrap w:val="0"/>
            <w:vAlign w:val="center"/>
          </w:tcPr>
          <w:p w14:paraId="02988956">
            <w:pPr>
              <w:keepNext w:val="0"/>
              <w:keepLines w:val="0"/>
              <w:pageBreakBefore w:val="0"/>
              <w:widowControl w:val="0"/>
              <w:suppressLineNumbers w:val="0"/>
              <w:kinsoku/>
              <w:wordWrap/>
              <w:overflowPunct/>
              <w:topLinePunct w:val="0"/>
              <w:bidi w:val="0"/>
              <w:spacing w:before="0" w:beforeAutospacing="0" w:after="0" w:afterAutospacing="0" w:line="240" w:lineRule="auto"/>
              <w:ind w:left="0" w:leftChars="0" w:right="0" w:right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5</w:t>
            </w:r>
          </w:p>
        </w:tc>
        <w:tc>
          <w:tcPr>
            <w:tcW w:w="686" w:type="dxa"/>
            <w:shd w:val="clear" w:color="auto" w:fill="auto"/>
            <w:noWrap w:val="0"/>
            <w:vAlign w:val="center"/>
          </w:tcPr>
          <w:p w14:paraId="05FE2896">
            <w:pPr>
              <w:pStyle w:val="22"/>
              <w:keepNext w:val="0"/>
              <w:keepLines w:val="0"/>
              <w:pageBreakBefore w:val="0"/>
              <w:widowControl w:val="0"/>
              <w:suppressLineNumbers w:val="0"/>
              <w:kinsoku/>
              <w:wordWrap/>
              <w:overflowPunct/>
              <w:topLinePunct w:val="0"/>
              <w:bidi w:val="0"/>
              <w:spacing w:before="0" w:beforeAutospacing="0" w:after="0" w:afterAutospacing="0" w:line="240" w:lineRule="auto"/>
              <w:ind w:left="0" w:leftChars="0" w:right="0" w:rightChars="0"/>
              <w:jc w:val="center"/>
              <w:textAlignment w:val="auto"/>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sz w:val="21"/>
                <w:szCs w:val="21"/>
                <w:highlight w:val="none"/>
              </w:rPr>
              <w:t>主观分</w:t>
            </w:r>
          </w:p>
        </w:tc>
      </w:tr>
      <w:tr w14:paraId="04BF6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8" w:type="dxa"/>
            <w:vMerge w:val="continue"/>
            <w:noWrap w:val="0"/>
            <w:vAlign w:val="center"/>
          </w:tcPr>
          <w:p w14:paraId="46BE6184">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textAlignment w:val="auto"/>
              <w:rPr>
                <w:rFonts w:hint="eastAsia" w:ascii="宋体" w:hAnsi="宋体" w:eastAsia="宋体" w:cs="宋体"/>
                <w:color w:val="auto"/>
                <w:sz w:val="21"/>
                <w:szCs w:val="21"/>
                <w:highlight w:val="none"/>
              </w:rPr>
            </w:pPr>
          </w:p>
        </w:tc>
        <w:tc>
          <w:tcPr>
            <w:tcW w:w="884" w:type="dxa"/>
            <w:tcBorders>
              <w:top w:val="single" w:color="auto" w:sz="4" w:space="0"/>
              <w:left w:val="single" w:color="auto" w:sz="4" w:space="0"/>
              <w:right w:val="single" w:color="auto" w:sz="4" w:space="0"/>
            </w:tcBorders>
            <w:noWrap w:val="0"/>
            <w:vAlign w:val="center"/>
          </w:tcPr>
          <w:p w14:paraId="4F029E6E">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共享平台运维服务</w:t>
            </w:r>
          </w:p>
        </w:tc>
        <w:tc>
          <w:tcPr>
            <w:tcW w:w="7183" w:type="dxa"/>
            <w:tcBorders>
              <w:top w:val="single" w:color="auto" w:sz="4" w:space="0"/>
              <w:left w:val="single" w:color="auto" w:sz="4" w:space="0"/>
              <w:right w:val="single" w:color="auto" w:sz="4" w:space="0"/>
            </w:tcBorders>
            <w:shd w:val="clear" w:color="auto" w:fill="auto"/>
            <w:noWrap w:val="0"/>
            <w:vAlign w:val="center"/>
          </w:tcPr>
          <w:p w14:paraId="2105A8E6">
            <w:pPr>
              <w:keepNext w:val="0"/>
              <w:keepLines w:val="0"/>
              <w:pageBreakBefore w:val="0"/>
              <w:widowControl w:val="0"/>
              <w:suppressLineNumbers w:val="0"/>
              <w:kinsoku/>
              <w:wordWrap/>
              <w:overflowPunct/>
              <w:topLinePunct w:val="0"/>
              <w:bidi w:val="0"/>
              <w:spacing w:before="0" w:beforeAutospacing="0" w:after="0" w:afterAutospacing="0" w:line="240" w:lineRule="auto"/>
              <w:ind w:left="0" w:leftChars="0" w:right="0" w:righ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w:t>
            </w:r>
            <w:r>
              <w:rPr>
                <w:rFonts w:hint="eastAsia" w:ascii="宋体" w:hAnsi="宋体" w:eastAsia="宋体" w:cs="宋体"/>
                <w:color w:val="auto"/>
                <w:sz w:val="21"/>
                <w:szCs w:val="21"/>
                <w:highlight w:val="none"/>
              </w:rPr>
              <w:t>据</w:t>
            </w:r>
            <w:r>
              <w:rPr>
                <w:rFonts w:hint="eastAsia" w:ascii="宋体" w:hAnsi="宋体" w:eastAsia="宋体" w:cs="宋体"/>
                <w:color w:val="auto"/>
                <w:sz w:val="21"/>
                <w:szCs w:val="21"/>
                <w:highlight w:val="none"/>
                <w:lang w:val="en-US" w:eastAsia="zh-CN"/>
              </w:rPr>
              <w:t>供应商提供针对</w:t>
            </w:r>
            <w:r>
              <w:rPr>
                <w:rFonts w:hint="eastAsia" w:ascii="宋体" w:hAnsi="宋体" w:eastAsia="宋体" w:cs="宋体"/>
                <w:color w:val="auto"/>
                <w:sz w:val="21"/>
                <w:szCs w:val="21"/>
                <w:highlight w:val="none"/>
              </w:rPr>
              <w:t>采购文件第</w:t>
            </w:r>
            <w:r>
              <w:rPr>
                <w:rFonts w:hint="eastAsia" w:ascii="宋体" w:hAnsi="宋体" w:eastAsia="宋体" w:cs="宋体"/>
                <w:color w:val="auto"/>
                <w:sz w:val="21"/>
                <w:szCs w:val="21"/>
                <w:highlight w:val="none"/>
                <w:lang w:val="en-US" w:eastAsia="zh-CN"/>
              </w:rPr>
              <w:t>四</w:t>
            </w:r>
            <w:r>
              <w:rPr>
                <w:rFonts w:hint="eastAsia" w:ascii="宋体" w:hAnsi="宋体" w:eastAsia="宋体" w:cs="宋体"/>
                <w:color w:val="auto"/>
                <w:sz w:val="21"/>
                <w:szCs w:val="21"/>
                <w:highlight w:val="none"/>
              </w:rPr>
              <w:t>部分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采购需求</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三</w:t>
            </w:r>
            <w:r>
              <w:rPr>
                <w:rFonts w:hint="eastAsia" w:ascii="宋体" w:hAnsi="宋体" w:eastAsia="宋体" w:cs="宋体"/>
                <w:color w:val="auto"/>
                <w:sz w:val="21"/>
                <w:szCs w:val="21"/>
                <w:highlight w:val="none"/>
              </w:rPr>
              <w:t>、服务内容”</w:t>
            </w:r>
            <w:r>
              <w:rPr>
                <w:rFonts w:hint="eastAsia" w:ascii="宋体" w:hAnsi="宋体" w:eastAsia="宋体" w:cs="宋体"/>
                <w:color w:val="auto"/>
                <w:sz w:val="21"/>
                <w:szCs w:val="21"/>
                <w:highlight w:val="none"/>
                <w:lang w:val="en-US" w:eastAsia="zh-CN"/>
              </w:rPr>
              <w:t>中关于“共享平台运维服务内容</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的日常接口共享实施及监测服务</w:t>
            </w:r>
            <w:r>
              <w:rPr>
                <w:rFonts w:hint="eastAsia" w:ascii="宋体" w:hAnsi="宋体" w:eastAsia="宋体" w:cs="宋体"/>
                <w:color w:val="auto"/>
                <w:sz w:val="21"/>
                <w:szCs w:val="21"/>
                <w:highlight w:val="none"/>
                <w:lang w:val="en-US" w:eastAsia="zh-CN"/>
              </w:rPr>
              <w:t>方案进行综合评议；</w:t>
            </w:r>
          </w:p>
          <w:p w14:paraId="5E454DAD">
            <w:pPr>
              <w:pStyle w:val="72"/>
              <w:keepNext w:val="0"/>
              <w:keepLines w:val="0"/>
              <w:pageBreakBefore w:val="0"/>
              <w:widowControl w:val="0"/>
              <w:suppressLineNumbers w:val="0"/>
              <w:kinsoku/>
              <w:wordWrap/>
              <w:overflowPunct/>
              <w:topLinePunct w:val="0"/>
              <w:bidi w:val="0"/>
              <w:spacing w:before="0" w:beforeAutospacing="0" w:after="0" w:afterAutospacing="0" w:line="240" w:lineRule="auto"/>
              <w:ind w:left="0" w:leftChars="0" w:right="0" w:firstLine="0" w:firstLineChars="0"/>
              <w:textAlignment w:val="auto"/>
              <w:rPr>
                <w:rFonts w:hint="eastAsia"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rPr>
              <w:t>①</w:t>
            </w:r>
            <w:r>
              <w:rPr>
                <w:rFonts w:hint="eastAsia" w:ascii="宋体" w:hAnsi="宋体" w:eastAsia="宋体" w:cs="宋体"/>
                <w:color w:val="auto"/>
                <w:sz w:val="21"/>
                <w:szCs w:val="21"/>
                <w:highlight w:val="none"/>
                <w:lang w:val="en-US" w:eastAsia="zh-CN"/>
              </w:rPr>
              <w:t>监测和巡检的业务内容全面，运维工作记录完善，统计报表内容详尽，针对可能出现的问题有完善解决方法，完全满足采购文件要求的得5分；</w:t>
            </w:r>
          </w:p>
          <w:p w14:paraId="6BC20256">
            <w:pPr>
              <w:pStyle w:val="72"/>
              <w:keepNext w:val="0"/>
              <w:keepLines w:val="0"/>
              <w:pageBreakBefore w:val="0"/>
              <w:widowControl w:val="0"/>
              <w:suppressLineNumbers w:val="0"/>
              <w:kinsoku/>
              <w:wordWrap/>
              <w:overflowPunct/>
              <w:topLinePunct w:val="0"/>
              <w:bidi w:val="0"/>
              <w:spacing w:before="0" w:beforeAutospacing="0" w:after="0" w:afterAutospacing="0" w:line="240" w:lineRule="auto"/>
              <w:ind w:left="0" w:leftChars="0" w:right="0" w:firstLine="0" w:firstLineChars="0"/>
              <w:textAlignment w:val="auto"/>
              <w:rPr>
                <w:rFonts w:hint="eastAsia"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rPr>
              <w:t>②</w:t>
            </w:r>
            <w:r>
              <w:rPr>
                <w:rFonts w:hint="eastAsia" w:ascii="宋体" w:hAnsi="宋体" w:eastAsia="宋体" w:cs="宋体"/>
                <w:color w:val="auto"/>
                <w:sz w:val="21"/>
                <w:szCs w:val="21"/>
                <w:highlight w:val="none"/>
                <w:lang w:val="en-US" w:eastAsia="zh-CN"/>
              </w:rPr>
              <w:t>监测和巡检的业务内容较全面，运维工作记录较完善，统计报表内容较详尽，针对可能出现的问题有较完善解决方法，基本满足采购文件要求的得3分；</w:t>
            </w:r>
          </w:p>
          <w:p w14:paraId="1B4F4272">
            <w:pPr>
              <w:pStyle w:val="72"/>
              <w:keepNext w:val="0"/>
              <w:keepLines w:val="0"/>
              <w:pageBreakBefore w:val="0"/>
              <w:widowControl w:val="0"/>
              <w:suppressLineNumbers w:val="0"/>
              <w:kinsoku/>
              <w:wordWrap/>
              <w:overflowPunct/>
              <w:topLinePunct w:val="0"/>
              <w:bidi w:val="0"/>
              <w:spacing w:before="0" w:beforeAutospacing="0" w:after="0" w:afterAutospacing="0" w:line="240" w:lineRule="auto"/>
              <w:ind w:left="0" w:leftChars="0" w:right="0" w:firstLine="0" w:firstLineChars="0"/>
              <w:textAlignment w:val="auto"/>
              <w:rPr>
                <w:rFonts w:hint="eastAsia"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rPr>
              <w:t>③</w:t>
            </w:r>
            <w:r>
              <w:rPr>
                <w:rFonts w:hint="eastAsia" w:ascii="宋体" w:hAnsi="宋体" w:eastAsia="宋体" w:cs="宋体"/>
                <w:color w:val="auto"/>
                <w:sz w:val="21"/>
                <w:szCs w:val="21"/>
                <w:highlight w:val="none"/>
                <w:lang w:val="en-US" w:eastAsia="zh-CN"/>
              </w:rPr>
              <w:t>监测和巡检的业务内容欠全面，运维工作记录欠完善，统计报表内容简单，针对出现的问题解决方法欠缺的得1分；</w:t>
            </w:r>
          </w:p>
          <w:p w14:paraId="1FBA3338">
            <w:pPr>
              <w:pStyle w:val="72"/>
              <w:keepNext w:val="0"/>
              <w:keepLines w:val="0"/>
              <w:pageBreakBefore w:val="0"/>
              <w:widowControl w:val="0"/>
              <w:suppressLineNumbers w:val="0"/>
              <w:kinsoku/>
              <w:wordWrap/>
              <w:overflowPunct/>
              <w:topLinePunct w:val="0"/>
              <w:bidi w:val="0"/>
              <w:spacing w:before="0" w:beforeAutospacing="0" w:after="0" w:afterAutospacing="0" w:line="240" w:lineRule="auto"/>
              <w:ind w:left="0" w:leftChars="0" w:right="0" w:firstLine="0" w:firstLineChars="0"/>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④</w:t>
            </w:r>
            <w:r>
              <w:rPr>
                <w:rFonts w:hint="eastAsia" w:ascii="宋体" w:hAnsi="宋体" w:eastAsia="宋体" w:cs="宋体"/>
                <w:color w:val="auto"/>
                <w:sz w:val="21"/>
                <w:szCs w:val="21"/>
                <w:highlight w:val="none"/>
                <w:lang w:val="en-US" w:eastAsia="zh-CN"/>
              </w:rPr>
              <w:t>未提供方案的不得分。</w:t>
            </w:r>
          </w:p>
        </w:tc>
        <w:tc>
          <w:tcPr>
            <w:tcW w:w="717" w:type="dxa"/>
            <w:shd w:val="clear" w:color="auto" w:fill="auto"/>
            <w:noWrap w:val="0"/>
            <w:vAlign w:val="center"/>
          </w:tcPr>
          <w:p w14:paraId="2ABCE6FE">
            <w:pPr>
              <w:keepNext w:val="0"/>
              <w:keepLines w:val="0"/>
              <w:pageBreakBefore w:val="0"/>
              <w:widowControl w:val="0"/>
              <w:suppressLineNumbers w:val="0"/>
              <w:kinsoku/>
              <w:wordWrap/>
              <w:overflowPunct/>
              <w:topLinePunct w:val="0"/>
              <w:bidi w:val="0"/>
              <w:spacing w:before="0" w:beforeAutospacing="0" w:after="0" w:afterAutospacing="0" w:line="240" w:lineRule="auto"/>
              <w:ind w:left="0" w:leftChars="0" w:right="0" w:right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5</w:t>
            </w:r>
          </w:p>
        </w:tc>
        <w:tc>
          <w:tcPr>
            <w:tcW w:w="686" w:type="dxa"/>
            <w:shd w:val="clear" w:color="auto" w:fill="auto"/>
            <w:noWrap w:val="0"/>
            <w:vAlign w:val="center"/>
          </w:tcPr>
          <w:p w14:paraId="523EB22C">
            <w:pPr>
              <w:pStyle w:val="22"/>
              <w:keepNext w:val="0"/>
              <w:keepLines w:val="0"/>
              <w:pageBreakBefore w:val="0"/>
              <w:widowControl w:val="0"/>
              <w:suppressLineNumbers w:val="0"/>
              <w:kinsoku/>
              <w:wordWrap/>
              <w:overflowPunct/>
              <w:topLinePunct w:val="0"/>
              <w:bidi w:val="0"/>
              <w:spacing w:before="0" w:beforeAutospacing="0" w:after="0" w:afterAutospacing="0" w:line="240" w:lineRule="auto"/>
              <w:ind w:left="0" w:leftChars="0" w:right="0" w:rightChars="0"/>
              <w:jc w:val="center"/>
              <w:textAlignment w:val="auto"/>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sz w:val="21"/>
                <w:szCs w:val="21"/>
                <w:highlight w:val="none"/>
              </w:rPr>
              <w:t>主观分</w:t>
            </w:r>
          </w:p>
        </w:tc>
      </w:tr>
      <w:tr w14:paraId="369CC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3" w:hRule="atLeast"/>
          <w:jc w:val="center"/>
        </w:trPr>
        <w:tc>
          <w:tcPr>
            <w:tcW w:w="708" w:type="dxa"/>
            <w:vMerge w:val="continue"/>
            <w:noWrap w:val="0"/>
            <w:vAlign w:val="center"/>
          </w:tcPr>
          <w:p w14:paraId="5AB7F499">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textAlignment w:val="auto"/>
              <w:rPr>
                <w:rFonts w:hint="eastAsia" w:ascii="宋体" w:hAnsi="宋体" w:eastAsia="宋体" w:cs="宋体"/>
                <w:color w:val="auto"/>
                <w:sz w:val="21"/>
                <w:szCs w:val="21"/>
                <w:highlight w:val="none"/>
              </w:rPr>
            </w:pPr>
          </w:p>
        </w:tc>
        <w:tc>
          <w:tcPr>
            <w:tcW w:w="884" w:type="dxa"/>
            <w:vMerge w:val="restart"/>
            <w:tcBorders>
              <w:left w:val="single" w:color="auto" w:sz="4" w:space="0"/>
              <w:right w:val="single" w:color="auto" w:sz="4" w:space="0"/>
            </w:tcBorders>
            <w:noWrap w:val="0"/>
            <w:vAlign w:val="center"/>
          </w:tcPr>
          <w:p w14:paraId="3CFCE4EA">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开放</w:t>
            </w:r>
            <w:r>
              <w:rPr>
                <w:rFonts w:hint="eastAsia" w:ascii="宋体" w:hAnsi="宋体" w:eastAsia="宋体" w:cs="宋体"/>
                <w:color w:val="auto"/>
                <w:sz w:val="21"/>
                <w:szCs w:val="21"/>
                <w:highlight w:val="none"/>
              </w:rPr>
              <w:t>平台运维服务</w:t>
            </w:r>
          </w:p>
        </w:tc>
        <w:tc>
          <w:tcPr>
            <w:tcW w:w="7183" w:type="dxa"/>
            <w:tcBorders>
              <w:top w:val="single" w:color="auto" w:sz="4" w:space="0"/>
              <w:left w:val="single" w:color="auto" w:sz="4" w:space="0"/>
              <w:right w:val="single" w:color="auto" w:sz="4" w:space="0"/>
            </w:tcBorders>
            <w:shd w:val="clear" w:color="auto" w:fill="auto"/>
            <w:noWrap w:val="0"/>
            <w:vAlign w:val="center"/>
          </w:tcPr>
          <w:p w14:paraId="3A5850C7">
            <w:pPr>
              <w:keepNext w:val="0"/>
              <w:keepLines w:val="0"/>
              <w:pageBreakBefore w:val="0"/>
              <w:widowControl w:val="0"/>
              <w:suppressLineNumbers w:val="0"/>
              <w:kinsoku/>
              <w:wordWrap/>
              <w:overflowPunct/>
              <w:topLinePunct w:val="0"/>
              <w:bidi w:val="0"/>
              <w:adjustRightInd w:val="0"/>
              <w:snapToGrid/>
              <w:spacing w:before="0" w:beforeAutospacing="0" w:after="0" w:afterAutospacing="0" w:line="240" w:lineRule="auto"/>
              <w:ind w:left="0" w:leftChars="0" w:right="0" w:righ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w:t>
            </w:r>
            <w:r>
              <w:rPr>
                <w:rFonts w:hint="eastAsia" w:ascii="宋体" w:hAnsi="宋体" w:eastAsia="宋体" w:cs="宋体"/>
                <w:color w:val="auto"/>
                <w:sz w:val="21"/>
                <w:szCs w:val="21"/>
                <w:highlight w:val="none"/>
              </w:rPr>
              <w:t>据</w:t>
            </w:r>
            <w:r>
              <w:rPr>
                <w:rFonts w:hint="eastAsia" w:ascii="宋体" w:hAnsi="宋体" w:eastAsia="宋体" w:cs="宋体"/>
                <w:color w:val="auto"/>
                <w:sz w:val="21"/>
                <w:szCs w:val="21"/>
                <w:highlight w:val="none"/>
                <w:lang w:val="en-US" w:eastAsia="zh-CN"/>
              </w:rPr>
              <w:t>供应商提供针对</w:t>
            </w:r>
            <w:r>
              <w:rPr>
                <w:rFonts w:hint="eastAsia" w:ascii="宋体" w:hAnsi="宋体" w:eastAsia="宋体" w:cs="宋体"/>
                <w:color w:val="auto"/>
                <w:sz w:val="21"/>
                <w:szCs w:val="21"/>
                <w:highlight w:val="none"/>
              </w:rPr>
              <w:t>采购文件第</w:t>
            </w:r>
            <w:r>
              <w:rPr>
                <w:rFonts w:hint="eastAsia" w:ascii="宋体" w:hAnsi="宋体" w:eastAsia="宋体" w:cs="宋体"/>
                <w:color w:val="auto"/>
                <w:sz w:val="21"/>
                <w:szCs w:val="21"/>
                <w:highlight w:val="none"/>
                <w:lang w:val="en-US" w:eastAsia="zh-CN"/>
              </w:rPr>
              <w:t>四</w:t>
            </w:r>
            <w:r>
              <w:rPr>
                <w:rFonts w:hint="eastAsia" w:ascii="宋体" w:hAnsi="宋体" w:eastAsia="宋体" w:cs="宋体"/>
                <w:color w:val="auto"/>
                <w:sz w:val="21"/>
                <w:szCs w:val="21"/>
                <w:highlight w:val="none"/>
              </w:rPr>
              <w:t>部分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采购需求</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三</w:t>
            </w:r>
            <w:r>
              <w:rPr>
                <w:rFonts w:hint="eastAsia" w:ascii="宋体" w:hAnsi="宋体" w:eastAsia="宋体" w:cs="宋体"/>
                <w:color w:val="auto"/>
                <w:sz w:val="21"/>
                <w:szCs w:val="21"/>
                <w:highlight w:val="none"/>
              </w:rPr>
              <w:t>、服务内容”</w:t>
            </w:r>
            <w:r>
              <w:rPr>
                <w:rFonts w:hint="eastAsia" w:ascii="宋体" w:hAnsi="宋体" w:eastAsia="宋体" w:cs="宋体"/>
                <w:color w:val="auto"/>
                <w:sz w:val="21"/>
                <w:szCs w:val="21"/>
                <w:highlight w:val="none"/>
                <w:lang w:val="en-US" w:eastAsia="zh-CN"/>
              </w:rPr>
              <w:t>中关于“开放平台运维服务内容</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的协助数据开放工单实施、数据开放属性复查</w:t>
            </w:r>
            <w:r>
              <w:rPr>
                <w:rFonts w:hint="eastAsia" w:ascii="宋体" w:hAnsi="宋体" w:eastAsia="宋体" w:cs="宋体"/>
                <w:color w:val="auto"/>
                <w:sz w:val="21"/>
                <w:szCs w:val="21"/>
                <w:highlight w:val="none"/>
                <w:lang w:val="en-US" w:eastAsia="zh-CN"/>
              </w:rPr>
              <w:t>方案进行综合评议；</w:t>
            </w:r>
          </w:p>
          <w:p w14:paraId="50F3953D">
            <w:pPr>
              <w:pStyle w:val="72"/>
              <w:keepNext w:val="0"/>
              <w:keepLines w:val="0"/>
              <w:pageBreakBefore w:val="0"/>
              <w:widowControl w:val="0"/>
              <w:suppressLineNumbers w:val="0"/>
              <w:kinsoku/>
              <w:wordWrap/>
              <w:overflowPunct/>
              <w:topLinePunct w:val="0"/>
              <w:bidi w:val="0"/>
              <w:adjustRightInd w:val="0"/>
              <w:snapToGrid/>
              <w:spacing w:before="0" w:beforeAutospacing="0" w:after="0" w:afterAutospacing="0" w:line="240" w:lineRule="auto"/>
              <w:ind w:left="0" w:leftChars="0" w:right="0" w:firstLine="0" w:firstLineChars="0"/>
              <w:textAlignment w:val="auto"/>
              <w:rPr>
                <w:rFonts w:hint="eastAsia"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rPr>
              <w:t>①</w:t>
            </w:r>
            <w:r>
              <w:rPr>
                <w:rFonts w:hint="eastAsia" w:ascii="宋体" w:hAnsi="宋体" w:eastAsia="宋体" w:cs="宋体"/>
                <w:color w:val="auto"/>
                <w:sz w:val="21"/>
                <w:szCs w:val="21"/>
                <w:highlight w:val="none"/>
                <w:lang w:val="en-US" w:eastAsia="zh-CN"/>
              </w:rPr>
              <w:t>监测和巡检的业务内容全面，运维工作记录完善，统计报表内容详尽，针对可能出现的问题有完善解决方法，完全满足采购文件要求的得5分；</w:t>
            </w:r>
          </w:p>
          <w:p w14:paraId="457BD3F6">
            <w:pPr>
              <w:pStyle w:val="72"/>
              <w:keepNext w:val="0"/>
              <w:keepLines w:val="0"/>
              <w:pageBreakBefore w:val="0"/>
              <w:widowControl w:val="0"/>
              <w:suppressLineNumbers w:val="0"/>
              <w:kinsoku/>
              <w:wordWrap/>
              <w:overflowPunct/>
              <w:topLinePunct w:val="0"/>
              <w:bidi w:val="0"/>
              <w:adjustRightInd w:val="0"/>
              <w:snapToGrid/>
              <w:spacing w:before="0" w:beforeAutospacing="0" w:after="0" w:afterAutospacing="0" w:line="240" w:lineRule="auto"/>
              <w:ind w:left="0" w:leftChars="0" w:right="0" w:firstLine="0" w:firstLineChars="0"/>
              <w:textAlignment w:val="auto"/>
              <w:rPr>
                <w:rFonts w:hint="eastAsia"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rPr>
              <w:t>②</w:t>
            </w:r>
            <w:r>
              <w:rPr>
                <w:rFonts w:hint="eastAsia" w:ascii="宋体" w:hAnsi="宋体" w:eastAsia="宋体" w:cs="宋体"/>
                <w:color w:val="auto"/>
                <w:sz w:val="21"/>
                <w:szCs w:val="21"/>
                <w:highlight w:val="none"/>
                <w:lang w:val="en-US" w:eastAsia="zh-CN"/>
              </w:rPr>
              <w:t>监测和巡检的业务内容较全面，运维工作记录较完善，统计报表内容较详尽，针对可能出现的问题有较完善解决方法，基本满足采购文件要求的得3分；</w:t>
            </w:r>
          </w:p>
          <w:p w14:paraId="791A612C">
            <w:pPr>
              <w:pStyle w:val="72"/>
              <w:keepNext w:val="0"/>
              <w:keepLines w:val="0"/>
              <w:pageBreakBefore w:val="0"/>
              <w:widowControl w:val="0"/>
              <w:suppressLineNumbers w:val="0"/>
              <w:kinsoku/>
              <w:wordWrap/>
              <w:overflowPunct/>
              <w:topLinePunct w:val="0"/>
              <w:bidi w:val="0"/>
              <w:adjustRightInd w:val="0"/>
              <w:snapToGrid/>
              <w:spacing w:before="0" w:beforeAutospacing="0" w:after="0" w:afterAutospacing="0" w:line="240" w:lineRule="auto"/>
              <w:ind w:left="0" w:leftChars="0" w:right="0" w:firstLine="0" w:firstLineChars="0"/>
              <w:textAlignment w:val="auto"/>
              <w:rPr>
                <w:rFonts w:hint="eastAsia"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rPr>
              <w:t>③</w:t>
            </w:r>
            <w:r>
              <w:rPr>
                <w:rFonts w:hint="eastAsia" w:ascii="宋体" w:hAnsi="宋体" w:eastAsia="宋体" w:cs="宋体"/>
                <w:color w:val="auto"/>
                <w:sz w:val="21"/>
                <w:szCs w:val="21"/>
                <w:highlight w:val="none"/>
                <w:lang w:val="en-US" w:eastAsia="zh-CN"/>
              </w:rPr>
              <w:t>监测和巡检的业务内容不全面，运维工作记录不完善，统计报表内容简单，针对出现的问题解决方法欠缺的得1分；</w:t>
            </w:r>
          </w:p>
          <w:p w14:paraId="379EA8E5">
            <w:pPr>
              <w:pStyle w:val="72"/>
              <w:keepNext w:val="0"/>
              <w:keepLines w:val="0"/>
              <w:pageBreakBefore w:val="0"/>
              <w:widowControl w:val="0"/>
              <w:suppressLineNumbers w:val="0"/>
              <w:kinsoku/>
              <w:wordWrap/>
              <w:overflowPunct/>
              <w:topLinePunct w:val="0"/>
              <w:bidi w:val="0"/>
              <w:adjustRightInd w:val="0"/>
              <w:snapToGrid/>
              <w:spacing w:before="0" w:beforeAutospacing="0" w:after="0" w:afterAutospacing="0" w:line="240" w:lineRule="auto"/>
              <w:ind w:left="0" w:leftChars="0" w:right="0" w:firstLine="0" w:firstLineChars="0"/>
              <w:textAlignment w:val="auto"/>
              <w:rPr>
                <w:rFonts w:hint="eastAsia"/>
                <w:color w:val="auto"/>
                <w:highlight w:val="none"/>
                <w:lang w:val="en-US" w:eastAsia="zh-CN"/>
              </w:rPr>
            </w:pPr>
            <w:r>
              <w:rPr>
                <w:rFonts w:hint="eastAsia" w:ascii="宋体" w:hAnsi="宋体" w:eastAsia="宋体" w:cs="宋体"/>
                <w:color w:val="auto"/>
                <w:sz w:val="21"/>
                <w:szCs w:val="21"/>
                <w:highlight w:val="none"/>
              </w:rPr>
              <w:t>④</w:t>
            </w:r>
            <w:r>
              <w:rPr>
                <w:rFonts w:hint="eastAsia" w:ascii="宋体" w:hAnsi="宋体" w:eastAsia="宋体" w:cs="宋体"/>
                <w:color w:val="auto"/>
                <w:sz w:val="21"/>
                <w:szCs w:val="21"/>
                <w:highlight w:val="none"/>
                <w:lang w:val="en-US" w:eastAsia="zh-CN"/>
              </w:rPr>
              <w:t>未提供方案的不得分。</w:t>
            </w:r>
          </w:p>
        </w:tc>
        <w:tc>
          <w:tcPr>
            <w:tcW w:w="717" w:type="dxa"/>
            <w:shd w:val="clear" w:color="auto" w:fill="auto"/>
            <w:noWrap w:val="0"/>
            <w:vAlign w:val="center"/>
          </w:tcPr>
          <w:p w14:paraId="31FFF4D3">
            <w:pPr>
              <w:keepNext w:val="0"/>
              <w:keepLines w:val="0"/>
              <w:pageBreakBefore w:val="0"/>
              <w:widowControl w:val="0"/>
              <w:suppressLineNumbers w:val="0"/>
              <w:kinsoku/>
              <w:wordWrap/>
              <w:overflowPunct/>
              <w:topLinePunct w:val="0"/>
              <w:bidi w:val="0"/>
              <w:spacing w:before="0" w:beforeAutospacing="0" w:after="0" w:afterAutospacing="0" w:line="240" w:lineRule="auto"/>
              <w:ind w:left="0" w:leftChars="0" w:right="0" w:right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5</w:t>
            </w:r>
          </w:p>
        </w:tc>
        <w:tc>
          <w:tcPr>
            <w:tcW w:w="686" w:type="dxa"/>
            <w:shd w:val="clear" w:color="auto" w:fill="auto"/>
            <w:noWrap w:val="0"/>
            <w:vAlign w:val="center"/>
          </w:tcPr>
          <w:p w14:paraId="3511A020">
            <w:pPr>
              <w:pStyle w:val="22"/>
              <w:keepNext w:val="0"/>
              <w:keepLines w:val="0"/>
              <w:pageBreakBefore w:val="0"/>
              <w:widowControl w:val="0"/>
              <w:suppressLineNumbers w:val="0"/>
              <w:kinsoku/>
              <w:wordWrap/>
              <w:overflowPunct/>
              <w:topLinePunct w:val="0"/>
              <w:bidi w:val="0"/>
              <w:spacing w:before="0" w:beforeAutospacing="0" w:after="0" w:afterAutospacing="0" w:line="240" w:lineRule="auto"/>
              <w:ind w:left="0" w:leftChars="0" w:right="0" w:rightChars="0"/>
              <w:jc w:val="center"/>
              <w:textAlignment w:val="auto"/>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sz w:val="21"/>
                <w:szCs w:val="21"/>
                <w:highlight w:val="none"/>
              </w:rPr>
              <w:t>主观分</w:t>
            </w:r>
          </w:p>
        </w:tc>
      </w:tr>
      <w:tr w14:paraId="20891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3" w:hRule="atLeast"/>
          <w:jc w:val="center"/>
        </w:trPr>
        <w:tc>
          <w:tcPr>
            <w:tcW w:w="708" w:type="dxa"/>
            <w:vMerge w:val="continue"/>
            <w:noWrap w:val="0"/>
            <w:vAlign w:val="center"/>
          </w:tcPr>
          <w:p w14:paraId="71880CB8">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textAlignment w:val="auto"/>
              <w:rPr>
                <w:rFonts w:hint="eastAsia" w:ascii="宋体" w:hAnsi="宋体" w:eastAsia="宋体" w:cs="宋体"/>
                <w:color w:val="auto"/>
                <w:sz w:val="21"/>
                <w:szCs w:val="21"/>
                <w:highlight w:val="none"/>
              </w:rPr>
            </w:pPr>
          </w:p>
        </w:tc>
        <w:tc>
          <w:tcPr>
            <w:tcW w:w="884" w:type="dxa"/>
            <w:vMerge w:val="continue"/>
            <w:tcBorders>
              <w:left w:val="single" w:color="auto" w:sz="4" w:space="0"/>
              <w:right w:val="single" w:color="auto" w:sz="4" w:space="0"/>
            </w:tcBorders>
            <w:noWrap w:val="0"/>
            <w:vAlign w:val="center"/>
          </w:tcPr>
          <w:p w14:paraId="4A7E19F2">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rPr>
            </w:pPr>
          </w:p>
        </w:tc>
        <w:tc>
          <w:tcPr>
            <w:tcW w:w="7183" w:type="dxa"/>
            <w:tcBorders>
              <w:top w:val="single" w:color="auto" w:sz="4" w:space="0"/>
              <w:left w:val="single" w:color="auto" w:sz="4" w:space="0"/>
              <w:right w:val="single" w:color="auto" w:sz="4" w:space="0"/>
            </w:tcBorders>
            <w:shd w:val="clear" w:color="auto" w:fill="auto"/>
            <w:noWrap w:val="0"/>
            <w:vAlign w:val="center"/>
          </w:tcPr>
          <w:p w14:paraId="1F5B508D">
            <w:pPr>
              <w:keepNext w:val="0"/>
              <w:keepLines w:val="0"/>
              <w:pageBreakBefore w:val="0"/>
              <w:widowControl w:val="0"/>
              <w:suppressLineNumbers w:val="0"/>
              <w:kinsoku/>
              <w:wordWrap/>
              <w:overflowPunct/>
              <w:topLinePunct w:val="0"/>
              <w:bidi w:val="0"/>
              <w:adjustRightInd w:val="0"/>
              <w:snapToGrid/>
              <w:spacing w:before="0" w:beforeAutospacing="0" w:after="0" w:afterAutospacing="0" w:line="240" w:lineRule="auto"/>
              <w:ind w:left="0" w:leftChars="0" w:right="0" w:righ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w:t>
            </w:r>
            <w:r>
              <w:rPr>
                <w:rFonts w:hint="eastAsia" w:ascii="宋体" w:hAnsi="宋体" w:eastAsia="宋体" w:cs="宋体"/>
                <w:color w:val="auto"/>
                <w:sz w:val="21"/>
                <w:szCs w:val="21"/>
                <w:highlight w:val="none"/>
              </w:rPr>
              <w:t>据</w:t>
            </w:r>
            <w:r>
              <w:rPr>
                <w:rFonts w:hint="eastAsia" w:ascii="宋体" w:hAnsi="宋体" w:eastAsia="宋体" w:cs="宋体"/>
                <w:color w:val="auto"/>
                <w:sz w:val="21"/>
                <w:szCs w:val="21"/>
                <w:highlight w:val="none"/>
                <w:lang w:val="en-US" w:eastAsia="zh-CN"/>
              </w:rPr>
              <w:t>供应商提供针对</w:t>
            </w:r>
            <w:r>
              <w:rPr>
                <w:rFonts w:hint="eastAsia" w:ascii="宋体" w:hAnsi="宋体" w:eastAsia="宋体" w:cs="宋体"/>
                <w:color w:val="auto"/>
                <w:sz w:val="21"/>
                <w:szCs w:val="21"/>
                <w:highlight w:val="none"/>
              </w:rPr>
              <w:t>采购文件第</w:t>
            </w:r>
            <w:r>
              <w:rPr>
                <w:rFonts w:hint="eastAsia" w:ascii="宋体" w:hAnsi="宋体" w:eastAsia="宋体" w:cs="宋体"/>
                <w:color w:val="auto"/>
                <w:sz w:val="21"/>
                <w:szCs w:val="21"/>
                <w:highlight w:val="none"/>
                <w:lang w:val="en-US" w:eastAsia="zh-CN"/>
              </w:rPr>
              <w:t>四</w:t>
            </w:r>
            <w:r>
              <w:rPr>
                <w:rFonts w:hint="eastAsia" w:ascii="宋体" w:hAnsi="宋体" w:eastAsia="宋体" w:cs="宋体"/>
                <w:color w:val="auto"/>
                <w:sz w:val="21"/>
                <w:szCs w:val="21"/>
                <w:highlight w:val="none"/>
              </w:rPr>
              <w:t>部分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采购需求</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三</w:t>
            </w:r>
            <w:r>
              <w:rPr>
                <w:rFonts w:hint="eastAsia" w:ascii="宋体" w:hAnsi="宋体" w:eastAsia="宋体" w:cs="宋体"/>
                <w:color w:val="auto"/>
                <w:sz w:val="21"/>
                <w:szCs w:val="21"/>
                <w:highlight w:val="none"/>
              </w:rPr>
              <w:t>、服务内容”</w:t>
            </w:r>
            <w:r>
              <w:rPr>
                <w:rFonts w:hint="eastAsia" w:ascii="宋体" w:hAnsi="宋体" w:eastAsia="宋体" w:cs="宋体"/>
                <w:color w:val="auto"/>
                <w:sz w:val="21"/>
                <w:szCs w:val="21"/>
                <w:highlight w:val="none"/>
                <w:lang w:val="en-US" w:eastAsia="zh-CN"/>
              </w:rPr>
              <w:t>中关于“开放平台运维服务内容</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的协助平台网站安全巡检</w:t>
            </w:r>
            <w:r>
              <w:rPr>
                <w:rFonts w:hint="eastAsia" w:ascii="宋体" w:hAnsi="宋体" w:eastAsia="宋体" w:cs="宋体"/>
                <w:color w:val="auto"/>
                <w:sz w:val="21"/>
                <w:szCs w:val="21"/>
                <w:highlight w:val="none"/>
                <w:lang w:val="en-US" w:eastAsia="zh-CN"/>
              </w:rPr>
              <w:t>方案进行综合评议；</w:t>
            </w:r>
          </w:p>
          <w:p w14:paraId="6EB8706E">
            <w:pPr>
              <w:pStyle w:val="72"/>
              <w:keepNext w:val="0"/>
              <w:keepLines w:val="0"/>
              <w:pageBreakBefore w:val="0"/>
              <w:widowControl w:val="0"/>
              <w:suppressLineNumbers w:val="0"/>
              <w:kinsoku/>
              <w:wordWrap/>
              <w:overflowPunct/>
              <w:topLinePunct w:val="0"/>
              <w:bidi w:val="0"/>
              <w:adjustRightInd w:val="0"/>
              <w:snapToGrid/>
              <w:spacing w:before="0" w:beforeAutospacing="0" w:after="0" w:afterAutospacing="0" w:line="240" w:lineRule="auto"/>
              <w:ind w:left="0" w:leftChars="0" w:right="0" w:firstLine="0" w:firstLineChars="0"/>
              <w:textAlignment w:val="auto"/>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①安全巡检范围全面，服务器负载异常发现及时，处理结果完善，开放平台安全运行有保障，完全满足采购文件要求的得5分；</w:t>
            </w:r>
          </w:p>
          <w:p w14:paraId="71280421">
            <w:pPr>
              <w:pStyle w:val="72"/>
              <w:keepNext w:val="0"/>
              <w:keepLines w:val="0"/>
              <w:pageBreakBefore w:val="0"/>
              <w:widowControl w:val="0"/>
              <w:suppressLineNumbers w:val="0"/>
              <w:kinsoku/>
              <w:wordWrap/>
              <w:overflowPunct/>
              <w:topLinePunct w:val="0"/>
              <w:bidi w:val="0"/>
              <w:adjustRightInd w:val="0"/>
              <w:snapToGrid/>
              <w:spacing w:before="0" w:beforeAutospacing="0" w:after="0" w:afterAutospacing="0" w:line="240" w:lineRule="auto"/>
              <w:ind w:left="0" w:leftChars="0" w:right="0" w:firstLine="0" w:firstLineChars="0"/>
              <w:textAlignment w:val="auto"/>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②安全巡检范围较全面，服务器负载异常发现较及时，处理结果较完善，开放平台安全运行较有保障，基本满足采购文件要求的得3分；</w:t>
            </w:r>
          </w:p>
          <w:p w14:paraId="137B1440">
            <w:pPr>
              <w:pStyle w:val="72"/>
              <w:keepNext w:val="0"/>
              <w:keepLines w:val="0"/>
              <w:pageBreakBefore w:val="0"/>
              <w:widowControl w:val="0"/>
              <w:suppressLineNumbers w:val="0"/>
              <w:kinsoku/>
              <w:wordWrap/>
              <w:overflowPunct/>
              <w:topLinePunct w:val="0"/>
              <w:bidi w:val="0"/>
              <w:adjustRightInd w:val="0"/>
              <w:snapToGrid/>
              <w:spacing w:before="0" w:beforeAutospacing="0" w:after="0" w:afterAutospacing="0" w:line="240" w:lineRule="auto"/>
              <w:ind w:left="0" w:leftChars="0" w:right="0" w:firstLine="0" w:firstLineChars="0"/>
              <w:textAlignment w:val="auto"/>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③安全巡检范围不全面，服务器负载异常发现不及时，处理结果不完善，开放平台安全运行无保障的得1分；</w:t>
            </w:r>
          </w:p>
          <w:p w14:paraId="7FEF1CE0">
            <w:pPr>
              <w:pStyle w:val="72"/>
              <w:keepNext w:val="0"/>
              <w:keepLines w:val="0"/>
              <w:pageBreakBefore w:val="0"/>
              <w:widowControl w:val="0"/>
              <w:suppressLineNumbers w:val="0"/>
              <w:kinsoku/>
              <w:wordWrap/>
              <w:overflowPunct/>
              <w:topLinePunct w:val="0"/>
              <w:bidi w:val="0"/>
              <w:adjustRightInd w:val="0"/>
              <w:snapToGrid/>
              <w:spacing w:before="0" w:beforeAutospacing="0" w:after="0" w:afterAutospacing="0" w:line="240" w:lineRule="auto"/>
              <w:ind w:left="0" w:leftChars="0" w:right="0" w:firstLine="0" w:firstLineChars="0"/>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④</w:t>
            </w:r>
            <w:r>
              <w:rPr>
                <w:rFonts w:hint="eastAsia" w:ascii="宋体" w:hAnsi="宋体" w:eastAsia="宋体" w:cs="宋体"/>
                <w:color w:val="auto"/>
                <w:sz w:val="21"/>
                <w:szCs w:val="21"/>
                <w:highlight w:val="none"/>
                <w:lang w:val="en-US" w:eastAsia="zh-CN"/>
              </w:rPr>
              <w:t>未提供方案的不得分。</w:t>
            </w:r>
          </w:p>
        </w:tc>
        <w:tc>
          <w:tcPr>
            <w:tcW w:w="717" w:type="dxa"/>
            <w:shd w:val="clear" w:color="auto" w:fill="auto"/>
            <w:noWrap w:val="0"/>
            <w:vAlign w:val="center"/>
          </w:tcPr>
          <w:p w14:paraId="1243229E">
            <w:pPr>
              <w:keepNext w:val="0"/>
              <w:keepLines w:val="0"/>
              <w:pageBreakBefore w:val="0"/>
              <w:widowControl w:val="0"/>
              <w:suppressLineNumbers w:val="0"/>
              <w:kinsoku/>
              <w:wordWrap/>
              <w:overflowPunct/>
              <w:topLinePunct w:val="0"/>
              <w:bidi w:val="0"/>
              <w:spacing w:before="0" w:beforeAutospacing="0" w:after="0" w:afterAutospacing="0" w:line="240" w:lineRule="auto"/>
              <w:ind w:left="0" w:leftChars="0" w:right="0" w:right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5</w:t>
            </w:r>
          </w:p>
        </w:tc>
        <w:tc>
          <w:tcPr>
            <w:tcW w:w="686" w:type="dxa"/>
            <w:shd w:val="clear" w:color="auto" w:fill="auto"/>
            <w:noWrap w:val="0"/>
            <w:vAlign w:val="center"/>
          </w:tcPr>
          <w:p w14:paraId="2DBFF9A2">
            <w:pPr>
              <w:pStyle w:val="22"/>
              <w:keepNext w:val="0"/>
              <w:keepLines w:val="0"/>
              <w:pageBreakBefore w:val="0"/>
              <w:widowControl w:val="0"/>
              <w:suppressLineNumbers w:val="0"/>
              <w:kinsoku/>
              <w:wordWrap/>
              <w:overflowPunct/>
              <w:topLinePunct w:val="0"/>
              <w:bidi w:val="0"/>
              <w:spacing w:before="0" w:beforeAutospacing="0" w:after="0" w:afterAutospacing="0" w:line="240" w:lineRule="auto"/>
              <w:ind w:left="0" w:leftChars="0" w:right="0" w:rightChars="0"/>
              <w:jc w:val="center"/>
              <w:textAlignment w:val="auto"/>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sz w:val="21"/>
                <w:szCs w:val="21"/>
                <w:highlight w:val="none"/>
              </w:rPr>
              <w:t>主观分</w:t>
            </w:r>
          </w:p>
        </w:tc>
      </w:tr>
      <w:tr w14:paraId="31A15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8" w:type="dxa"/>
            <w:vMerge w:val="continue"/>
            <w:noWrap w:val="0"/>
            <w:vAlign w:val="center"/>
          </w:tcPr>
          <w:p w14:paraId="06F56C40">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textAlignment w:val="auto"/>
              <w:rPr>
                <w:rFonts w:hint="eastAsia" w:ascii="宋体" w:hAnsi="宋体" w:eastAsia="宋体" w:cs="宋体"/>
                <w:color w:val="auto"/>
                <w:sz w:val="21"/>
                <w:szCs w:val="21"/>
                <w:highlight w:val="none"/>
              </w:rPr>
            </w:pPr>
          </w:p>
        </w:tc>
        <w:tc>
          <w:tcPr>
            <w:tcW w:w="884" w:type="dxa"/>
            <w:vMerge w:val="continue"/>
            <w:tcBorders>
              <w:left w:val="single" w:color="auto" w:sz="4" w:space="0"/>
              <w:right w:val="single" w:color="auto" w:sz="4" w:space="0"/>
            </w:tcBorders>
            <w:noWrap w:val="0"/>
            <w:vAlign w:val="center"/>
          </w:tcPr>
          <w:p w14:paraId="292A1FF5">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rPr>
            </w:pPr>
          </w:p>
        </w:tc>
        <w:tc>
          <w:tcPr>
            <w:tcW w:w="7183" w:type="dxa"/>
            <w:tcBorders>
              <w:top w:val="single" w:color="auto" w:sz="4" w:space="0"/>
              <w:left w:val="single" w:color="auto" w:sz="4" w:space="0"/>
              <w:right w:val="single" w:color="auto" w:sz="4" w:space="0"/>
            </w:tcBorders>
            <w:shd w:val="clear" w:color="auto" w:fill="auto"/>
            <w:noWrap w:val="0"/>
            <w:vAlign w:val="center"/>
          </w:tcPr>
          <w:p w14:paraId="5AB01EEC">
            <w:pPr>
              <w:pStyle w:val="72"/>
              <w:keepNext w:val="0"/>
              <w:keepLines w:val="0"/>
              <w:pageBreakBefore w:val="0"/>
              <w:widowControl w:val="0"/>
              <w:suppressLineNumbers w:val="0"/>
              <w:kinsoku/>
              <w:wordWrap/>
              <w:overflowPunct/>
              <w:topLinePunct w:val="0"/>
              <w:bidi w:val="0"/>
              <w:adjustRightInd w:val="0"/>
              <w:snapToGrid/>
              <w:spacing w:before="0" w:beforeAutospacing="0" w:after="0" w:afterAutospacing="0" w:line="240" w:lineRule="auto"/>
              <w:ind w:left="0" w:leftChars="0" w:right="0"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根据供应商提供针对采购文件第四部分《采购需求》“三、服务内容”中关于“开放平台运维服务内容”的协助处置安全隐患方案进行综合评议；</w:t>
            </w:r>
          </w:p>
          <w:p w14:paraId="247D68E7">
            <w:pPr>
              <w:pStyle w:val="72"/>
              <w:keepNext w:val="0"/>
              <w:keepLines w:val="0"/>
              <w:pageBreakBefore w:val="0"/>
              <w:widowControl w:val="0"/>
              <w:suppressLineNumbers w:val="0"/>
              <w:kinsoku/>
              <w:wordWrap/>
              <w:overflowPunct/>
              <w:topLinePunct w:val="0"/>
              <w:bidi w:val="0"/>
              <w:adjustRightInd w:val="0"/>
              <w:snapToGrid/>
              <w:spacing w:before="0" w:beforeAutospacing="0" w:after="0" w:afterAutospacing="0" w:line="240" w:lineRule="auto"/>
              <w:ind w:left="0" w:leftChars="0" w:right="0" w:firstLine="0" w:firstLineChars="0"/>
              <w:textAlignment w:val="auto"/>
              <w:rPr>
                <w:rFonts w:hint="eastAsia"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①</w:t>
            </w:r>
            <w:r>
              <w:rPr>
                <w:rFonts w:hint="eastAsia" w:ascii="宋体" w:hAnsi="宋体" w:eastAsia="宋体" w:cs="宋体"/>
                <w:color w:val="auto"/>
                <w:sz w:val="21"/>
                <w:szCs w:val="21"/>
                <w:highlight w:val="none"/>
                <w:lang w:val="en-US" w:eastAsia="zh-CN"/>
              </w:rPr>
              <w:t>安全处理工作计划详细，合理，安全扫描处置措施完善，时间节点明确，可高质量处置安全隐患，完全满足采购文件要求的得5分；</w:t>
            </w:r>
          </w:p>
          <w:p w14:paraId="44EBE66D">
            <w:pPr>
              <w:pStyle w:val="72"/>
              <w:keepNext w:val="0"/>
              <w:keepLines w:val="0"/>
              <w:pageBreakBefore w:val="0"/>
              <w:widowControl w:val="0"/>
              <w:suppressLineNumbers w:val="0"/>
              <w:kinsoku/>
              <w:wordWrap/>
              <w:overflowPunct/>
              <w:topLinePunct w:val="0"/>
              <w:bidi w:val="0"/>
              <w:adjustRightInd w:val="0"/>
              <w:snapToGrid/>
              <w:spacing w:before="0" w:beforeAutospacing="0" w:after="0" w:afterAutospacing="0" w:line="240" w:lineRule="auto"/>
              <w:ind w:left="0" w:leftChars="0" w:right="0" w:firstLine="0" w:firstLineChars="0"/>
              <w:textAlignment w:val="auto"/>
              <w:rPr>
                <w:rFonts w:hint="eastAsia"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rPr>
              <w:t>②</w:t>
            </w:r>
            <w:r>
              <w:rPr>
                <w:rFonts w:hint="eastAsia" w:ascii="宋体" w:hAnsi="宋体" w:eastAsia="宋体" w:cs="宋体"/>
                <w:color w:val="auto"/>
                <w:sz w:val="21"/>
                <w:szCs w:val="21"/>
                <w:highlight w:val="none"/>
                <w:lang w:val="en-US" w:eastAsia="zh-CN"/>
              </w:rPr>
              <w:t>安全处理工作计划较详细，较合理，安全扫描处置措施较完善，时间节点较明确，基本满足采购文件要求的得3分；</w:t>
            </w:r>
          </w:p>
          <w:p w14:paraId="4DDAEA40">
            <w:pPr>
              <w:pStyle w:val="72"/>
              <w:keepNext w:val="0"/>
              <w:keepLines w:val="0"/>
              <w:pageBreakBefore w:val="0"/>
              <w:widowControl w:val="0"/>
              <w:suppressLineNumbers w:val="0"/>
              <w:kinsoku/>
              <w:wordWrap/>
              <w:overflowPunct/>
              <w:topLinePunct w:val="0"/>
              <w:bidi w:val="0"/>
              <w:adjustRightInd w:val="0"/>
              <w:snapToGrid/>
              <w:spacing w:before="0" w:beforeAutospacing="0" w:after="0" w:afterAutospacing="0" w:line="240" w:lineRule="auto"/>
              <w:ind w:left="0" w:leftChars="0" w:right="0" w:firstLine="0" w:firstLineChars="0"/>
              <w:textAlignment w:val="auto"/>
              <w:rPr>
                <w:rFonts w:hint="eastAsia"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rPr>
              <w:t>③</w:t>
            </w:r>
            <w:r>
              <w:rPr>
                <w:rFonts w:hint="eastAsia" w:ascii="宋体" w:hAnsi="宋体" w:eastAsia="宋体" w:cs="宋体"/>
                <w:color w:val="auto"/>
                <w:sz w:val="21"/>
                <w:szCs w:val="21"/>
                <w:highlight w:val="none"/>
                <w:lang w:val="en-US" w:eastAsia="zh-CN"/>
              </w:rPr>
              <w:t>安全处理工作计划简单，不合理，安全扫描处置措施不完善，时间节点不明确的得1分；</w:t>
            </w:r>
          </w:p>
          <w:p w14:paraId="4C73CD46">
            <w:pPr>
              <w:pStyle w:val="72"/>
              <w:keepNext w:val="0"/>
              <w:keepLines w:val="0"/>
              <w:pageBreakBefore w:val="0"/>
              <w:widowControl w:val="0"/>
              <w:suppressLineNumbers w:val="0"/>
              <w:kinsoku/>
              <w:wordWrap/>
              <w:overflowPunct/>
              <w:topLinePunct w:val="0"/>
              <w:bidi w:val="0"/>
              <w:adjustRightInd w:val="0"/>
              <w:snapToGrid/>
              <w:spacing w:before="0" w:beforeAutospacing="0" w:after="0" w:afterAutospacing="0" w:line="240" w:lineRule="auto"/>
              <w:ind w:left="0" w:leftChars="0" w:right="0" w:firstLine="0" w:firstLineChars="0"/>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④</w:t>
            </w:r>
            <w:r>
              <w:rPr>
                <w:rFonts w:hint="eastAsia" w:ascii="宋体" w:hAnsi="宋体" w:eastAsia="宋体" w:cs="宋体"/>
                <w:color w:val="auto"/>
                <w:sz w:val="21"/>
                <w:szCs w:val="21"/>
                <w:highlight w:val="none"/>
                <w:lang w:val="en-US" w:eastAsia="zh-CN"/>
              </w:rPr>
              <w:t>未提供方案的不得分。</w:t>
            </w:r>
          </w:p>
        </w:tc>
        <w:tc>
          <w:tcPr>
            <w:tcW w:w="717" w:type="dxa"/>
            <w:shd w:val="clear" w:color="auto" w:fill="auto"/>
            <w:noWrap w:val="0"/>
            <w:vAlign w:val="center"/>
          </w:tcPr>
          <w:p w14:paraId="619CD296">
            <w:pPr>
              <w:keepNext w:val="0"/>
              <w:keepLines w:val="0"/>
              <w:pageBreakBefore w:val="0"/>
              <w:widowControl w:val="0"/>
              <w:suppressLineNumbers w:val="0"/>
              <w:kinsoku/>
              <w:wordWrap/>
              <w:overflowPunct/>
              <w:topLinePunct w:val="0"/>
              <w:bidi w:val="0"/>
              <w:spacing w:before="0" w:beforeAutospacing="0" w:after="0" w:afterAutospacing="0" w:line="240" w:lineRule="auto"/>
              <w:ind w:left="0" w:leftChars="0" w:right="0" w:right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5</w:t>
            </w:r>
          </w:p>
        </w:tc>
        <w:tc>
          <w:tcPr>
            <w:tcW w:w="686" w:type="dxa"/>
            <w:shd w:val="clear" w:color="auto" w:fill="auto"/>
            <w:noWrap w:val="0"/>
            <w:vAlign w:val="center"/>
          </w:tcPr>
          <w:p w14:paraId="780AE404">
            <w:pPr>
              <w:pStyle w:val="22"/>
              <w:keepNext w:val="0"/>
              <w:keepLines w:val="0"/>
              <w:pageBreakBefore w:val="0"/>
              <w:widowControl w:val="0"/>
              <w:suppressLineNumbers w:val="0"/>
              <w:kinsoku/>
              <w:wordWrap/>
              <w:overflowPunct/>
              <w:topLinePunct w:val="0"/>
              <w:bidi w:val="0"/>
              <w:spacing w:before="0" w:beforeAutospacing="0" w:after="0" w:afterAutospacing="0" w:line="240" w:lineRule="auto"/>
              <w:ind w:left="0" w:leftChars="0" w:right="0" w:rightChars="0"/>
              <w:jc w:val="center"/>
              <w:textAlignment w:val="auto"/>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sz w:val="21"/>
                <w:szCs w:val="21"/>
                <w:highlight w:val="none"/>
              </w:rPr>
              <w:t>主观分</w:t>
            </w:r>
          </w:p>
        </w:tc>
      </w:tr>
      <w:tr w14:paraId="5E271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8" w:type="dxa"/>
            <w:vMerge w:val="continue"/>
            <w:noWrap w:val="0"/>
            <w:vAlign w:val="center"/>
          </w:tcPr>
          <w:p w14:paraId="04017E3B">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textAlignment w:val="auto"/>
              <w:rPr>
                <w:rFonts w:hint="eastAsia" w:ascii="宋体" w:hAnsi="宋体" w:eastAsia="宋体" w:cs="宋体"/>
                <w:color w:val="auto"/>
                <w:sz w:val="21"/>
                <w:szCs w:val="21"/>
                <w:highlight w:val="none"/>
              </w:rPr>
            </w:pPr>
          </w:p>
        </w:tc>
        <w:tc>
          <w:tcPr>
            <w:tcW w:w="884" w:type="dxa"/>
            <w:vMerge w:val="restart"/>
            <w:tcBorders>
              <w:left w:val="single" w:color="auto" w:sz="4" w:space="0"/>
              <w:right w:val="single" w:color="auto" w:sz="4" w:space="0"/>
            </w:tcBorders>
            <w:noWrap w:val="0"/>
            <w:vAlign w:val="center"/>
          </w:tcPr>
          <w:p w14:paraId="67FF5A28">
            <w:pPr>
              <w:keepNext w:val="0"/>
              <w:keepLines w:val="0"/>
              <w:pageBreakBefore w:val="0"/>
              <w:widowControl w:val="0"/>
              <w:suppressLineNumbers w:val="0"/>
              <w:kinsoku/>
              <w:wordWrap/>
              <w:overflowPunct/>
              <w:topLinePunct w:val="0"/>
              <w:bidi w:val="0"/>
              <w:spacing w:before="0" w:beforeAutospacing="0" w:after="0" w:afterAutospacing="0" w:line="240" w:lineRule="auto"/>
              <w:ind w:left="0" w:leftChars="0" w:right="0" w:rightChars="0"/>
              <w:jc w:val="center"/>
              <w:textAlignment w:val="auto"/>
              <w:rPr>
                <w:rFonts w:hint="default" w:ascii="宋体" w:hAnsi="宋体" w:eastAsia="楷体_GB2312"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运维管理系统运维服务</w:t>
            </w:r>
          </w:p>
        </w:tc>
        <w:tc>
          <w:tcPr>
            <w:tcW w:w="7183" w:type="dxa"/>
            <w:tcBorders>
              <w:top w:val="single" w:color="auto" w:sz="4" w:space="0"/>
              <w:left w:val="single" w:color="auto" w:sz="4" w:space="0"/>
              <w:right w:val="single" w:color="auto" w:sz="4" w:space="0"/>
            </w:tcBorders>
            <w:shd w:val="clear" w:color="auto" w:fill="auto"/>
            <w:noWrap w:val="0"/>
            <w:vAlign w:val="center"/>
          </w:tcPr>
          <w:p w14:paraId="0F53E3FB">
            <w:pPr>
              <w:pStyle w:val="72"/>
              <w:keepNext w:val="0"/>
              <w:keepLines w:val="0"/>
              <w:pageBreakBefore w:val="0"/>
              <w:widowControl w:val="0"/>
              <w:suppressLineNumbers w:val="0"/>
              <w:kinsoku/>
              <w:wordWrap/>
              <w:overflowPunct/>
              <w:topLinePunct w:val="0"/>
              <w:bidi w:val="0"/>
              <w:adjustRightInd w:val="0"/>
              <w:snapToGrid/>
              <w:spacing w:before="0" w:beforeAutospacing="0" w:after="0" w:afterAutospacing="0" w:line="240" w:lineRule="auto"/>
              <w:ind w:left="0" w:leftChars="0" w:right="0"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根据供应商提供针对采购文件第四部分《采购需求》“三、服务内容”中关于“运维管理系统运维服务内容”的系统日常运行监测保障方案进行综合评议；</w:t>
            </w:r>
          </w:p>
          <w:p w14:paraId="71977B8B">
            <w:pPr>
              <w:pStyle w:val="72"/>
              <w:keepNext w:val="0"/>
              <w:keepLines w:val="0"/>
              <w:pageBreakBefore w:val="0"/>
              <w:widowControl w:val="0"/>
              <w:suppressLineNumbers w:val="0"/>
              <w:kinsoku/>
              <w:wordWrap/>
              <w:overflowPunct/>
              <w:topLinePunct w:val="0"/>
              <w:bidi w:val="0"/>
              <w:adjustRightInd w:val="0"/>
              <w:snapToGrid/>
              <w:spacing w:before="0" w:beforeAutospacing="0" w:after="0" w:afterAutospacing="0" w:line="240" w:lineRule="auto"/>
              <w:ind w:left="0" w:leftChars="0" w:right="0" w:firstLine="0" w:firstLineChars="0"/>
              <w:textAlignment w:val="auto"/>
              <w:rPr>
                <w:rFonts w:hint="eastAsia"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①</w:t>
            </w:r>
            <w:r>
              <w:rPr>
                <w:rFonts w:hint="eastAsia" w:ascii="宋体" w:hAnsi="宋体" w:eastAsia="宋体" w:cs="宋体"/>
                <w:color w:val="auto"/>
                <w:sz w:val="21"/>
                <w:szCs w:val="21"/>
                <w:highlight w:val="none"/>
                <w:lang w:val="en-US" w:eastAsia="zh-CN"/>
              </w:rPr>
              <w:t>日常运维内容全面，异常定位及时，技术问题解决方案完善，完全满足采购文件要求的得5分；</w:t>
            </w:r>
          </w:p>
          <w:p w14:paraId="0326E5F0">
            <w:pPr>
              <w:pStyle w:val="72"/>
              <w:keepNext w:val="0"/>
              <w:keepLines w:val="0"/>
              <w:pageBreakBefore w:val="0"/>
              <w:widowControl w:val="0"/>
              <w:suppressLineNumbers w:val="0"/>
              <w:kinsoku/>
              <w:wordWrap/>
              <w:overflowPunct/>
              <w:topLinePunct w:val="0"/>
              <w:bidi w:val="0"/>
              <w:adjustRightInd w:val="0"/>
              <w:snapToGrid/>
              <w:spacing w:before="0" w:beforeAutospacing="0" w:after="0" w:afterAutospacing="0" w:line="240" w:lineRule="auto"/>
              <w:ind w:left="0" w:leftChars="0" w:right="0" w:firstLine="0" w:firstLineChars="0"/>
              <w:textAlignment w:val="auto"/>
              <w:rPr>
                <w:rFonts w:hint="eastAsia"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rPr>
              <w:t>②</w:t>
            </w:r>
            <w:r>
              <w:rPr>
                <w:rFonts w:hint="eastAsia" w:ascii="宋体" w:hAnsi="宋体" w:eastAsia="宋体" w:cs="宋体"/>
                <w:color w:val="auto"/>
                <w:sz w:val="21"/>
                <w:szCs w:val="21"/>
                <w:highlight w:val="none"/>
                <w:lang w:val="en-US" w:eastAsia="zh-CN"/>
              </w:rPr>
              <w:t>日常运维内容较全面，异常定位较及时，技术问题解决方案较完善，基本满足采购文件要求的得3分；</w:t>
            </w:r>
          </w:p>
          <w:p w14:paraId="05685615">
            <w:pPr>
              <w:pStyle w:val="72"/>
              <w:keepNext w:val="0"/>
              <w:keepLines w:val="0"/>
              <w:pageBreakBefore w:val="0"/>
              <w:widowControl w:val="0"/>
              <w:suppressLineNumbers w:val="0"/>
              <w:kinsoku/>
              <w:wordWrap/>
              <w:overflowPunct/>
              <w:topLinePunct w:val="0"/>
              <w:bidi w:val="0"/>
              <w:adjustRightInd w:val="0"/>
              <w:snapToGrid/>
              <w:spacing w:before="0" w:beforeAutospacing="0" w:after="0" w:afterAutospacing="0" w:line="240" w:lineRule="auto"/>
              <w:ind w:left="0" w:leftChars="0" w:right="0" w:firstLine="0" w:firstLineChars="0"/>
              <w:textAlignment w:val="auto"/>
              <w:rPr>
                <w:rFonts w:hint="eastAsia"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rPr>
              <w:t>③</w:t>
            </w:r>
            <w:r>
              <w:rPr>
                <w:rFonts w:hint="eastAsia" w:ascii="宋体" w:hAnsi="宋体" w:eastAsia="宋体" w:cs="宋体"/>
                <w:color w:val="auto"/>
                <w:sz w:val="21"/>
                <w:szCs w:val="21"/>
                <w:highlight w:val="none"/>
                <w:lang w:val="en-US" w:eastAsia="zh-CN"/>
              </w:rPr>
              <w:t>日常运维内容不全面，异常定位不及时，技术问题解决方案不完善的得1</w:t>
            </w:r>
            <w:bookmarkStart w:id="151" w:name="_GoBack"/>
            <w:bookmarkEnd w:id="151"/>
            <w:r>
              <w:rPr>
                <w:rFonts w:hint="eastAsia" w:ascii="宋体" w:hAnsi="宋体" w:eastAsia="宋体" w:cs="宋体"/>
                <w:color w:val="auto"/>
                <w:sz w:val="21"/>
                <w:szCs w:val="21"/>
                <w:highlight w:val="none"/>
                <w:lang w:val="en-US" w:eastAsia="zh-CN"/>
              </w:rPr>
              <w:t>分；</w:t>
            </w:r>
          </w:p>
          <w:p w14:paraId="7F03320C">
            <w:pPr>
              <w:pStyle w:val="72"/>
              <w:keepNext w:val="0"/>
              <w:keepLines w:val="0"/>
              <w:pageBreakBefore w:val="0"/>
              <w:widowControl w:val="0"/>
              <w:suppressLineNumbers w:val="0"/>
              <w:kinsoku/>
              <w:wordWrap/>
              <w:overflowPunct/>
              <w:topLinePunct w:val="0"/>
              <w:bidi w:val="0"/>
              <w:adjustRightInd w:val="0"/>
              <w:snapToGrid/>
              <w:spacing w:before="0" w:beforeAutospacing="0" w:after="0" w:afterAutospacing="0" w:line="240" w:lineRule="auto"/>
              <w:ind w:left="0" w:leftChars="0" w:right="0" w:firstLine="0" w:firstLineChars="0"/>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④</w:t>
            </w:r>
            <w:r>
              <w:rPr>
                <w:rFonts w:hint="eastAsia" w:ascii="宋体" w:hAnsi="宋体" w:eastAsia="宋体" w:cs="宋体"/>
                <w:color w:val="auto"/>
                <w:sz w:val="21"/>
                <w:szCs w:val="21"/>
                <w:highlight w:val="none"/>
                <w:lang w:val="en-US" w:eastAsia="zh-CN"/>
              </w:rPr>
              <w:t>未提供方案的不得分。</w:t>
            </w:r>
          </w:p>
        </w:tc>
        <w:tc>
          <w:tcPr>
            <w:tcW w:w="717" w:type="dxa"/>
            <w:shd w:val="clear" w:color="auto" w:fill="auto"/>
            <w:noWrap w:val="0"/>
            <w:vAlign w:val="center"/>
          </w:tcPr>
          <w:p w14:paraId="34520CB7">
            <w:pPr>
              <w:keepNext w:val="0"/>
              <w:keepLines w:val="0"/>
              <w:pageBreakBefore w:val="0"/>
              <w:widowControl w:val="0"/>
              <w:suppressLineNumbers w:val="0"/>
              <w:kinsoku/>
              <w:wordWrap/>
              <w:overflowPunct/>
              <w:topLinePunct w:val="0"/>
              <w:bidi w:val="0"/>
              <w:spacing w:before="0" w:beforeAutospacing="0" w:after="0" w:afterAutospacing="0" w:line="240" w:lineRule="auto"/>
              <w:ind w:left="0" w:leftChars="0" w:right="0" w:right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5</w:t>
            </w:r>
          </w:p>
        </w:tc>
        <w:tc>
          <w:tcPr>
            <w:tcW w:w="686" w:type="dxa"/>
            <w:shd w:val="clear" w:color="auto" w:fill="auto"/>
            <w:noWrap w:val="0"/>
            <w:vAlign w:val="center"/>
          </w:tcPr>
          <w:p w14:paraId="079DE326">
            <w:pPr>
              <w:pStyle w:val="22"/>
              <w:keepNext w:val="0"/>
              <w:keepLines w:val="0"/>
              <w:pageBreakBefore w:val="0"/>
              <w:widowControl w:val="0"/>
              <w:suppressLineNumbers w:val="0"/>
              <w:kinsoku/>
              <w:wordWrap/>
              <w:overflowPunct/>
              <w:topLinePunct w:val="0"/>
              <w:bidi w:val="0"/>
              <w:spacing w:before="0" w:beforeAutospacing="0" w:after="0" w:afterAutospacing="0" w:line="240" w:lineRule="auto"/>
              <w:ind w:left="0" w:leftChars="0" w:right="0" w:rightChars="0"/>
              <w:jc w:val="center"/>
              <w:textAlignment w:val="auto"/>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sz w:val="21"/>
                <w:szCs w:val="21"/>
                <w:highlight w:val="none"/>
              </w:rPr>
              <w:t>主观分</w:t>
            </w:r>
          </w:p>
        </w:tc>
      </w:tr>
      <w:tr w14:paraId="3FF87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3" w:hRule="atLeast"/>
          <w:jc w:val="center"/>
        </w:trPr>
        <w:tc>
          <w:tcPr>
            <w:tcW w:w="708" w:type="dxa"/>
            <w:vMerge w:val="continue"/>
            <w:noWrap w:val="0"/>
            <w:vAlign w:val="center"/>
          </w:tcPr>
          <w:p w14:paraId="4F41C551">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textAlignment w:val="auto"/>
              <w:rPr>
                <w:rFonts w:hint="eastAsia" w:ascii="宋体" w:hAnsi="宋体" w:eastAsia="宋体" w:cs="宋体"/>
                <w:color w:val="auto"/>
                <w:sz w:val="21"/>
                <w:szCs w:val="21"/>
                <w:highlight w:val="none"/>
              </w:rPr>
            </w:pPr>
          </w:p>
        </w:tc>
        <w:tc>
          <w:tcPr>
            <w:tcW w:w="884" w:type="dxa"/>
            <w:vMerge w:val="continue"/>
            <w:tcBorders>
              <w:left w:val="single" w:color="auto" w:sz="4" w:space="0"/>
              <w:right w:val="single" w:color="auto" w:sz="4" w:space="0"/>
            </w:tcBorders>
            <w:noWrap w:val="0"/>
            <w:vAlign w:val="center"/>
          </w:tcPr>
          <w:p w14:paraId="0F4AD634">
            <w:pPr>
              <w:keepNext w:val="0"/>
              <w:keepLines w:val="0"/>
              <w:pageBreakBefore w:val="0"/>
              <w:widowControl w:val="0"/>
              <w:suppressLineNumbers w:val="0"/>
              <w:kinsoku/>
              <w:wordWrap/>
              <w:overflowPunct/>
              <w:topLinePunct w:val="0"/>
              <w:bidi w:val="0"/>
              <w:spacing w:before="0" w:beforeAutospacing="0" w:after="0" w:afterAutospacing="0" w:line="240" w:lineRule="auto"/>
              <w:ind w:left="0" w:leftChars="0" w:right="0" w:rightChars="0"/>
              <w:textAlignment w:val="auto"/>
              <w:rPr>
                <w:rFonts w:hint="eastAsia" w:ascii="宋体" w:hAnsi="宋体" w:eastAsia="宋体" w:cs="宋体"/>
                <w:color w:val="auto"/>
                <w:sz w:val="21"/>
                <w:szCs w:val="21"/>
                <w:highlight w:val="none"/>
                <w:lang w:val="en-US" w:eastAsia="zh-CN"/>
              </w:rPr>
            </w:pPr>
          </w:p>
        </w:tc>
        <w:tc>
          <w:tcPr>
            <w:tcW w:w="7183" w:type="dxa"/>
            <w:tcBorders>
              <w:top w:val="single" w:color="auto" w:sz="4" w:space="0"/>
              <w:left w:val="single" w:color="auto" w:sz="4" w:space="0"/>
              <w:right w:val="single" w:color="auto" w:sz="4" w:space="0"/>
            </w:tcBorders>
            <w:shd w:val="clear" w:color="auto" w:fill="auto"/>
            <w:noWrap w:val="0"/>
            <w:vAlign w:val="center"/>
          </w:tcPr>
          <w:p w14:paraId="61738E9D">
            <w:pPr>
              <w:pStyle w:val="72"/>
              <w:keepNext w:val="0"/>
              <w:keepLines w:val="0"/>
              <w:pageBreakBefore w:val="0"/>
              <w:widowControl w:val="0"/>
              <w:suppressLineNumbers w:val="0"/>
              <w:kinsoku/>
              <w:wordWrap/>
              <w:overflowPunct/>
              <w:topLinePunct w:val="0"/>
              <w:bidi w:val="0"/>
              <w:adjustRightInd w:val="0"/>
              <w:snapToGrid/>
              <w:spacing w:before="0" w:beforeAutospacing="0" w:after="0" w:afterAutospacing="0" w:line="240" w:lineRule="auto"/>
              <w:ind w:left="0" w:leftChars="0" w:right="0"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根据供应商提供针对采购文件第四部分《采购需求》“三、服务内容”中关于“运维管理系统运维服务内容”的日常使用问题处置方案和系统使用答疑方案进行综合评议；</w:t>
            </w:r>
          </w:p>
          <w:p w14:paraId="52FF7DB9">
            <w:pPr>
              <w:pStyle w:val="72"/>
              <w:keepNext w:val="0"/>
              <w:keepLines w:val="0"/>
              <w:pageBreakBefore w:val="0"/>
              <w:widowControl w:val="0"/>
              <w:suppressLineNumbers w:val="0"/>
              <w:kinsoku/>
              <w:wordWrap/>
              <w:overflowPunct/>
              <w:topLinePunct w:val="0"/>
              <w:bidi w:val="0"/>
              <w:adjustRightInd w:val="0"/>
              <w:snapToGrid/>
              <w:spacing w:before="0" w:beforeAutospacing="0" w:after="0" w:afterAutospacing="0" w:line="240" w:lineRule="auto"/>
              <w:ind w:left="0" w:leftChars="0" w:right="0" w:firstLine="0" w:firstLineChars="0"/>
              <w:textAlignment w:val="auto"/>
              <w:rPr>
                <w:rFonts w:hint="eastAsia"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①</w:t>
            </w:r>
            <w:r>
              <w:rPr>
                <w:rFonts w:hint="eastAsia" w:ascii="宋体" w:hAnsi="宋体" w:eastAsia="宋体" w:cs="宋体"/>
                <w:color w:val="auto"/>
                <w:sz w:val="21"/>
                <w:szCs w:val="21"/>
                <w:highlight w:val="none"/>
                <w:lang w:val="en-US" w:eastAsia="zh-CN"/>
              </w:rPr>
              <w:t>建立日常反馈机制，对接及解决问题反馈及时的得5分；</w:t>
            </w:r>
          </w:p>
          <w:p w14:paraId="4A0109BA">
            <w:pPr>
              <w:pStyle w:val="72"/>
              <w:keepNext w:val="0"/>
              <w:keepLines w:val="0"/>
              <w:pageBreakBefore w:val="0"/>
              <w:widowControl w:val="0"/>
              <w:suppressLineNumbers w:val="0"/>
              <w:kinsoku/>
              <w:wordWrap/>
              <w:overflowPunct/>
              <w:topLinePunct w:val="0"/>
              <w:bidi w:val="0"/>
              <w:adjustRightInd w:val="0"/>
              <w:snapToGrid/>
              <w:spacing w:before="0" w:beforeAutospacing="0" w:after="0" w:afterAutospacing="0" w:line="240" w:lineRule="auto"/>
              <w:ind w:left="0" w:leftChars="0" w:right="0" w:firstLine="0" w:firstLineChars="0"/>
              <w:textAlignment w:val="auto"/>
              <w:rPr>
                <w:rFonts w:hint="eastAsia"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②</w:t>
            </w:r>
            <w:r>
              <w:rPr>
                <w:rFonts w:hint="eastAsia" w:ascii="宋体" w:hAnsi="宋体" w:eastAsia="宋体" w:cs="宋体"/>
                <w:color w:val="auto"/>
                <w:sz w:val="21"/>
                <w:szCs w:val="21"/>
                <w:highlight w:val="none"/>
                <w:lang w:val="en-US" w:eastAsia="zh-CN"/>
              </w:rPr>
              <w:t>建立日常反馈机制，对接及解决问题反馈较及时的得3分；</w:t>
            </w:r>
          </w:p>
          <w:p w14:paraId="750D96AA">
            <w:pPr>
              <w:pStyle w:val="72"/>
              <w:keepNext w:val="0"/>
              <w:keepLines w:val="0"/>
              <w:pageBreakBefore w:val="0"/>
              <w:widowControl w:val="0"/>
              <w:suppressLineNumbers w:val="0"/>
              <w:kinsoku/>
              <w:wordWrap/>
              <w:overflowPunct/>
              <w:topLinePunct w:val="0"/>
              <w:bidi w:val="0"/>
              <w:adjustRightInd w:val="0"/>
              <w:snapToGrid/>
              <w:spacing w:before="0" w:beforeAutospacing="0" w:after="0" w:afterAutospacing="0" w:line="240" w:lineRule="auto"/>
              <w:ind w:left="0" w:leftChars="0" w:right="0" w:firstLine="0" w:firstLineChars="0"/>
              <w:textAlignment w:val="auto"/>
              <w:rPr>
                <w:rFonts w:hint="eastAsia"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③</w:t>
            </w:r>
            <w:r>
              <w:rPr>
                <w:rFonts w:hint="eastAsia" w:ascii="宋体" w:hAnsi="宋体" w:eastAsia="宋体" w:cs="宋体"/>
                <w:color w:val="auto"/>
                <w:sz w:val="21"/>
                <w:szCs w:val="21"/>
                <w:highlight w:val="none"/>
                <w:lang w:val="en-US" w:eastAsia="zh-CN"/>
              </w:rPr>
              <w:t>建立日常反馈机制，对接及解决问题反馈欠及时的得1分；</w:t>
            </w:r>
          </w:p>
          <w:p w14:paraId="1C48EEB0">
            <w:pPr>
              <w:pStyle w:val="72"/>
              <w:keepNext w:val="0"/>
              <w:keepLines w:val="0"/>
              <w:pageBreakBefore w:val="0"/>
              <w:widowControl w:val="0"/>
              <w:suppressLineNumbers w:val="0"/>
              <w:kinsoku/>
              <w:wordWrap/>
              <w:overflowPunct/>
              <w:topLinePunct w:val="0"/>
              <w:bidi w:val="0"/>
              <w:adjustRightInd w:val="0"/>
              <w:snapToGrid/>
              <w:spacing w:before="0" w:beforeAutospacing="0" w:after="0" w:afterAutospacing="0" w:line="240" w:lineRule="auto"/>
              <w:ind w:left="0" w:leftChars="0" w:right="0" w:firstLine="0" w:firstLineChars="0"/>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④未提供相关内容的不得分。</w:t>
            </w:r>
          </w:p>
        </w:tc>
        <w:tc>
          <w:tcPr>
            <w:tcW w:w="717" w:type="dxa"/>
            <w:shd w:val="clear" w:color="auto" w:fill="auto"/>
            <w:noWrap w:val="0"/>
            <w:vAlign w:val="center"/>
          </w:tcPr>
          <w:p w14:paraId="216CFF9F">
            <w:pPr>
              <w:keepNext w:val="0"/>
              <w:keepLines w:val="0"/>
              <w:pageBreakBefore w:val="0"/>
              <w:widowControl w:val="0"/>
              <w:suppressLineNumbers w:val="0"/>
              <w:kinsoku/>
              <w:wordWrap/>
              <w:overflowPunct/>
              <w:topLinePunct w:val="0"/>
              <w:bidi w:val="0"/>
              <w:spacing w:before="0" w:beforeAutospacing="0" w:after="0" w:afterAutospacing="0" w:line="240" w:lineRule="auto"/>
              <w:ind w:left="0" w:leftChars="0" w:right="0" w:right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5</w:t>
            </w:r>
          </w:p>
        </w:tc>
        <w:tc>
          <w:tcPr>
            <w:tcW w:w="686" w:type="dxa"/>
            <w:shd w:val="clear" w:color="auto" w:fill="auto"/>
            <w:noWrap w:val="0"/>
            <w:vAlign w:val="center"/>
          </w:tcPr>
          <w:p w14:paraId="3E75A015">
            <w:pPr>
              <w:pStyle w:val="22"/>
              <w:keepNext w:val="0"/>
              <w:keepLines w:val="0"/>
              <w:pageBreakBefore w:val="0"/>
              <w:widowControl w:val="0"/>
              <w:suppressLineNumbers w:val="0"/>
              <w:kinsoku/>
              <w:wordWrap/>
              <w:overflowPunct/>
              <w:topLinePunct w:val="0"/>
              <w:bidi w:val="0"/>
              <w:spacing w:before="0" w:beforeAutospacing="0" w:after="0" w:afterAutospacing="0" w:line="240" w:lineRule="auto"/>
              <w:ind w:left="0" w:leftChars="0" w:right="0" w:rightChars="0"/>
              <w:jc w:val="center"/>
              <w:textAlignment w:val="auto"/>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sz w:val="21"/>
                <w:szCs w:val="21"/>
                <w:highlight w:val="none"/>
              </w:rPr>
              <w:t>主观分</w:t>
            </w:r>
          </w:p>
        </w:tc>
      </w:tr>
      <w:tr w14:paraId="62193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3" w:hRule="atLeast"/>
          <w:jc w:val="center"/>
        </w:trPr>
        <w:tc>
          <w:tcPr>
            <w:tcW w:w="708" w:type="dxa"/>
            <w:vMerge w:val="continue"/>
            <w:noWrap w:val="0"/>
            <w:vAlign w:val="center"/>
          </w:tcPr>
          <w:p w14:paraId="560ABC91">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textAlignment w:val="auto"/>
              <w:rPr>
                <w:rFonts w:hint="eastAsia" w:ascii="宋体" w:hAnsi="宋体" w:eastAsia="宋体" w:cs="宋体"/>
                <w:color w:val="auto"/>
                <w:sz w:val="21"/>
                <w:szCs w:val="21"/>
                <w:highlight w:val="none"/>
              </w:rPr>
            </w:pPr>
          </w:p>
        </w:tc>
        <w:tc>
          <w:tcPr>
            <w:tcW w:w="884" w:type="dxa"/>
            <w:tcBorders>
              <w:left w:val="single" w:color="auto" w:sz="4" w:space="0"/>
              <w:right w:val="single" w:color="auto" w:sz="4" w:space="0"/>
            </w:tcBorders>
            <w:noWrap w:val="0"/>
            <w:vAlign w:val="center"/>
          </w:tcPr>
          <w:p w14:paraId="44067766">
            <w:pPr>
              <w:keepNext w:val="0"/>
              <w:keepLines w:val="0"/>
              <w:pageBreakBefore w:val="0"/>
              <w:widowControl w:val="0"/>
              <w:suppressLineNumbers w:val="0"/>
              <w:kinsoku/>
              <w:wordWrap/>
              <w:overflowPunct/>
              <w:topLinePunct w:val="0"/>
              <w:bidi w:val="0"/>
              <w:spacing w:before="0" w:beforeAutospacing="0" w:after="0" w:afterAutospacing="0" w:line="240" w:lineRule="auto"/>
              <w:ind w:left="0" w:leftChars="0" w:right="0" w:rightChars="0"/>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数据统计服务方案</w:t>
            </w:r>
          </w:p>
        </w:tc>
        <w:tc>
          <w:tcPr>
            <w:tcW w:w="7183" w:type="dxa"/>
            <w:tcBorders>
              <w:top w:val="single" w:color="auto" w:sz="4" w:space="0"/>
              <w:left w:val="single" w:color="auto" w:sz="4" w:space="0"/>
              <w:right w:val="single" w:color="auto" w:sz="4" w:space="0"/>
            </w:tcBorders>
            <w:shd w:val="clear" w:color="auto" w:fill="auto"/>
            <w:noWrap w:val="0"/>
            <w:vAlign w:val="center"/>
          </w:tcPr>
          <w:p w14:paraId="17DD547D">
            <w:pPr>
              <w:keepNext w:val="0"/>
              <w:keepLines w:val="0"/>
              <w:pageBreakBefore w:val="0"/>
              <w:widowControl w:val="0"/>
              <w:suppressLineNumbers w:val="0"/>
              <w:kinsoku/>
              <w:wordWrap/>
              <w:overflowPunct/>
              <w:topLinePunct w:val="0"/>
              <w:bidi w:val="0"/>
              <w:spacing w:before="0" w:beforeAutospacing="0" w:after="0" w:afterAutospacing="0" w:line="240" w:lineRule="auto"/>
              <w:ind w:left="0" w:leftChars="0" w:right="0" w:righ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根据供应商提供针对采购文件第四部分《采购需求》“三、服务内容”中关于交换平台、共享平台、运维管理系统的</w:t>
            </w:r>
            <w:r>
              <w:rPr>
                <w:rFonts w:hint="eastAsia" w:ascii="宋体" w:hAnsi="宋体" w:cs="宋体"/>
                <w:color w:val="auto"/>
                <w:sz w:val="21"/>
                <w:szCs w:val="21"/>
                <w:highlight w:val="none"/>
                <w:lang w:val="en-US" w:eastAsia="zh-CN"/>
              </w:rPr>
              <w:t>数据统计服务方案</w:t>
            </w:r>
            <w:r>
              <w:rPr>
                <w:rFonts w:hint="eastAsia" w:ascii="宋体" w:hAnsi="宋体" w:eastAsia="宋体" w:cs="宋体"/>
                <w:color w:val="auto"/>
                <w:sz w:val="21"/>
                <w:szCs w:val="21"/>
                <w:highlight w:val="none"/>
                <w:lang w:val="en-US" w:eastAsia="zh-CN"/>
              </w:rPr>
              <w:t>进行综合评议；</w:t>
            </w:r>
          </w:p>
          <w:p w14:paraId="72DEE992">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textAlignment w:val="auto"/>
              <w:rPr>
                <w:rFonts w:hint="eastAsia"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rPr>
              <w:t>①</w:t>
            </w:r>
            <w:r>
              <w:rPr>
                <w:rFonts w:hint="eastAsia" w:ascii="宋体" w:hAnsi="宋体" w:eastAsia="宋体" w:cs="宋体"/>
                <w:color w:val="auto"/>
                <w:sz w:val="21"/>
                <w:szCs w:val="21"/>
                <w:highlight w:val="none"/>
                <w:lang w:val="en-US" w:eastAsia="zh-CN"/>
              </w:rPr>
              <w:t>数据统计分析方法合理，</w:t>
            </w:r>
            <w:r>
              <w:rPr>
                <w:rFonts w:hint="eastAsia" w:ascii="宋体" w:hAnsi="宋体" w:cs="宋体"/>
                <w:color w:val="auto"/>
                <w:sz w:val="21"/>
                <w:szCs w:val="21"/>
                <w:highlight w:val="none"/>
                <w:lang w:val="en-US" w:eastAsia="zh-CN"/>
              </w:rPr>
              <w:t>计划合理</w:t>
            </w:r>
            <w:r>
              <w:rPr>
                <w:rFonts w:hint="eastAsia" w:ascii="宋体" w:hAnsi="宋体" w:eastAsia="宋体" w:cs="宋体"/>
                <w:color w:val="auto"/>
                <w:sz w:val="21"/>
                <w:szCs w:val="21"/>
                <w:highlight w:val="none"/>
                <w:lang w:val="en-US" w:eastAsia="zh-CN"/>
              </w:rPr>
              <w:t>的得</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分；</w:t>
            </w:r>
          </w:p>
          <w:p w14:paraId="1CF6ECA3">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textAlignment w:val="auto"/>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rPr>
              <w:t>②</w:t>
            </w:r>
            <w:r>
              <w:rPr>
                <w:rFonts w:hint="eastAsia" w:ascii="宋体" w:hAnsi="宋体" w:eastAsia="宋体" w:cs="宋体"/>
                <w:color w:val="auto"/>
                <w:sz w:val="21"/>
                <w:szCs w:val="21"/>
                <w:highlight w:val="none"/>
                <w:lang w:val="en-US" w:eastAsia="zh-CN"/>
              </w:rPr>
              <w:t>数据统计分析方法较合理，</w:t>
            </w:r>
            <w:r>
              <w:rPr>
                <w:rFonts w:hint="eastAsia" w:ascii="宋体" w:hAnsi="宋体" w:cs="宋体"/>
                <w:color w:val="auto"/>
                <w:sz w:val="21"/>
                <w:szCs w:val="21"/>
                <w:highlight w:val="none"/>
                <w:lang w:val="en-US" w:eastAsia="zh-CN"/>
              </w:rPr>
              <w:t>计划较合理的得2</w:t>
            </w:r>
            <w:r>
              <w:rPr>
                <w:rFonts w:hint="eastAsia" w:ascii="宋体" w:hAnsi="宋体" w:eastAsia="宋体" w:cs="宋体"/>
                <w:color w:val="auto"/>
                <w:sz w:val="21"/>
                <w:szCs w:val="21"/>
                <w:highlight w:val="none"/>
                <w:lang w:val="en-US" w:eastAsia="zh-CN"/>
              </w:rPr>
              <w:t>分；</w:t>
            </w:r>
          </w:p>
          <w:p w14:paraId="57840807">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textAlignment w:val="auto"/>
              <w:rPr>
                <w:rFonts w:hint="eastAsia"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rPr>
              <w:t>③</w:t>
            </w:r>
            <w:r>
              <w:rPr>
                <w:rFonts w:hint="eastAsia" w:ascii="宋体" w:hAnsi="宋体" w:eastAsia="宋体" w:cs="宋体"/>
                <w:color w:val="auto"/>
                <w:sz w:val="21"/>
                <w:szCs w:val="21"/>
                <w:highlight w:val="none"/>
                <w:lang w:val="en-US" w:eastAsia="zh-CN"/>
              </w:rPr>
              <w:t>数据统计分析方法欠合理，</w:t>
            </w:r>
            <w:r>
              <w:rPr>
                <w:rFonts w:hint="eastAsia" w:ascii="宋体" w:hAnsi="宋体" w:cs="宋体"/>
                <w:color w:val="auto"/>
                <w:sz w:val="21"/>
                <w:szCs w:val="21"/>
                <w:highlight w:val="none"/>
                <w:lang w:val="en-US" w:eastAsia="zh-CN"/>
              </w:rPr>
              <w:t>计划欠合理</w:t>
            </w:r>
            <w:r>
              <w:rPr>
                <w:rFonts w:hint="eastAsia" w:ascii="宋体" w:hAnsi="宋体" w:eastAsia="宋体" w:cs="宋体"/>
                <w:color w:val="auto"/>
                <w:sz w:val="21"/>
                <w:szCs w:val="21"/>
                <w:highlight w:val="none"/>
                <w:lang w:val="en-US" w:eastAsia="zh-CN"/>
              </w:rPr>
              <w:t>的得1分；</w:t>
            </w:r>
          </w:p>
          <w:p w14:paraId="71327D4E">
            <w:pPr>
              <w:keepNext w:val="0"/>
              <w:keepLines w:val="0"/>
              <w:pageBreakBefore w:val="0"/>
              <w:widowControl w:val="0"/>
              <w:suppressLineNumbers w:val="0"/>
              <w:kinsoku/>
              <w:wordWrap/>
              <w:overflowPunct/>
              <w:topLinePunct w:val="0"/>
              <w:bidi w:val="0"/>
              <w:spacing w:before="0" w:beforeAutospacing="0" w:after="0" w:afterAutospacing="0" w:line="240" w:lineRule="auto"/>
              <w:ind w:left="0" w:leftChars="0" w:right="0" w:righ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④</w:t>
            </w:r>
            <w:r>
              <w:rPr>
                <w:rFonts w:hint="eastAsia" w:ascii="宋体" w:hAnsi="宋体" w:eastAsia="宋体" w:cs="宋体"/>
                <w:color w:val="auto"/>
                <w:sz w:val="21"/>
                <w:szCs w:val="21"/>
                <w:highlight w:val="none"/>
                <w:lang w:val="en-US" w:eastAsia="zh-CN"/>
              </w:rPr>
              <w:t>未提供方案的不得分。</w:t>
            </w:r>
          </w:p>
        </w:tc>
        <w:tc>
          <w:tcPr>
            <w:tcW w:w="717" w:type="dxa"/>
            <w:shd w:val="clear" w:color="auto" w:fill="auto"/>
            <w:noWrap w:val="0"/>
            <w:vAlign w:val="center"/>
          </w:tcPr>
          <w:p w14:paraId="30A62D39">
            <w:pPr>
              <w:keepNext w:val="0"/>
              <w:keepLines w:val="0"/>
              <w:pageBreakBefore w:val="0"/>
              <w:widowControl w:val="0"/>
              <w:suppressLineNumbers w:val="0"/>
              <w:kinsoku/>
              <w:wordWrap/>
              <w:overflowPunct/>
              <w:topLinePunct w:val="0"/>
              <w:bidi w:val="0"/>
              <w:spacing w:before="0" w:beforeAutospacing="0" w:after="0" w:afterAutospacing="0" w:line="240" w:lineRule="auto"/>
              <w:ind w:left="0" w:leftChars="0" w:right="0" w:rightChars="0"/>
              <w:jc w:val="center"/>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3</w:t>
            </w:r>
          </w:p>
        </w:tc>
        <w:tc>
          <w:tcPr>
            <w:tcW w:w="686" w:type="dxa"/>
            <w:shd w:val="clear" w:color="auto" w:fill="auto"/>
            <w:noWrap w:val="0"/>
            <w:vAlign w:val="center"/>
          </w:tcPr>
          <w:p w14:paraId="4997529C">
            <w:pPr>
              <w:pStyle w:val="22"/>
              <w:keepNext w:val="0"/>
              <w:keepLines w:val="0"/>
              <w:pageBreakBefore w:val="0"/>
              <w:widowControl w:val="0"/>
              <w:suppressLineNumbers w:val="0"/>
              <w:kinsoku/>
              <w:wordWrap/>
              <w:overflowPunct/>
              <w:topLinePunct w:val="0"/>
              <w:bidi w:val="0"/>
              <w:spacing w:before="0" w:beforeAutospacing="0" w:after="0" w:afterAutospacing="0" w:line="240" w:lineRule="auto"/>
              <w:ind w:left="0" w:leftChars="0" w:right="0" w:rightChars="0"/>
              <w:jc w:val="center"/>
              <w:textAlignment w:val="auto"/>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sz w:val="21"/>
                <w:szCs w:val="21"/>
                <w:highlight w:val="none"/>
              </w:rPr>
              <w:t>主观分</w:t>
            </w:r>
          </w:p>
        </w:tc>
      </w:tr>
      <w:tr w14:paraId="34496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3" w:hRule="atLeast"/>
          <w:jc w:val="center"/>
        </w:trPr>
        <w:tc>
          <w:tcPr>
            <w:tcW w:w="708" w:type="dxa"/>
            <w:vMerge w:val="continue"/>
            <w:noWrap w:val="0"/>
            <w:vAlign w:val="center"/>
          </w:tcPr>
          <w:p w14:paraId="12DA551F">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textAlignment w:val="auto"/>
              <w:rPr>
                <w:rFonts w:hint="eastAsia" w:ascii="宋体" w:hAnsi="宋体" w:eastAsia="宋体" w:cs="宋体"/>
                <w:color w:val="auto"/>
                <w:sz w:val="21"/>
                <w:szCs w:val="21"/>
                <w:highlight w:val="none"/>
              </w:rPr>
            </w:pPr>
          </w:p>
        </w:tc>
        <w:tc>
          <w:tcPr>
            <w:tcW w:w="884" w:type="dxa"/>
            <w:tcBorders>
              <w:left w:val="single" w:color="auto" w:sz="4" w:space="0"/>
              <w:right w:val="single" w:color="auto" w:sz="4" w:space="0"/>
            </w:tcBorders>
            <w:noWrap w:val="0"/>
            <w:vAlign w:val="center"/>
          </w:tcPr>
          <w:p w14:paraId="5CC88097">
            <w:pPr>
              <w:keepNext w:val="0"/>
              <w:keepLines w:val="0"/>
              <w:pageBreakBefore w:val="0"/>
              <w:widowControl w:val="0"/>
              <w:suppressLineNumbers w:val="0"/>
              <w:kinsoku/>
              <w:wordWrap/>
              <w:overflowPunct/>
              <w:topLinePunct w:val="0"/>
              <w:bidi w:val="0"/>
              <w:spacing w:before="0" w:beforeAutospacing="0" w:after="0" w:afterAutospacing="0" w:line="240" w:lineRule="auto"/>
              <w:ind w:left="0" w:leftChars="0" w:right="0" w:rightChars="0"/>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安全技术支撑服务方案</w:t>
            </w:r>
          </w:p>
        </w:tc>
        <w:tc>
          <w:tcPr>
            <w:tcW w:w="7183" w:type="dxa"/>
            <w:tcBorders>
              <w:top w:val="single" w:color="auto" w:sz="4" w:space="0"/>
              <w:left w:val="single" w:color="auto" w:sz="4" w:space="0"/>
              <w:right w:val="single" w:color="auto" w:sz="4" w:space="0"/>
            </w:tcBorders>
            <w:shd w:val="clear" w:color="auto" w:fill="auto"/>
            <w:noWrap w:val="0"/>
            <w:vAlign w:val="center"/>
          </w:tcPr>
          <w:p w14:paraId="757F0D5F">
            <w:pPr>
              <w:keepNext w:val="0"/>
              <w:keepLines w:val="0"/>
              <w:pageBreakBefore w:val="0"/>
              <w:widowControl w:val="0"/>
              <w:suppressLineNumbers w:val="0"/>
              <w:kinsoku/>
              <w:wordWrap/>
              <w:overflowPunct/>
              <w:topLinePunct w:val="0"/>
              <w:bidi w:val="0"/>
              <w:spacing w:before="0" w:beforeAutospacing="0" w:after="0" w:afterAutospacing="0" w:line="240" w:lineRule="auto"/>
              <w:ind w:left="0" w:leftChars="0" w:right="0" w:righ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根据供应商提供针对采购文件第四部分《采购需求》“三、服务内容”中关于交换平台、共享平台、运维管理系统的安全技术支撑服务方案进行综合评议；</w:t>
            </w:r>
          </w:p>
          <w:p w14:paraId="68AA818E">
            <w:pPr>
              <w:keepNext w:val="0"/>
              <w:keepLines w:val="0"/>
              <w:pageBreakBefore w:val="0"/>
              <w:widowControl w:val="0"/>
              <w:suppressLineNumbers w:val="0"/>
              <w:kinsoku/>
              <w:wordWrap/>
              <w:overflowPunct/>
              <w:topLinePunct w:val="0"/>
              <w:bidi w:val="0"/>
              <w:spacing w:before="0" w:beforeAutospacing="0" w:after="0" w:afterAutospacing="0" w:line="240" w:lineRule="auto"/>
              <w:ind w:left="0" w:leftChars="0" w:right="0" w:rightChars="0"/>
              <w:textAlignment w:val="auto"/>
              <w:rPr>
                <w:rFonts w:hint="eastAsia"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①</w:t>
            </w:r>
            <w:r>
              <w:rPr>
                <w:rFonts w:hint="eastAsia" w:ascii="宋体" w:hAnsi="宋体" w:eastAsia="宋体" w:cs="宋体"/>
                <w:color w:val="auto"/>
                <w:sz w:val="21"/>
                <w:szCs w:val="21"/>
                <w:highlight w:val="none"/>
                <w:lang w:val="en-US" w:eastAsia="zh-CN"/>
              </w:rPr>
              <w:t>方案完整详细，技术支撑服务团队有保障，资源投入充足，响应快速</w:t>
            </w:r>
            <w:r>
              <w:rPr>
                <w:rFonts w:hint="eastAsia" w:ascii="宋体" w:hAnsi="宋体" w:cs="宋体"/>
                <w:color w:val="auto"/>
                <w:sz w:val="21"/>
                <w:szCs w:val="21"/>
                <w:highlight w:val="none"/>
                <w:lang w:val="en-US" w:eastAsia="zh-CN"/>
              </w:rPr>
              <w:t>，完全满足采购文件</w:t>
            </w:r>
            <w:r>
              <w:rPr>
                <w:rFonts w:hint="eastAsia" w:ascii="宋体" w:hAnsi="宋体" w:eastAsia="宋体" w:cs="宋体"/>
                <w:color w:val="auto"/>
                <w:sz w:val="21"/>
                <w:szCs w:val="21"/>
                <w:highlight w:val="none"/>
                <w:lang w:val="en-US" w:eastAsia="zh-CN"/>
              </w:rPr>
              <w:t>的得5分；</w:t>
            </w:r>
          </w:p>
          <w:p w14:paraId="0CE6984D">
            <w:pPr>
              <w:keepNext w:val="0"/>
              <w:keepLines w:val="0"/>
              <w:pageBreakBefore w:val="0"/>
              <w:widowControl w:val="0"/>
              <w:suppressLineNumbers w:val="0"/>
              <w:kinsoku/>
              <w:wordWrap/>
              <w:overflowPunct/>
              <w:topLinePunct w:val="0"/>
              <w:bidi w:val="0"/>
              <w:spacing w:before="0" w:beforeAutospacing="0" w:after="0" w:afterAutospacing="0" w:line="240" w:lineRule="auto"/>
              <w:ind w:left="0" w:leftChars="0" w:right="0" w:rightChars="0"/>
              <w:textAlignment w:val="auto"/>
              <w:rPr>
                <w:rFonts w:hint="eastAsia"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②</w:t>
            </w:r>
            <w:r>
              <w:rPr>
                <w:rFonts w:hint="eastAsia" w:ascii="宋体" w:hAnsi="宋体" w:eastAsia="宋体" w:cs="宋体"/>
                <w:color w:val="auto"/>
                <w:sz w:val="21"/>
                <w:szCs w:val="21"/>
                <w:highlight w:val="none"/>
                <w:lang w:val="en-US" w:eastAsia="zh-CN"/>
              </w:rPr>
              <w:t>方案较完整，技术支撑服务团队较有保障，资源投入较充足，响应较快速</w:t>
            </w:r>
            <w:r>
              <w:rPr>
                <w:rFonts w:hint="eastAsia" w:ascii="宋体" w:hAnsi="宋体" w:cs="宋体"/>
                <w:color w:val="auto"/>
                <w:sz w:val="21"/>
                <w:szCs w:val="21"/>
                <w:highlight w:val="none"/>
                <w:lang w:val="en-US" w:eastAsia="zh-CN"/>
              </w:rPr>
              <w:t>，基本满足采购文件</w:t>
            </w:r>
            <w:r>
              <w:rPr>
                <w:rFonts w:hint="eastAsia" w:ascii="宋体" w:hAnsi="宋体" w:eastAsia="宋体" w:cs="宋体"/>
                <w:color w:val="auto"/>
                <w:sz w:val="21"/>
                <w:szCs w:val="21"/>
                <w:highlight w:val="none"/>
                <w:lang w:val="en-US" w:eastAsia="zh-CN"/>
              </w:rPr>
              <w:t>的得3分；</w:t>
            </w:r>
          </w:p>
          <w:p w14:paraId="54265775">
            <w:pPr>
              <w:keepNext w:val="0"/>
              <w:keepLines w:val="0"/>
              <w:pageBreakBefore w:val="0"/>
              <w:widowControl w:val="0"/>
              <w:suppressLineNumbers w:val="0"/>
              <w:kinsoku/>
              <w:wordWrap/>
              <w:overflowPunct/>
              <w:topLinePunct w:val="0"/>
              <w:bidi w:val="0"/>
              <w:spacing w:before="0" w:beforeAutospacing="0" w:after="0" w:afterAutospacing="0" w:line="240" w:lineRule="auto"/>
              <w:ind w:left="0" w:leftChars="0" w:right="0" w:rightChars="0"/>
              <w:textAlignment w:val="auto"/>
              <w:rPr>
                <w:rFonts w:hint="eastAsia"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③</w:t>
            </w:r>
            <w:r>
              <w:rPr>
                <w:rFonts w:hint="eastAsia" w:ascii="宋体" w:hAnsi="宋体" w:eastAsia="宋体" w:cs="宋体"/>
                <w:color w:val="auto"/>
                <w:sz w:val="21"/>
                <w:szCs w:val="21"/>
                <w:highlight w:val="none"/>
                <w:lang w:val="en-US" w:eastAsia="zh-CN"/>
              </w:rPr>
              <w:t>方案欠完整，技术支撑服务团队欠有保障，资源投入欠充足，响应欠</w:t>
            </w:r>
            <w:r>
              <w:rPr>
                <w:rFonts w:hint="eastAsia" w:ascii="宋体" w:hAnsi="宋体" w:cs="宋体"/>
                <w:color w:val="auto"/>
                <w:sz w:val="21"/>
                <w:szCs w:val="21"/>
                <w:highlight w:val="none"/>
                <w:lang w:val="en-US" w:eastAsia="zh-CN"/>
              </w:rPr>
              <w:t>快速</w:t>
            </w:r>
            <w:r>
              <w:rPr>
                <w:rFonts w:hint="eastAsia" w:ascii="宋体" w:hAnsi="宋体" w:eastAsia="宋体" w:cs="宋体"/>
                <w:color w:val="auto"/>
                <w:sz w:val="21"/>
                <w:szCs w:val="21"/>
                <w:highlight w:val="none"/>
                <w:lang w:val="en-US" w:eastAsia="zh-CN"/>
              </w:rPr>
              <w:t>的得1分；</w:t>
            </w:r>
          </w:p>
          <w:p w14:paraId="6A7C27DE">
            <w:pPr>
              <w:keepNext w:val="0"/>
              <w:keepLines w:val="0"/>
              <w:pageBreakBefore w:val="0"/>
              <w:widowControl w:val="0"/>
              <w:suppressLineNumbers w:val="0"/>
              <w:kinsoku/>
              <w:wordWrap/>
              <w:overflowPunct/>
              <w:topLinePunct w:val="0"/>
              <w:bidi w:val="0"/>
              <w:spacing w:before="0" w:beforeAutospacing="0" w:after="0" w:afterAutospacing="0" w:line="240" w:lineRule="auto"/>
              <w:ind w:left="0" w:leftChars="0" w:right="0" w:rightChars="0"/>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④未提供安全技术支撑服务方案的不得分。</w:t>
            </w:r>
          </w:p>
        </w:tc>
        <w:tc>
          <w:tcPr>
            <w:tcW w:w="717" w:type="dxa"/>
            <w:shd w:val="clear" w:color="auto" w:fill="auto"/>
            <w:noWrap w:val="0"/>
            <w:vAlign w:val="center"/>
          </w:tcPr>
          <w:p w14:paraId="776128AA">
            <w:pPr>
              <w:keepNext w:val="0"/>
              <w:keepLines w:val="0"/>
              <w:pageBreakBefore w:val="0"/>
              <w:widowControl w:val="0"/>
              <w:suppressLineNumbers w:val="0"/>
              <w:kinsoku/>
              <w:wordWrap/>
              <w:overflowPunct/>
              <w:topLinePunct w:val="0"/>
              <w:bidi w:val="0"/>
              <w:spacing w:before="0" w:beforeAutospacing="0" w:after="0" w:afterAutospacing="0" w:line="240" w:lineRule="auto"/>
              <w:ind w:left="0" w:leftChars="0" w:right="0" w:right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5</w:t>
            </w:r>
          </w:p>
        </w:tc>
        <w:tc>
          <w:tcPr>
            <w:tcW w:w="686" w:type="dxa"/>
            <w:shd w:val="clear" w:color="auto" w:fill="auto"/>
            <w:noWrap w:val="0"/>
            <w:vAlign w:val="center"/>
          </w:tcPr>
          <w:p w14:paraId="51FE3F97">
            <w:pPr>
              <w:pStyle w:val="22"/>
              <w:keepNext w:val="0"/>
              <w:keepLines w:val="0"/>
              <w:pageBreakBefore w:val="0"/>
              <w:widowControl w:val="0"/>
              <w:suppressLineNumbers w:val="0"/>
              <w:kinsoku/>
              <w:wordWrap/>
              <w:overflowPunct/>
              <w:topLinePunct w:val="0"/>
              <w:bidi w:val="0"/>
              <w:spacing w:before="0" w:beforeAutospacing="0" w:after="0" w:afterAutospacing="0" w:line="240" w:lineRule="auto"/>
              <w:ind w:left="0" w:leftChars="0" w:right="0" w:rightChars="0"/>
              <w:jc w:val="center"/>
              <w:textAlignment w:val="auto"/>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sz w:val="21"/>
                <w:szCs w:val="21"/>
                <w:highlight w:val="none"/>
              </w:rPr>
              <w:t>主观分</w:t>
            </w:r>
          </w:p>
        </w:tc>
      </w:tr>
      <w:tr w14:paraId="666AA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8" w:type="dxa"/>
            <w:vMerge w:val="continue"/>
            <w:noWrap w:val="0"/>
            <w:vAlign w:val="center"/>
          </w:tcPr>
          <w:p w14:paraId="309DFC4C">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textAlignment w:val="auto"/>
              <w:rPr>
                <w:rFonts w:hint="eastAsia" w:ascii="宋体" w:hAnsi="宋体" w:eastAsia="宋体" w:cs="宋体"/>
                <w:color w:val="auto"/>
                <w:sz w:val="21"/>
                <w:szCs w:val="21"/>
                <w:highlight w:val="none"/>
              </w:rPr>
            </w:pPr>
          </w:p>
        </w:tc>
        <w:tc>
          <w:tcPr>
            <w:tcW w:w="884" w:type="dxa"/>
            <w:tcBorders>
              <w:left w:val="single" w:color="auto" w:sz="4" w:space="0"/>
              <w:right w:val="single" w:color="auto" w:sz="4" w:space="0"/>
            </w:tcBorders>
            <w:noWrap w:val="0"/>
            <w:vAlign w:val="center"/>
          </w:tcPr>
          <w:p w14:paraId="7F67A15F">
            <w:pPr>
              <w:keepNext w:val="0"/>
              <w:keepLines w:val="0"/>
              <w:pageBreakBefore w:val="0"/>
              <w:widowControl w:val="0"/>
              <w:suppressLineNumbers w:val="0"/>
              <w:kinsoku/>
              <w:wordWrap/>
              <w:overflowPunct/>
              <w:topLinePunct w:val="0"/>
              <w:bidi w:val="0"/>
              <w:spacing w:before="0" w:beforeAutospacing="0" w:after="0" w:afterAutospacing="0" w:line="240" w:lineRule="auto"/>
              <w:ind w:left="0" w:leftChars="0" w:right="0" w:right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应急响应及保障服务</w:t>
            </w:r>
            <w:r>
              <w:rPr>
                <w:rFonts w:hint="eastAsia" w:ascii="宋体" w:hAnsi="宋体" w:eastAsia="宋体" w:cs="宋体"/>
                <w:color w:val="auto"/>
                <w:sz w:val="21"/>
                <w:szCs w:val="21"/>
                <w:highlight w:val="none"/>
                <w:lang w:val="en-US" w:eastAsia="zh-CN"/>
              </w:rPr>
              <w:t>方案</w:t>
            </w:r>
          </w:p>
        </w:tc>
        <w:tc>
          <w:tcPr>
            <w:tcW w:w="7183" w:type="dxa"/>
            <w:tcBorders>
              <w:top w:val="single" w:color="auto" w:sz="4" w:space="0"/>
              <w:left w:val="single" w:color="auto" w:sz="4" w:space="0"/>
              <w:right w:val="single" w:color="auto" w:sz="4" w:space="0"/>
            </w:tcBorders>
            <w:shd w:val="clear" w:color="auto" w:fill="auto"/>
            <w:noWrap w:val="0"/>
            <w:vAlign w:val="center"/>
          </w:tcPr>
          <w:p w14:paraId="5B85FABF">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根据</w:t>
            </w:r>
            <w:r>
              <w:rPr>
                <w:rFonts w:hint="eastAsia" w:ascii="宋体" w:hAnsi="宋体" w:eastAsia="宋体" w:cs="宋体"/>
                <w:color w:val="auto"/>
                <w:sz w:val="21"/>
                <w:szCs w:val="21"/>
                <w:highlight w:val="none"/>
                <w:lang w:val="en-US" w:eastAsia="zh-CN"/>
              </w:rPr>
              <w:t>供应商针对</w:t>
            </w:r>
            <w:r>
              <w:rPr>
                <w:rFonts w:hint="eastAsia" w:ascii="宋体" w:hAnsi="宋体" w:eastAsia="宋体" w:cs="宋体"/>
                <w:color w:val="auto"/>
                <w:sz w:val="21"/>
                <w:szCs w:val="21"/>
                <w:highlight w:val="none"/>
              </w:rPr>
              <w:t>采购文件第</w:t>
            </w:r>
            <w:r>
              <w:rPr>
                <w:rFonts w:hint="eastAsia" w:ascii="宋体" w:hAnsi="宋体" w:eastAsia="宋体" w:cs="宋体"/>
                <w:color w:val="auto"/>
                <w:sz w:val="21"/>
                <w:szCs w:val="21"/>
                <w:highlight w:val="none"/>
                <w:lang w:val="en-US" w:eastAsia="zh-CN"/>
              </w:rPr>
              <w:t>四</w:t>
            </w:r>
            <w:r>
              <w:rPr>
                <w:rFonts w:hint="eastAsia" w:ascii="宋体" w:hAnsi="宋体" w:eastAsia="宋体" w:cs="宋体"/>
                <w:color w:val="auto"/>
                <w:sz w:val="21"/>
                <w:szCs w:val="21"/>
                <w:highlight w:val="none"/>
              </w:rPr>
              <w:t>部分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采购需求</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三</w:t>
            </w:r>
            <w:r>
              <w:rPr>
                <w:rFonts w:hint="eastAsia" w:ascii="宋体" w:hAnsi="宋体" w:eastAsia="宋体" w:cs="宋体"/>
                <w:color w:val="auto"/>
                <w:sz w:val="21"/>
                <w:szCs w:val="21"/>
                <w:highlight w:val="none"/>
              </w:rPr>
              <w:t>、服务内容”</w:t>
            </w:r>
            <w:r>
              <w:rPr>
                <w:rFonts w:hint="eastAsia" w:ascii="宋体" w:hAnsi="宋体" w:eastAsia="宋体" w:cs="宋体"/>
                <w:color w:val="auto"/>
                <w:sz w:val="21"/>
                <w:szCs w:val="21"/>
                <w:highlight w:val="none"/>
                <w:lang w:val="en-US" w:eastAsia="zh-CN"/>
              </w:rPr>
              <w:t>要求提供</w:t>
            </w:r>
            <w:r>
              <w:rPr>
                <w:rFonts w:hint="eastAsia" w:ascii="宋体" w:hAnsi="宋体" w:eastAsia="宋体" w:cs="宋体"/>
                <w:color w:val="auto"/>
                <w:sz w:val="21"/>
                <w:szCs w:val="21"/>
                <w:highlight w:val="none"/>
              </w:rPr>
              <w:t>的应急响应及保障服务</w:t>
            </w:r>
            <w:r>
              <w:rPr>
                <w:rFonts w:hint="eastAsia" w:ascii="宋体" w:hAnsi="宋体" w:eastAsia="宋体" w:cs="宋体"/>
                <w:color w:val="auto"/>
                <w:sz w:val="21"/>
                <w:szCs w:val="21"/>
                <w:highlight w:val="none"/>
                <w:lang w:val="en-US" w:eastAsia="zh-CN"/>
              </w:rPr>
              <w:t>方案进行综合评议；</w:t>
            </w:r>
          </w:p>
          <w:p w14:paraId="606185F0">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jc w:val="left"/>
              <w:textAlignment w:val="auto"/>
              <w:rPr>
                <w:rFonts w:hint="eastAsia"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rPr>
              <w:t>①</w:t>
            </w:r>
            <w:r>
              <w:rPr>
                <w:rFonts w:hint="eastAsia" w:ascii="宋体" w:hAnsi="宋体" w:eastAsia="宋体" w:cs="宋体"/>
                <w:color w:val="auto"/>
                <w:sz w:val="21"/>
                <w:szCs w:val="21"/>
                <w:highlight w:val="none"/>
              </w:rPr>
              <w:t>应急响应流程快速合理</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可行</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日常运维、异常处理、咨询服务、运维协调工作方面保障服务内容全面、合理，完全满足采购需求的得5分；</w:t>
            </w:r>
          </w:p>
          <w:p w14:paraId="0838A85F">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jc w:val="left"/>
              <w:textAlignment w:val="auto"/>
              <w:rPr>
                <w:rFonts w:hint="eastAsia"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rPr>
              <w:t>②</w:t>
            </w:r>
            <w:r>
              <w:rPr>
                <w:rFonts w:hint="eastAsia" w:ascii="宋体" w:hAnsi="宋体" w:eastAsia="宋体" w:cs="宋体"/>
                <w:color w:val="auto"/>
                <w:sz w:val="21"/>
                <w:szCs w:val="21"/>
                <w:highlight w:val="none"/>
              </w:rPr>
              <w:t>应急响应流程</w:t>
            </w:r>
            <w:r>
              <w:rPr>
                <w:rFonts w:hint="eastAsia" w:ascii="宋体" w:hAnsi="宋体" w:eastAsia="宋体" w:cs="宋体"/>
                <w:color w:val="auto"/>
                <w:sz w:val="21"/>
                <w:szCs w:val="21"/>
                <w:highlight w:val="none"/>
                <w:lang w:val="en-US" w:eastAsia="zh-CN"/>
              </w:rPr>
              <w:t>较</w:t>
            </w:r>
            <w:r>
              <w:rPr>
                <w:rFonts w:hint="eastAsia" w:ascii="宋体" w:hAnsi="宋体" w:eastAsia="宋体" w:cs="宋体"/>
                <w:color w:val="auto"/>
                <w:sz w:val="21"/>
                <w:szCs w:val="21"/>
                <w:highlight w:val="none"/>
              </w:rPr>
              <w:t>合理</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较</w:t>
            </w:r>
            <w:r>
              <w:rPr>
                <w:rFonts w:hint="eastAsia" w:ascii="宋体" w:hAnsi="宋体" w:eastAsia="宋体" w:cs="宋体"/>
                <w:color w:val="auto"/>
                <w:sz w:val="21"/>
                <w:szCs w:val="21"/>
                <w:highlight w:val="none"/>
              </w:rPr>
              <w:t>可行</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日常运维、异常处理、咨询服务、运维协调工作方面保障服务内容较全面、较合理，基本满足采购需求的得3分；</w:t>
            </w:r>
          </w:p>
          <w:p w14:paraId="0A81AC33">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jc w:val="left"/>
              <w:textAlignment w:val="auto"/>
              <w:rPr>
                <w:rFonts w:hint="eastAsia"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rPr>
              <w:t>③</w:t>
            </w:r>
            <w:r>
              <w:rPr>
                <w:rFonts w:hint="eastAsia" w:ascii="宋体" w:hAnsi="宋体" w:eastAsia="宋体" w:cs="宋体"/>
                <w:color w:val="auto"/>
                <w:sz w:val="21"/>
                <w:szCs w:val="21"/>
                <w:highlight w:val="none"/>
              </w:rPr>
              <w:t>应急响应流程</w:t>
            </w:r>
            <w:r>
              <w:rPr>
                <w:rFonts w:hint="eastAsia" w:ascii="宋体" w:hAnsi="宋体" w:eastAsia="宋体" w:cs="宋体"/>
                <w:color w:val="auto"/>
                <w:sz w:val="21"/>
                <w:szCs w:val="21"/>
                <w:highlight w:val="none"/>
                <w:lang w:val="en-US" w:eastAsia="zh-CN"/>
              </w:rPr>
              <w:t>不</w:t>
            </w:r>
            <w:r>
              <w:rPr>
                <w:rFonts w:hint="eastAsia" w:ascii="宋体" w:hAnsi="宋体" w:eastAsia="宋体" w:cs="宋体"/>
                <w:color w:val="auto"/>
                <w:sz w:val="21"/>
                <w:szCs w:val="21"/>
                <w:highlight w:val="none"/>
              </w:rPr>
              <w:t>合理</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不</w:t>
            </w:r>
            <w:r>
              <w:rPr>
                <w:rFonts w:hint="eastAsia" w:ascii="宋体" w:hAnsi="宋体" w:eastAsia="宋体" w:cs="宋体"/>
                <w:color w:val="auto"/>
                <w:sz w:val="21"/>
                <w:szCs w:val="21"/>
                <w:highlight w:val="none"/>
              </w:rPr>
              <w:t>可行</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日常运维、异常处理、咨询服务、运维协调工作方面保障服务内容不全面、不合理的得1分；</w:t>
            </w:r>
          </w:p>
          <w:p w14:paraId="3EB0320A">
            <w:pPr>
              <w:keepNext w:val="0"/>
              <w:keepLines w:val="0"/>
              <w:pageBreakBefore w:val="0"/>
              <w:widowControl w:val="0"/>
              <w:suppressLineNumbers w:val="0"/>
              <w:kinsoku/>
              <w:wordWrap/>
              <w:overflowPunct/>
              <w:topLinePunct w:val="0"/>
              <w:bidi w:val="0"/>
              <w:spacing w:before="0" w:beforeAutospacing="0" w:after="0" w:afterAutospacing="0" w:line="240" w:lineRule="auto"/>
              <w:ind w:left="0" w:leftChars="0" w:right="0" w:rightChars="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④未提供方案</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sz w:val="21"/>
                <w:szCs w:val="21"/>
                <w:highlight w:val="none"/>
              </w:rPr>
              <w:t>不得分。</w:t>
            </w:r>
          </w:p>
        </w:tc>
        <w:tc>
          <w:tcPr>
            <w:tcW w:w="717" w:type="dxa"/>
            <w:shd w:val="clear" w:color="auto" w:fill="auto"/>
            <w:noWrap w:val="0"/>
            <w:vAlign w:val="center"/>
          </w:tcPr>
          <w:p w14:paraId="555CEDE1">
            <w:pPr>
              <w:keepNext w:val="0"/>
              <w:keepLines w:val="0"/>
              <w:pageBreakBefore w:val="0"/>
              <w:widowControl w:val="0"/>
              <w:suppressLineNumbers w:val="0"/>
              <w:kinsoku/>
              <w:wordWrap/>
              <w:overflowPunct/>
              <w:topLinePunct w:val="0"/>
              <w:bidi w:val="0"/>
              <w:spacing w:before="0" w:beforeAutospacing="0" w:after="0" w:afterAutospacing="0" w:line="240" w:lineRule="auto"/>
              <w:ind w:left="0" w:leftChars="0" w:right="0" w:right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5</w:t>
            </w:r>
          </w:p>
        </w:tc>
        <w:tc>
          <w:tcPr>
            <w:tcW w:w="686" w:type="dxa"/>
            <w:shd w:val="clear" w:color="auto" w:fill="auto"/>
            <w:noWrap w:val="0"/>
            <w:vAlign w:val="center"/>
          </w:tcPr>
          <w:p w14:paraId="60FA9E44">
            <w:pPr>
              <w:pStyle w:val="22"/>
              <w:keepNext w:val="0"/>
              <w:keepLines w:val="0"/>
              <w:pageBreakBefore w:val="0"/>
              <w:widowControl w:val="0"/>
              <w:suppressLineNumbers w:val="0"/>
              <w:kinsoku/>
              <w:wordWrap/>
              <w:overflowPunct/>
              <w:topLinePunct w:val="0"/>
              <w:bidi w:val="0"/>
              <w:spacing w:before="0" w:beforeAutospacing="0" w:after="0" w:afterAutospacing="0" w:line="240" w:lineRule="auto"/>
              <w:ind w:left="0" w:leftChars="0" w:right="0" w:rightChars="0"/>
              <w:jc w:val="center"/>
              <w:textAlignment w:val="auto"/>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sz w:val="21"/>
                <w:szCs w:val="21"/>
                <w:highlight w:val="none"/>
              </w:rPr>
              <w:t>主观分</w:t>
            </w:r>
          </w:p>
        </w:tc>
      </w:tr>
      <w:tr w14:paraId="20B3A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3" w:hRule="atLeast"/>
          <w:jc w:val="center"/>
        </w:trPr>
        <w:tc>
          <w:tcPr>
            <w:tcW w:w="708" w:type="dxa"/>
            <w:vMerge w:val="continue"/>
            <w:noWrap w:val="0"/>
            <w:vAlign w:val="center"/>
          </w:tcPr>
          <w:p w14:paraId="7AB3CEAD">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textAlignment w:val="auto"/>
              <w:rPr>
                <w:rFonts w:hint="eastAsia" w:ascii="宋体" w:hAnsi="宋体" w:eastAsia="宋体" w:cs="宋体"/>
                <w:color w:val="auto"/>
                <w:sz w:val="21"/>
                <w:szCs w:val="21"/>
                <w:highlight w:val="none"/>
              </w:rPr>
            </w:pPr>
          </w:p>
        </w:tc>
        <w:tc>
          <w:tcPr>
            <w:tcW w:w="884" w:type="dxa"/>
            <w:tcBorders>
              <w:left w:val="single" w:color="auto" w:sz="4" w:space="0"/>
              <w:right w:val="single" w:color="auto" w:sz="4" w:space="0"/>
            </w:tcBorders>
            <w:noWrap w:val="0"/>
            <w:vAlign w:val="center"/>
          </w:tcPr>
          <w:p w14:paraId="702A7061">
            <w:pPr>
              <w:keepNext w:val="0"/>
              <w:keepLines w:val="0"/>
              <w:pageBreakBefore w:val="0"/>
              <w:widowControl w:val="0"/>
              <w:suppressLineNumbers w:val="0"/>
              <w:kinsoku/>
              <w:wordWrap/>
              <w:overflowPunct/>
              <w:topLinePunct w:val="0"/>
              <w:bidi w:val="0"/>
              <w:spacing w:before="0" w:beforeAutospacing="0" w:after="0" w:afterAutospacing="0" w:line="240" w:lineRule="auto"/>
              <w:ind w:left="0" w:leftChars="0" w:right="0" w:right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重保运维</w:t>
            </w:r>
            <w:r>
              <w:rPr>
                <w:rFonts w:hint="eastAsia" w:ascii="宋体" w:hAnsi="宋体" w:eastAsia="宋体" w:cs="宋体"/>
                <w:color w:val="auto"/>
                <w:sz w:val="21"/>
                <w:szCs w:val="21"/>
                <w:highlight w:val="none"/>
                <w:lang w:val="en-US" w:eastAsia="zh-CN"/>
              </w:rPr>
              <w:t>方案</w:t>
            </w:r>
          </w:p>
        </w:tc>
        <w:tc>
          <w:tcPr>
            <w:tcW w:w="7183" w:type="dxa"/>
            <w:tcBorders>
              <w:top w:val="single" w:color="auto" w:sz="4" w:space="0"/>
              <w:left w:val="single" w:color="auto" w:sz="4" w:space="0"/>
              <w:right w:val="single" w:color="auto" w:sz="4" w:space="0"/>
            </w:tcBorders>
            <w:shd w:val="clear" w:color="auto" w:fill="auto"/>
            <w:noWrap w:val="0"/>
            <w:vAlign w:val="center"/>
          </w:tcPr>
          <w:p w14:paraId="5B85555C">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textAlignment w:val="auto"/>
              <w:rPr>
                <w:rFonts w:hint="default" w:ascii="宋体" w:hAnsi="宋体" w:cs="宋体"/>
                <w:color w:val="auto"/>
                <w:sz w:val="21"/>
                <w:szCs w:val="21"/>
                <w:highlight w:val="none"/>
                <w:lang w:val="en-US" w:eastAsia="zh-CN"/>
              </w:rPr>
            </w:pPr>
            <w:r>
              <w:rPr>
                <w:rFonts w:hint="eastAsia" w:ascii="宋体" w:hAnsi="宋体" w:eastAsia="宋体" w:cs="宋体"/>
                <w:color w:val="auto"/>
                <w:sz w:val="21"/>
                <w:szCs w:val="21"/>
                <w:highlight w:val="none"/>
              </w:rPr>
              <w:t>根据</w:t>
            </w:r>
            <w:r>
              <w:rPr>
                <w:rFonts w:hint="eastAsia" w:ascii="宋体" w:hAnsi="宋体" w:eastAsia="宋体" w:cs="宋体"/>
                <w:color w:val="auto"/>
                <w:sz w:val="21"/>
                <w:szCs w:val="21"/>
                <w:highlight w:val="none"/>
                <w:lang w:val="en-US" w:eastAsia="zh-CN"/>
              </w:rPr>
              <w:t>供应商针对</w:t>
            </w:r>
            <w:r>
              <w:rPr>
                <w:rFonts w:hint="eastAsia" w:ascii="宋体" w:hAnsi="宋体" w:eastAsia="宋体" w:cs="宋体"/>
                <w:color w:val="auto"/>
                <w:sz w:val="21"/>
                <w:szCs w:val="21"/>
                <w:highlight w:val="none"/>
              </w:rPr>
              <w:t>采购文件第</w:t>
            </w:r>
            <w:r>
              <w:rPr>
                <w:rFonts w:hint="eastAsia" w:ascii="宋体" w:hAnsi="宋体" w:eastAsia="宋体" w:cs="宋体"/>
                <w:color w:val="auto"/>
                <w:sz w:val="21"/>
                <w:szCs w:val="21"/>
                <w:highlight w:val="none"/>
                <w:lang w:val="en-US" w:eastAsia="zh-CN"/>
              </w:rPr>
              <w:t>四</w:t>
            </w:r>
            <w:r>
              <w:rPr>
                <w:rFonts w:hint="eastAsia" w:ascii="宋体" w:hAnsi="宋体" w:eastAsia="宋体" w:cs="宋体"/>
                <w:color w:val="auto"/>
                <w:sz w:val="21"/>
                <w:szCs w:val="21"/>
                <w:highlight w:val="none"/>
              </w:rPr>
              <w:t>部分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采购需求</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三</w:t>
            </w:r>
            <w:r>
              <w:rPr>
                <w:rFonts w:hint="eastAsia" w:ascii="宋体" w:hAnsi="宋体" w:eastAsia="宋体" w:cs="宋体"/>
                <w:color w:val="auto"/>
                <w:sz w:val="21"/>
                <w:szCs w:val="21"/>
                <w:highlight w:val="none"/>
              </w:rPr>
              <w:t>、服务内容”</w:t>
            </w:r>
            <w:r>
              <w:rPr>
                <w:rFonts w:hint="eastAsia" w:ascii="宋体" w:hAnsi="宋体" w:eastAsia="宋体" w:cs="宋体"/>
                <w:color w:val="auto"/>
                <w:sz w:val="21"/>
                <w:szCs w:val="21"/>
                <w:highlight w:val="none"/>
                <w:lang w:val="en-US" w:eastAsia="zh-CN"/>
              </w:rPr>
              <w:t>要求提供</w:t>
            </w:r>
            <w:r>
              <w:rPr>
                <w:rFonts w:hint="eastAsia" w:ascii="宋体" w:hAnsi="宋体" w:cs="宋体"/>
                <w:color w:val="auto"/>
                <w:sz w:val="21"/>
                <w:szCs w:val="21"/>
                <w:highlight w:val="none"/>
                <w:lang w:val="en-US" w:eastAsia="zh-CN"/>
              </w:rPr>
              <w:t>的重保运维方案进行综合评议；</w:t>
            </w:r>
          </w:p>
          <w:p w14:paraId="1A517512">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textAlignment w:val="auto"/>
              <w:rPr>
                <w:rFonts w:hint="eastAsia" w:ascii="宋体" w:hAnsi="宋体" w:eastAsia="宋体" w:cs="宋体"/>
                <w:color w:val="auto"/>
                <w:sz w:val="21"/>
                <w:szCs w:val="21"/>
                <w:highlight w:val="none"/>
                <w:lang w:eastAsia="zh-CN"/>
              </w:rPr>
            </w:pPr>
            <w:r>
              <w:rPr>
                <w:rFonts w:hint="default" w:ascii="宋体" w:hAnsi="宋体" w:eastAsia="宋体" w:cs="宋体"/>
                <w:color w:val="auto"/>
                <w:sz w:val="21"/>
                <w:szCs w:val="21"/>
                <w:highlight w:val="none"/>
              </w:rPr>
              <w:t>①</w:t>
            </w:r>
            <w:r>
              <w:rPr>
                <w:rFonts w:hint="eastAsia" w:ascii="宋体" w:hAnsi="宋体" w:cs="宋体"/>
                <w:color w:val="auto"/>
                <w:sz w:val="21"/>
                <w:szCs w:val="21"/>
                <w:highlight w:val="none"/>
                <w:lang w:val="en-US" w:eastAsia="zh-CN"/>
              </w:rPr>
              <w:t>应急预案完善，</w:t>
            </w:r>
            <w:r>
              <w:rPr>
                <w:rFonts w:hint="eastAsia" w:ascii="宋体" w:hAnsi="宋体" w:eastAsia="宋体" w:cs="宋体"/>
                <w:color w:val="auto"/>
                <w:sz w:val="21"/>
                <w:szCs w:val="21"/>
                <w:highlight w:val="none"/>
                <w:lang w:val="en-US" w:eastAsia="zh-CN"/>
              </w:rPr>
              <w:t>资源投入充足，且有详细计划，</w:t>
            </w:r>
            <w:r>
              <w:rPr>
                <w:rFonts w:hint="eastAsia" w:ascii="宋体" w:hAnsi="宋体" w:eastAsia="宋体" w:cs="宋体"/>
                <w:color w:val="auto"/>
                <w:sz w:val="21"/>
                <w:szCs w:val="21"/>
                <w:highlight w:val="none"/>
              </w:rPr>
              <w:t>响应</w:t>
            </w:r>
            <w:r>
              <w:rPr>
                <w:rFonts w:hint="eastAsia" w:ascii="宋体" w:hAnsi="宋体" w:eastAsia="宋体" w:cs="宋体"/>
                <w:color w:val="auto"/>
                <w:sz w:val="21"/>
                <w:szCs w:val="21"/>
                <w:highlight w:val="none"/>
                <w:lang w:val="en-US" w:eastAsia="zh-CN"/>
              </w:rPr>
              <w:t>时间</w:t>
            </w:r>
            <w:r>
              <w:rPr>
                <w:rFonts w:hint="eastAsia" w:ascii="宋体" w:hAnsi="宋体" w:eastAsia="宋体" w:cs="宋体"/>
                <w:color w:val="auto"/>
                <w:sz w:val="21"/>
                <w:szCs w:val="21"/>
                <w:highlight w:val="none"/>
              </w:rPr>
              <w:t>快速合理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支持机制完善，服务有保障</w:t>
            </w:r>
            <w:r>
              <w:rPr>
                <w:rFonts w:hint="eastAsia" w:ascii="宋体" w:hAnsi="宋体" w:cs="宋体"/>
                <w:color w:val="auto"/>
                <w:sz w:val="21"/>
                <w:szCs w:val="21"/>
                <w:highlight w:val="none"/>
                <w:lang w:val="en-US" w:eastAsia="zh-CN"/>
              </w:rPr>
              <w:t>，异常情况处理及时</w:t>
            </w:r>
            <w:r>
              <w:rPr>
                <w:rFonts w:hint="eastAsia" w:ascii="宋体" w:hAnsi="宋体" w:eastAsia="宋体" w:cs="宋体"/>
                <w:color w:val="auto"/>
                <w:sz w:val="21"/>
                <w:szCs w:val="21"/>
                <w:highlight w:val="none"/>
                <w:lang w:val="en-US" w:eastAsia="zh-CN"/>
              </w:rPr>
              <w:t>的得</w:t>
            </w:r>
            <w:r>
              <w:rPr>
                <w:rFonts w:hint="eastAsia" w:ascii="宋体" w:hAnsi="宋体" w:eastAsia="宋体" w:cs="宋体"/>
                <w:color w:val="auto"/>
                <w:sz w:val="21"/>
                <w:szCs w:val="21"/>
                <w:highlight w:val="none"/>
              </w:rPr>
              <w:t>5分</w:t>
            </w:r>
            <w:r>
              <w:rPr>
                <w:rFonts w:hint="eastAsia" w:ascii="宋体" w:hAnsi="宋体" w:eastAsia="宋体" w:cs="宋体"/>
                <w:color w:val="auto"/>
                <w:sz w:val="21"/>
                <w:szCs w:val="21"/>
                <w:highlight w:val="none"/>
                <w:lang w:eastAsia="zh-CN"/>
              </w:rPr>
              <w:t>；</w:t>
            </w:r>
          </w:p>
          <w:p w14:paraId="5719D92B">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textAlignment w:val="auto"/>
              <w:rPr>
                <w:rFonts w:hint="eastAsia" w:ascii="宋体" w:hAnsi="宋体" w:eastAsia="宋体" w:cs="宋体"/>
                <w:color w:val="auto"/>
                <w:sz w:val="21"/>
                <w:szCs w:val="21"/>
                <w:highlight w:val="none"/>
                <w:lang w:eastAsia="zh-CN"/>
              </w:rPr>
            </w:pPr>
            <w:r>
              <w:rPr>
                <w:rFonts w:hint="default" w:ascii="宋体" w:hAnsi="宋体" w:eastAsia="宋体" w:cs="宋体"/>
                <w:color w:val="auto"/>
                <w:sz w:val="21"/>
                <w:szCs w:val="21"/>
                <w:highlight w:val="none"/>
              </w:rPr>
              <w:t>②</w:t>
            </w:r>
            <w:r>
              <w:rPr>
                <w:rFonts w:hint="eastAsia" w:ascii="宋体" w:hAnsi="宋体" w:cs="宋体"/>
                <w:color w:val="auto"/>
                <w:sz w:val="21"/>
                <w:szCs w:val="21"/>
                <w:highlight w:val="none"/>
                <w:lang w:val="en-US" w:eastAsia="zh-CN"/>
              </w:rPr>
              <w:t>应急预案较完善，</w:t>
            </w:r>
            <w:r>
              <w:rPr>
                <w:rFonts w:hint="eastAsia" w:ascii="宋体" w:hAnsi="宋体" w:eastAsia="宋体" w:cs="宋体"/>
                <w:color w:val="auto"/>
                <w:sz w:val="21"/>
                <w:szCs w:val="21"/>
                <w:highlight w:val="none"/>
                <w:lang w:val="en-US" w:eastAsia="zh-CN"/>
              </w:rPr>
              <w:t>资源投入较充足，但计划不够详细，</w:t>
            </w:r>
            <w:r>
              <w:rPr>
                <w:rFonts w:hint="eastAsia" w:ascii="宋体" w:hAnsi="宋体" w:eastAsia="宋体" w:cs="宋体"/>
                <w:color w:val="auto"/>
                <w:sz w:val="21"/>
                <w:szCs w:val="21"/>
                <w:highlight w:val="none"/>
              </w:rPr>
              <w:t>响应</w:t>
            </w:r>
            <w:r>
              <w:rPr>
                <w:rFonts w:hint="eastAsia" w:ascii="宋体" w:hAnsi="宋体" w:eastAsia="宋体" w:cs="宋体"/>
                <w:color w:val="auto"/>
                <w:sz w:val="21"/>
                <w:szCs w:val="21"/>
                <w:highlight w:val="none"/>
                <w:lang w:val="en-US" w:eastAsia="zh-CN"/>
              </w:rPr>
              <w:t>时间较</w:t>
            </w:r>
            <w:r>
              <w:rPr>
                <w:rFonts w:hint="eastAsia" w:ascii="宋体" w:hAnsi="宋体" w:eastAsia="宋体" w:cs="宋体"/>
                <w:color w:val="auto"/>
                <w:sz w:val="21"/>
                <w:szCs w:val="21"/>
                <w:highlight w:val="none"/>
              </w:rPr>
              <w:t>快速合理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支持机制不够完善，服务较有保障</w:t>
            </w:r>
            <w:r>
              <w:rPr>
                <w:rFonts w:hint="eastAsia" w:ascii="宋体" w:hAnsi="宋体" w:cs="宋体"/>
                <w:color w:val="auto"/>
                <w:sz w:val="21"/>
                <w:szCs w:val="21"/>
                <w:highlight w:val="none"/>
                <w:lang w:val="en-US" w:eastAsia="zh-CN"/>
              </w:rPr>
              <w:t>，异常情况处理较及时</w:t>
            </w:r>
            <w:r>
              <w:rPr>
                <w:rFonts w:hint="eastAsia" w:ascii="宋体" w:hAnsi="宋体" w:eastAsia="宋体" w:cs="宋体"/>
                <w:color w:val="auto"/>
                <w:sz w:val="21"/>
                <w:szCs w:val="21"/>
                <w:highlight w:val="none"/>
                <w:lang w:val="en-US" w:eastAsia="zh-CN"/>
              </w:rPr>
              <w:t>的得3</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p>
          <w:p w14:paraId="2A248F6B">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textAlignment w:val="auto"/>
              <w:rPr>
                <w:rFonts w:hint="eastAsia" w:ascii="宋体" w:hAnsi="宋体" w:eastAsia="宋体" w:cs="宋体"/>
                <w:color w:val="auto"/>
                <w:sz w:val="21"/>
                <w:szCs w:val="21"/>
                <w:highlight w:val="none"/>
              </w:rPr>
            </w:pPr>
            <w:r>
              <w:rPr>
                <w:rFonts w:hint="default" w:ascii="宋体" w:hAnsi="宋体" w:eastAsia="宋体" w:cs="宋体"/>
                <w:color w:val="auto"/>
                <w:sz w:val="21"/>
                <w:szCs w:val="21"/>
                <w:highlight w:val="none"/>
              </w:rPr>
              <w:t>③</w:t>
            </w:r>
            <w:r>
              <w:rPr>
                <w:rFonts w:hint="eastAsia" w:ascii="宋体" w:hAnsi="宋体" w:cs="宋体"/>
                <w:color w:val="auto"/>
                <w:sz w:val="21"/>
                <w:szCs w:val="21"/>
                <w:highlight w:val="none"/>
                <w:lang w:val="en-US" w:eastAsia="zh-CN"/>
              </w:rPr>
              <w:t>应急预案不完善，</w:t>
            </w:r>
            <w:r>
              <w:rPr>
                <w:rFonts w:hint="eastAsia" w:ascii="宋体" w:hAnsi="宋体" w:eastAsia="宋体" w:cs="宋体"/>
                <w:color w:val="auto"/>
                <w:sz w:val="21"/>
                <w:szCs w:val="21"/>
                <w:highlight w:val="none"/>
                <w:lang w:val="en-US" w:eastAsia="zh-CN"/>
              </w:rPr>
              <w:t>资源投入有限，计划不清晰，</w:t>
            </w:r>
            <w:r>
              <w:rPr>
                <w:rFonts w:hint="eastAsia" w:ascii="宋体" w:hAnsi="宋体" w:eastAsia="宋体" w:cs="宋体"/>
                <w:color w:val="auto"/>
                <w:sz w:val="21"/>
                <w:szCs w:val="21"/>
                <w:highlight w:val="none"/>
              </w:rPr>
              <w:t>响应</w:t>
            </w:r>
            <w:r>
              <w:rPr>
                <w:rFonts w:hint="eastAsia" w:ascii="宋体" w:hAnsi="宋体" w:eastAsia="宋体" w:cs="宋体"/>
                <w:color w:val="auto"/>
                <w:sz w:val="21"/>
                <w:szCs w:val="21"/>
                <w:highlight w:val="none"/>
                <w:lang w:val="en-US" w:eastAsia="zh-CN"/>
              </w:rPr>
              <w:t>时间欠</w:t>
            </w:r>
            <w:r>
              <w:rPr>
                <w:rFonts w:hint="eastAsia" w:ascii="宋体" w:hAnsi="宋体" w:eastAsia="宋体" w:cs="宋体"/>
                <w:color w:val="auto"/>
                <w:sz w:val="21"/>
                <w:szCs w:val="21"/>
                <w:highlight w:val="none"/>
              </w:rPr>
              <w:t>合理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支持机制不完善，服务无保障</w:t>
            </w:r>
            <w:r>
              <w:rPr>
                <w:rFonts w:hint="eastAsia" w:ascii="宋体" w:hAnsi="宋体" w:cs="宋体"/>
                <w:color w:val="auto"/>
                <w:sz w:val="21"/>
                <w:szCs w:val="21"/>
                <w:highlight w:val="none"/>
                <w:lang w:val="en-US" w:eastAsia="zh-CN"/>
              </w:rPr>
              <w:t>，异常情况处理不及时</w:t>
            </w:r>
            <w:r>
              <w:rPr>
                <w:rFonts w:hint="eastAsia" w:ascii="宋体" w:hAnsi="宋体" w:eastAsia="宋体" w:cs="宋体"/>
                <w:color w:val="auto"/>
                <w:sz w:val="21"/>
                <w:szCs w:val="21"/>
                <w:highlight w:val="none"/>
                <w:lang w:val="en-US" w:eastAsia="zh-CN"/>
              </w:rPr>
              <w:t>的得1</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p>
          <w:p w14:paraId="17A87760">
            <w:pPr>
              <w:keepNext w:val="0"/>
              <w:keepLines w:val="0"/>
              <w:pageBreakBefore w:val="0"/>
              <w:widowControl w:val="0"/>
              <w:suppressLineNumbers w:val="0"/>
              <w:kinsoku/>
              <w:wordWrap/>
              <w:overflowPunct/>
              <w:topLinePunct w:val="0"/>
              <w:bidi w:val="0"/>
              <w:spacing w:before="0" w:beforeAutospacing="0" w:after="0" w:afterAutospacing="0" w:line="240" w:lineRule="auto"/>
              <w:ind w:left="0" w:leftChars="0" w:right="0" w:righ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④未提供方案</w:t>
            </w:r>
            <w:r>
              <w:rPr>
                <w:rFonts w:hint="eastAsia" w:ascii="宋体" w:hAnsi="宋体" w:cs="宋体"/>
                <w:color w:val="auto"/>
                <w:sz w:val="21"/>
                <w:szCs w:val="21"/>
                <w:highlight w:val="none"/>
                <w:lang w:val="en-US" w:eastAsia="zh-CN"/>
              </w:rPr>
              <w:t>的不</w:t>
            </w:r>
            <w:r>
              <w:rPr>
                <w:rFonts w:hint="eastAsia" w:ascii="宋体" w:hAnsi="宋体" w:eastAsia="宋体" w:cs="宋体"/>
                <w:color w:val="auto"/>
                <w:sz w:val="21"/>
                <w:szCs w:val="21"/>
                <w:highlight w:val="none"/>
              </w:rPr>
              <w:t>得分。</w:t>
            </w:r>
          </w:p>
        </w:tc>
        <w:tc>
          <w:tcPr>
            <w:tcW w:w="717" w:type="dxa"/>
            <w:shd w:val="clear" w:color="auto" w:fill="auto"/>
            <w:noWrap w:val="0"/>
            <w:vAlign w:val="center"/>
          </w:tcPr>
          <w:p w14:paraId="2B0DBA17">
            <w:pPr>
              <w:keepNext w:val="0"/>
              <w:keepLines w:val="0"/>
              <w:pageBreakBefore w:val="0"/>
              <w:widowControl w:val="0"/>
              <w:suppressLineNumbers w:val="0"/>
              <w:kinsoku/>
              <w:wordWrap/>
              <w:overflowPunct/>
              <w:topLinePunct w:val="0"/>
              <w:bidi w:val="0"/>
              <w:spacing w:before="0" w:beforeAutospacing="0" w:after="0" w:afterAutospacing="0" w:line="240" w:lineRule="auto"/>
              <w:ind w:left="0" w:leftChars="0" w:right="0" w:right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5</w:t>
            </w:r>
          </w:p>
        </w:tc>
        <w:tc>
          <w:tcPr>
            <w:tcW w:w="686" w:type="dxa"/>
            <w:shd w:val="clear" w:color="auto" w:fill="auto"/>
            <w:noWrap w:val="0"/>
            <w:vAlign w:val="center"/>
          </w:tcPr>
          <w:p w14:paraId="48B77D9E">
            <w:pPr>
              <w:pStyle w:val="22"/>
              <w:keepNext w:val="0"/>
              <w:keepLines w:val="0"/>
              <w:pageBreakBefore w:val="0"/>
              <w:widowControl w:val="0"/>
              <w:suppressLineNumbers w:val="0"/>
              <w:kinsoku/>
              <w:wordWrap/>
              <w:overflowPunct/>
              <w:topLinePunct w:val="0"/>
              <w:bidi w:val="0"/>
              <w:spacing w:before="0" w:beforeAutospacing="0" w:after="0" w:afterAutospacing="0" w:line="240" w:lineRule="auto"/>
              <w:ind w:left="0" w:leftChars="0" w:right="0" w:rightChars="0"/>
              <w:jc w:val="center"/>
              <w:textAlignment w:val="auto"/>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sz w:val="21"/>
                <w:szCs w:val="21"/>
                <w:highlight w:val="none"/>
              </w:rPr>
              <w:t>主观分</w:t>
            </w:r>
          </w:p>
        </w:tc>
      </w:tr>
      <w:tr w14:paraId="161F8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8" w:type="dxa"/>
            <w:vMerge w:val="continue"/>
            <w:noWrap w:val="0"/>
            <w:vAlign w:val="center"/>
          </w:tcPr>
          <w:p w14:paraId="78A0A559">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textAlignment w:val="auto"/>
              <w:rPr>
                <w:rFonts w:hint="eastAsia" w:ascii="宋体" w:hAnsi="宋体" w:eastAsia="宋体" w:cs="宋体"/>
                <w:color w:val="auto"/>
                <w:sz w:val="21"/>
                <w:szCs w:val="21"/>
                <w:highlight w:val="none"/>
              </w:rPr>
            </w:pPr>
          </w:p>
        </w:tc>
        <w:tc>
          <w:tcPr>
            <w:tcW w:w="884" w:type="dxa"/>
            <w:vMerge w:val="restart"/>
            <w:tcBorders>
              <w:top w:val="single" w:color="auto" w:sz="4" w:space="0"/>
              <w:left w:val="single" w:color="auto" w:sz="4" w:space="0"/>
              <w:right w:val="single" w:color="auto" w:sz="4" w:space="0"/>
            </w:tcBorders>
            <w:noWrap w:val="0"/>
            <w:vAlign w:val="center"/>
          </w:tcPr>
          <w:p w14:paraId="483EF372">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拟投入项目的服务团队</w:t>
            </w:r>
          </w:p>
        </w:tc>
        <w:tc>
          <w:tcPr>
            <w:tcW w:w="7183" w:type="dxa"/>
            <w:tcBorders>
              <w:top w:val="single" w:color="auto" w:sz="4" w:space="0"/>
              <w:left w:val="single" w:color="auto" w:sz="4" w:space="0"/>
              <w:right w:val="single" w:color="auto" w:sz="4" w:space="0"/>
            </w:tcBorders>
            <w:noWrap w:val="0"/>
            <w:vAlign w:val="center"/>
          </w:tcPr>
          <w:p w14:paraId="49B1C44D">
            <w:pPr>
              <w:keepNext w:val="0"/>
              <w:keepLines w:val="0"/>
              <w:pageBreakBefore w:val="0"/>
              <w:widowControl w:val="0"/>
              <w:numPr>
                <w:ilvl w:val="0"/>
                <w:numId w:val="0"/>
              </w:numPr>
              <w:suppressLineNumbers w:val="0"/>
              <w:kinsoku/>
              <w:wordWrap/>
              <w:overflowPunct/>
              <w:topLinePunct w:val="0"/>
              <w:bidi w:val="0"/>
              <w:spacing w:before="0" w:beforeAutospacing="0" w:after="0" w:afterAutospacing="0" w:line="240" w:lineRule="auto"/>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1、</w:t>
            </w:r>
            <w:r>
              <w:rPr>
                <w:rFonts w:hint="eastAsia" w:ascii="宋体" w:hAnsi="宋体" w:eastAsia="宋体" w:cs="宋体"/>
                <w:color w:val="auto"/>
                <w:sz w:val="21"/>
                <w:szCs w:val="21"/>
                <w:highlight w:val="none"/>
              </w:rPr>
              <w:t>拟派的项目负责人（1人）：</w:t>
            </w:r>
          </w:p>
          <w:p w14:paraId="6A47AE2F">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项目负责人</w:t>
            </w:r>
            <w:r>
              <w:rPr>
                <w:rFonts w:hint="eastAsia" w:ascii="宋体" w:hAnsi="宋体" w:eastAsia="宋体" w:cs="宋体"/>
                <w:color w:val="auto"/>
                <w:highlight w:val="none"/>
              </w:rPr>
              <w:t>具有计算机技术与软件专业技术资格考试</w:t>
            </w:r>
            <w:r>
              <w:rPr>
                <w:rFonts w:hint="eastAsia" w:ascii="宋体" w:hAnsi="宋体" w:cs="宋体"/>
                <w:color w:val="auto"/>
                <w:highlight w:val="none"/>
              </w:rPr>
              <w:t>“系统集成项目管理工程师”</w:t>
            </w:r>
            <w:r>
              <w:rPr>
                <w:rFonts w:hint="eastAsia" w:ascii="宋体" w:hAnsi="宋体" w:cs="宋体"/>
                <w:color w:val="auto"/>
                <w:highlight w:val="none"/>
                <w:lang w:val="en-US" w:eastAsia="zh-CN"/>
              </w:rPr>
              <w:t>或</w:t>
            </w:r>
            <w:r>
              <w:rPr>
                <w:rFonts w:hint="eastAsia" w:ascii="宋体" w:hAnsi="宋体" w:cs="宋体"/>
                <w:color w:val="auto"/>
                <w:highlight w:val="none"/>
              </w:rPr>
              <w:t>“软件设计师”</w:t>
            </w:r>
            <w:r>
              <w:rPr>
                <w:rFonts w:hint="eastAsia" w:ascii="宋体" w:hAnsi="宋体" w:eastAsia="宋体" w:cs="宋体"/>
                <w:color w:val="auto"/>
                <w:highlight w:val="none"/>
              </w:rPr>
              <w:t>职称证书的得2分；具有3年及以上信息化工作经验的得2分。</w:t>
            </w:r>
          </w:p>
          <w:p w14:paraId="700C82A1">
            <w:pPr>
              <w:pStyle w:val="22"/>
              <w:keepNext w:val="0"/>
              <w:keepLines w:val="0"/>
              <w:pageBreakBefore w:val="0"/>
              <w:widowControl w:val="0"/>
              <w:suppressLineNumbers w:val="0"/>
              <w:kinsoku/>
              <w:wordWrap/>
              <w:overflowPunct/>
              <w:topLinePunct w:val="0"/>
              <w:bidi w:val="0"/>
              <w:spacing w:before="0" w:beforeAutospacing="0" w:after="0" w:afterAutospacing="0" w:line="240" w:lineRule="auto"/>
              <w:ind w:left="0" w:leftChars="0"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注：响应</w:t>
            </w:r>
            <w:r>
              <w:rPr>
                <w:rFonts w:hint="eastAsia" w:ascii="宋体" w:hAnsi="宋体" w:eastAsia="宋体" w:cs="宋体"/>
                <w:color w:val="auto"/>
                <w:sz w:val="21"/>
                <w:szCs w:val="21"/>
                <w:highlight w:val="none"/>
              </w:rPr>
              <w:t>文件</w:t>
            </w:r>
            <w:r>
              <w:rPr>
                <w:rFonts w:hint="eastAsia" w:ascii="宋体" w:hAnsi="宋体" w:eastAsia="宋体" w:cs="宋体"/>
                <w:color w:val="auto"/>
                <w:sz w:val="21"/>
                <w:szCs w:val="21"/>
                <w:highlight w:val="none"/>
                <w:lang w:val="en-US" w:eastAsia="zh-CN"/>
              </w:rPr>
              <w:t>中须</w:t>
            </w:r>
            <w:r>
              <w:rPr>
                <w:rFonts w:hint="eastAsia" w:ascii="宋体" w:hAnsi="宋体" w:eastAsia="宋体" w:cs="宋体"/>
                <w:color w:val="auto"/>
                <w:sz w:val="21"/>
                <w:szCs w:val="21"/>
                <w:highlight w:val="none"/>
              </w:rPr>
              <w:t>提供人员证书、工作</w:t>
            </w:r>
            <w:r>
              <w:rPr>
                <w:rFonts w:hint="eastAsia" w:ascii="宋体" w:hAnsi="宋体" w:eastAsia="宋体" w:cs="宋体"/>
                <w:color w:val="auto"/>
                <w:sz w:val="21"/>
                <w:szCs w:val="21"/>
                <w:highlight w:val="none"/>
                <w:lang w:val="en-US" w:eastAsia="zh-CN"/>
              </w:rPr>
              <w:t>经验证明材料</w:t>
            </w:r>
            <w:r>
              <w:rPr>
                <w:rFonts w:hint="eastAsia" w:ascii="宋体" w:hAnsi="宋体" w:eastAsia="宋体" w:cs="宋体"/>
                <w:color w:val="auto"/>
                <w:sz w:val="21"/>
                <w:szCs w:val="21"/>
                <w:highlight w:val="none"/>
              </w:rPr>
              <w:t>及</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单位在</w:t>
            </w:r>
            <w:r>
              <w:rPr>
                <w:rFonts w:hint="eastAsia" w:ascii="宋体" w:hAnsi="宋体" w:eastAsia="宋体" w:cs="宋体"/>
                <w:color w:val="auto"/>
                <w:sz w:val="21"/>
                <w:szCs w:val="21"/>
                <w:highlight w:val="none"/>
                <w:lang w:val="en-US" w:eastAsia="zh-CN"/>
              </w:rPr>
              <w:t>响应文件递交</w:t>
            </w:r>
            <w:r>
              <w:rPr>
                <w:rFonts w:hint="eastAsia" w:ascii="宋体" w:hAnsi="宋体" w:eastAsia="宋体" w:cs="宋体"/>
                <w:color w:val="auto"/>
                <w:sz w:val="21"/>
                <w:szCs w:val="21"/>
                <w:highlight w:val="none"/>
              </w:rPr>
              <w:t>截止日前</w:t>
            </w:r>
            <w:r>
              <w:rPr>
                <w:rFonts w:hint="eastAsia" w:ascii="宋体" w:hAnsi="宋体" w:eastAsia="宋体" w:cs="宋体"/>
                <w:color w:val="auto"/>
                <w:sz w:val="21"/>
                <w:szCs w:val="21"/>
                <w:highlight w:val="none"/>
                <w:lang w:val="en-US" w:eastAsia="zh-CN"/>
              </w:rPr>
              <w:t>三</w:t>
            </w:r>
            <w:r>
              <w:rPr>
                <w:rFonts w:hint="eastAsia" w:ascii="宋体" w:hAnsi="宋体" w:eastAsia="宋体" w:cs="宋体"/>
                <w:color w:val="auto"/>
                <w:sz w:val="21"/>
                <w:szCs w:val="21"/>
                <w:highlight w:val="none"/>
              </w:rPr>
              <w:t>个月中任意</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个月为其缴纳社保证明加盖</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公章，</w:t>
            </w:r>
            <w:r>
              <w:rPr>
                <w:rFonts w:hint="eastAsia" w:ascii="宋体" w:hAnsi="宋体" w:eastAsia="宋体" w:cs="宋体"/>
                <w:color w:val="auto"/>
                <w:sz w:val="21"/>
                <w:szCs w:val="21"/>
                <w:highlight w:val="none"/>
                <w:lang w:val="en-US" w:eastAsia="zh-CN"/>
              </w:rPr>
              <w:t>未按要求提供的</w:t>
            </w:r>
            <w:r>
              <w:rPr>
                <w:rFonts w:hint="eastAsia" w:ascii="宋体" w:hAnsi="宋体" w:eastAsia="宋体" w:cs="宋体"/>
                <w:color w:val="auto"/>
                <w:sz w:val="21"/>
                <w:szCs w:val="21"/>
                <w:highlight w:val="none"/>
              </w:rPr>
              <w:t>不得分。</w:t>
            </w:r>
          </w:p>
        </w:tc>
        <w:tc>
          <w:tcPr>
            <w:tcW w:w="717" w:type="dxa"/>
            <w:noWrap w:val="0"/>
            <w:vAlign w:val="center"/>
          </w:tcPr>
          <w:p w14:paraId="17321FC2">
            <w:pPr>
              <w:pStyle w:val="22"/>
              <w:keepNext w:val="0"/>
              <w:keepLines w:val="0"/>
              <w:pageBreakBefore w:val="0"/>
              <w:widowControl w:val="0"/>
              <w:suppressLineNumbers w:val="0"/>
              <w:kinsoku/>
              <w:wordWrap/>
              <w:overflowPunct/>
              <w:topLinePunct w:val="0"/>
              <w:bidi w:val="0"/>
              <w:spacing w:before="0" w:beforeAutospacing="0" w:after="0" w:afterAutospacing="0" w:line="240" w:lineRule="auto"/>
              <w:ind w:left="0" w:leftChars="0" w:right="0" w:rightChars="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4</w:t>
            </w:r>
          </w:p>
        </w:tc>
        <w:tc>
          <w:tcPr>
            <w:tcW w:w="686" w:type="dxa"/>
            <w:noWrap w:val="0"/>
            <w:vAlign w:val="center"/>
          </w:tcPr>
          <w:p w14:paraId="1E0BB3FE">
            <w:pPr>
              <w:pStyle w:val="22"/>
              <w:keepNext w:val="0"/>
              <w:keepLines w:val="0"/>
              <w:pageBreakBefore w:val="0"/>
              <w:widowControl w:val="0"/>
              <w:suppressLineNumbers w:val="0"/>
              <w:kinsoku/>
              <w:wordWrap/>
              <w:overflowPunct/>
              <w:topLinePunct w:val="0"/>
              <w:bidi w:val="0"/>
              <w:spacing w:before="0" w:beforeAutospacing="0" w:after="0" w:afterAutospacing="0" w:line="240" w:lineRule="auto"/>
              <w:ind w:left="0" w:leftChars="0" w:right="0" w:right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客观分</w:t>
            </w:r>
          </w:p>
        </w:tc>
      </w:tr>
      <w:tr w14:paraId="55C87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08" w:type="dxa"/>
            <w:vMerge w:val="continue"/>
            <w:noWrap w:val="0"/>
            <w:vAlign w:val="center"/>
          </w:tcPr>
          <w:p w14:paraId="0892B3C0">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textAlignment w:val="auto"/>
              <w:rPr>
                <w:rFonts w:hint="eastAsia" w:ascii="宋体" w:hAnsi="宋体" w:eastAsia="宋体" w:cs="宋体"/>
                <w:color w:val="auto"/>
                <w:sz w:val="21"/>
                <w:szCs w:val="21"/>
                <w:highlight w:val="none"/>
              </w:rPr>
            </w:pPr>
          </w:p>
        </w:tc>
        <w:tc>
          <w:tcPr>
            <w:tcW w:w="884" w:type="dxa"/>
            <w:vMerge w:val="continue"/>
            <w:tcBorders>
              <w:left w:val="single" w:color="auto" w:sz="4" w:space="0"/>
              <w:right w:val="single" w:color="auto" w:sz="4" w:space="0"/>
            </w:tcBorders>
            <w:noWrap w:val="0"/>
            <w:vAlign w:val="center"/>
          </w:tcPr>
          <w:p w14:paraId="2172A343">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jc w:val="center"/>
              <w:textAlignment w:val="auto"/>
              <w:rPr>
                <w:rFonts w:hint="eastAsia" w:ascii="宋体" w:hAnsi="宋体" w:eastAsia="宋体" w:cs="宋体"/>
                <w:color w:val="auto"/>
                <w:kern w:val="0"/>
                <w:sz w:val="21"/>
                <w:szCs w:val="21"/>
                <w:highlight w:val="none"/>
              </w:rPr>
            </w:pPr>
          </w:p>
        </w:tc>
        <w:tc>
          <w:tcPr>
            <w:tcW w:w="7183" w:type="dxa"/>
            <w:tcBorders>
              <w:left w:val="single" w:color="auto" w:sz="4" w:space="0"/>
              <w:right w:val="single" w:color="auto" w:sz="4" w:space="0"/>
            </w:tcBorders>
            <w:shd w:val="clear" w:color="auto" w:fill="auto"/>
            <w:noWrap w:val="0"/>
            <w:vAlign w:val="center"/>
          </w:tcPr>
          <w:p w14:paraId="77395A8D">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2、项目团队（除项目负责人外）</w:t>
            </w:r>
          </w:p>
          <w:p w14:paraId="31570B04">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textAlignment w:val="auto"/>
              <w:rPr>
                <w:rFonts w:hint="eastAsia" w:ascii="宋体" w:hAnsi="宋体" w:cs="宋体"/>
                <w:color w:val="auto"/>
                <w:szCs w:val="21"/>
                <w:highlight w:val="none"/>
              </w:rPr>
            </w:pPr>
            <w:r>
              <w:rPr>
                <w:rFonts w:hint="eastAsia" w:ascii="宋体" w:hAnsi="宋体" w:cs="宋体"/>
                <w:color w:val="auto"/>
                <w:szCs w:val="21"/>
                <w:highlight w:val="none"/>
              </w:rPr>
              <w:t>项目团队人员中，每有一人</w:t>
            </w:r>
            <w:r>
              <w:rPr>
                <w:rFonts w:hint="eastAsia"/>
                <w:color w:val="auto"/>
                <w:highlight w:val="none"/>
              </w:rPr>
              <w:t>具有计算机技术与软件专业技术资格考试</w:t>
            </w:r>
            <w:r>
              <w:rPr>
                <w:rFonts w:hint="eastAsia"/>
                <w:color w:val="auto"/>
                <w:highlight w:val="none"/>
                <w:lang w:val="en-US" w:eastAsia="zh-CN"/>
              </w:rPr>
              <w:t>中级及以上证书</w:t>
            </w:r>
            <w:r>
              <w:rPr>
                <w:rFonts w:hint="eastAsia" w:ascii="宋体" w:hAnsi="宋体" w:cs="宋体"/>
                <w:color w:val="auto"/>
                <w:szCs w:val="21"/>
                <w:highlight w:val="none"/>
              </w:rPr>
              <w:t>的得2分，每有一人</w:t>
            </w:r>
            <w:r>
              <w:rPr>
                <w:rFonts w:hint="eastAsia"/>
                <w:color w:val="auto"/>
                <w:highlight w:val="none"/>
              </w:rPr>
              <w:t>具有计算机技术与软件专业技术资格考试</w:t>
            </w:r>
            <w:r>
              <w:rPr>
                <w:rFonts w:hint="eastAsia"/>
                <w:color w:val="auto"/>
                <w:highlight w:val="none"/>
                <w:lang w:val="en-US" w:eastAsia="zh-CN"/>
              </w:rPr>
              <w:t>初级证书</w:t>
            </w:r>
            <w:r>
              <w:rPr>
                <w:rFonts w:hint="eastAsia" w:ascii="宋体" w:hAnsi="宋体" w:cs="宋体"/>
                <w:color w:val="auto"/>
                <w:szCs w:val="21"/>
                <w:highlight w:val="none"/>
              </w:rPr>
              <w:t>的得</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分，最多可得</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分。一人多证的仅记一次分。</w:t>
            </w:r>
          </w:p>
          <w:p w14:paraId="4EC8622D">
            <w:pPr>
              <w:keepNext w:val="0"/>
              <w:keepLines w:val="0"/>
              <w:pageBreakBefore w:val="0"/>
              <w:widowControl w:val="0"/>
              <w:suppressLineNumbers w:val="0"/>
              <w:kinsoku/>
              <w:wordWrap/>
              <w:overflowPunct/>
              <w:topLinePunct w:val="0"/>
              <w:bidi w:val="0"/>
              <w:spacing w:before="0" w:beforeAutospacing="0" w:after="0" w:afterAutospacing="0" w:line="240" w:lineRule="auto"/>
              <w:ind w:left="0" w:leftChars="0" w:right="0" w:rightChars="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snapToGrid/>
                <w:color w:val="auto"/>
                <w:kern w:val="2"/>
                <w:sz w:val="21"/>
                <w:szCs w:val="21"/>
                <w:highlight w:val="none"/>
                <w:lang w:val="en-US" w:eastAsia="zh-CN" w:bidi="ar-SA"/>
              </w:rPr>
              <w:t>注：</w:t>
            </w:r>
            <w:r>
              <w:rPr>
                <w:rFonts w:hint="eastAsia" w:hAnsi="宋体" w:cs="宋体"/>
                <w:color w:val="auto"/>
                <w:sz w:val="21"/>
                <w:szCs w:val="21"/>
                <w:highlight w:val="none"/>
                <w:lang w:val="en-US" w:eastAsia="zh-CN"/>
              </w:rPr>
              <w:t>响应</w:t>
            </w:r>
            <w:r>
              <w:rPr>
                <w:rFonts w:hint="eastAsia" w:ascii="宋体" w:hAnsi="宋体" w:eastAsia="宋体" w:cs="宋体"/>
                <w:snapToGrid/>
                <w:color w:val="auto"/>
                <w:kern w:val="2"/>
                <w:sz w:val="21"/>
                <w:szCs w:val="21"/>
                <w:highlight w:val="none"/>
                <w:lang w:val="en-US" w:eastAsia="zh-CN" w:bidi="ar-SA"/>
              </w:rPr>
              <w:t>文件中须提供人员资质证书</w:t>
            </w:r>
            <w:r>
              <w:rPr>
                <w:rFonts w:hint="eastAsia" w:ascii="宋体" w:hAnsi="宋体" w:eastAsia="宋体" w:cs="宋体"/>
                <w:color w:val="auto"/>
                <w:sz w:val="21"/>
                <w:szCs w:val="21"/>
                <w:highlight w:val="none"/>
              </w:rPr>
              <w:t>及</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单位在</w:t>
            </w:r>
            <w:r>
              <w:rPr>
                <w:rFonts w:hint="eastAsia" w:hAnsi="宋体" w:cs="宋体"/>
                <w:color w:val="auto"/>
                <w:sz w:val="21"/>
                <w:szCs w:val="21"/>
                <w:highlight w:val="none"/>
                <w:lang w:val="en-US" w:eastAsia="zh-CN"/>
              </w:rPr>
              <w:t>响应文件递交</w:t>
            </w:r>
            <w:r>
              <w:rPr>
                <w:rFonts w:hint="eastAsia" w:ascii="宋体" w:hAnsi="宋体" w:eastAsia="宋体" w:cs="宋体"/>
                <w:color w:val="auto"/>
                <w:sz w:val="21"/>
                <w:szCs w:val="21"/>
                <w:highlight w:val="none"/>
              </w:rPr>
              <w:t>截止日前</w:t>
            </w:r>
            <w:r>
              <w:rPr>
                <w:rFonts w:hint="eastAsia" w:hAnsi="宋体" w:cs="宋体"/>
                <w:color w:val="auto"/>
                <w:sz w:val="21"/>
                <w:szCs w:val="21"/>
                <w:highlight w:val="none"/>
                <w:lang w:val="en-US" w:eastAsia="zh-CN"/>
              </w:rPr>
              <w:t>三</w:t>
            </w:r>
            <w:r>
              <w:rPr>
                <w:rFonts w:hint="eastAsia" w:ascii="宋体" w:hAnsi="宋体" w:eastAsia="宋体" w:cs="宋体"/>
                <w:color w:val="auto"/>
                <w:sz w:val="21"/>
                <w:szCs w:val="21"/>
                <w:highlight w:val="none"/>
              </w:rPr>
              <w:t>个月中任意</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个月为其缴纳社保证明加盖</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公章</w:t>
            </w:r>
            <w:r>
              <w:rPr>
                <w:rFonts w:hint="eastAsia" w:ascii="宋体" w:hAnsi="宋体" w:eastAsia="宋体" w:cs="宋体"/>
                <w:color w:val="auto"/>
                <w:sz w:val="21"/>
                <w:szCs w:val="21"/>
                <w:highlight w:val="none"/>
                <w:lang w:eastAsia="zh-CN"/>
              </w:rPr>
              <w:t>。</w:t>
            </w:r>
          </w:p>
        </w:tc>
        <w:tc>
          <w:tcPr>
            <w:tcW w:w="717" w:type="dxa"/>
            <w:shd w:val="clear" w:color="auto" w:fill="auto"/>
            <w:noWrap w:val="0"/>
            <w:vAlign w:val="center"/>
          </w:tcPr>
          <w:p w14:paraId="6312F5BA">
            <w:pPr>
              <w:pStyle w:val="22"/>
              <w:keepNext w:val="0"/>
              <w:keepLines w:val="0"/>
              <w:pageBreakBefore w:val="0"/>
              <w:widowControl w:val="0"/>
              <w:suppressLineNumbers w:val="0"/>
              <w:kinsoku/>
              <w:wordWrap/>
              <w:overflowPunct/>
              <w:topLinePunct w:val="0"/>
              <w:bidi w:val="0"/>
              <w:spacing w:before="0" w:beforeAutospacing="0" w:after="0" w:afterAutospacing="0" w:line="240" w:lineRule="auto"/>
              <w:ind w:left="0" w:leftChars="0" w:right="0" w:rightChars="0"/>
              <w:jc w:val="center"/>
              <w:textAlignment w:val="auto"/>
              <w:rPr>
                <w:rFonts w:hint="eastAsia" w:ascii="宋体" w:hAnsi="宋体" w:eastAsia="宋体" w:cs="宋体"/>
                <w:snapToGrid w:val="0"/>
                <w:color w:val="auto"/>
                <w:kern w:val="2"/>
                <w:sz w:val="21"/>
                <w:szCs w:val="21"/>
                <w:highlight w:val="none"/>
                <w:lang w:val="en-US" w:eastAsia="zh-CN" w:bidi="ar-SA"/>
              </w:rPr>
            </w:pPr>
            <w:r>
              <w:rPr>
                <w:rFonts w:hint="eastAsia" w:hAnsi="宋体" w:cs="宋体"/>
                <w:snapToGrid w:val="0"/>
                <w:color w:val="auto"/>
                <w:kern w:val="2"/>
                <w:sz w:val="21"/>
                <w:szCs w:val="21"/>
                <w:highlight w:val="none"/>
                <w:lang w:val="en-US" w:eastAsia="zh-CN" w:bidi="ar-SA"/>
              </w:rPr>
              <w:t>6</w:t>
            </w:r>
          </w:p>
        </w:tc>
        <w:tc>
          <w:tcPr>
            <w:tcW w:w="686" w:type="dxa"/>
            <w:shd w:val="clear" w:color="auto" w:fill="auto"/>
            <w:noWrap w:val="0"/>
            <w:vAlign w:val="center"/>
          </w:tcPr>
          <w:p w14:paraId="1BCE48CF">
            <w:pPr>
              <w:pStyle w:val="22"/>
              <w:keepNext w:val="0"/>
              <w:keepLines w:val="0"/>
              <w:pageBreakBefore w:val="0"/>
              <w:widowControl w:val="0"/>
              <w:suppressLineNumbers w:val="0"/>
              <w:kinsoku/>
              <w:wordWrap/>
              <w:overflowPunct/>
              <w:topLinePunct w:val="0"/>
              <w:bidi w:val="0"/>
              <w:spacing w:before="0" w:beforeAutospacing="0" w:after="0" w:afterAutospacing="0" w:line="240" w:lineRule="auto"/>
              <w:ind w:left="0" w:leftChars="0" w:right="0" w:rightChars="0"/>
              <w:jc w:val="center"/>
              <w:textAlignment w:val="auto"/>
              <w:rPr>
                <w:rFonts w:hint="eastAsia" w:ascii="宋体" w:hAnsi="宋体" w:eastAsia="宋体" w:cs="宋体"/>
                <w:snapToGrid w:val="0"/>
                <w:color w:val="auto"/>
                <w:kern w:val="2"/>
                <w:sz w:val="21"/>
                <w:szCs w:val="21"/>
                <w:highlight w:val="none"/>
                <w:lang w:val="zh-CN" w:eastAsia="zh-CN" w:bidi="ar-SA"/>
              </w:rPr>
            </w:pPr>
            <w:r>
              <w:rPr>
                <w:rFonts w:hint="eastAsia" w:hAnsi="宋体" w:cs="宋体"/>
                <w:color w:val="auto"/>
                <w:sz w:val="21"/>
                <w:szCs w:val="21"/>
                <w:highlight w:val="none"/>
                <w:lang w:val="en-US" w:eastAsia="zh-CN"/>
              </w:rPr>
              <w:t>客观</w:t>
            </w:r>
            <w:r>
              <w:rPr>
                <w:rFonts w:hint="eastAsia" w:ascii="宋体" w:hAnsi="宋体" w:eastAsia="宋体" w:cs="宋体"/>
                <w:color w:val="auto"/>
                <w:sz w:val="21"/>
                <w:szCs w:val="21"/>
                <w:highlight w:val="none"/>
              </w:rPr>
              <w:t>分</w:t>
            </w:r>
          </w:p>
        </w:tc>
      </w:tr>
      <w:tr w14:paraId="37C42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08" w:type="dxa"/>
            <w:vMerge w:val="continue"/>
            <w:noWrap w:val="0"/>
            <w:vAlign w:val="center"/>
          </w:tcPr>
          <w:p w14:paraId="4A6095E8">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textAlignment w:val="auto"/>
              <w:rPr>
                <w:rFonts w:hint="eastAsia" w:ascii="宋体" w:hAnsi="宋体" w:eastAsia="宋体" w:cs="宋体"/>
                <w:color w:val="auto"/>
                <w:sz w:val="21"/>
                <w:szCs w:val="21"/>
                <w:highlight w:val="none"/>
              </w:rPr>
            </w:pPr>
          </w:p>
        </w:tc>
        <w:tc>
          <w:tcPr>
            <w:tcW w:w="884" w:type="dxa"/>
            <w:tcBorders>
              <w:left w:val="single" w:color="auto" w:sz="4" w:space="0"/>
              <w:right w:val="single" w:color="auto" w:sz="4" w:space="0"/>
            </w:tcBorders>
            <w:noWrap w:val="0"/>
            <w:vAlign w:val="center"/>
          </w:tcPr>
          <w:p w14:paraId="20C45574">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项目组织管理</w:t>
            </w:r>
            <w:r>
              <w:rPr>
                <w:rFonts w:hint="eastAsia" w:ascii="宋体" w:hAnsi="宋体" w:eastAsia="宋体" w:cs="宋体"/>
                <w:color w:val="auto"/>
                <w:sz w:val="21"/>
                <w:szCs w:val="21"/>
                <w:highlight w:val="none"/>
                <w:lang w:val="en-US" w:eastAsia="zh-CN"/>
              </w:rPr>
              <w:t>能力</w:t>
            </w:r>
          </w:p>
        </w:tc>
        <w:tc>
          <w:tcPr>
            <w:tcW w:w="7183" w:type="dxa"/>
            <w:tcBorders>
              <w:left w:val="single" w:color="auto" w:sz="4" w:space="0"/>
              <w:right w:val="single" w:color="auto" w:sz="4" w:space="0"/>
            </w:tcBorders>
            <w:shd w:val="clear" w:color="auto" w:fill="auto"/>
            <w:noWrap w:val="0"/>
            <w:vAlign w:val="center"/>
          </w:tcPr>
          <w:p w14:paraId="005F9018">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根据供应商</w:t>
            </w:r>
            <w:r>
              <w:rPr>
                <w:rFonts w:hint="eastAsia" w:ascii="宋体" w:hAnsi="宋体" w:eastAsia="宋体" w:cs="宋体"/>
                <w:color w:val="auto"/>
                <w:sz w:val="21"/>
                <w:szCs w:val="21"/>
                <w:highlight w:val="none"/>
                <w:lang w:val="en-US" w:eastAsia="zh-CN"/>
              </w:rPr>
              <w:t>提供的针对本</w:t>
            </w:r>
            <w:r>
              <w:rPr>
                <w:rFonts w:hint="eastAsia" w:ascii="宋体" w:hAnsi="宋体" w:eastAsia="宋体" w:cs="宋体"/>
                <w:color w:val="auto"/>
                <w:sz w:val="21"/>
                <w:szCs w:val="21"/>
                <w:highlight w:val="none"/>
              </w:rPr>
              <w:t>项目组织机构和完备的人员管理、考核、激励机制和技术支持措施</w:t>
            </w:r>
            <w:r>
              <w:rPr>
                <w:rFonts w:hint="eastAsia" w:ascii="宋体" w:hAnsi="宋体" w:eastAsia="宋体" w:cs="宋体"/>
                <w:color w:val="auto"/>
                <w:sz w:val="21"/>
                <w:szCs w:val="21"/>
                <w:highlight w:val="none"/>
                <w:lang w:val="en-US" w:eastAsia="zh-CN"/>
              </w:rPr>
              <w:t>进行综合评议</w:t>
            </w:r>
            <w:r>
              <w:rPr>
                <w:rFonts w:hint="eastAsia" w:ascii="宋体" w:hAnsi="宋体" w:eastAsia="宋体" w:cs="宋体"/>
                <w:color w:val="auto"/>
                <w:sz w:val="21"/>
                <w:szCs w:val="21"/>
                <w:highlight w:val="none"/>
              </w:rPr>
              <w:t>。</w:t>
            </w:r>
          </w:p>
          <w:p w14:paraId="192483B2">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jc w:val="left"/>
              <w:textAlignment w:val="auto"/>
              <w:rPr>
                <w:rFonts w:hint="eastAsia" w:ascii="宋体" w:hAnsi="宋体" w:eastAsia="宋体" w:cs="宋体"/>
                <w:color w:val="auto"/>
                <w:sz w:val="21"/>
                <w:szCs w:val="21"/>
                <w:highlight w:val="none"/>
              </w:rPr>
            </w:pPr>
            <w:r>
              <w:rPr>
                <w:rFonts w:hint="default" w:ascii="宋体" w:hAnsi="宋体" w:eastAsia="宋体" w:cs="宋体"/>
                <w:color w:val="auto"/>
                <w:sz w:val="21"/>
                <w:szCs w:val="21"/>
                <w:highlight w:val="none"/>
              </w:rPr>
              <w:t>①</w:t>
            </w:r>
            <w:r>
              <w:rPr>
                <w:rFonts w:hint="eastAsia" w:ascii="宋体" w:hAnsi="宋体" w:eastAsia="宋体" w:cs="宋体"/>
                <w:color w:val="auto"/>
                <w:sz w:val="21"/>
                <w:szCs w:val="21"/>
                <w:highlight w:val="none"/>
              </w:rPr>
              <w:t>项目组织管理规范，各项机制完备，技术支持措施到位</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w:t>
            </w:r>
          </w:p>
          <w:p w14:paraId="7C709E55">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jc w:val="left"/>
              <w:textAlignment w:val="auto"/>
              <w:rPr>
                <w:rFonts w:hint="eastAsia" w:ascii="宋体" w:hAnsi="宋体" w:eastAsia="宋体" w:cs="宋体"/>
                <w:color w:val="auto"/>
                <w:sz w:val="21"/>
                <w:szCs w:val="21"/>
                <w:highlight w:val="none"/>
              </w:rPr>
            </w:pPr>
            <w:r>
              <w:rPr>
                <w:rFonts w:hint="default" w:ascii="宋体" w:hAnsi="宋体" w:eastAsia="宋体" w:cs="宋体"/>
                <w:color w:val="auto"/>
                <w:sz w:val="21"/>
                <w:szCs w:val="21"/>
                <w:highlight w:val="none"/>
                <w:lang w:val="en-US" w:eastAsia="zh-CN"/>
              </w:rPr>
              <w:t>②</w:t>
            </w:r>
            <w:r>
              <w:rPr>
                <w:rFonts w:hint="eastAsia" w:ascii="宋体" w:hAnsi="宋体" w:eastAsia="宋体" w:cs="宋体"/>
                <w:color w:val="auto"/>
                <w:sz w:val="21"/>
                <w:szCs w:val="21"/>
                <w:highlight w:val="none"/>
              </w:rPr>
              <w:t>项目团队管理较规范，各项机制比较完备，技术支持措施较到位</w:t>
            </w:r>
            <w:r>
              <w:rPr>
                <w:rFonts w:hint="eastAsia" w:ascii="宋体" w:hAnsi="宋体" w:eastAsia="宋体" w:cs="宋体"/>
                <w:color w:val="auto"/>
                <w:sz w:val="21"/>
                <w:szCs w:val="21"/>
                <w:highlight w:val="none"/>
                <w:lang w:val="en-US" w:eastAsia="zh-CN"/>
              </w:rPr>
              <w:t>的得3</w:t>
            </w:r>
            <w:r>
              <w:rPr>
                <w:rFonts w:hint="eastAsia" w:ascii="宋体" w:hAnsi="宋体" w:eastAsia="宋体" w:cs="宋体"/>
                <w:color w:val="auto"/>
                <w:sz w:val="21"/>
                <w:szCs w:val="21"/>
                <w:highlight w:val="none"/>
              </w:rPr>
              <w:t>分；</w:t>
            </w:r>
          </w:p>
          <w:p w14:paraId="370B3C40">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jc w:val="left"/>
              <w:textAlignment w:val="auto"/>
              <w:rPr>
                <w:rFonts w:hint="eastAsia" w:ascii="宋体" w:hAnsi="宋体" w:eastAsia="宋体" w:cs="宋体"/>
                <w:color w:val="auto"/>
                <w:sz w:val="21"/>
                <w:szCs w:val="21"/>
                <w:highlight w:val="none"/>
              </w:rPr>
            </w:pPr>
            <w:r>
              <w:rPr>
                <w:rFonts w:hint="default" w:ascii="宋体" w:hAnsi="宋体" w:eastAsia="宋体" w:cs="宋体"/>
                <w:color w:val="auto"/>
                <w:sz w:val="21"/>
                <w:szCs w:val="21"/>
                <w:highlight w:val="none"/>
                <w:lang w:val="en-US" w:eastAsia="zh-CN"/>
              </w:rPr>
              <w:t>③</w:t>
            </w:r>
            <w:r>
              <w:rPr>
                <w:rFonts w:hint="eastAsia" w:ascii="宋体" w:hAnsi="宋体" w:eastAsia="宋体" w:cs="宋体"/>
                <w:color w:val="auto"/>
                <w:sz w:val="21"/>
                <w:szCs w:val="21"/>
                <w:highlight w:val="none"/>
              </w:rPr>
              <w:t>项目团队管理基本规范，各项机制</w:t>
            </w:r>
            <w:r>
              <w:rPr>
                <w:rFonts w:hint="eastAsia" w:ascii="宋体" w:hAnsi="宋体" w:cs="宋体"/>
                <w:color w:val="auto"/>
                <w:sz w:val="21"/>
                <w:szCs w:val="21"/>
                <w:highlight w:val="none"/>
                <w:lang w:val="en-US" w:eastAsia="zh-CN"/>
              </w:rPr>
              <w:t>欠缺</w:t>
            </w:r>
            <w:r>
              <w:rPr>
                <w:rFonts w:hint="eastAsia" w:ascii="宋体" w:hAnsi="宋体" w:eastAsia="宋体" w:cs="宋体"/>
                <w:color w:val="auto"/>
                <w:sz w:val="21"/>
                <w:szCs w:val="21"/>
                <w:highlight w:val="none"/>
              </w:rPr>
              <w:t>，技术支持措施</w:t>
            </w:r>
            <w:r>
              <w:rPr>
                <w:rFonts w:hint="eastAsia" w:ascii="宋体" w:hAnsi="宋体" w:cs="宋体"/>
                <w:color w:val="auto"/>
                <w:sz w:val="21"/>
                <w:szCs w:val="21"/>
                <w:highlight w:val="none"/>
                <w:lang w:val="en-US" w:eastAsia="zh-CN"/>
              </w:rPr>
              <w:t>不能满足项目要求</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w:t>
            </w:r>
          </w:p>
          <w:p w14:paraId="0E79694E">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jc w:val="left"/>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④</w:t>
            </w:r>
            <w:r>
              <w:rPr>
                <w:rFonts w:hint="eastAsia" w:ascii="宋体" w:hAnsi="宋体" w:eastAsia="宋体" w:cs="宋体"/>
                <w:color w:val="auto"/>
                <w:sz w:val="21"/>
                <w:szCs w:val="21"/>
                <w:highlight w:val="none"/>
                <w:lang w:val="en-US" w:eastAsia="zh-CN"/>
              </w:rPr>
              <w:t>未提供相关内容的不得分。</w:t>
            </w:r>
          </w:p>
        </w:tc>
        <w:tc>
          <w:tcPr>
            <w:tcW w:w="717" w:type="dxa"/>
            <w:shd w:val="clear" w:color="auto" w:fill="auto"/>
            <w:noWrap w:val="0"/>
            <w:vAlign w:val="center"/>
          </w:tcPr>
          <w:p w14:paraId="4C2D94AE">
            <w:pPr>
              <w:pStyle w:val="22"/>
              <w:keepNext w:val="0"/>
              <w:keepLines w:val="0"/>
              <w:pageBreakBefore w:val="0"/>
              <w:widowControl w:val="0"/>
              <w:suppressLineNumbers w:val="0"/>
              <w:kinsoku/>
              <w:wordWrap/>
              <w:overflowPunct/>
              <w:topLinePunct w:val="0"/>
              <w:bidi w:val="0"/>
              <w:spacing w:before="0" w:beforeAutospacing="0" w:after="0" w:afterAutospacing="0" w:line="240" w:lineRule="auto"/>
              <w:ind w:left="0" w:leftChars="0" w:right="0" w:rightChars="0"/>
              <w:jc w:val="center"/>
              <w:textAlignment w:val="auto"/>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snapToGrid w:val="0"/>
                <w:color w:val="auto"/>
                <w:kern w:val="2"/>
                <w:sz w:val="21"/>
                <w:szCs w:val="21"/>
                <w:highlight w:val="none"/>
                <w:lang w:val="en-US" w:eastAsia="zh-CN" w:bidi="ar-SA"/>
              </w:rPr>
              <w:t>5</w:t>
            </w:r>
          </w:p>
        </w:tc>
        <w:tc>
          <w:tcPr>
            <w:tcW w:w="686" w:type="dxa"/>
            <w:shd w:val="clear" w:color="auto" w:fill="auto"/>
            <w:noWrap w:val="0"/>
            <w:vAlign w:val="center"/>
          </w:tcPr>
          <w:p w14:paraId="35B0A8BA">
            <w:pPr>
              <w:pStyle w:val="22"/>
              <w:keepNext w:val="0"/>
              <w:keepLines w:val="0"/>
              <w:pageBreakBefore w:val="0"/>
              <w:widowControl w:val="0"/>
              <w:suppressLineNumbers w:val="0"/>
              <w:kinsoku/>
              <w:wordWrap/>
              <w:overflowPunct/>
              <w:topLinePunct w:val="0"/>
              <w:bidi w:val="0"/>
              <w:spacing w:before="0" w:beforeAutospacing="0" w:after="0" w:afterAutospacing="0" w:line="240" w:lineRule="auto"/>
              <w:ind w:left="0" w:leftChars="0" w:right="0" w:rightChars="0"/>
              <w:jc w:val="center"/>
              <w:textAlignment w:val="auto"/>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主</w:t>
            </w:r>
            <w:r>
              <w:rPr>
                <w:rFonts w:hint="eastAsia" w:ascii="宋体" w:hAnsi="宋体" w:eastAsia="宋体" w:cs="宋体"/>
                <w:color w:val="auto"/>
                <w:sz w:val="21"/>
                <w:szCs w:val="21"/>
                <w:highlight w:val="none"/>
              </w:rPr>
              <w:t>观分</w:t>
            </w:r>
          </w:p>
        </w:tc>
      </w:tr>
      <w:tr w14:paraId="4FEE0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8" w:type="dxa"/>
            <w:vMerge w:val="continue"/>
            <w:noWrap w:val="0"/>
            <w:vAlign w:val="center"/>
          </w:tcPr>
          <w:p w14:paraId="376B71AA">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textAlignment w:val="auto"/>
              <w:rPr>
                <w:rFonts w:hint="eastAsia" w:ascii="宋体" w:hAnsi="宋体" w:eastAsia="宋体" w:cs="宋体"/>
                <w:color w:val="auto"/>
                <w:sz w:val="21"/>
                <w:szCs w:val="21"/>
                <w:highlight w:val="none"/>
              </w:rPr>
            </w:pPr>
          </w:p>
        </w:tc>
        <w:tc>
          <w:tcPr>
            <w:tcW w:w="884" w:type="dxa"/>
            <w:tcBorders>
              <w:top w:val="single" w:color="auto" w:sz="4" w:space="0"/>
              <w:left w:val="single" w:color="auto" w:sz="4" w:space="0"/>
              <w:right w:val="single" w:color="auto" w:sz="4" w:space="0"/>
            </w:tcBorders>
            <w:noWrap w:val="0"/>
            <w:vAlign w:val="center"/>
          </w:tcPr>
          <w:p w14:paraId="00DA4675">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类似</w:t>
            </w:r>
          </w:p>
          <w:p w14:paraId="1C6C0EC5">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业绩</w:t>
            </w:r>
          </w:p>
        </w:tc>
        <w:tc>
          <w:tcPr>
            <w:tcW w:w="7183" w:type="dxa"/>
            <w:tcBorders>
              <w:top w:val="single" w:color="auto" w:sz="4" w:space="0"/>
              <w:left w:val="single" w:color="auto" w:sz="4" w:space="0"/>
              <w:right w:val="single" w:color="auto" w:sz="4" w:space="0"/>
            </w:tcBorders>
            <w:noWrap w:val="0"/>
            <w:vAlign w:val="center"/>
          </w:tcPr>
          <w:p w14:paraId="54A0CCC0">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rPr>
              <w:t>自202</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年1月1日以来（以合同签订时间为准），曾具有类似运维服务业绩的，每提供一个合同得0.5分，本项最多得1分。</w:t>
            </w:r>
          </w:p>
          <w:p w14:paraId="6B90D3F3">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jc w:val="left"/>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注：</w:t>
            </w:r>
            <w:r>
              <w:rPr>
                <w:rFonts w:hint="eastAsia" w:hAnsi="宋体" w:cs="宋体"/>
                <w:color w:val="auto"/>
                <w:sz w:val="21"/>
                <w:szCs w:val="21"/>
                <w:highlight w:val="none"/>
                <w:lang w:val="en-US" w:eastAsia="zh-CN"/>
              </w:rPr>
              <w:t>响应</w:t>
            </w:r>
            <w:r>
              <w:rPr>
                <w:rFonts w:hint="eastAsia" w:ascii="宋体" w:hAnsi="宋体" w:eastAsia="宋体" w:cs="宋体"/>
                <w:color w:val="auto"/>
                <w:sz w:val="21"/>
                <w:szCs w:val="21"/>
                <w:highlight w:val="none"/>
              </w:rPr>
              <w:t>投标文件须提供合同复印件加盖</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公章，不提供不得分。</w:t>
            </w:r>
          </w:p>
        </w:tc>
        <w:tc>
          <w:tcPr>
            <w:tcW w:w="717" w:type="dxa"/>
            <w:noWrap w:val="0"/>
            <w:vAlign w:val="center"/>
          </w:tcPr>
          <w:p w14:paraId="24F7FFE6">
            <w:pPr>
              <w:pStyle w:val="22"/>
              <w:keepNext w:val="0"/>
              <w:keepLines w:val="0"/>
              <w:pageBreakBefore w:val="0"/>
              <w:widowControl w:val="0"/>
              <w:suppressLineNumbers w:val="0"/>
              <w:kinsoku/>
              <w:wordWrap/>
              <w:overflowPunct/>
              <w:topLinePunct w:val="0"/>
              <w:bidi w:val="0"/>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686" w:type="dxa"/>
            <w:noWrap w:val="0"/>
            <w:vAlign w:val="center"/>
          </w:tcPr>
          <w:p w14:paraId="01C01497">
            <w:pPr>
              <w:pStyle w:val="22"/>
              <w:keepNext w:val="0"/>
              <w:keepLines w:val="0"/>
              <w:pageBreakBefore w:val="0"/>
              <w:widowControl w:val="0"/>
              <w:suppressLineNumbers w:val="0"/>
              <w:kinsoku/>
              <w:wordWrap/>
              <w:overflowPunct/>
              <w:topLinePunct w:val="0"/>
              <w:bidi w:val="0"/>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客观分</w:t>
            </w:r>
          </w:p>
        </w:tc>
      </w:tr>
      <w:tr w14:paraId="72CFE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8" w:type="dxa"/>
            <w:vMerge w:val="continue"/>
            <w:noWrap w:val="0"/>
            <w:vAlign w:val="center"/>
          </w:tcPr>
          <w:p w14:paraId="099C12CE">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textAlignment w:val="auto"/>
              <w:rPr>
                <w:rFonts w:hint="eastAsia" w:ascii="宋体" w:hAnsi="宋体" w:eastAsia="宋体" w:cs="宋体"/>
                <w:color w:val="auto"/>
                <w:sz w:val="21"/>
                <w:szCs w:val="21"/>
                <w:highlight w:val="none"/>
              </w:rPr>
            </w:pPr>
          </w:p>
        </w:tc>
        <w:tc>
          <w:tcPr>
            <w:tcW w:w="884" w:type="dxa"/>
            <w:tcBorders>
              <w:top w:val="single" w:color="auto" w:sz="4" w:space="0"/>
              <w:left w:val="single" w:color="auto" w:sz="4" w:space="0"/>
              <w:right w:val="single" w:color="auto" w:sz="4" w:space="0"/>
            </w:tcBorders>
            <w:shd w:val="clear" w:color="auto" w:fill="auto"/>
            <w:noWrap w:val="0"/>
            <w:vAlign w:val="center"/>
          </w:tcPr>
          <w:p w14:paraId="077054D5">
            <w:pPr>
              <w:keepNext w:val="0"/>
              <w:keepLines w:val="0"/>
              <w:suppressLineNumbers w:val="0"/>
              <w:spacing w:before="0" w:beforeAutospacing="0" w:after="0" w:afterAutospacing="0" w:line="360" w:lineRule="exact"/>
              <w:ind w:left="0" w:right="0"/>
              <w:jc w:val="center"/>
              <w:rPr>
                <w:rFonts w:hint="eastAsia"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认证</w:t>
            </w:r>
          </w:p>
          <w:p w14:paraId="0CFCD302">
            <w:pPr>
              <w:keepNext w:val="0"/>
              <w:keepLines w:val="0"/>
              <w:suppressLineNumbers w:val="0"/>
              <w:spacing w:before="0" w:beforeAutospacing="0" w:after="0" w:afterAutospacing="0" w:line="360" w:lineRule="exact"/>
              <w:ind w:left="0" w:leftChars="0" w:right="0" w:rightChars="0"/>
              <w:jc w:val="center"/>
              <w:rPr>
                <w:rFonts w:hint="eastAsia" w:ascii="宋体" w:hAnsi="宋体" w:eastAsia="宋体" w:cs="宋体"/>
                <w:color w:val="auto"/>
                <w:kern w:val="0"/>
                <w:sz w:val="21"/>
                <w:szCs w:val="21"/>
                <w:highlight w:val="none"/>
                <w:lang w:val="en-US" w:eastAsia="zh-CN" w:bidi="ar-SA"/>
              </w:rPr>
            </w:pPr>
            <w:r>
              <w:rPr>
                <w:rFonts w:hint="eastAsia" w:cs="宋体" w:asciiTheme="minorEastAsia" w:hAnsiTheme="minorEastAsia" w:eastAsiaTheme="minorEastAsia"/>
                <w:color w:val="auto"/>
                <w:kern w:val="0"/>
                <w:szCs w:val="21"/>
                <w:highlight w:val="none"/>
              </w:rPr>
              <w:t>证书</w:t>
            </w:r>
          </w:p>
        </w:tc>
        <w:tc>
          <w:tcPr>
            <w:tcW w:w="7183" w:type="dxa"/>
            <w:tcBorders>
              <w:top w:val="single" w:color="auto" w:sz="4" w:space="0"/>
              <w:left w:val="single" w:color="auto" w:sz="4" w:space="0"/>
              <w:right w:val="single" w:color="auto" w:sz="4" w:space="0"/>
            </w:tcBorders>
            <w:shd w:val="clear" w:color="auto" w:fill="auto"/>
            <w:noWrap w:val="0"/>
            <w:vAlign w:val="center"/>
          </w:tcPr>
          <w:p w14:paraId="57C48A87">
            <w:pPr>
              <w:keepNext w:val="0"/>
              <w:keepLines w:val="0"/>
              <w:suppressLineNumbers w:val="0"/>
              <w:spacing w:before="0" w:beforeAutospacing="0" w:after="0" w:afterAutospacing="0" w:line="360" w:lineRule="exact"/>
              <w:ind w:left="0" w:right="0"/>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供应商具有有效的ISO20000信息技术服务管理体系认证证书、ISO27001信息安全管理体系认证证书、ISO9001质量管理体系认证证书的，每提供一个得1分，本项最多得3分。</w:t>
            </w:r>
          </w:p>
          <w:p w14:paraId="19AA0AAC">
            <w:pPr>
              <w:keepNext w:val="0"/>
              <w:keepLines w:val="0"/>
              <w:suppressLineNumbers w:val="0"/>
              <w:spacing w:before="0" w:beforeAutospacing="0" w:after="0" w:afterAutospacing="0" w:line="360" w:lineRule="exact"/>
              <w:ind w:left="0" w:leftChars="0" w:right="0" w:rightChars="0"/>
              <w:jc w:val="left"/>
              <w:rPr>
                <w:rFonts w:hint="eastAsia" w:ascii="宋体" w:hAnsi="宋体" w:eastAsia="宋体" w:cs="宋体"/>
                <w:color w:val="auto"/>
                <w:kern w:val="2"/>
                <w:sz w:val="21"/>
                <w:szCs w:val="21"/>
                <w:highlight w:val="none"/>
                <w:lang w:val="en-US" w:eastAsia="zh-CN" w:bidi="ar-SA"/>
              </w:rPr>
            </w:pPr>
            <w:r>
              <w:rPr>
                <w:rFonts w:hint="eastAsia" w:cs="宋体" w:asciiTheme="minorEastAsia" w:hAnsiTheme="minorEastAsia" w:eastAsiaTheme="minorEastAsia"/>
                <w:color w:val="auto"/>
                <w:szCs w:val="21"/>
                <w:highlight w:val="none"/>
              </w:rPr>
              <w:t>注：响应文件中提供</w:t>
            </w:r>
            <w:r>
              <w:rPr>
                <w:rFonts w:hint="eastAsia" w:cs="宋体" w:asciiTheme="minorEastAsia" w:hAnsiTheme="minorEastAsia" w:eastAsiaTheme="minorEastAsia"/>
                <w:color w:val="auto"/>
                <w:szCs w:val="21"/>
                <w:highlight w:val="none"/>
                <w:lang w:val="en-US" w:eastAsia="zh-CN"/>
              </w:rPr>
              <w:t>有效认证</w:t>
            </w:r>
            <w:r>
              <w:rPr>
                <w:rFonts w:hint="eastAsia" w:cs="宋体" w:asciiTheme="minorEastAsia" w:hAnsiTheme="minorEastAsia" w:eastAsiaTheme="minorEastAsia"/>
                <w:color w:val="auto"/>
                <w:szCs w:val="21"/>
                <w:highlight w:val="none"/>
              </w:rPr>
              <w:t>证书复印件和全国认证认可信息公共服务平台官网认证截图</w:t>
            </w:r>
            <w:r>
              <w:rPr>
                <w:rFonts w:hint="eastAsia" w:cs="宋体" w:asciiTheme="minorEastAsia" w:hAnsiTheme="minorEastAsia" w:eastAsiaTheme="minorEastAsia"/>
                <w:color w:val="auto"/>
                <w:szCs w:val="21"/>
                <w:highlight w:val="none"/>
                <w:lang w:eastAsia="zh-CN"/>
              </w:rPr>
              <w:t>，</w:t>
            </w:r>
            <w:r>
              <w:rPr>
                <w:rFonts w:hint="eastAsia" w:cs="宋体" w:asciiTheme="minorEastAsia" w:hAnsiTheme="minorEastAsia" w:eastAsiaTheme="minorEastAsia"/>
                <w:color w:val="auto"/>
                <w:szCs w:val="21"/>
                <w:highlight w:val="none"/>
              </w:rPr>
              <w:t>并加盖</w:t>
            </w:r>
            <w:r>
              <w:rPr>
                <w:rFonts w:hint="eastAsia" w:cs="宋体" w:asciiTheme="minorEastAsia" w:hAnsiTheme="minorEastAsia" w:eastAsiaTheme="minorEastAsia"/>
                <w:color w:val="auto"/>
                <w:szCs w:val="21"/>
                <w:highlight w:val="none"/>
                <w:lang w:val="en-US" w:eastAsia="zh-CN"/>
              </w:rPr>
              <w:t>供应商</w:t>
            </w:r>
            <w:r>
              <w:rPr>
                <w:rFonts w:hint="eastAsia" w:cs="宋体" w:asciiTheme="minorEastAsia" w:hAnsiTheme="minorEastAsia" w:eastAsiaTheme="minorEastAsia"/>
                <w:color w:val="auto"/>
                <w:szCs w:val="21"/>
                <w:highlight w:val="none"/>
              </w:rPr>
              <w:t>公章，未</w:t>
            </w:r>
            <w:r>
              <w:rPr>
                <w:rFonts w:hint="eastAsia" w:cs="宋体" w:asciiTheme="minorEastAsia" w:hAnsiTheme="minorEastAsia" w:eastAsiaTheme="minorEastAsia"/>
                <w:color w:val="auto"/>
                <w:szCs w:val="21"/>
                <w:highlight w:val="none"/>
                <w:lang w:val="en-US" w:eastAsia="zh-CN"/>
              </w:rPr>
              <w:t>按要求</w:t>
            </w:r>
            <w:r>
              <w:rPr>
                <w:rFonts w:hint="eastAsia" w:cs="宋体" w:asciiTheme="minorEastAsia" w:hAnsiTheme="minorEastAsia" w:eastAsiaTheme="minorEastAsia"/>
                <w:color w:val="auto"/>
                <w:szCs w:val="21"/>
                <w:highlight w:val="none"/>
              </w:rPr>
              <w:t>提供</w:t>
            </w:r>
            <w:r>
              <w:rPr>
                <w:rFonts w:hint="eastAsia" w:cs="宋体" w:asciiTheme="minorEastAsia" w:hAnsiTheme="minorEastAsia" w:eastAsiaTheme="minorEastAsia"/>
                <w:color w:val="auto"/>
                <w:szCs w:val="21"/>
                <w:highlight w:val="none"/>
                <w:lang w:val="en-US" w:eastAsia="zh-CN"/>
              </w:rPr>
              <w:t>的</w:t>
            </w:r>
            <w:r>
              <w:rPr>
                <w:rFonts w:hint="eastAsia" w:cs="宋体" w:asciiTheme="minorEastAsia" w:hAnsiTheme="minorEastAsia" w:eastAsiaTheme="minorEastAsia"/>
                <w:color w:val="auto"/>
                <w:szCs w:val="21"/>
                <w:highlight w:val="none"/>
              </w:rPr>
              <w:t>不得分。</w:t>
            </w:r>
          </w:p>
        </w:tc>
        <w:tc>
          <w:tcPr>
            <w:tcW w:w="717" w:type="dxa"/>
            <w:shd w:val="clear" w:color="auto" w:fill="auto"/>
            <w:noWrap w:val="0"/>
            <w:vAlign w:val="center"/>
          </w:tcPr>
          <w:p w14:paraId="649E3DEC">
            <w:pPr>
              <w:pStyle w:val="22"/>
              <w:keepNext w:val="0"/>
              <w:keepLines w:val="0"/>
              <w:suppressLineNumbers w:val="0"/>
              <w:spacing w:before="0" w:beforeAutospacing="0" w:after="0" w:afterAutospacing="0" w:line="360" w:lineRule="exact"/>
              <w:ind w:left="0" w:leftChars="0" w:right="0" w:rightChars="0"/>
              <w:jc w:val="center"/>
              <w:rPr>
                <w:rFonts w:hint="eastAsia" w:ascii="宋体" w:hAnsi="宋体" w:eastAsia="宋体" w:cs="宋体"/>
                <w:color w:val="auto"/>
                <w:kern w:val="2"/>
                <w:sz w:val="21"/>
                <w:szCs w:val="21"/>
                <w:highlight w:val="none"/>
                <w:lang w:val="en-US" w:eastAsia="zh-CN" w:bidi="ar-SA"/>
              </w:rPr>
            </w:pPr>
            <w:r>
              <w:rPr>
                <w:rFonts w:hint="eastAsia" w:cs="宋体" w:asciiTheme="minorEastAsia" w:hAnsiTheme="minorEastAsia" w:eastAsiaTheme="minorEastAsia"/>
                <w:color w:val="auto"/>
                <w:sz w:val="21"/>
                <w:szCs w:val="21"/>
                <w:highlight w:val="none"/>
              </w:rPr>
              <w:t>3</w:t>
            </w:r>
          </w:p>
        </w:tc>
        <w:tc>
          <w:tcPr>
            <w:tcW w:w="686" w:type="dxa"/>
            <w:shd w:val="clear" w:color="auto" w:fill="auto"/>
            <w:noWrap w:val="0"/>
            <w:vAlign w:val="center"/>
          </w:tcPr>
          <w:p w14:paraId="40FCD23E">
            <w:pPr>
              <w:pStyle w:val="22"/>
              <w:keepNext w:val="0"/>
              <w:keepLines w:val="0"/>
              <w:suppressLineNumbers w:val="0"/>
              <w:spacing w:before="0" w:beforeAutospacing="0" w:after="0" w:afterAutospacing="0" w:line="360" w:lineRule="exact"/>
              <w:ind w:left="0" w:leftChars="0" w:right="0" w:rightChars="0"/>
              <w:jc w:val="center"/>
              <w:rPr>
                <w:rFonts w:hint="eastAsia" w:ascii="宋体" w:hAnsi="宋体" w:eastAsia="宋体" w:cs="宋体"/>
                <w:color w:val="auto"/>
                <w:kern w:val="2"/>
                <w:sz w:val="21"/>
                <w:szCs w:val="21"/>
                <w:highlight w:val="none"/>
                <w:lang w:val="zh-CN" w:eastAsia="zh-CN" w:bidi="ar-SA"/>
              </w:rPr>
            </w:pPr>
            <w:r>
              <w:rPr>
                <w:rFonts w:hint="eastAsia" w:cs="宋体" w:asciiTheme="minorEastAsia" w:hAnsiTheme="minorEastAsia" w:eastAsiaTheme="minorEastAsia"/>
                <w:color w:val="auto"/>
                <w:sz w:val="21"/>
                <w:szCs w:val="21"/>
                <w:highlight w:val="none"/>
              </w:rPr>
              <w:t>客观分</w:t>
            </w:r>
          </w:p>
        </w:tc>
      </w:tr>
      <w:tr w14:paraId="293D1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8" w:type="dxa"/>
            <w:vMerge w:val="continue"/>
            <w:noWrap w:val="0"/>
            <w:vAlign w:val="center"/>
          </w:tcPr>
          <w:p w14:paraId="3A32BBB0">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textAlignment w:val="auto"/>
              <w:rPr>
                <w:rFonts w:hint="eastAsia" w:ascii="宋体" w:hAnsi="宋体" w:eastAsia="宋体" w:cs="宋体"/>
                <w:color w:val="auto"/>
                <w:sz w:val="21"/>
                <w:szCs w:val="21"/>
                <w:highlight w:val="none"/>
              </w:rPr>
            </w:pPr>
          </w:p>
        </w:tc>
        <w:tc>
          <w:tcPr>
            <w:tcW w:w="884" w:type="dxa"/>
            <w:tcBorders>
              <w:top w:val="single" w:color="auto" w:sz="4" w:space="0"/>
              <w:left w:val="single" w:color="auto" w:sz="4" w:space="0"/>
              <w:right w:val="single" w:color="auto" w:sz="4" w:space="0"/>
            </w:tcBorders>
            <w:noWrap w:val="0"/>
            <w:vAlign w:val="center"/>
          </w:tcPr>
          <w:p w14:paraId="12E3B4AC">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服务</w:t>
            </w:r>
          </w:p>
          <w:p w14:paraId="3FFBB692">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rPr>
              <w:t>承诺</w:t>
            </w:r>
            <w:r>
              <w:rPr>
                <w:rFonts w:hint="eastAsia" w:ascii="宋体" w:hAnsi="宋体" w:cs="宋体"/>
                <w:color w:val="auto"/>
                <w:kern w:val="0"/>
                <w:sz w:val="21"/>
                <w:szCs w:val="21"/>
                <w:highlight w:val="none"/>
                <w:lang w:val="en-US" w:eastAsia="zh-CN"/>
              </w:rPr>
              <w:t>和</w:t>
            </w:r>
            <w:r>
              <w:rPr>
                <w:rFonts w:hint="eastAsia" w:ascii="宋体" w:hAnsi="宋体" w:eastAsia="宋体" w:cs="宋体"/>
                <w:color w:val="auto"/>
                <w:kern w:val="0"/>
                <w:sz w:val="21"/>
                <w:szCs w:val="21"/>
                <w:highlight w:val="none"/>
                <w:lang w:val="en-US" w:eastAsia="zh-CN"/>
              </w:rPr>
              <w:t>服务质量保证措施</w:t>
            </w:r>
          </w:p>
        </w:tc>
        <w:tc>
          <w:tcPr>
            <w:tcW w:w="7183" w:type="dxa"/>
            <w:tcBorders>
              <w:top w:val="single" w:color="auto" w:sz="4" w:space="0"/>
              <w:left w:val="single" w:color="auto" w:sz="4" w:space="0"/>
              <w:right w:val="single" w:color="auto" w:sz="4" w:space="0"/>
            </w:tcBorders>
            <w:noWrap w:val="0"/>
            <w:vAlign w:val="center"/>
          </w:tcPr>
          <w:p w14:paraId="6065213B">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val="en-US" w:eastAsia="zh-CN"/>
              </w:rPr>
              <w:t>根据供应商提供的针对本项目的</w:t>
            </w:r>
            <w:r>
              <w:rPr>
                <w:rFonts w:hint="eastAsia" w:ascii="宋体" w:hAnsi="宋体" w:eastAsia="宋体" w:cs="宋体"/>
                <w:color w:val="auto"/>
                <w:kern w:val="0"/>
                <w:sz w:val="21"/>
                <w:szCs w:val="21"/>
                <w:highlight w:val="none"/>
              </w:rPr>
              <w:t>服务承诺</w:t>
            </w:r>
            <w:r>
              <w:rPr>
                <w:rFonts w:hint="eastAsia" w:ascii="宋体" w:hAnsi="宋体" w:cs="宋体"/>
                <w:color w:val="auto"/>
                <w:kern w:val="0"/>
                <w:sz w:val="21"/>
                <w:szCs w:val="21"/>
                <w:highlight w:val="none"/>
                <w:lang w:val="en-US" w:eastAsia="zh-CN"/>
              </w:rPr>
              <w:t>和</w:t>
            </w:r>
            <w:r>
              <w:rPr>
                <w:rFonts w:hint="eastAsia" w:ascii="宋体" w:hAnsi="宋体" w:eastAsia="宋体" w:cs="宋体"/>
                <w:color w:val="auto"/>
                <w:kern w:val="0"/>
                <w:sz w:val="21"/>
                <w:szCs w:val="21"/>
                <w:highlight w:val="none"/>
                <w:lang w:val="en-US" w:eastAsia="zh-CN"/>
              </w:rPr>
              <w:t>服务质量保证措施进行综合评议。</w:t>
            </w:r>
          </w:p>
          <w:p w14:paraId="7ACDA961">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jc w:val="left"/>
              <w:textAlignment w:val="auto"/>
              <w:rPr>
                <w:rFonts w:hint="eastAsia" w:ascii="宋体" w:hAnsi="宋体" w:eastAsia="宋体" w:cs="宋体"/>
                <w:color w:val="auto"/>
                <w:sz w:val="21"/>
                <w:szCs w:val="21"/>
                <w:highlight w:val="none"/>
              </w:rPr>
            </w:pPr>
            <w:r>
              <w:rPr>
                <w:rFonts w:hint="default" w:ascii="宋体" w:hAnsi="宋体" w:eastAsia="宋体" w:cs="宋体"/>
                <w:color w:val="auto"/>
                <w:sz w:val="21"/>
                <w:szCs w:val="21"/>
                <w:highlight w:val="none"/>
              </w:rPr>
              <w:t>①</w:t>
            </w:r>
            <w:r>
              <w:rPr>
                <w:rFonts w:hint="eastAsia" w:ascii="宋体" w:hAnsi="宋体" w:eastAsia="宋体" w:cs="宋体"/>
                <w:color w:val="auto"/>
                <w:sz w:val="21"/>
                <w:szCs w:val="21"/>
                <w:highlight w:val="none"/>
              </w:rPr>
              <w:t>服务承诺合理有效，可操作性强，人员投入时间节点合理，</w:t>
            </w:r>
            <w:r>
              <w:rPr>
                <w:rFonts w:hint="eastAsia" w:ascii="宋体" w:hAnsi="宋体" w:eastAsia="宋体" w:cs="宋体"/>
                <w:color w:val="auto"/>
                <w:sz w:val="21"/>
                <w:szCs w:val="21"/>
                <w:highlight w:val="none"/>
                <w:lang w:val="en-US" w:eastAsia="zh-CN"/>
              </w:rPr>
              <w:t>服务响应时间完全满足采购文件要求</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服务质量保证</w:t>
            </w:r>
            <w:r>
              <w:rPr>
                <w:rFonts w:hint="eastAsia" w:ascii="宋体" w:hAnsi="宋体" w:eastAsia="宋体" w:cs="宋体"/>
                <w:color w:val="auto"/>
                <w:kern w:val="2"/>
                <w:sz w:val="21"/>
                <w:szCs w:val="21"/>
                <w:highlight w:val="none"/>
                <w:lang w:val="en-US" w:eastAsia="zh-CN" w:bidi="ar"/>
              </w:rPr>
              <w:t>制度完善，措施合理得当，针对性、可行性强</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w:t>
            </w:r>
          </w:p>
          <w:p w14:paraId="1A155747">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jc w:val="left"/>
              <w:textAlignment w:val="auto"/>
              <w:rPr>
                <w:rFonts w:hint="eastAsia" w:ascii="宋体" w:hAnsi="宋体" w:eastAsia="宋体" w:cs="宋体"/>
                <w:color w:val="auto"/>
                <w:sz w:val="21"/>
                <w:szCs w:val="21"/>
                <w:highlight w:val="none"/>
              </w:rPr>
            </w:pPr>
            <w:r>
              <w:rPr>
                <w:rFonts w:hint="default" w:ascii="宋体" w:hAnsi="宋体" w:eastAsia="宋体" w:cs="宋体"/>
                <w:color w:val="auto"/>
                <w:sz w:val="21"/>
                <w:szCs w:val="21"/>
                <w:highlight w:val="none"/>
                <w:lang w:val="en-US" w:eastAsia="zh-CN"/>
              </w:rPr>
              <w:t>②</w:t>
            </w:r>
            <w:r>
              <w:rPr>
                <w:rFonts w:hint="eastAsia" w:ascii="宋体" w:hAnsi="宋体" w:eastAsia="宋体" w:cs="宋体"/>
                <w:color w:val="auto"/>
                <w:sz w:val="21"/>
                <w:szCs w:val="21"/>
                <w:highlight w:val="none"/>
              </w:rPr>
              <w:t>服务承诺较合理、操作性较强，人员投入时间节点较合理，</w:t>
            </w:r>
            <w:r>
              <w:rPr>
                <w:rFonts w:hint="eastAsia" w:ascii="宋体" w:hAnsi="宋体" w:eastAsia="宋体" w:cs="宋体"/>
                <w:color w:val="auto"/>
                <w:sz w:val="21"/>
                <w:szCs w:val="21"/>
                <w:highlight w:val="none"/>
                <w:lang w:val="en-US" w:eastAsia="zh-CN"/>
              </w:rPr>
              <w:t>服务响应时间基本满足采购文件要求的</w:t>
            </w:r>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w:t>
            </w:r>
          </w:p>
          <w:p w14:paraId="078057AC">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jc w:val="left"/>
              <w:textAlignment w:val="auto"/>
              <w:rPr>
                <w:rFonts w:hint="eastAsia" w:ascii="宋体" w:hAnsi="宋体" w:eastAsia="宋体" w:cs="宋体"/>
                <w:color w:val="auto"/>
                <w:sz w:val="21"/>
                <w:szCs w:val="21"/>
                <w:highlight w:val="none"/>
                <w:lang w:eastAsia="zh-CN"/>
              </w:rPr>
            </w:pPr>
            <w:r>
              <w:rPr>
                <w:rFonts w:hint="default" w:ascii="宋体" w:hAnsi="宋体" w:eastAsia="宋体" w:cs="宋体"/>
                <w:color w:val="auto"/>
                <w:sz w:val="21"/>
                <w:szCs w:val="21"/>
                <w:highlight w:val="none"/>
                <w:lang w:val="en-US" w:eastAsia="zh-CN"/>
              </w:rPr>
              <w:t>③</w:t>
            </w:r>
            <w:r>
              <w:rPr>
                <w:rFonts w:hint="eastAsia" w:ascii="宋体" w:hAnsi="宋体" w:eastAsia="宋体" w:cs="宋体"/>
                <w:color w:val="auto"/>
                <w:sz w:val="21"/>
                <w:szCs w:val="21"/>
                <w:highlight w:val="none"/>
              </w:rPr>
              <w:t>服务承诺一般，可操作性一般，人员投入时间节点一般，</w:t>
            </w:r>
            <w:r>
              <w:rPr>
                <w:rFonts w:hint="eastAsia" w:ascii="宋体" w:hAnsi="宋体" w:eastAsia="宋体" w:cs="宋体"/>
                <w:color w:val="auto"/>
                <w:sz w:val="21"/>
                <w:szCs w:val="21"/>
                <w:highlight w:val="none"/>
                <w:lang w:val="en-US" w:eastAsia="zh-CN"/>
              </w:rPr>
              <w:t>服务响应时间不满足采购文件要求</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服务质量保证</w:t>
            </w:r>
            <w:r>
              <w:rPr>
                <w:rFonts w:hint="eastAsia" w:ascii="宋体" w:hAnsi="宋体" w:eastAsia="宋体" w:cs="宋体"/>
                <w:color w:val="auto"/>
                <w:kern w:val="2"/>
                <w:sz w:val="21"/>
                <w:szCs w:val="21"/>
                <w:highlight w:val="none"/>
                <w:lang w:val="en-US" w:eastAsia="zh-CN" w:bidi="ar"/>
              </w:rPr>
              <w:t>制度不完善，措施不合理，缺乏针对性</w:t>
            </w:r>
            <w:r>
              <w:rPr>
                <w:rFonts w:hint="eastAsia" w:ascii="宋体" w:hAnsi="宋体" w:cs="宋体"/>
                <w:color w:val="auto"/>
                <w:kern w:val="2"/>
                <w:sz w:val="21"/>
                <w:szCs w:val="21"/>
                <w:highlight w:val="none"/>
                <w:lang w:val="en-US" w:eastAsia="zh-CN" w:bidi="ar"/>
              </w:rPr>
              <w:t>和</w:t>
            </w:r>
            <w:r>
              <w:rPr>
                <w:rFonts w:hint="eastAsia" w:ascii="宋体" w:hAnsi="宋体" w:eastAsia="宋体" w:cs="宋体"/>
                <w:color w:val="auto"/>
                <w:kern w:val="2"/>
                <w:sz w:val="21"/>
                <w:szCs w:val="21"/>
                <w:highlight w:val="none"/>
                <w:lang w:val="en-US" w:eastAsia="zh-CN" w:bidi="ar"/>
              </w:rPr>
              <w:t>可行性</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sz w:val="21"/>
                <w:szCs w:val="21"/>
                <w:highlight w:val="none"/>
              </w:rPr>
              <w:t>得1分</w:t>
            </w:r>
            <w:r>
              <w:rPr>
                <w:rFonts w:hint="eastAsia" w:ascii="宋体" w:hAnsi="宋体" w:eastAsia="宋体" w:cs="宋体"/>
                <w:color w:val="auto"/>
                <w:sz w:val="21"/>
                <w:szCs w:val="21"/>
                <w:highlight w:val="none"/>
                <w:lang w:eastAsia="zh-CN"/>
              </w:rPr>
              <w:t>；</w:t>
            </w:r>
          </w:p>
          <w:p w14:paraId="7C8F2FEA">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④</w:t>
            </w:r>
            <w:r>
              <w:rPr>
                <w:rFonts w:hint="eastAsia" w:ascii="宋体" w:hAnsi="宋体" w:cs="宋体"/>
                <w:color w:val="auto"/>
                <w:sz w:val="21"/>
                <w:szCs w:val="21"/>
                <w:highlight w:val="none"/>
                <w:lang w:val="en-US" w:eastAsia="zh-CN"/>
              </w:rPr>
              <w:t>未提供相关内容的</w:t>
            </w:r>
            <w:r>
              <w:rPr>
                <w:rFonts w:hint="eastAsia" w:ascii="宋体" w:hAnsi="宋体" w:eastAsia="宋体" w:cs="宋体"/>
                <w:color w:val="auto"/>
                <w:sz w:val="21"/>
                <w:szCs w:val="21"/>
                <w:highlight w:val="none"/>
              </w:rPr>
              <w:t>不得分。</w:t>
            </w:r>
          </w:p>
        </w:tc>
        <w:tc>
          <w:tcPr>
            <w:tcW w:w="717" w:type="dxa"/>
            <w:noWrap w:val="0"/>
            <w:vAlign w:val="center"/>
          </w:tcPr>
          <w:p w14:paraId="1CD1EB1D">
            <w:pPr>
              <w:pStyle w:val="22"/>
              <w:keepNext w:val="0"/>
              <w:keepLines w:val="0"/>
              <w:pageBreakBefore w:val="0"/>
              <w:widowControl w:val="0"/>
              <w:suppressLineNumbers w:val="0"/>
              <w:kinsoku/>
              <w:wordWrap/>
              <w:overflowPunct/>
              <w:topLinePunct w:val="0"/>
              <w:bidi w:val="0"/>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3</w:t>
            </w:r>
          </w:p>
        </w:tc>
        <w:tc>
          <w:tcPr>
            <w:tcW w:w="686" w:type="dxa"/>
            <w:noWrap w:val="0"/>
            <w:vAlign w:val="center"/>
          </w:tcPr>
          <w:p w14:paraId="2E9ECDE2">
            <w:pPr>
              <w:pStyle w:val="22"/>
              <w:keepNext w:val="0"/>
              <w:keepLines w:val="0"/>
              <w:pageBreakBefore w:val="0"/>
              <w:widowControl w:val="0"/>
              <w:suppressLineNumbers w:val="0"/>
              <w:kinsoku/>
              <w:wordWrap/>
              <w:overflowPunct/>
              <w:topLinePunct w:val="0"/>
              <w:bidi w:val="0"/>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主观分</w:t>
            </w:r>
          </w:p>
        </w:tc>
      </w:tr>
      <w:tr w14:paraId="616B4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92" w:type="dxa"/>
            <w:gridSpan w:val="2"/>
            <w:tcBorders>
              <w:right w:val="single" w:color="auto" w:sz="4" w:space="0"/>
            </w:tcBorders>
            <w:noWrap w:val="0"/>
            <w:vAlign w:val="center"/>
          </w:tcPr>
          <w:p w14:paraId="0BD393F9">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价格分（10分）</w:t>
            </w:r>
          </w:p>
        </w:tc>
        <w:tc>
          <w:tcPr>
            <w:tcW w:w="7183" w:type="dxa"/>
            <w:tcBorders>
              <w:top w:val="single" w:color="auto" w:sz="4" w:space="0"/>
              <w:left w:val="single" w:color="auto" w:sz="4" w:space="0"/>
              <w:right w:val="single" w:color="auto" w:sz="4" w:space="0"/>
            </w:tcBorders>
            <w:noWrap w:val="0"/>
            <w:vAlign w:val="center"/>
          </w:tcPr>
          <w:p w14:paraId="25B71522">
            <w:pPr>
              <w:keepNext w:val="0"/>
              <w:keepLines w:val="0"/>
              <w:pageBreakBefore w:val="0"/>
              <w:widowControl w:val="0"/>
              <w:suppressLineNumbers w:val="0"/>
              <w:shd w:val="clear"/>
              <w:kinsoku/>
              <w:wordWrap/>
              <w:overflowPunct/>
              <w:topLinePunct w:val="0"/>
              <w:autoSpaceDE/>
              <w:autoSpaceDN/>
              <w:bidi w:val="0"/>
              <w:adjustRightInd/>
              <w:spacing w:before="0" w:beforeAutospacing="0" w:after="0" w:afterAutospacing="0" w:line="240" w:lineRule="auto"/>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参与评审的价格=</w:t>
            </w:r>
            <w:r>
              <w:rPr>
                <w:rFonts w:hint="eastAsia" w:ascii="宋体" w:hAnsi="宋体" w:eastAsia="宋体" w:cs="宋体"/>
                <w:color w:val="auto"/>
                <w:sz w:val="21"/>
                <w:szCs w:val="21"/>
                <w:highlight w:val="none"/>
                <w:lang w:val="en-US" w:eastAsia="zh-CN"/>
              </w:rPr>
              <w:t>响应报价</w:t>
            </w:r>
          </w:p>
          <w:p w14:paraId="65891642">
            <w:pPr>
              <w:keepNext w:val="0"/>
              <w:keepLines w:val="0"/>
              <w:pageBreakBefore w:val="0"/>
              <w:widowControl w:val="0"/>
              <w:suppressLineNumbers w:val="0"/>
              <w:shd w:val="clear"/>
              <w:kinsoku/>
              <w:wordWrap/>
              <w:overflowPunct/>
              <w:topLinePunct w:val="0"/>
              <w:autoSpaceDE/>
              <w:autoSpaceDN/>
              <w:bidi w:val="0"/>
              <w:snapToGrid w:val="0"/>
              <w:spacing w:before="0" w:beforeAutospacing="0" w:after="0" w:afterAutospacing="0" w:line="240" w:lineRule="auto"/>
              <w:ind w:left="0" w:righ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满足</w:t>
            </w:r>
            <w:r>
              <w:rPr>
                <w:rFonts w:hint="eastAsia" w:ascii="宋体" w:hAnsi="宋体" w:eastAsia="宋体" w:cs="宋体"/>
                <w:color w:val="auto"/>
                <w:sz w:val="21"/>
                <w:szCs w:val="21"/>
                <w:highlight w:val="none"/>
                <w:lang w:eastAsia="zh-CN"/>
              </w:rPr>
              <w:t>采购文件</w:t>
            </w:r>
            <w:r>
              <w:rPr>
                <w:rFonts w:hint="eastAsia" w:ascii="宋体" w:hAnsi="宋体" w:eastAsia="宋体" w:cs="宋体"/>
                <w:color w:val="auto"/>
                <w:sz w:val="21"/>
                <w:szCs w:val="21"/>
                <w:highlight w:val="none"/>
              </w:rPr>
              <w:t>要求且参与评审的价格最低的为评标基准价，其价格分为满分</w:t>
            </w:r>
            <w:r>
              <w:rPr>
                <w:rFonts w:hint="eastAsia" w:ascii="宋体" w:hAnsi="宋体" w:eastAsia="宋体" w:cs="宋体"/>
                <w:color w:val="auto"/>
                <w:sz w:val="21"/>
                <w:szCs w:val="21"/>
                <w:highlight w:val="none"/>
                <w:lang w:val="en-US" w:eastAsia="zh-CN"/>
              </w:rPr>
              <w:t>10分</w:t>
            </w:r>
            <w:r>
              <w:rPr>
                <w:rFonts w:hint="eastAsia" w:ascii="宋体" w:hAnsi="宋体" w:eastAsia="宋体" w:cs="宋体"/>
                <w:color w:val="auto"/>
                <w:sz w:val="21"/>
                <w:szCs w:val="21"/>
                <w:highlight w:val="none"/>
              </w:rPr>
              <w:t>。其他</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的价格分统一按照下列公式计算：</w:t>
            </w:r>
          </w:p>
          <w:p w14:paraId="63930F87">
            <w:pPr>
              <w:keepNext w:val="0"/>
              <w:keepLines w:val="0"/>
              <w:pageBreakBefore w:val="0"/>
              <w:widowControl w:val="0"/>
              <w:suppressLineNumbers w:val="0"/>
              <w:shd w:val="clear"/>
              <w:kinsoku/>
              <w:wordWrap/>
              <w:overflowPunct/>
              <w:topLinePunct w:val="0"/>
              <w:autoSpaceDE/>
              <w:autoSpaceDN/>
              <w:bidi w:val="0"/>
              <w:snapToGrid w:val="0"/>
              <w:spacing w:before="0" w:beforeAutospacing="0" w:after="0" w:afterAutospacing="0" w:line="240" w:lineRule="auto"/>
              <w:ind w:left="0" w:righ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价格</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评标基准价／参与评审的价格</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%×100</w:t>
            </w:r>
          </w:p>
          <w:p w14:paraId="51303ECD">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价格</w:t>
            </w:r>
            <w:r>
              <w:rPr>
                <w:rFonts w:hint="eastAsia" w:ascii="宋体" w:hAnsi="宋体" w:eastAsia="宋体" w:cs="宋体"/>
                <w:color w:val="auto"/>
                <w:sz w:val="21"/>
                <w:szCs w:val="21"/>
                <w:highlight w:val="none"/>
              </w:rPr>
              <w:t>分以四舍五入保留小数点后二位。</w:t>
            </w:r>
          </w:p>
        </w:tc>
        <w:tc>
          <w:tcPr>
            <w:tcW w:w="717" w:type="dxa"/>
            <w:noWrap w:val="0"/>
            <w:vAlign w:val="center"/>
          </w:tcPr>
          <w:p w14:paraId="2845F514">
            <w:pPr>
              <w:pStyle w:val="22"/>
              <w:keepNext w:val="0"/>
              <w:keepLines w:val="0"/>
              <w:pageBreakBefore w:val="0"/>
              <w:widowControl w:val="0"/>
              <w:suppressLineNumbers w:val="0"/>
              <w:kinsoku/>
              <w:wordWrap/>
              <w:overflowPunct/>
              <w:topLinePunct w:val="0"/>
              <w:bidi w:val="0"/>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686" w:type="dxa"/>
            <w:noWrap w:val="0"/>
            <w:vAlign w:val="center"/>
          </w:tcPr>
          <w:p w14:paraId="1CF25B62">
            <w:pPr>
              <w:pStyle w:val="22"/>
              <w:keepNext w:val="0"/>
              <w:keepLines w:val="0"/>
              <w:pageBreakBefore w:val="0"/>
              <w:widowControl w:val="0"/>
              <w:suppressLineNumbers w:val="0"/>
              <w:kinsoku/>
              <w:wordWrap/>
              <w:overflowPunct/>
              <w:topLinePunct w:val="0"/>
              <w:bidi w:val="0"/>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客观分</w:t>
            </w:r>
          </w:p>
        </w:tc>
      </w:tr>
    </w:tbl>
    <w:p w14:paraId="16E3EAB7">
      <w:pPr>
        <w:adjustRightInd/>
        <w:spacing w:line="360" w:lineRule="auto"/>
        <w:ind w:firstLine="482" w:firstLineChars="200"/>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备注：供应商编制响应文件时，建议按此目录（序号和内容）提供评审标准相应的商务技术资料。</w:t>
      </w:r>
      <w:r>
        <w:rPr>
          <w:rFonts w:hint="eastAsia" w:ascii="宋体" w:hAnsi="宋体" w:eastAsia="宋体" w:cs="宋体"/>
          <w:b/>
          <w:color w:val="auto"/>
          <w:kern w:val="0"/>
          <w:sz w:val="24"/>
          <w:highlight w:val="none"/>
          <w:lang w:val="en-US" w:eastAsia="zh-CN"/>
        </w:rPr>
        <w:t>小数点后保留一位小数。</w:t>
      </w:r>
    </w:p>
    <w:p w14:paraId="62CB36C1">
      <w:pPr>
        <w:adjustRightInd/>
        <w:spacing w:line="360" w:lineRule="auto"/>
        <w:ind w:firstLine="482" w:firstLineChars="200"/>
        <w:rPr>
          <w:rFonts w:hint="eastAsia" w:ascii="宋体" w:hAnsi="宋体" w:eastAsia="宋体" w:cs="宋体"/>
          <w:b/>
          <w:color w:val="auto"/>
          <w:kern w:val="0"/>
          <w:sz w:val="24"/>
          <w:highlight w:val="none"/>
        </w:rPr>
      </w:pPr>
    </w:p>
    <w:p w14:paraId="15B55FF1">
      <w:pPr>
        <w:pStyle w:val="397"/>
        <w:spacing w:before="0"/>
        <w:ind w:firstLine="643"/>
        <w:jc w:val="center"/>
        <w:rPr>
          <w:rFonts w:hint="eastAsia" w:ascii="宋体" w:hAnsi="宋体" w:eastAsia="宋体" w:cs="宋体"/>
          <w:b/>
          <w:color w:val="auto"/>
          <w:highlight w:val="none"/>
        </w:rPr>
      </w:pPr>
      <w:r>
        <w:rPr>
          <w:rFonts w:hint="eastAsia" w:ascii="宋体" w:hAnsi="宋体" w:eastAsia="宋体" w:cs="宋体"/>
          <w:b/>
          <w:color w:val="auto"/>
          <w:sz w:val="32"/>
          <w:highlight w:val="none"/>
        </w:rPr>
        <w:t>一、评审方法</w:t>
      </w:r>
    </w:p>
    <w:p w14:paraId="1BAF417B">
      <w:pPr>
        <w:adjustRightInd/>
        <w:spacing w:line="360" w:lineRule="auto"/>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1.综合评分法。</w:t>
      </w:r>
      <w:r>
        <w:rPr>
          <w:rFonts w:hint="eastAsia" w:ascii="宋体" w:hAnsi="宋体" w:eastAsia="宋体" w:cs="宋体"/>
          <w:color w:val="auto"/>
          <w:kern w:val="0"/>
          <w:sz w:val="24"/>
          <w:highlight w:val="none"/>
        </w:rPr>
        <w:t>综合评分法，是指响应文件满足磋商文件全部实质性要求，且按照评审因素的量化指标评审得分最高的供应商为成交候选人的评审方法。</w:t>
      </w:r>
    </w:p>
    <w:p w14:paraId="4659F7D2">
      <w:pPr>
        <w:adjustRightInd/>
        <w:spacing w:line="360" w:lineRule="auto"/>
        <w:rPr>
          <w:rFonts w:hint="eastAsia" w:ascii="宋体" w:hAnsi="宋体" w:eastAsia="宋体" w:cs="宋体"/>
          <w:color w:val="auto"/>
          <w:kern w:val="0"/>
          <w:sz w:val="24"/>
          <w:highlight w:val="none"/>
        </w:rPr>
      </w:pPr>
    </w:p>
    <w:p w14:paraId="2320DD4D">
      <w:pPr>
        <w:snapToGrid w:val="0"/>
        <w:spacing w:line="360" w:lineRule="auto"/>
        <w:ind w:left="120" w:leftChars="57" w:firstLine="422" w:firstLineChars="150"/>
        <w:jc w:val="center"/>
        <w:rPr>
          <w:rFonts w:hint="eastAsia" w:ascii="宋体" w:hAnsi="宋体" w:eastAsia="宋体" w:cs="宋体"/>
          <w:b/>
          <w:color w:val="auto"/>
          <w:sz w:val="32"/>
          <w:highlight w:val="none"/>
        </w:rPr>
      </w:pPr>
      <w:r>
        <w:rPr>
          <w:rFonts w:hint="eastAsia" w:ascii="宋体" w:hAnsi="宋体" w:eastAsia="宋体" w:cs="宋体"/>
          <w:b/>
          <w:color w:val="auto"/>
          <w:sz w:val="28"/>
          <w:szCs w:val="28"/>
          <w:highlight w:val="none"/>
        </w:rPr>
        <w:t xml:space="preserve">   </w:t>
      </w:r>
      <w:r>
        <w:rPr>
          <w:rFonts w:hint="eastAsia" w:ascii="宋体" w:hAnsi="宋体" w:eastAsia="宋体" w:cs="宋体"/>
          <w:b/>
          <w:color w:val="auto"/>
          <w:sz w:val="32"/>
          <w:highlight w:val="none"/>
        </w:rPr>
        <w:t>二、磋商小组的组成</w:t>
      </w:r>
    </w:p>
    <w:p w14:paraId="1B12681E">
      <w:pPr>
        <w:pStyle w:val="397"/>
        <w:spacing w:before="0"/>
        <w:ind w:firstLine="0" w:firstLineChars="0"/>
        <w:rPr>
          <w:rFonts w:hint="eastAsia" w:ascii="宋体" w:hAnsi="宋体" w:eastAsia="宋体" w:cs="宋体"/>
          <w:b/>
          <w:color w:val="auto"/>
          <w:kern w:val="0"/>
          <w:highlight w:val="none"/>
        </w:rPr>
      </w:pPr>
      <w:r>
        <w:rPr>
          <w:rFonts w:hint="eastAsia" w:ascii="宋体" w:hAnsi="宋体" w:eastAsia="宋体" w:cs="宋体"/>
          <w:b/>
          <w:color w:val="auto"/>
          <w:kern w:val="0"/>
          <w:highlight w:val="none"/>
        </w:rPr>
        <w:t>1.磋商小组的组成。</w:t>
      </w:r>
    </w:p>
    <w:p w14:paraId="35F28ACC">
      <w:pPr>
        <w:pStyle w:val="397"/>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磋商小组由采购人代表和评审专家共3人以上单数组成，其中评审专家人数不得少于磋商小组成员总数的2/3。采购人代表不得以评审专家身份参加本部门或本单位采购项目的评审。</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人员不得参加本机构代理的采购项目的评审。</w:t>
      </w:r>
    </w:p>
    <w:p w14:paraId="24984F53">
      <w:pPr>
        <w:pStyle w:val="397"/>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采用竞争性磋商方式的政府采购项目，评审专家应当从政府采购评审专家库内相关专业的专家名单中随机抽取。符合《政府采购竞争性磋商采购方式管理暂行办法》的通知(财库〔2014〕214号)第三条第四项规定情形的项目，以及情况特殊、通过随机方式难以确定合适的评审专家的项目，经主管预算单位同意，可以自行选定评审专家。技术复杂、专业性强的采购项目，评审专家中应当包含1名法律专家。</w:t>
      </w:r>
    </w:p>
    <w:p w14:paraId="239F20EF">
      <w:pPr>
        <w:snapToGrid w:val="0"/>
        <w:spacing w:line="360" w:lineRule="auto"/>
        <w:rPr>
          <w:rFonts w:hint="eastAsia" w:ascii="宋体" w:hAnsi="宋体" w:eastAsia="宋体" w:cs="宋体"/>
          <w:b/>
          <w:color w:val="auto"/>
          <w:kern w:val="0"/>
          <w:sz w:val="24"/>
          <w:szCs w:val="20"/>
          <w:highlight w:val="none"/>
        </w:rPr>
      </w:pPr>
      <w:r>
        <w:rPr>
          <w:rFonts w:hint="eastAsia" w:ascii="宋体" w:hAnsi="宋体" w:eastAsia="宋体" w:cs="宋体"/>
          <w:b/>
          <w:color w:val="auto"/>
          <w:kern w:val="0"/>
          <w:sz w:val="24"/>
          <w:szCs w:val="20"/>
          <w:highlight w:val="none"/>
        </w:rPr>
        <w:t>2.磋商小组的组成人员的回避。</w:t>
      </w:r>
    </w:p>
    <w:p w14:paraId="4B6627B0">
      <w:pPr>
        <w:pStyle w:val="397"/>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在政府采购活动中，磋商小组的组成人员与供应商有下列利害关系之一的，应当回避：</w:t>
      </w:r>
    </w:p>
    <w:p w14:paraId="250CAD84">
      <w:pPr>
        <w:pStyle w:val="397"/>
        <w:spacing w:before="0"/>
        <w:ind w:firstLine="0" w:firstLineChars="0"/>
        <w:rPr>
          <w:rFonts w:hint="eastAsia" w:ascii="宋体" w:hAnsi="宋体" w:eastAsia="宋体" w:cs="宋体"/>
          <w:color w:val="auto"/>
          <w:kern w:val="0"/>
          <w:highlight w:val="none"/>
        </w:rPr>
      </w:pPr>
      <w:r>
        <w:rPr>
          <w:rFonts w:hint="eastAsia" w:ascii="宋体" w:hAnsi="宋体" w:eastAsia="宋体" w:cs="宋体"/>
          <w:color w:val="auto"/>
          <w:kern w:val="0"/>
          <w:highlight w:val="none"/>
        </w:rPr>
        <w:t>　　2.1参加采购活动前3年内与供应商存在劳动关系</w:t>
      </w:r>
      <w:r>
        <w:rPr>
          <w:rFonts w:hint="eastAsia" w:ascii="宋体" w:hAnsi="宋体" w:eastAsia="宋体" w:cs="宋体"/>
          <w:color w:val="auto"/>
          <w:kern w:val="0"/>
          <w:highlight w:val="none"/>
          <w:lang w:val="en-US" w:eastAsia="zh-CN"/>
        </w:rPr>
        <w:t>让人</w:t>
      </w:r>
      <w:r>
        <w:rPr>
          <w:rFonts w:hint="eastAsia" w:ascii="宋体" w:hAnsi="宋体" w:eastAsia="宋体" w:cs="宋体"/>
          <w:color w:val="auto"/>
          <w:kern w:val="0"/>
          <w:highlight w:val="none"/>
        </w:rPr>
        <w:t>；</w:t>
      </w:r>
    </w:p>
    <w:p w14:paraId="262F6285">
      <w:pPr>
        <w:pStyle w:val="397"/>
        <w:spacing w:before="0"/>
        <w:ind w:firstLine="0" w:firstLineChars="0"/>
        <w:rPr>
          <w:rFonts w:hint="eastAsia" w:ascii="宋体" w:hAnsi="宋体" w:eastAsia="宋体" w:cs="宋体"/>
          <w:color w:val="auto"/>
          <w:kern w:val="0"/>
          <w:highlight w:val="none"/>
        </w:rPr>
      </w:pPr>
      <w:r>
        <w:rPr>
          <w:rFonts w:hint="eastAsia" w:ascii="宋体" w:hAnsi="宋体" w:eastAsia="宋体" w:cs="宋体"/>
          <w:color w:val="auto"/>
          <w:kern w:val="0"/>
          <w:highlight w:val="none"/>
        </w:rPr>
        <w:t>　　2.2参加采购活动前3年内担任供应商的董事、监事；</w:t>
      </w:r>
    </w:p>
    <w:p w14:paraId="26E42A01">
      <w:pPr>
        <w:pStyle w:val="397"/>
        <w:spacing w:before="0"/>
        <w:ind w:firstLine="0" w:firstLineChars="0"/>
        <w:rPr>
          <w:rFonts w:hint="eastAsia" w:ascii="宋体" w:hAnsi="宋体" w:eastAsia="宋体" w:cs="宋体"/>
          <w:color w:val="auto"/>
          <w:kern w:val="0"/>
          <w:highlight w:val="none"/>
        </w:rPr>
      </w:pPr>
      <w:r>
        <w:rPr>
          <w:rFonts w:hint="eastAsia" w:ascii="宋体" w:hAnsi="宋体" w:eastAsia="宋体" w:cs="宋体"/>
          <w:color w:val="auto"/>
          <w:kern w:val="0"/>
          <w:highlight w:val="none"/>
        </w:rPr>
        <w:t>　　2.3参加采购活动前3年内是供应商的控股股东或者实际控制人；</w:t>
      </w:r>
    </w:p>
    <w:p w14:paraId="4CBC790D">
      <w:pPr>
        <w:pStyle w:val="397"/>
        <w:spacing w:before="0"/>
        <w:ind w:firstLine="480" w:firstLineChars="0"/>
        <w:rPr>
          <w:rFonts w:hint="eastAsia" w:ascii="宋体" w:hAnsi="宋体" w:eastAsia="宋体" w:cs="宋体"/>
          <w:color w:val="auto"/>
          <w:kern w:val="0"/>
          <w:highlight w:val="none"/>
        </w:rPr>
      </w:pPr>
      <w:r>
        <w:rPr>
          <w:rFonts w:hint="eastAsia" w:ascii="宋体" w:hAnsi="宋体" w:eastAsia="宋体" w:cs="宋体"/>
          <w:color w:val="auto"/>
          <w:kern w:val="0"/>
          <w:highlight w:val="none"/>
        </w:rPr>
        <w:t>2.4与供应商的法定代表人或者负责人有夫妻、直系血亲、三代以内旁系血亲或者近姻亲关系；</w:t>
      </w:r>
    </w:p>
    <w:p w14:paraId="220CD43C">
      <w:pPr>
        <w:pStyle w:val="397"/>
        <w:spacing w:before="0"/>
        <w:ind w:firstLine="480" w:firstLineChars="0"/>
        <w:rPr>
          <w:rFonts w:hint="eastAsia" w:ascii="宋体" w:hAnsi="宋体" w:eastAsia="宋体" w:cs="宋体"/>
          <w:color w:val="auto"/>
          <w:kern w:val="0"/>
          <w:highlight w:val="none"/>
        </w:rPr>
      </w:pPr>
      <w:r>
        <w:rPr>
          <w:rFonts w:hint="eastAsia" w:ascii="宋体" w:hAnsi="宋体" w:eastAsia="宋体" w:cs="宋体"/>
          <w:color w:val="auto"/>
          <w:kern w:val="0"/>
          <w:highlight w:val="none"/>
        </w:rPr>
        <w:t>2.5与供应商有其他可能影响政府采购活动公平、公正进行的关系。</w:t>
      </w:r>
    </w:p>
    <w:p w14:paraId="77A333ED">
      <w:pPr>
        <w:snapToGrid w:val="0"/>
        <w:spacing w:line="360" w:lineRule="auto"/>
        <w:ind w:left="120" w:leftChars="57" w:firstLine="482" w:firstLineChars="150"/>
        <w:jc w:val="center"/>
        <w:rPr>
          <w:rFonts w:hint="eastAsia" w:ascii="宋体" w:hAnsi="宋体" w:eastAsia="宋体" w:cs="宋体"/>
          <w:b/>
          <w:color w:val="auto"/>
          <w:sz w:val="32"/>
          <w:highlight w:val="none"/>
        </w:rPr>
      </w:pPr>
    </w:p>
    <w:p w14:paraId="06E74B42">
      <w:pPr>
        <w:snapToGrid w:val="0"/>
        <w:spacing w:line="360" w:lineRule="auto"/>
        <w:ind w:left="120" w:leftChars="57" w:firstLine="482" w:firstLineChars="150"/>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highlight w:val="none"/>
        </w:rPr>
        <w:t>三、磋商小组的职责</w:t>
      </w:r>
    </w:p>
    <w:p w14:paraId="09D426AB">
      <w:pPr>
        <w:pStyle w:val="397"/>
        <w:spacing w:before="0"/>
        <w:ind w:firstLine="0" w:firstLineChars="0"/>
        <w:rPr>
          <w:rFonts w:hint="eastAsia" w:ascii="宋体" w:hAnsi="宋体" w:eastAsia="宋体" w:cs="宋体"/>
          <w:b/>
          <w:color w:val="auto"/>
          <w:kern w:val="0"/>
          <w:szCs w:val="24"/>
          <w:highlight w:val="none"/>
        </w:rPr>
      </w:pPr>
      <w:r>
        <w:rPr>
          <w:rFonts w:hint="eastAsia" w:ascii="宋体" w:hAnsi="宋体" w:eastAsia="宋体" w:cs="宋体"/>
          <w:b/>
          <w:color w:val="auto"/>
          <w:kern w:val="0"/>
          <w:szCs w:val="24"/>
          <w:highlight w:val="none"/>
        </w:rPr>
        <w:t>1.磋商小组负责具体评审事务，并独立履行下列职责：</w:t>
      </w:r>
    </w:p>
    <w:p w14:paraId="0316384B">
      <w:pPr>
        <w:pStyle w:val="397"/>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1.1</w:t>
      </w:r>
      <w:r>
        <w:rPr>
          <w:rFonts w:hint="eastAsia" w:ascii="宋体" w:hAnsi="宋体" w:eastAsia="宋体" w:cs="宋体"/>
          <w:color w:val="auto"/>
          <w:szCs w:val="24"/>
          <w:highlight w:val="none"/>
        </w:rPr>
        <w:t>对供应商的资格进行审查；</w:t>
      </w:r>
      <w:r>
        <w:rPr>
          <w:rFonts w:hint="eastAsia" w:ascii="宋体" w:hAnsi="宋体" w:eastAsia="宋体" w:cs="宋体"/>
          <w:color w:val="auto"/>
          <w:highlight w:val="none"/>
        </w:rPr>
        <w:t>对响应文件的有效性、完整性和响应程度进行审查；</w:t>
      </w:r>
    </w:p>
    <w:p w14:paraId="07BBB150">
      <w:pPr>
        <w:pStyle w:val="397"/>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1.2审查、评价响应文件是否符合磋商文件的商务、技术等实质性要求；</w:t>
      </w:r>
    </w:p>
    <w:p w14:paraId="739DB496">
      <w:pPr>
        <w:pStyle w:val="397"/>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1.3要求供应商对响应文件有关事项作出澄清、说明或者更正；</w:t>
      </w:r>
    </w:p>
    <w:p w14:paraId="2C8C9946">
      <w:pPr>
        <w:pStyle w:val="397"/>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1.4磋商小组集中与单一供应商分别进行磋商；</w:t>
      </w:r>
    </w:p>
    <w:p w14:paraId="799E7533">
      <w:pPr>
        <w:pStyle w:val="397"/>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1.5确定磋商文件的变动情况，并确定提交最后报价的供应商；</w:t>
      </w:r>
    </w:p>
    <w:p w14:paraId="6B187BC9">
      <w:pPr>
        <w:pStyle w:val="397"/>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1.6根据磋商文件确定的评审办法及评审标准对提交最后报价的供应商的响应文件和最后报价采用综合评分法进行综合评分；</w:t>
      </w:r>
    </w:p>
    <w:p w14:paraId="1AD80B61">
      <w:pPr>
        <w:pStyle w:val="397"/>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1.7编制评审报告，确定成交候选人名单，以及根据采购人委托直接确定成交人；</w:t>
      </w:r>
    </w:p>
    <w:p w14:paraId="38D47C9A">
      <w:pPr>
        <w:pStyle w:val="397"/>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1.8向采购人、</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或者有关部门报告评审中发现的违法行为；</w:t>
      </w:r>
    </w:p>
    <w:p w14:paraId="3B562CA6">
      <w:pPr>
        <w:pStyle w:val="397"/>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1.9法律、法规、规章、磋商文件等规定的其它事项。</w:t>
      </w:r>
    </w:p>
    <w:p w14:paraId="751494C9">
      <w:pPr>
        <w:pStyle w:val="397"/>
        <w:spacing w:before="0"/>
        <w:ind w:firstLine="0" w:firstLineChars="0"/>
        <w:rPr>
          <w:rFonts w:hint="eastAsia" w:ascii="宋体" w:hAnsi="宋体" w:eastAsia="宋体" w:cs="宋体"/>
          <w:b/>
          <w:color w:val="auto"/>
          <w:kern w:val="0"/>
          <w:szCs w:val="24"/>
          <w:highlight w:val="none"/>
        </w:rPr>
      </w:pPr>
      <w:r>
        <w:rPr>
          <w:rFonts w:hint="eastAsia" w:ascii="宋体" w:hAnsi="宋体" w:eastAsia="宋体" w:cs="宋体"/>
          <w:b/>
          <w:color w:val="auto"/>
          <w:kern w:val="0"/>
          <w:szCs w:val="24"/>
          <w:highlight w:val="none"/>
        </w:rPr>
        <w:t>2.磋商小组及其成员不得有下列行为：</w:t>
      </w:r>
    </w:p>
    <w:p w14:paraId="67FD886C">
      <w:pPr>
        <w:pStyle w:val="397"/>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2.1确定参与本项目至评审结束前私自接触供应商；</w:t>
      </w:r>
    </w:p>
    <w:p w14:paraId="55FD5D96">
      <w:pPr>
        <w:pStyle w:val="397"/>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 xml:space="preserve">2.2接受供应商提出的“超出响应文件的范围或者改变响应文件的实质性内容”的澄清、说明或者更正； </w:t>
      </w:r>
    </w:p>
    <w:p w14:paraId="7798952D">
      <w:pPr>
        <w:pStyle w:val="397"/>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2.3违反评审纪律发表倾向性意见或者征询采购人的倾向性意见；</w:t>
      </w:r>
    </w:p>
    <w:p w14:paraId="2D5BBD8F">
      <w:pPr>
        <w:pStyle w:val="397"/>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2.4对需要专业判断的主观评审因素协商评分；</w:t>
      </w:r>
    </w:p>
    <w:p w14:paraId="48ECA92E">
      <w:pPr>
        <w:pStyle w:val="397"/>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2.5在评审过程中擅离职守，影响评审程序正常进行的；</w:t>
      </w:r>
    </w:p>
    <w:p w14:paraId="0FA63BD1">
      <w:pPr>
        <w:pStyle w:val="397"/>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2.6记录、复制或者带走任何评审资料；</w:t>
      </w:r>
    </w:p>
    <w:p w14:paraId="7DE84F0D">
      <w:pPr>
        <w:pStyle w:val="397"/>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2.7其他不遵守评审纪律的行为。</w:t>
      </w:r>
    </w:p>
    <w:p w14:paraId="49EE8047">
      <w:pPr>
        <w:pStyle w:val="397"/>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磋商小组成员有2.1-2.5行为之一的，其评审意见无效，并不得获取评审劳务报酬和报销异地评审差旅费。</w:t>
      </w:r>
    </w:p>
    <w:p w14:paraId="3B930051">
      <w:pPr>
        <w:pStyle w:val="397"/>
        <w:spacing w:before="0"/>
        <w:ind w:firstLine="0" w:firstLineChars="0"/>
        <w:rPr>
          <w:rFonts w:hint="eastAsia" w:ascii="宋体" w:hAnsi="宋体" w:eastAsia="宋体" w:cs="宋体"/>
          <w:b/>
          <w:color w:val="auto"/>
          <w:highlight w:val="none"/>
        </w:rPr>
      </w:pPr>
    </w:p>
    <w:p w14:paraId="2CCB51FF">
      <w:pPr>
        <w:pStyle w:val="397"/>
        <w:spacing w:before="0"/>
        <w:ind w:firstLine="0" w:firstLineChars="0"/>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四、评审程序</w:t>
      </w:r>
    </w:p>
    <w:p w14:paraId="0D7FB843">
      <w:pPr>
        <w:pStyle w:val="397"/>
        <w:spacing w:before="0"/>
        <w:ind w:firstLine="472" w:firstLineChars="196"/>
        <w:rPr>
          <w:rFonts w:hint="eastAsia" w:ascii="宋体" w:hAnsi="宋体" w:eastAsia="宋体" w:cs="宋体"/>
          <w:b/>
          <w:color w:val="auto"/>
          <w:highlight w:val="none"/>
        </w:rPr>
      </w:pPr>
      <w:r>
        <w:rPr>
          <w:rFonts w:hint="eastAsia" w:ascii="宋体" w:hAnsi="宋体" w:eastAsia="宋体" w:cs="宋体"/>
          <w:b/>
          <w:color w:val="auto"/>
          <w:highlight w:val="none"/>
        </w:rPr>
        <w:t>详见磋商文件“第二部分 竞争性磋商流程”。</w:t>
      </w:r>
    </w:p>
    <w:p w14:paraId="479DB1F6">
      <w:pPr>
        <w:pStyle w:val="397"/>
        <w:spacing w:before="0"/>
        <w:ind w:firstLine="0" w:firstLineChars="0"/>
        <w:rPr>
          <w:rFonts w:hint="eastAsia" w:ascii="宋体" w:hAnsi="宋体" w:eastAsia="宋体" w:cs="宋体"/>
          <w:b/>
          <w:color w:val="auto"/>
          <w:highlight w:val="none"/>
        </w:rPr>
      </w:pPr>
    </w:p>
    <w:p w14:paraId="54477D41">
      <w:pPr>
        <w:pStyle w:val="397"/>
        <w:spacing w:before="0"/>
        <w:ind w:firstLine="0" w:firstLineChars="0"/>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五、评审须知</w:t>
      </w:r>
    </w:p>
    <w:p w14:paraId="62909F10">
      <w:pPr>
        <w:pStyle w:val="397"/>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 响应文件的澄清</w:t>
      </w:r>
    </w:p>
    <w:p w14:paraId="3F0250DF">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对于响应文件中含义不明确、同类问题表述不一致或者有明显文字和计算错误的内容需要供应商做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3E15EF03">
      <w:pPr>
        <w:pStyle w:val="397"/>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highlight w:val="none"/>
        </w:rPr>
        <w:t>2.最后报价的修正原则</w:t>
      </w:r>
    </w:p>
    <w:p w14:paraId="2E65117A">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磋商小组对响应文件的最后报价进行审核，对发现计算、书写等错误的，按以下原则进行修正：</w:t>
      </w:r>
    </w:p>
    <w:p w14:paraId="0300592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2.1《最后报价一览表》内容与响应文件中响应内容不一致的，以《最后报价一览表》为准;</w:t>
      </w:r>
    </w:p>
    <w:p w14:paraId="1D47FFC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2.2大写金额和小写金额不一致的，以大写金额为准;</w:t>
      </w:r>
    </w:p>
    <w:p w14:paraId="473378E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2.3单价金额小数点或者百分比有明显错位的，以《最后报价一览表》的总价为准，并修改单价;</w:t>
      </w:r>
    </w:p>
    <w:p w14:paraId="463A412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2.4总价金额与按单价汇总金额不一致的，以单价金额计算结果为准。</w:t>
      </w:r>
    </w:p>
    <w:p w14:paraId="2A0B013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2.5同时出现两种以上不一致的，按照前款规定的顺序修正。</w:t>
      </w:r>
    </w:p>
    <w:p w14:paraId="3F3EBAF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2.6以修正后的总价作为最后报价。</w:t>
      </w:r>
    </w:p>
    <w:p w14:paraId="4CDA56B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2.7政采云平台填报的报价一览表中的价格与上传的报价文件中报价一览表（初次报价）的报价不一致的，以上传的报价文件为准。</w:t>
      </w:r>
    </w:p>
    <w:p w14:paraId="41C05AE5">
      <w:pPr>
        <w:spacing w:line="360" w:lineRule="auto"/>
        <w:rPr>
          <w:rFonts w:hint="eastAsia" w:ascii="宋体" w:hAnsi="宋体" w:eastAsia="宋体" w:cs="宋体"/>
          <w:b/>
          <w:bCs/>
          <w:color w:val="auto"/>
          <w:sz w:val="24"/>
          <w:highlight w:val="none"/>
        </w:rPr>
      </w:pPr>
      <w:r>
        <w:rPr>
          <w:rFonts w:hint="eastAsia" w:ascii="宋体" w:hAnsi="宋体" w:eastAsia="宋体" w:cs="宋体"/>
          <w:bCs/>
          <w:color w:val="auto"/>
          <w:sz w:val="24"/>
          <w:highlight w:val="none"/>
        </w:rPr>
        <w:t>▲</w:t>
      </w:r>
      <w:r>
        <w:rPr>
          <w:rFonts w:hint="eastAsia" w:ascii="宋体" w:hAnsi="宋体" w:eastAsia="宋体" w:cs="宋体"/>
          <w:b/>
          <w:bCs/>
          <w:color w:val="auto"/>
          <w:sz w:val="24"/>
          <w:highlight w:val="none"/>
        </w:rPr>
        <w:t>供应商对根据修正原则修正后的最后报价不确认的，响应无效。</w:t>
      </w:r>
    </w:p>
    <w:p w14:paraId="4FDE98FA">
      <w:pPr>
        <w:pStyle w:val="397"/>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highlight w:val="none"/>
        </w:rPr>
        <w:t>3.</w:t>
      </w:r>
      <w:r>
        <w:rPr>
          <w:rFonts w:hint="eastAsia" w:ascii="宋体" w:hAnsi="宋体" w:eastAsia="宋体" w:cs="宋体"/>
          <w:b/>
          <w:color w:val="auto"/>
          <w:spacing w:val="20"/>
          <w:highlight w:val="none"/>
        </w:rPr>
        <w:t>响应无效</w:t>
      </w:r>
    </w:p>
    <w:p w14:paraId="1FD242A6">
      <w:pPr>
        <w:pStyle w:val="23"/>
        <w:spacing w:line="360" w:lineRule="auto"/>
        <w:ind w:firstLine="600" w:firstLineChars="25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有下列情况之一的，响应无效：</w:t>
      </w:r>
    </w:p>
    <w:p w14:paraId="762818C0">
      <w:pPr>
        <w:spacing w:line="360" w:lineRule="auto"/>
        <w:ind w:firstLine="480" w:firstLineChars="200"/>
        <w:rPr>
          <w:rFonts w:hint="eastAsia" w:ascii="宋体" w:hAnsi="宋体" w:eastAsia="宋体" w:cs="宋体"/>
          <w:color w:val="auto"/>
          <w:sz w:val="24"/>
          <w:szCs w:val="21"/>
          <w:highlight w:val="none"/>
        </w:rPr>
      </w:pPr>
      <w:r>
        <w:rPr>
          <w:rFonts w:hint="eastAsia" w:ascii="宋体" w:hAnsi="宋体" w:eastAsia="宋体" w:cs="宋体"/>
          <w:color w:val="auto"/>
          <w:sz w:val="24"/>
          <w:highlight w:val="none"/>
        </w:rPr>
        <w:t>3.1</w:t>
      </w:r>
      <w:r>
        <w:rPr>
          <w:rFonts w:hint="eastAsia" w:ascii="宋体" w:hAnsi="宋体" w:eastAsia="宋体" w:cs="宋体"/>
          <w:color w:val="auto"/>
          <w:sz w:val="24"/>
          <w:szCs w:val="21"/>
          <w:highlight w:val="none"/>
        </w:rPr>
        <w:t>单位负责人为同一人或者存在直接控股、管理关系的不同供应商参加同一合同项下的政府采购活动的（均无效）；</w:t>
      </w:r>
    </w:p>
    <w:p w14:paraId="6446A1F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3.2为采购项目提供整体设计、规范编制或者项目管理、监理、检测等服务的供应商再参加该采购项目的其他采购活动的； </w:t>
      </w:r>
    </w:p>
    <w:p w14:paraId="3332D84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3.3供应商不具备磋商文件中规定的资格要求的（供应商未提供有效的资格证明文件的，视为供应商不具备磋商文件中规定的资格要求）；</w:t>
      </w:r>
    </w:p>
    <w:p w14:paraId="1D7D341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3.4如以联合体形式参加政府采购活动的，联合协议不符合磋商文件规定的联合协议要求的；</w:t>
      </w:r>
    </w:p>
    <w:p w14:paraId="5FA00B7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3.5响应文件未按磋商文件的澄清、修改的内容编制，又不符合实质性要求的；</w:t>
      </w:r>
    </w:p>
    <w:p w14:paraId="58099F7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3.6响应文件组成漏项，内容不全或内容字迹模糊辨认不清的；</w:t>
      </w:r>
    </w:p>
    <w:p w14:paraId="5337F35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3.7响应文件中法人授权书所载内容与本项目内容有异的；</w:t>
      </w:r>
    </w:p>
    <w:p w14:paraId="44A935D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3.8响应文件未按照磋商文件要求签署、盖章的；</w:t>
      </w:r>
    </w:p>
    <w:p w14:paraId="55140DC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3.9</w:t>
      </w:r>
      <w:r>
        <w:rPr>
          <w:rFonts w:hint="eastAsia" w:ascii="宋体" w:hAnsi="宋体" w:eastAsia="宋体" w:cs="宋体"/>
          <w:color w:val="auto"/>
          <w:kern w:val="0"/>
          <w:sz w:val="24"/>
          <w:highlight w:val="none"/>
        </w:rPr>
        <w:t>采购人拟采购的产品属于政府强制采购的节能产品品目清单范围的，供应商相应的响应产品未获得国家确定的认证机构出具的、处于有效期之内的节能产品认证证书的；</w:t>
      </w:r>
    </w:p>
    <w:p w14:paraId="0059262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3.10响应文件含有采购人不能接受的附加条件的；</w:t>
      </w:r>
    </w:p>
    <w:p w14:paraId="5D40F34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3.11响应文件中承诺的响应有效期少于磋商文件中载明的响应有效期的；</w:t>
      </w:r>
    </w:p>
    <w:p w14:paraId="47454BD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3.12供应商所投内容不符合磋商文件中实质性要求的；</w:t>
      </w:r>
    </w:p>
    <w:p w14:paraId="78CD9A3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3.13所提交的《最后报价一览表》中出现不是唯一的、有选择性的报价的;</w:t>
      </w:r>
    </w:p>
    <w:p w14:paraId="4270DB2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3.14最后报价高于本项目采购预算或者最高限价的;</w:t>
      </w:r>
    </w:p>
    <w:p w14:paraId="16A6C17E">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3.15最后报价明显低于其他供应商的最后报价（低于项目预算50%的），有可能影响产品质量或者不能诚信履约的，未能按要求提供书面说明或者提交相关证明材料，不能证明其报价合理性的</w:t>
      </w:r>
      <w:r>
        <w:rPr>
          <w:rFonts w:hint="eastAsia" w:ascii="宋体" w:hAnsi="宋体" w:cs="宋体"/>
          <w:color w:val="auto"/>
          <w:sz w:val="24"/>
          <w:highlight w:val="none"/>
          <w:lang w:eastAsia="zh-CN"/>
        </w:rPr>
        <w:t>；</w:t>
      </w:r>
    </w:p>
    <w:p w14:paraId="36A2A80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3.16《最后报价一览表》填写不完整或字迹不能辨认或有漏项的；</w:t>
      </w:r>
    </w:p>
    <w:p w14:paraId="063AE1E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3.17供应商对根据修正原则修正后的最后报价不确认的；</w:t>
      </w:r>
    </w:p>
    <w:p w14:paraId="0DD0729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3.18供应商提供虚假材料响应的（包括但不限于以下情节）；</w:t>
      </w:r>
    </w:p>
    <w:p w14:paraId="04FC6CE0">
      <w:pPr>
        <w:pStyle w:val="111"/>
        <w:numPr>
          <w:ilvl w:val="0"/>
          <w:numId w:val="8"/>
        </w:numPr>
        <w:ind w:firstLineChars="0"/>
        <w:rPr>
          <w:rFonts w:hint="eastAsia" w:ascii="宋体" w:hAnsi="宋体" w:eastAsia="宋体" w:cs="宋体"/>
          <w:color w:val="auto"/>
          <w:highlight w:val="none"/>
        </w:rPr>
      </w:pPr>
      <w:r>
        <w:rPr>
          <w:rFonts w:hint="eastAsia" w:ascii="宋体" w:hAnsi="宋体" w:eastAsia="宋体" w:cs="宋体"/>
          <w:color w:val="auto"/>
          <w:highlight w:val="none"/>
        </w:rPr>
        <w:t>使用伪造、变造的许可证件；</w:t>
      </w:r>
    </w:p>
    <w:p w14:paraId="7C05CB21">
      <w:pPr>
        <w:pStyle w:val="111"/>
        <w:numPr>
          <w:ilvl w:val="0"/>
          <w:numId w:val="8"/>
        </w:numPr>
        <w:ind w:firstLineChars="0"/>
        <w:rPr>
          <w:rFonts w:hint="eastAsia" w:ascii="宋体" w:hAnsi="宋体" w:eastAsia="宋体" w:cs="宋体"/>
          <w:color w:val="auto"/>
          <w:highlight w:val="none"/>
        </w:rPr>
      </w:pPr>
      <w:r>
        <w:rPr>
          <w:rFonts w:hint="eastAsia" w:ascii="宋体" w:hAnsi="宋体" w:eastAsia="宋体" w:cs="宋体"/>
          <w:color w:val="auto"/>
          <w:highlight w:val="none"/>
        </w:rPr>
        <w:t>提供虚假的财务状况或者业绩；</w:t>
      </w:r>
    </w:p>
    <w:p w14:paraId="1067456F">
      <w:pPr>
        <w:pStyle w:val="111"/>
        <w:numPr>
          <w:ilvl w:val="0"/>
          <w:numId w:val="8"/>
        </w:numPr>
        <w:ind w:firstLineChars="0"/>
        <w:rPr>
          <w:rFonts w:hint="eastAsia" w:ascii="宋体" w:hAnsi="宋体" w:eastAsia="宋体" w:cs="宋体"/>
          <w:color w:val="auto"/>
          <w:highlight w:val="none"/>
        </w:rPr>
      </w:pPr>
      <w:r>
        <w:rPr>
          <w:rFonts w:hint="eastAsia" w:ascii="宋体" w:hAnsi="宋体" w:eastAsia="宋体" w:cs="宋体"/>
          <w:color w:val="auto"/>
          <w:highlight w:val="none"/>
        </w:rPr>
        <w:t>提供虚假的项目负责人或者主要技术人员简历、劳动关系证明；</w:t>
      </w:r>
    </w:p>
    <w:p w14:paraId="17058BF5">
      <w:pPr>
        <w:pStyle w:val="111"/>
        <w:numPr>
          <w:ilvl w:val="0"/>
          <w:numId w:val="8"/>
        </w:numPr>
        <w:ind w:firstLineChars="0"/>
        <w:rPr>
          <w:rFonts w:hint="eastAsia" w:ascii="宋体" w:hAnsi="宋体" w:eastAsia="宋体" w:cs="宋体"/>
          <w:color w:val="auto"/>
          <w:highlight w:val="none"/>
        </w:rPr>
      </w:pPr>
      <w:r>
        <w:rPr>
          <w:rFonts w:hint="eastAsia" w:ascii="宋体" w:hAnsi="宋体" w:eastAsia="宋体" w:cs="宋体"/>
          <w:color w:val="auto"/>
          <w:highlight w:val="none"/>
        </w:rPr>
        <w:t>提供虚假的信用状况；</w:t>
      </w:r>
    </w:p>
    <w:p w14:paraId="094F086B">
      <w:pPr>
        <w:pStyle w:val="111"/>
        <w:numPr>
          <w:ilvl w:val="0"/>
          <w:numId w:val="8"/>
        </w:numPr>
        <w:ind w:firstLineChars="0"/>
        <w:rPr>
          <w:rFonts w:hint="eastAsia" w:ascii="宋体" w:hAnsi="宋体" w:eastAsia="宋体" w:cs="宋体"/>
          <w:color w:val="auto"/>
          <w:highlight w:val="none"/>
        </w:rPr>
      </w:pPr>
      <w:r>
        <w:rPr>
          <w:rFonts w:hint="eastAsia" w:ascii="宋体" w:hAnsi="宋体" w:eastAsia="宋体" w:cs="宋体"/>
          <w:color w:val="auto"/>
          <w:highlight w:val="none"/>
        </w:rPr>
        <w:t>其他弄虚作假的行为。</w:t>
      </w:r>
    </w:p>
    <w:p w14:paraId="5E6AE121">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3.19供应商有恶意串通、妨碍其他供应商的竞争行为、损害采购人或者其他供应商的合法权益情形的。</w:t>
      </w:r>
    </w:p>
    <w:p w14:paraId="71FAFEC5">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有下列情形之一的，属于或视为恶意串通，其响应无效：</w:t>
      </w:r>
    </w:p>
    <w:p w14:paraId="5F3A932C">
      <w:pPr>
        <w:pStyle w:val="111"/>
        <w:numPr>
          <w:ilvl w:val="0"/>
          <w:numId w:val="9"/>
        </w:numPr>
        <w:ind w:firstLineChars="0"/>
        <w:rPr>
          <w:rFonts w:hint="eastAsia" w:ascii="宋体" w:hAnsi="宋体" w:eastAsia="宋体" w:cs="宋体"/>
          <w:color w:val="auto"/>
          <w:highlight w:val="none"/>
        </w:rPr>
      </w:pPr>
      <w:r>
        <w:rPr>
          <w:rFonts w:hint="eastAsia" w:ascii="宋体" w:hAnsi="宋体" w:eastAsia="宋体" w:cs="宋体"/>
          <w:color w:val="auto"/>
          <w:highlight w:val="none"/>
        </w:rPr>
        <w:t>供应商直接或者间接从采购人或者</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处获得其他供应商的相关情况并修改其响应文件；</w:t>
      </w:r>
    </w:p>
    <w:p w14:paraId="41BBCD36">
      <w:pPr>
        <w:pStyle w:val="111"/>
        <w:numPr>
          <w:ilvl w:val="0"/>
          <w:numId w:val="9"/>
        </w:numPr>
        <w:ind w:firstLineChars="0"/>
        <w:rPr>
          <w:rFonts w:hint="eastAsia" w:ascii="宋体" w:hAnsi="宋体" w:eastAsia="宋体" w:cs="宋体"/>
          <w:color w:val="auto"/>
          <w:highlight w:val="none"/>
        </w:rPr>
      </w:pPr>
      <w:r>
        <w:rPr>
          <w:rFonts w:hint="eastAsia" w:ascii="宋体" w:hAnsi="宋体" w:eastAsia="宋体" w:cs="宋体"/>
          <w:color w:val="auto"/>
          <w:highlight w:val="none"/>
        </w:rPr>
        <w:t>供应商按照采购人或者</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的授意撤换、修改投标文件或者响应文件；</w:t>
      </w:r>
    </w:p>
    <w:p w14:paraId="227F22A1">
      <w:pPr>
        <w:pStyle w:val="111"/>
        <w:numPr>
          <w:ilvl w:val="0"/>
          <w:numId w:val="9"/>
        </w:numPr>
        <w:ind w:firstLineChars="0"/>
        <w:rPr>
          <w:rFonts w:hint="eastAsia" w:ascii="宋体" w:hAnsi="宋体" w:eastAsia="宋体" w:cs="宋体"/>
          <w:color w:val="auto"/>
          <w:highlight w:val="none"/>
        </w:rPr>
      </w:pPr>
      <w:r>
        <w:rPr>
          <w:rFonts w:hint="eastAsia" w:ascii="宋体" w:hAnsi="宋体" w:eastAsia="宋体" w:cs="宋体"/>
          <w:color w:val="auto"/>
          <w:highlight w:val="none"/>
        </w:rPr>
        <w:t>供应商之间协商报价、技术方案等投标文件或者响应文件的实质性内容；</w:t>
      </w:r>
    </w:p>
    <w:p w14:paraId="316788F0">
      <w:pPr>
        <w:pStyle w:val="111"/>
        <w:numPr>
          <w:ilvl w:val="0"/>
          <w:numId w:val="9"/>
        </w:numPr>
        <w:ind w:firstLineChars="0"/>
        <w:rPr>
          <w:rFonts w:hint="eastAsia" w:ascii="宋体" w:hAnsi="宋体" w:eastAsia="宋体" w:cs="宋体"/>
          <w:color w:val="auto"/>
          <w:highlight w:val="none"/>
        </w:rPr>
      </w:pPr>
      <w:r>
        <w:rPr>
          <w:rFonts w:hint="eastAsia" w:ascii="宋体" w:hAnsi="宋体" w:eastAsia="宋体" w:cs="宋体"/>
          <w:color w:val="auto"/>
          <w:highlight w:val="none"/>
        </w:rPr>
        <w:t>属于同一集团、协会、商会等组织成员的供应商按照该组织要求协同参加政府采购活动；</w:t>
      </w:r>
    </w:p>
    <w:p w14:paraId="0BEE7C7C">
      <w:pPr>
        <w:pStyle w:val="111"/>
        <w:numPr>
          <w:ilvl w:val="0"/>
          <w:numId w:val="9"/>
        </w:numPr>
        <w:ind w:firstLineChars="0"/>
        <w:rPr>
          <w:rFonts w:hint="eastAsia" w:ascii="宋体" w:hAnsi="宋体" w:eastAsia="宋体" w:cs="宋体"/>
          <w:color w:val="auto"/>
          <w:highlight w:val="none"/>
        </w:rPr>
      </w:pPr>
      <w:r>
        <w:rPr>
          <w:rFonts w:hint="eastAsia" w:ascii="宋体" w:hAnsi="宋体" w:eastAsia="宋体" w:cs="宋体"/>
          <w:color w:val="auto"/>
          <w:highlight w:val="none"/>
        </w:rPr>
        <w:t>供应商之间事先约定由某一特定供应商中标、成交；</w:t>
      </w:r>
    </w:p>
    <w:p w14:paraId="561BE895">
      <w:pPr>
        <w:pStyle w:val="111"/>
        <w:numPr>
          <w:ilvl w:val="0"/>
          <w:numId w:val="9"/>
        </w:numPr>
        <w:ind w:firstLineChars="0"/>
        <w:rPr>
          <w:rFonts w:hint="eastAsia" w:ascii="宋体" w:hAnsi="宋体" w:eastAsia="宋体" w:cs="宋体"/>
          <w:color w:val="auto"/>
          <w:highlight w:val="none"/>
        </w:rPr>
      </w:pPr>
      <w:r>
        <w:rPr>
          <w:rFonts w:hint="eastAsia" w:ascii="宋体" w:hAnsi="宋体" w:eastAsia="宋体" w:cs="宋体"/>
          <w:color w:val="auto"/>
          <w:highlight w:val="none"/>
        </w:rPr>
        <w:t>供应商之间商定部分供应商放弃参加政府采购活动或者放弃中标、成交；</w:t>
      </w:r>
    </w:p>
    <w:p w14:paraId="4DADC1D2">
      <w:pPr>
        <w:pStyle w:val="111"/>
        <w:numPr>
          <w:ilvl w:val="0"/>
          <w:numId w:val="9"/>
        </w:numPr>
        <w:ind w:firstLineChars="0"/>
        <w:rPr>
          <w:rFonts w:hint="eastAsia" w:ascii="宋体" w:hAnsi="宋体" w:eastAsia="宋体" w:cs="宋体"/>
          <w:color w:val="auto"/>
          <w:highlight w:val="none"/>
        </w:rPr>
      </w:pPr>
      <w:r>
        <w:rPr>
          <w:rFonts w:hint="eastAsia" w:ascii="宋体" w:hAnsi="宋体" w:eastAsia="宋体" w:cs="宋体"/>
          <w:color w:val="auto"/>
          <w:highlight w:val="none"/>
        </w:rPr>
        <w:t>供应商与采购人或者</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之间、供应商相互之间，为谋求特定供应商中标、成交或者排斥其他供应商的其他串通行为。</w:t>
      </w:r>
    </w:p>
    <w:p w14:paraId="15CC396E">
      <w:pPr>
        <w:pStyle w:val="111"/>
        <w:numPr>
          <w:ilvl w:val="0"/>
          <w:numId w:val="9"/>
        </w:numPr>
        <w:ind w:firstLineChars="0"/>
        <w:rPr>
          <w:rFonts w:hint="eastAsia" w:ascii="宋体" w:hAnsi="宋体" w:eastAsia="宋体" w:cs="宋体"/>
          <w:color w:val="auto"/>
          <w:highlight w:val="none"/>
        </w:rPr>
      </w:pPr>
      <w:r>
        <w:rPr>
          <w:rFonts w:hint="eastAsia" w:ascii="宋体" w:hAnsi="宋体" w:eastAsia="宋体" w:cs="宋体"/>
          <w:color w:val="auto"/>
          <w:highlight w:val="none"/>
        </w:rPr>
        <w:t>不同供应商的响应文件由同一单位或者个人编制；</w:t>
      </w:r>
    </w:p>
    <w:p w14:paraId="2B640982">
      <w:pPr>
        <w:pStyle w:val="111"/>
        <w:numPr>
          <w:ilvl w:val="0"/>
          <w:numId w:val="9"/>
        </w:numPr>
        <w:ind w:firstLineChars="0"/>
        <w:rPr>
          <w:rFonts w:hint="eastAsia" w:ascii="宋体" w:hAnsi="宋体" w:eastAsia="宋体" w:cs="宋体"/>
          <w:color w:val="auto"/>
          <w:highlight w:val="none"/>
        </w:rPr>
      </w:pPr>
      <w:r>
        <w:rPr>
          <w:rFonts w:hint="eastAsia" w:ascii="宋体" w:hAnsi="宋体" w:eastAsia="宋体" w:cs="宋体"/>
          <w:color w:val="auto"/>
          <w:highlight w:val="none"/>
        </w:rPr>
        <w:t>不同供应商委托同一单位或者个人办理响应事宜；</w:t>
      </w:r>
    </w:p>
    <w:p w14:paraId="1FAA8217">
      <w:pPr>
        <w:pStyle w:val="111"/>
        <w:numPr>
          <w:ilvl w:val="0"/>
          <w:numId w:val="9"/>
        </w:numPr>
        <w:ind w:firstLineChars="0"/>
        <w:rPr>
          <w:rFonts w:hint="eastAsia" w:ascii="宋体" w:hAnsi="宋体" w:eastAsia="宋体" w:cs="宋体"/>
          <w:color w:val="auto"/>
          <w:highlight w:val="none"/>
        </w:rPr>
      </w:pPr>
      <w:r>
        <w:rPr>
          <w:rFonts w:hint="eastAsia" w:ascii="宋体" w:hAnsi="宋体" w:eastAsia="宋体" w:cs="宋体"/>
          <w:color w:val="auto"/>
          <w:highlight w:val="none"/>
        </w:rPr>
        <w:t>不同供应商的响应文件载明的项目管理成员或者联系人员为同一人；</w:t>
      </w:r>
    </w:p>
    <w:p w14:paraId="4A7E17C2">
      <w:pPr>
        <w:pStyle w:val="111"/>
        <w:numPr>
          <w:ilvl w:val="0"/>
          <w:numId w:val="9"/>
        </w:numPr>
        <w:ind w:firstLineChars="0"/>
        <w:rPr>
          <w:rFonts w:hint="eastAsia" w:ascii="宋体" w:hAnsi="宋体" w:eastAsia="宋体" w:cs="宋体"/>
          <w:color w:val="auto"/>
          <w:highlight w:val="none"/>
        </w:rPr>
      </w:pPr>
      <w:r>
        <w:rPr>
          <w:rFonts w:hint="eastAsia" w:ascii="宋体" w:hAnsi="宋体" w:eastAsia="宋体" w:cs="宋体"/>
          <w:color w:val="auto"/>
          <w:highlight w:val="none"/>
        </w:rPr>
        <w:t>不同供应商的响应文件异常一致或者最后报价呈规律性差异；</w:t>
      </w:r>
    </w:p>
    <w:p w14:paraId="70221981">
      <w:pPr>
        <w:pStyle w:val="111"/>
        <w:numPr>
          <w:ilvl w:val="0"/>
          <w:numId w:val="9"/>
        </w:numPr>
        <w:ind w:firstLineChars="0"/>
        <w:rPr>
          <w:rFonts w:hint="eastAsia" w:ascii="宋体" w:hAnsi="宋体" w:eastAsia="宋体" w:cs="宋体"/>
          <w:color w:val="auto"/>
          <w:highlight w:val="none"/>
        </w:rPr>
      </w:pPr>
      <w:r>
        <w:rPr>
          <w:rFonts w:hint="eastAsia" w:ascii="宋体" w:hAnsi="宋体" w:eastAsia="宋体" w:cs="宋体"/>
          <w:color w:val="auto"/>
          <w:highlight w:val="none"/>
        </w:rPr>
        <w:t>不同供应商的响应文件相互混装。</w:t>
      </w:r>
    </w:p>
    <w:p w14:paraId="2B05612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3.20供应商仅提交备份响应文件，没有在电子交易平台传输提交响应文件的，响应无效；</w:t>
      </w:r>
    </w:p>
    <w:p w14:paraId="14FC32D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3.21法律、法规、规章（适用本市的）及省级以上规范性文件（适用本市的）规定的其他无效情形。</w:t>
      </w:r>
    </w:p>
    <w:p w14:paraId="62FAE116">
      <w:pPr>
        <w:pStyle w:val="72"/>
        <w:rPr>
          <w:rFonts w:hint="default" w:eastAsia="宋体"/>
          <w:color w:val="auto"/>
          <w:highlight w:val="none"/>
          <w:lang w:val="en-US" w:eastAsia="zh-CN"/>
        </w:rPr>
      </w:pPr>
      <w:r>
        <w:rPr>
          <w:rFonts w:hint="eastAsia" w:ascii="宋体" w:hAnsi="宋体" w:eastAsia="宋体" w:cs="宋体"/>
          <w:color w:val="auto"/>
          <w:sz w:val="24"/>
          <w:highlight w:val="none"/>
          <w:lang w:val="en-US" w:eastAsia="zh-CN"/>
        </w:rPr>
        <w:t>3.22参与同一个采购包（标项）的供应商存在下列情形之一且无法合理解释的，其投标文件无效：1.不同供应商的电子投标文件上传计算机的网卡MAC地址或硬盘序列号等硬件信息相同的；2.上传的电子响应文件若出现使用本项目其他供应商的数字证书加密的，或者加盖本项目其他供应商的电子印章的；3.不同供应商的响应文件的内容存在3处（含）以上错误一致的；4.不同供应商联系人为同一人或不同联系人的联系电话一致的。</w:t>
      </w:r>
    </w:p>
    <w:p w14:paraId="08DF29EE">
      <w:pPr>
        <w:pStyle w:val="397"/>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4. 重新开展采购活动</w:t>
      </w:r>
    </w:p>
    <w:p w14:paraId="7F8684F2">
      <w:pPr>
        <w:spacing w:line="360" w:lineRule="auto"/>
        <w:ind w:firstLine="407" w:firstLineChars="194"/>
        <w:rPr>
          <w:rFonts w:hint="eastAsia" w:ascii="宋体" w:hAnsi="宋体" w:eastAsia="宋体" w:cs="宋体"/>
          <w:color w:val="auto"/>
          <w:sz w:val="24"/>
          <w:szCs w:val="21"/>
          <w:highlight w:val="none"/>
        </w:rPr>
      </w:pPr>
      <w:r>
        <w:rPr>
          <w:rFonts w:hint="eastAsia" w:ascii="宋体" w:hAnsi="宋体" w:eastAsia="宋体" w:cs="宋体"/>
          <w:color w:val="auto"/>
          <w:szCs w:val="21"/>
          <w:highlight w:val="none"/>
        </w:rPr>
        <w:t xml:space="preserve"> </w:t>
      </w:r>
      <w:r>
        <w:rPr>
          <w:rFonts w:hint="eastAsia" w:ascii="宋体" w:hAnsi="宋体" w:eastAsia="宋体" w:cs="宋体"/>
          <w:color w:val="auto"/>
          <w:sz w:val="24"/>
          <w:szCs w:val="21"/>
          <w:highlight w:val="none"/>
        </w:rPr>
        <w:t>出现下列情形之一的，</w:t>
      </w:r>
      <w:r>
        <w:rPr>
          <w:rFonts w:hint="eastAsia" w:ascii="宋体" w:hAnsi="宋体" w:eastAsia="宋体" w:cs="宋体"/>
          <w:color w:val="auto"/>
          <w:sz w:val="24"/>
          <w:szCs w:val="21"/>
          <w:highlight w:val="none"/>
          <w:lang w:eastAsia="zh-CN"/>
        </w:rPr>
        <w:t>采购代理机构</w:t>
      </w:r>
      <w:r>
        <w:rPr>
          <w:rFonts w:hint="eastAsia" w:ascii="宋体" w:hAnsi="宋体" w:eastAsia="宋体" w:cs="宋体"/>
          <w:color w:val="auto"/>
          <w:sz w:val="24"/>
          <w:szCs w:val="21"/>
          <w:highlight w:val="none"/>
        </w:rPr>
        <w:t>应当终止竞争性磋商采购活动，通过电子交易平台发布项目终止公告并说明原因，重新开展采购活动：</w:t>
      </w:r>
    </w:p>
    <w:p w14:paraId="34C9747B">
      <w:pPr>
        <w:spacing w:line="360" w:lineRule="auto"/>
        <w:ind w:firstLine="465" w:firstLineChars="194"/>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（1）因情况变化，不再符合规定的竞争性磋商采购方式适用情形的；</w:t>
      </w:r>
    </w:p>
    <w:p w14:paraId="15F1882D">
      <w:pPr>
        <w:spacing w:line="360" w:lineRule="auto"/>
        <w:ind w:firstLine="465" w:firstLineChars="194"/>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（2）出现影响采购公正的违法、违规行为的；</w:t>
      </w:r>
    </w:p>
    <w:p w14:paraId="185421C6">
      <w:pPr>
        <w:spacing w:line="360" w:lineRule="auto"/>
        <w:ind w:firstLine="465" w:firstLineChars="194"/>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（3）在采购过程中符合要求的供应商或者最后报价未超过采购预算的供应商不足3家的（有特殊规定的从其规定）。</w:t>
      </w:r>
    </w:p>
    <w:p w14:paraId="5B368CA4">
      <w:pPr>
        <w:pStyle w:val="397"/>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5. 终止采购活动</w:t>
      </w:r>
    </w:p>
    <w:p w14:paraId="7F225A1C">
      <w:pPr>
        <w:spacing w:line="360" w:lineRule="auto"/>
        <w:ind w:firstLine="465" w:firstLineChars="194"/>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在采购活动中因重大变故，采购任务取消的，</w:t>
      </w:r>
      <w:r>
        <w:rPr>
          <w:rFonts w:hint="eastAsia" w:ascii="宋体" w:hAnsi="宋体" w:eastAsia="宋体" w:cs="宋体"/>
          <w:color w:val="auto"/>
          <w:sz w:val="24"/>
          <w:szCs w:val="21"/>
          <w:highlight w:val="none"/>
          <w:lang w:eastAsia="zh-CN"/>
        </w:rPr>
        <w:t>采购代理机构</w:t>
      </w:r>
      <w:r>
        <w:rPr>
          <w:rFonts w:hint="eastAsia" w:ascii="宋体" w:hAnsi="宋体" w:eastAsia="宋体" w:cs="宋体"/>
          <w:color w:val="auto"/>
          <w:sz w:val="24"/>
          <w:szCs w:val="21"/>
          <w:highlight w:val="none"/>
        </w:rPr>
        <w:t>将终止采购活动，通过电子交易平台通知所有参加采购活动的供应商，并将项目实施情况和采购任务取消原因报送本级财政部门。</w:t>
      </w:r>
    </w:p>
    <w:p w14:paraId="02CA6532">
      <w:pPr>
        <w:spacing w:line="360" w:lineRule="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 xml:space="preserve">6. </w:t>
      </w:r>
      <w:r>
        <w:rPr>
          <w:rFonts w:hint="eastAsia" w:ascii="宋体" w:hAnsi="宋体" w:eastAsia="宋体" w:cs="宋体"/>
          <w:b/>
          <w:color w:val="auto"/>
          <w:sz w:val="24"/>
          <w:highlight w:val="none"/>
          <w:lang w:eastAsia="zh-CN"/>
        </w:rPr>
        <w:t>采购代理机构</w:t>
      </w:r>
      <w:r>
        <w:rPr>
          <w:rFonts w:hint="eastAsia" w:ascii="宋体" w:hAnsi="宋体" w:eastAsia="宋体" w:cs="宋体"/>
          <w:b/>
          <w:color w:val="auto"/>
          <w:sz w:val="24"/>
          <w:highlight w:val="none"/>
        </w:rPr>
        <w:t>有权对磋商小组各成员的评分情况和评审意见进行合理性和合规性审查</w:t>
      </w:r>
      <w:r>
        <w:rPr>
          <w:rFonts w:hint="eastAsia" w:ascii="宋体" w:hAnsi="宋体" w:eastAsia="宋体" w:cs="宋体"/>
          <w:color w:val="auto"/>
          <w:sz w:val="24"/>
          <w:highlight w:val="none"/>
        </w:rPr>
        <w:t>，如发现磋商小组成员的评审意见带有明显倾向性，或不按规定程序和标准评审、计分的，磋商小组成员应进行书面澄清和说明；磋商小组成员拒不接受</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审查的，</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将向同级政府采购监督管理部门报告并予以处理。</w:t>
      </w:r>
    </w:p>
    <w:p w14:paraId="395C0B49">
      <w:pPr>
        <w:pStyle w:val="397"/>
        <w:spacing w:before="0"/>
        <w:ind w:firstLine="0" w:firstLineChars="0"/>
        <w:rPr>
          <w:rFonts w:hint="eastAsia" w:ascii="宋体" w:hAnsi="宋体" w:eastAsia="宋体" w:cs="宋体"/>
          <w:b/>
          <w:color w:val="auto"/>
          <w:highlight w:val="none"/>
        </w:rPr>
      </w:pPr>
    </w:p>
    <w:p w14:paraId="0D67D8CC">
      <w:pPr>
        <w:snapToGrid w:val="0"/>
        <w:spacing w:line="360" w:lineRule="auto"/>
        <w:ind w:left="120" w:leftChars="57" w:firstLine="482" w:firstLineChars="150"/>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六、评审过程的保密与录像</w:t>
      </w:r>
    </w:p>
    <w:p w14:paraId="36614457">
      <w:pPr>
        <w:widowControl/>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1.保密。</w:t>
      </w:r>
      <w:r>
        <w:rPr>
          <w:rFonts w:hint="eastAsia" w:ascii="宋体" w:hAnsi="宋体" w:eastAsia="宋体" w:cs="宋体"/>
          <w:color w:val="auto"/>
          <w:sz w:val="24"/>
          <w:highlight w:val="none"/>
        </w:rPr>
        <w:t>评审活动在严格保密的情况下进行。评审过程中凡是与采购响应文件评审和比较、成交人推荐等评审有关的情况，以及涉及国家秘密和商业秘密等信息，磋商小组成员、采购人和</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工作人员、相关监督人员等与评审有关的人员应当予以保密。</w:t>
      </w:r>
    </w:p>
    <w:p w14:paraId="0FC15566">
      <w:pPr>
        <w:widowControl/>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2.录音录像。</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对评审工作现场进行全过程录音录像，录音录像资料作为采购项目文件随其他文件一并存档。</w:t>
      </w:r>
    </w:p>
    <w:p w14:paraId="2B17A7F8">
      <w:pPr>
        <w:widowControl/>
        <w:adjustRightInd/>
        <w:jc w:val="left"/>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br w:type="page"/>
      </w:r>
    </w:p>
    <w:p w14:paraId="4E8B8802">
      <w:pPr>
        <w:spacing w:line="360" w:lineRule="auto"/>
        <w:jc w:val="center"/>
        <w:outlineLvl w:val="0"/>
        <w:rPr>
          <w:rFonts w:hint="eastAsia" w:ascii="宋体" w:hAnsi="宋体" w:eastAsia="宋体" w:cs="宋体"/>
          <w:b/>
          <w:color w:val="auto"/>
          <w:sz w:val="36"/>
          <w:szCs w:val="36"/>
          <w:highlight w:val="none"/>
        </w:rPr>
      </w:pPr>
      <w:bookmarkStart w:id="132" w:name="_Toc15953"/>
      <w:r>
        <w:rPr>
          <w:rFonts w:hint="eastAsia" w:ascii="宋体" w:hAnsi="宋体" w:eastAsia="宋体" w:cs="宋体"/>
          <w:b/>
          <w:color w:val="auto"/>
          <w:sz w:val="36"/>
          <w:szCs w:val="36"/>
          <w:highlight w:val="none"/>
        </w:rPr>
        <w:t>第六部分</w:t>
      </w:r>
      <w:bookmarkEnd w:id="131"/>
      <w:r>
        <w:rPr>
          <w:rFonts w:hint="eastAsia" w:ascii="宋体" w:hAnsi="宋体" w:eastAsia="宋体" w:cs="宋体"/>
          <w:b/>
          <w:color w:val="auto"/>
          <w:sz w:val="36"/>
          <w:szCs w:val="36"/>
          <w:highlight w:val="none"/>
        </w:rPr>
        <w:t xml:space="preserve">  拟签订的合同文本</w:t>
      </w:r>
      <w:bookmarkEnd w:id="132"/>
    </w:p>
    <w:p w14:paraId="19ED6B1F">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宋体" w:hAnsi="宋体" w:eastAsia="宋体" w:cs="宋体"/>
          <w:color w:val="auto"/>
          <w:sz w:val="24"/>
          <w:szCs w:val="24"/>
          <w:highlight w:val="none"/>
          <w:lang w:val="en-US" w:eastAsia="zh-CN"/>
        </w:rPr>
      </w:pPr>
      <w:bookmarkStart w:id="133" w:name="第五部分"/>
      <w:bookmarkStart w:id="134" w:name="_Toc86217003"/>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供参考，最终以采购人与成交人签订的合同为准）</w:t>
      </w:r>
    </w:p>
    <w:p w14:paraId="60D408CE">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合       同</w:t>
      </w:r>
    </w:p>
    <w:p w14:paraId="46B4E9D4">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根据《中华人民共和国政府采购法》、《中华人民共和国民法典》等有关法律法规规定，宁波市</w:t>
      </w:r>
      <w:r>
        <w:rPr>
          <w:rFonts w:hint="eastAsia" w:ascii="宋体" w:hAnsi="宋体" w:eastAsia="宋体" w:cs="宋体"/>
          <w:color w:val="auto"/>
          <w:sz w:val="24"/>
          <w:szCs w:val="24"/>
          <w:highlight w:val="none"/>
          <w:lang w:val="en-US" w:eastAsia="zh-CN"/>
        </w:rPr>
        <w:t>数据局</w:t>
      </w:r>
      <w:r>
        <w:rPr>
          <w:rFonts w:hint="eastAsia" w:ascii="宋体" w:hAnsi="宋体" w:eastAsia="宋体" w:cs="宋体"/>
          <w:color w:val="auto"/>
          <w:sz w:val="24"/>
          <w:szCs w:val="24"/>
          <w:highlight w:val="none"/>
        </w:rPr>
        <w:t>(招标人名称)(以下简称：“甲方”)通过</w:t>
      </w:r>
      <w:r>
        <w:rPr>
          <w:rFonts w:hint="eastAsia" w:ascii="宋体" w:hAnsi="宋体" w:eastAsia="宋体" w:cs="宋体"/>
          <w:color w:val="auto"/>
          <w:sz w:val="24"/>
          <w:szCs w:val="24"/>
          <w:highlight w:val="none"/>
          <w:lang w:val="en-US" w:eastAsia="zh-CN"/>
        </w:rPr>
        <w:t>竞争性磋商</w:t>
      </w:r>
      <w:r>
        <w:rPr>
          <w:rFonts w:hint="eastAsia" w:ascii="宋体" w:hAnsi="宋体" w:eastAsia="宋体" w:cs="宋体"/>
          <w:color w:val="auto"/>
          <w:sz w:val="24"/>
          <w:szCs w:val="24"/>
          <w:highlight w:val="none"/>
        </w:rPr>
        <w:t xml:space="preserve"> (采购方式)确定______(供应商名称)(以下简称：“乙方”)为</w:t>
      </w:r>
      <w:r>
        <w:rPr>
          <w:rFonts w:hint="eastAsia" w:ascii="宋体" w:hAnsi="宋体" w:cs="宋体"/>
          <w:b/>
          <w:bCs/>
          <w:color w:val="auto"/>
          <w:sz w:val="24"/>
          <w:szCs w:val="24"/>
          <w:highlight w:val="none"/>
          <w:lang w:eastAsia="zh-CN"/>
        </w:rPr>
        <w:t>2025年市公共数据平台运维服务</w:t>
      </w:r>
      <w:r>
        <w:rPr>
          <w:rFonts w:hint="eastAsia" w:ascii="宋体" w:hAnsi="宋体" w:eastAsia="宋体" w:cs="宋体"/>
          <w:color w:val="auto"/>
          <w:sz w:val="24"/>
          <w:szCs w:val="24"/>
          <w:highlight w:val="none"/>
        </w:rPr>
        <w:t>(项目名称)的</w:t>
      </w:r>
      <w:r>
        <w:rPr>
          <w:rFonts w:hint="eastAsia" w:ascii="宋体" w:hAnsi="宋体" w:eastAsia="宋体" w:cs="宋体"/>
          <w:color w:val="auto"/>
          <w:sz w:val="24"/>
          <w:szCs w:val="24"/>
          <w:highlight w:val="none"/>
          <w:lang w:val="en-US" w:eastAsia="zh-CN"/>
        </w:rPr>
        <w:t>成交</w:t>
      </w:r>
      <w:r>
        <w:rPr>
          <w:rFonts w:hint="eastAsia" w:ascii="宋体" w:hAnsi="宋体" w:eastAsia="宋体" w:cs="宋体"/>
          <w:color w:val="auto"/>
          <w:sz w:val="24"/>
          <w:szCs w:val="24"/>
          <w:highlight w:val="none"/>
        </w:rPr>
        <w:t>供应商。甲乙双方同意签署《</w:t>
      </w:r>
      <w:r>
        <w:rPr>
          <w:rFonts w:hint="eastAsia" w:ascii="宋体" w:hAnsi="宋体" w:cs="宋体"/>
          <w:b/>
          <w:bCs/>
          <w:color w:val="auto"/>
          <w:sz w:val="24"/>
          <w:szCs w:val="24"/>
          <w:highlight w:val="none"/>
          <w:lang w:eastAsia="zh-CN"/>
        </w:rPr>
        <w:t>2025年市公共数据平台运维服务</w:t>
      </w:r>
      <w:r>
        <w:rPr>
          <w:rFonts w:hint="eastAsia" w:ascii="宋体" w:hAnsi="宋体" w:eastAsia="宋体" w:cs="宋体"/>
          <w:color w:val="auto"/>
          <w:sz w:val="24"/>
          <w:szCs w:val="24"/>
          <w:highlight w:val="none"/>
        </w:rPr>
        <w:t>(项目名称)合同》(合同编号：______，以下简称：“合同”)。</w:t>
      </w:r>
    </w:p>
    <w:p w14:paraId="64116D09">
      <w:pPr>
        <w:pStyle w:val="31"/>
        <w:keepNext w:val="0"/>
        <w:keepLines w:val="0"/>
        <w:pageBreakBefore w:val="0"/>
        <w:widowControl w:val="0"/>
        <w:kinsoku/>
        <w:wordWrap/>
        <w:overflowPunct/>
        <w:topLinePunct w:val="0"/>
        <w:autoSpaceDE/>
        <w:autoSpaceDN/>
        <w:bidi w:val="0"/>
        <w:adjustRightInd w:val="0"/>
        <w:snapToGrid/>
        <w:spacing w:before="0" w:after="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1.合同文件</w:t>
      </w:r>
    </w:p>
    <w:p w14:paraId="0FDE4E8D">
      <w:pPr>
        <w:pStyle w:val="31"/>
        <w:keepNext w:val="0"/>
        <w:keepLines w:val="0"/>
        <w:pageBreakBefore w:val="0"/>
        <w:widowControl w:val="0"/>
        <w:kinsoku/>
        <w:wordWrap/>
        <w:overflowPunct/>
        <w:topLinePunct w:val="0"/>
        <w:autoSpaceDE/>
        <w:autoSpaceDN/>
        <w:bidi w:val="0"/>
        <w:adjustRightInd w:val="0"/>
        <w:snapToGrid/>
        <w:spacing w:before="0" w:after="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下列文件是构成本合同不可分割的部分：</w:t>
      </w:r>
    </w:p>
    <w:p w14:paraId="4C78B60D">
      <w:pPr>
        <w:pStyle w:val="31"/>
        <w:keepNext w:val="0"/>
        <w:keepLines w:val="0"/>
        <w:pageBreakBefore w:val="0"/>
        <w:widowControl w:val="0"/>
        <w:kinsoku/>
        <w:wordWrap/>
        <w:overflowPunct/>
        <w:topLinePunct w:val="0"/>
        <w:autoSpaceDE/>
        <w:autoSpaceDN/>
        <w:bidi w:val="0"/>
        <w:adjustRightInd w:val="0"/>
        <w:snapToGrid/>
        <w:spacing w:before="0" w:after="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(1)合同条款；</w:t>
      </w:r>
    </w:p>
    <w:p w14:paraId="53833868">
      <w:pPr>
        <w:pStyle w:val="31"/>
        <w:keepNext w:val="0"/>
        <w:keepLines w:val="0"/>
        <w:pageBreakBefore w:val="0"/>
        <w:widowControl w:val="0"/>
        <w:kinsoku/>
        <w:wordWrap/>
        <w:overflowPunct/>
        <w:topLinePunct w:val="0"/>
        <w:autoSpaceDE/>
        <w:autoSpaceDN/>
        <w:bidi w:val="0"/>
        <w:adjustRightInd w:val="0"/>
        <w:snapToGrid/>
        <w:spacing w:before="0" w:after="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(2)招标文件</w:t>
      </w:r>
    </w:p>
    <w:p w14:paraId="449CD3D7">
      <w:pPr>
        <w:pStyle w:val="31"/>
        <w:keepNext w:val="0"/>
        <w:keepLines w:val="0"/>
        <w:pageBreakBefore w:val="0"/>
        <w:widowControl w:val="0"/>
        <w:kinsoku/>
        <w:wordWrap/>
        <w:overflowPunct/>
        <w:topLinePunct w:val="0"/>
        <w:autoSpaceDE/>
        <w:autoSpaceDN/>
        <w:bidi w:val="0"/>
        <w:adjustRightInd w:val="0"/>
        <w:snapToGrid/>
        <w:spacing w:before="0" w:after="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(3)投标(响应)文件；</w:t>
      </w:r>
    </w:p>
    <w:p w14:paraId="15A5B284">
      <w:pPr>
        <w:pStyle w:val="31"/>
        <w:keepNext w:val="0"/>
        <w:keepLines w:val="0"/>
        <w:pageBreakBefore w:val="0"/>
        <w:widowControl w:val="0"/>
        <w:kinsoku/>
        <w:wordWrap/>
        <w:overflowPunct/>
        <w:topLinePunct w:val="0"/>
        <w:autoSpaceDE/>
        <w:autoSpaceDN/>
        <w:bidi w:val="0"/>
        <w:adjustRightInd w:val="0"/>
        <w:snapToGrid/>
        <w:spacing w:before="0" w:after="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(4)乙方的承诺与澄清文件（若有）；</w:t>
      </w:r>
    </w:p>
    <w:p w14:paraId="5B0F1369">
      <w:pPr>
        <w:pStyle w:val="31"/>
        <w:keepNext w:val="0"/>
        <w:keepLines w:val="0"/>
        <w:pageBreakBefore w:val="0"/>
        <w:widowControl w:val="0"/>
        <w:kinsoku/>
        <w:wordWrap/>
        <w:overflowPunct/>
        <w:topLinePunct w:val="0"/>
        <w:autoSpaceDE/>
        <w:autoSpaceDN/>
        <w:bidi w:val="0"/>
        <w:adjustRightInd w:val="0"/>
        <w:snapToGrid/>
        <w:spacing w:before="0" w:after="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(5)中标通知书</w:t>
      </w:r>
    </w:p>
    <w:p w14:paraId="42371F27">
      <w:pPr>
        <w:pStyle w:val="31"/>
        <w:keepNext w:val="0"/>
        <w:keepLines w:val="0"/>
        <w:pageBreakBefore w:val="0"/>
        <w:widowControl w:val="0"/>
        <w:kinsoku/>
        <w:wordWrap/>
        <w:overflowPunct/>
        <w:topLinePunct w:val="0"/>
        <w:autoSpaceDE/>
        <w:autoSpaceDN/>
        <w:bidi w:val="0"/>
        <w:adjustRightInd w:val="0"/>
        <w:snapToGrid/>
        <w:spacing w:before="0" w:after="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2.合同标的(根据实际情况填写)</w:t>
      </w:r>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7"/>
        <w:gridCol w:w="868"/>
        <w:gridCol w:w="875"/>
        <w:gridCol w:w="5491"/>
      </w:tblGrid>
      <w:tr w14:paraId="7E9D9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1937" w:type="dxa"/>
            <w:noWrap w:val="0"/>
            <w:vAlign w:val="center"/>
          </w:tcPr>
          <w:p w14:paraId="591A0E93">
            <w:pPr>
              <w:pStyle w:val="31"/>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服务名称</w:t>
            </w:r>
          </w:p>
        </w:tc>
        <w:tc>
          <w:tcPr>
            <w:tcW w:w="868" w:type="dxa"/>
            <w:noWrap w:val="0"/>
            <w:vAlign w:val="center"/>
          </w:tcPr>
          <w:p w14:paraId="5220AE17">
            <w:pPr>
              <w:pStyle w:val="31"/>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875" w:type="dxa"/>
            <w:noWrap w:val="0"/>
            <w:vAlign w:val="center"/>
          </w:tcPr>
          <w:p w14:paraId="7A44E77F">
            <w:pPr>
              <w:pStyle w:val="31"/>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w:t>
            </w:r>
          </w:p>
        </w:tc>
        <w:tc>
          <w:tcPr>
            <w:tcW w:w="5491" w:type="dxa"/>
            <w:noWrap w:val="0"/>
            <w:vAlign w:val="center"/>
          </w:tcPr>
          <w:p w14:paraId="352CA334">
            <w:pPr>
              <w:pStyle w:val="31"/>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具体服务承诺(包含但不限于服务内容、范围和基本要求)</w:t>
            </w:r>
          </w:p>
        </w:tc>
      </w:tr>
      <w:tr w14:paraId="7887D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1937" w:type="dxa"/>
            <w:noWrap w:val="0"/>
            <w:vAlign w:val="center"/>
          </w:tcPr>
          <w:p w14:paraId="2CEBEF54">
            <w:pPr>
              <w:pStyle w:val="31"/>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2025年宁波市公共数据平台运维服务</w:t>
            </w:r>
          </w:p>
        </w:tc>
        <w:tc>
          <w:tcPr>
            <w:tcW w:w="868" w:type="dxa"/>
            <w:noWrap w:val="0"/>
            <w:vAlign w:val="center"/>
          </w:tcPr>
          <w:p w14:paraId="18E2D45B">
            <w:pPr>
              <w:pStyle w:val="31"/>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875" w:type="dxa"/>
            <w:noWrap w:val="0"/>
            <w:vAlign w:val="center"/>
          </w:tcPr>
          <w:p w14:paraId="2F236736">
            <w:pPr>
              <w:pStyle w:val="31"/>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w:t>
            </w:r>
          </w:p>
        </w:tc>
        <w:tc>
          <w:tcPr>
            <w:tcW w:w="5491" w:type="dxa"/>
            <w:noWrap w:val="0"/>
            <w:vAlign w:val="center"/>
          </w:tcPr>
          <w:p w14:paraId="2F3F6901">
            <w:pPr>
              <w:pStyle w:val="31"/>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p>
        </w:tc>
      </w:tr>
    </w:tbl>
    <w:p w14:paraId="56629A4B">
      <w:pPr>
        <w:pStyle w:val="31"/>
        <w:keepNext w:val="0"/>
        <w:keepLines w:val="0"/>
        <w:pageBreakBefore w:val="0"/>
        <w:widowControl w:val="0"/>
        <w:kinsoku/>
        <w:wordWrap/>
        <w:overflowPunct/>
        <w:topLinePunct w:val="0"/>
        <w:autoSpaceDE/>
        <w:autoSpaceDN/>
        <w:bidi w:val="0"/>
        <w:adjustRightInd w:val="0"/>
        <w:snapToGrid/>
        <w:spacing w:before="0" w:after="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3.合同金额</w:t>
      </w:r>
    </w:p>
    <w:p w14:paraId="26741B7E">
      <w:pPr>
        <w:pStyle w:val="31"/>
        <w:keepNext w:val="0"/>
        <w:keepLines w:val="0"/>
        <w:pageBreakBefore w:val="0"/>
        <w:widowControl w:val="0"/>
        <w:kinsoku/>
        <w:wordWrap/>
        <w:overflowPunct/>
        <w:topLinePunct w:val="0"/>
        <w:autoSpaceDE/>
        <w:autoSpaceDN/>
        <w:bidi w:val="0"/>
        <w:adjustRightInd w:val="0"/>
        <w:snapToGrid/>
        <w:spacing w:before="0" w:after="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本合同总金额为人民币______元(￥______)，分项价格如下（根据不同的子包相应分项价格表中所列的服务内容和报价填写）：</w:t>
      </w:r>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7"/>
        <w:gridCol w:w="868"/>
        <w:gridCol w:w="875"/>
        <w:gridCol w:w="5491"/>
      </w:tblGrid>
      <w:tr w14:paraId="4A2D9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1937" w:type="dxa"/>
            <w:noWrap w:val="0"/>
            <w:vAlign w:val="center"/>
          </w:tcPr>
          <w:p w14:paraId="3F4D1707">
            <w:pPr>
              <w:pStyle w:val="31"/>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服务名称</w:t>
            </w:r>
          </w:p>
        </w:tc>
        <w:tc>
          <w:tcPr>
            <w:tcW w:w="868" w:type="dxa"/>
            <w:noWrap w:val="0"/>
            <w:vAlign w:val="center"/>
          </w:tcPr>
          <w:p w14:paraId="393A6416">
            <w:pPr>
              <w:pStyle w:val="31"/>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875" w:type="dxa"/>
            <w:noWrap w:val="0"/>
            <w:vAlign w:val="center"/>
          </w:tcPr>
          <w:p w14:paraId="37C63FD6">
            <w:pPr>
              <w:pStyle w:val="31"/>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w:t>
            </w:r>
          </w:p>
        </w:tc>
        <w:tc>
          <w:tcPr>
            <w:tcW w:w="5491" w:type="dxa"/>
            <w:noWrap w:val="0"/>
            <w:vAlign w:val="center"/>
          </w:tcPr>
          <w:p w14:paraId="3A85E86C">
            <w:pPr>
              <w:pStyle w:val="31"/>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具体服务承诺(包含但不限于服务内容、范围和基本要求)</w:t>
            </w:r>
          </w:p>
        </w:tc>
      </w:tr>
      <w:tr w14:paraId="1810F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1937" w:type="dxa"/>
            <w:noWrap w:val="0"/>
            <w:vAlign w:val="center"/>
          </w:tcPr>
          <w:p w14:paraId="4425AB41">
            <w:pPr>
              <w:pStyle w:val="31"/>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p>
        </w:tc>
        <w:tc>
          <w:tcPr>
            <w:tcW w:w="868" w:type="dxa"/>
            <w:noWrap w:val="0"/>
            <w:vAlign w:val="center"/>
          </w:tcPr>
          <w:p w14:paraId="7AE5256E">
            <w:pPr>
              <w:pStyle w:val="31"/>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p>
        </w:tc>
        <w:tc>
          <w:tcPr>
            <w:tcW w:w="875" w:type="dxa"/>
            <w:noWrap w:val="0"/>
            <w:vAlign w:val="center"/>
          </w:tcPr>
          <w:p w14:paraId="60FE08D5">
            <w:pPr>
              <w:pStyle w:val="31"/>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w:t>
            </w:r>
          </w:p>
        </w:tc>
        <w:tc>
          <w:tcPr>
            <w:tcW w:w="5491" w:type="dxa"/>
            <w:noWrap w:val="0"/>
            <w:vAlign w:val="center"/>
          </w:tcPr>
          <w:p w14:paraId="5C0F4BD0">
            <w:pPr>
              <w:pStyle w:val="31"/>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p>
        </w:tc>
      </w:tr>
    </w:tbl>
    <w:p w14:paraId="55564193">
      <w:pPr>
        <w:pStyle w:val="31"/>
        <w:keepNext w:val="0"/>
        <w:keepLines w:val="0"/>
        <w:pageBreakBefore w:val="0"/>
        <w:widowControl w:val="0"/>
        <w:kinsoku/>
        <w:wordWrap/>
        <w:overflowPunct/>
        <w:topLinePunct w:val="0"/>
        <w:autoSpaceDE/>
        <w:autoSpaceDN/>
        <w:bidi w:val="0"/>
        <w:adjustRightInd w:val="0"/>
        <w:snapToGrid/>
        <w:spacing w:before="0" w:after="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本合同项下所有服务的全部税费均已包含于合同价中，甲方不再另行支付。</w:t>
      </w:r>
    </w:p>
    <w:p w14:paraId="5D98A914">
      <w:pPr>
        <w:pStyle w:val="31"/>
        <w:keepNext w:val="0"/>
        <w:keepLines w:val="0"/>
        <w:pageBreakBefore w:val="0"/>
        <w:widowControl w:val="0"/>
        <w:kinsoku/>
        <w:wordWrap/>
        <w:overflowPunct/>
        <w:topLinePunct w:val="0"/>
        <w:autoSpaceDE/>
        <w:autoSpaceDN/>
        <w:bidi w:val="0"/>
        <w:adjustRightInd w:val="0"/>
        <w:snapToGrid/>
        <w:spacing w:before="0" w:after="0" w:line="360" w:lineRule="auto"/>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4. 服务履行期：12个月。本项目采购有效期为3年，合同一年一签，每年经考核合格，</w:t>
      </w:r>
      <w:r>
        <w:rPr>
          <w:rFonts w:hint="eastAsia" w:hAnsi="宋体" w:cs="宋体"/>
          <w:color w:val="auto"/>
          <w:sz w:val="24"/>
          <w:szCs w:val="24"/>
          <w:highlight w:val="none"/>
          <w:lang w:val="en-US" w:eastAsia="zh-CN"/>
        </w:rPr>
        <w:t>经</w:t>
      </w:r>
      <w:r>
        <w:rPr>
          <w:rFonts w:hint="eastAsia" w:ascii="宋体" w:hAnsi="宋体" w:eastAsia="宋体" w:cs="宋体"/>
          <w:color w:val="auto"/>
          <w:sz w:val="24"/>
          <w:szCs w:val="24"/>
          <w:highlight w:val="none"/>
        </w:rPr>
        <w:t>采购人同意，可续订下一年合同，最多续签2次。</w:t>
      </w:r>
    </w:p>
    <w:p w14:paraId="13A6388B">
      <w:pPr>
        <w:pStyle w:val="31"/>
        <w:keepNext w:val="0"/>
        <w:keepLines w:val="0"/>
        <w:pageBreakBefore w:val="0"/>
        <w:widowControl w:val="0"/>
        <w:kinsoku/>
        <w:wordWrap/>
        <w:overflowPunct/>
        <w:topLinePunct w:val="0"/>
        <w:autoSpaceDE/>
        <w:autoSpaceDN/>
        <w:bidi w:val="0"/>
        <w:adjustRightInd w:val="0"/>
        <w:snapToGrid/>
        <w:spacing w:before="0" w:after="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5.付款方式：</w:t>
      </w:r>
    </w:p>
    <w:p w14:paraId="33755284">
      <w:pPr>
        <w:pStyle w:val="31"/>
        <w:keepNext w:val="0"/>
        <w:keepLines w:val="0"/>
        <w:pageBreakBefore w:val="0"/>
        <w:widowControl w:val="0"/>
        <w:kinsoku/>
        <w:wordWrap/>
        <w:overflowPunct/>
        <w:topLinePunct w:val="0"/>
        <w:autoSpaceDE/>
        <w:autoSpaceDN/>
        <w:bidi w:val="0"/>
        <w:adjustRightInd w:val="0"/>
        <w:snapToGrid/>
        <w:spacing w:before="0" w:after="0" w:line="360" w:lineRule="auto"/>
        <w:ind w:firstLine="480" w:firstLineChars="200"/>
        <w:textAlignment w:val="auto"/>
        <w:rPr>
          <w:rFonts w:hint="eastAsia" w:ascii="宋体" w:hAnsi="宋体" w:eastAsia="宋体" w:cs="宋体"/>
          <w:color w:val="auto"/>
          <w:sz w:val="24"/>
          <w:szCs w:val="24"/>
          <w:highlight w:val="none"/>
        </w:rPr>
      </w:pPr>
      <w:r>
        <w:rPr>
          <w:rFonts w:hint="eastAsia" w:hAnsi="宋体" w:cs="宋体"/>
          <w:color w:val="auto"/>
          <w:sz w:val="24"/>
          <w:szCs w:val="24"/>
          <w:highlight w:val="none"/>
          <w:lang w:val="en-US" w:eastAsia="zh-CN"/>
        </w:rPr>
        <w:t>5.</w:t>
      </w:r>
      <w:r>
        <w:rPr>
          <w:rFonts w:hint="eastAsia" w:ascii="宋体" w:hAnsi="宋体" w:eastAsia="宋体" w:cs="宋体"/>
          <w:color w:val="auto"/>
          <w:sz w:val="24"/>
          <w:szCs w:val="24"/>
          <w:highlight w:val="none"/>
        </w:rPr>
        <w:t>1合同生效及具备服务条件后7个工作日内，</w:t>
      </w:r>
      <w:r>
        <w:rPr>
          <w:rFonts w:hint="eastAsia" w:hAnsi="宋体" w:cs="宋体"/>
          <w:color w:val="auto"/>
          <w:sz w:val="24"/>
          <w:szCs w:val="24"/>
          <w:highlight w:val="none"/>
          <w:lang w:val="en-US" w:eastAsia="zh-CN"/>
        </w:rPr>
        <w:t>甲方</w:t>
      </w:r>
      <w:r>
        <w:rPr>
          <w:rFonts w:hint="eastAsia" w:ascii="宋体" w:hAnsi="宋体" w:eastAsia="宋体" w:cs="宋体"/>
          <w:color w:val="auto"/>
          <w:sz w:val="24"/>
          <w:szCs w:val="24"/>
          <w:highlight w:val="none"/>
        </w:rPr>
        <w:t>向</w:t>
      </w:r>
      <w:r>
        <w:rPr>
          <w:rFonts w:hint="eastAsia" w:hAnsi="宋体" w:cs="宋体"/>
          <w:color w:val="auto"/>
          <w:sz w:val="24"/>
          <w:szCs w:val="24"/>
          <w:highlight w:val="none"/>
          <w:lang w:val="en-US" w:eastAsia="zh-CN"/>
        </w:rPr>
        <w:t>乙方</w:t>
      </w:r>
      <w:r>
        <w:rPr>
          <w:rFonts w:hint="eastAsia" w:ascii="宋体" w:hAnsi="宋体" w:eastAsia="宋体" w:cs="宋体"/>
          <w:color w:val="auto"/>
          <w:sz w:val="24"/>
          <w:szCs w:val="24"/>
          <w:highlight w:val="none"/>
        </w:rPr>
        <w:t>支付合同金额的60%；</w:t>
      </w:r>
    </w:p>
    <w:p w14:paraId="44E48533">
      <w:pPr>
        <w:pStyle w:val="31"/>
        <w:keepNext w:val="0"/>
        <w:keepLines w:val="0"/>
        <w:pageBreakBefore w:val="0"/>
        <w:widowControl w:val="0"/>
        <w:kinsoku/>
        <w:wordWrap/>
        <w:overflowPunct/>
        <w:topLinePunct w:val="0"/>
        <w:autoSpaceDE/>
        <w:autoSpaceDN/>
        <w:bidi w:val="0"/>
        <w:adjustRightInd w:val="0"/>
        <w:snapToGrid/>
        <w:spacing w:before="0" w:after="0" w:line="360" w:lineRule="auto"/>
        <w:ind w:firstLine="480" w:firstLineChars="200"/>
        <w:textAlignment w:val="auto"/>
        <w:rPr>
          <w:rFonts w:hint="eastAsia" w:ascii="宋体" w:hAnsi="宋体" w:eastAsia="宋体" w:cs="宋体"/>
          <w:color w:val="auto"/>
          <w:sz w:val="24"/>
          <w:szCs w:val="24"/>
          <w:highlight w:val="none"/>
        </w:rPr>
      </w:pPr>
      <w:r>
        <w:rPr>
          <w:rFonts w:hint="eastAsia" w:hAnsi="宋体" w:cs="宋体"/>
          <w:color w:val="auto"/>
          <w:sz w:val="24"/>
          <w:szCs w:val="24"/>
          <w:highlight w:val="none"/>
          <w:lang w:val="en-US" w:eastAsia="zh-CN"/>
        </w:rPr>
        <w:t xml:space="preserve">5.2 </w:t>
      </w:r>
      <w:r>
        <w:rPr>
          <w:rFonts w:hint="eastAsia" w:ascii="宋体" w:hAnsi="宋体" w:eastAsia="宋体" w:cs="宋体"/>
          <w:color w:val="auto"/>
          <w:sz w:val="24"/>
          <w:szCs w:val="24"/>
          <w:highlight w:val="none"/>
        </w:rPr>
        <w:t>2025年1</w:t>
      </w:r>
      <w:r>
        <w:rPr>
          <w:rFonts w:hint="eastAsia" w:hAnsi="宋体" w:cs="宋体"/>
          <w:color w:val="auto"/>
          <w:sz w:val="24"/>
          <w:szCs w:val="24"/>
          <w:highlight w:val="none"/>
          <w:lang w:val="en-US" w:eastAsia="zh-CN"/>
        </w:rPr>
        <w:t>1</w:t>
      </w:r>
      <w:r>
        <w:rPr>
          <w:rFonts w:hint="eastAsia" w:ascii="宋体" w:hAnsi="宋体" w:eastAsia="宋体" w:cs="宋体"/>
          <w:color w:val="auto"/>
          <w:sz w:val="24"/>
          <w:szCs w:val="24"/>
          <w:highlight w:val="none"/>
        </w:rPr>
        <w:t>月</w:t>
      </w:r>
      <w:r>
        <w:rPr>
          <w:rFonts w:hint="eastAsia" w:hAnsi="宋体" w:cs="宋体"/>
          <w:color w:val="auto"/>
          <w:sz w:val="24"/>
          <w:szCs w:val="24"/>
          <w:highlight w:val="none"/>
          <w:lang w:val="en-US" w:eastAsia="zh-CN"/>
        </w:rPr>
        <w:t>底前</w:t>
      </w:r>
      <w:r>
        <w:rPr>
          <w:rFonts w:hint="eastAsia" w:ascii="宋体" w:hAnsi="宋体" w:eastAsia="宋体" w:cs="宋体"/>
          <w:color w:val="auto"/>
          <w:sz w:val="24"/>
          <w:szCs w:val="24"/>
          <w:highlight w:val="none"/>
        </w:rPr>
        <w:t>根据阶段性考核情况，在收到</w:t>
      </w:r>
      <w:r>
        <w:rPr>
          <w:rFonts w:hint="eastAsia" w:hAnsi="宋体" w:cs="宋体"/>
          <w:color w:val="auto"/>
          <w:sz w:val="24"/>
          <w:szCs w:val="24"/>
          <w:highlight w:val="none"/>
          <w:lang w:val="en-US" w:eastAsia="zh-CN"/>
        </w:rPr>
        <w:t>乙方</w:t>
      </w:r>
      <w:r>
        <w:rPr>
          <w:rFonts w:hint="eastAsia" w:ascii="宋体" w:hAnsi="宋体" w:eastAsia="宋体" w:cs="宋体"/>
          <w:color w:val="auto"/>
          <w:sz w:val="24"/>
          <w:szCs w:val="24"/>
          <w:highlight w:val="none"/>
        </w:rPr>
        <w:t>递交的正规发票后的7个工作日内，至多支付合同金额的40%。</w:t>
      </w:r>
    </w:p>
    <w:p w14:paraId="38F8BBEB">
      <w:pPr>
        <w:pStyle w:val="31"/>
        <w:keepNext w:val="0"/>
        <w:keepLines w:val="0"/>
        <w:pageBreakBefore w:val="0"/>
        <w:widowControl w:val="0"/>
        <w:kinsoku/>
        <w:wordWrap/>
        <w:overflowPunct/>
        <w:topLinePunct w:val="0"/>
        <w:autoSpaceDE/>
        <w:autoSpaceDN/>
        <w:bidi w:val="0"/>
        <w:adjustRightInd w:val="0"/>
        <w:snapToGrid/>
        <w:spacing w:before="0" w:after="0" w:line="360" w:lineRule="auto"/>
        <w:ind w:firstLine="480" w:firstLineChars="200"/>
        <w:textAlignment w:val="auto"/>
        <w:rPr>
          <w:rFonts w:hint="eastAsia" w:ascii="宋体" w:hAnsi="宋体" w:eastAsia="宋体" w:cs="宋体"/>
          <w:color w:val="auto"/>
          <w:sz w:val="24"/>
          <w:szCs w:val="24"/>
          <w:highlight w:val="none"/>
        </w:rPr>
      </w:pPr>
      <w:r>
        <w:rPr>
          <w:rFonts w:hint="eastAsia" w:hAnsi="宋体" w:cs="宋体"/>
          <w:color w:val="auto"/>
          <w:sz w:val="24"/>
          <w:szCs w:val="24"/>
          <w:highlight w:val="none"/>
          <w:lang w:val="en-US" w:eastAsia="zh-CN"/>
        </w:rPr>
        <w:t>6</w:t>
      </w:r>
      <w:r>
        <w:rPr>
          <w:rFonts w:hint="eastAsia" w:ascii="宋体" w:hAnsi="宋体" w:eastAsia="宋体" w:cs="宋体"/>
          <w:color w:val="auto"/>
          <w:sz w:val="24"/>
          <w:szCs w:val="24"/>
          <w:highlight w:val="none"/>
        </w:rPr>
        <w:t>.履约保证金</w:t>
      </w:r>
    </w:p>
    <w:p w14:paraId="2BCB6BA5">
      <w:pPr>
        <w:pStyle w:val="31"/>
        <w:keepNext w:val="0"/>
        <w:keepLines w:val="0"/>
        <w:pageBreakBefore w:val="0"/>
        <w:widowControl w:val="0"/>
        <w:kinsoku/>
        <w:wordWrap/>
        <w:overflowPunct/>
        <w:topLinePunct w:val="0"/>
        <w:autoSpaceDE/>
        <w:autoSpaceDN/>
        <w:bidi w:val="0"/>
        <w:adjustRightInd w:val="0"/>
        <w:snapToGrid/>
        <w:spacing w:before="0" w:after="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履约保证金金额：合同总金额的1%</w:t>
      </w:r>
    </w:p>
    <w:p w14:paraId="3408CDA8">
      <w:pPr>
        <w:pStyle w:val="31"/>
        <w:keepNext w:val="0"/>
        <w:keepLines w:val="0"/>
        <w:pageBreakBefore w:val="0"/>
        <w:widowControl w:val="0"/>
        <w:kinsoku/>
        <w:wordWrap/>
        <w:overflowPunct/>
        <w:topLinePunct w:val="0"/>
        <w:autoSpaceDE/>
        <w:autoSpaceDN/>
        <w:bidi w:val="0"/>
        <w:adjustRightInd w:val="0"/>
        <w:snapToGrid/>
        <w:spacing w:before="0" w:after="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履约保证金的形式：支票、汇票、本票或者金融机构、担保机构出具的保函等非现金形式；</w:t>
      </w:r>
    </w:p>
    <w:p w14:paraId="106659A7">
      <w:pPr>
        <w:pStyle w:val="31"/>
        <w:keepNext w:val="0"/>
        <w:keepLines w:val="0"/>
        <w:pageBreakBefore w:val="0"/>
        <w:widowControl w:val="0"/>
        <w:kinsoku/>
        <w:wordWrap/>
        <w:overflowPunct/>
        <w:topLinePunct w:val="0"/>
        <w:autoSpaceDE/>
        <w:autoSpaceDN/>
        <w:bidi w:val="0"/>
        <w:adjustRightInd w:val="0"/>
        <w:snapToGrid/>
        <w:spacing w:before="0" w:after="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履约保证金递交时间：合同签定生效后的7日内</w:t>
      </w:r>
    </w:p>
    <w:p w14:paraId="695F18B0">
      <w:pPr>
        <w:pStyle w:val="31"/>
        <w:keepNext w:val="0"/>
        <w:keepLines w:val="0"/>
        <w:pageBreakBefore w:val="0"/>
        <w:widowControl w:val="0"/>
        <w:kinsoku/>
        <w:wordWrap/>
        <w:overflowPunct/>
        <w:topLinePunct w:val="0"/>
        <w:autoSpaceDE/>
        <w:autoSpaceDN/>
        <w:bidi w:val="0"/>
        <w:adjustRightInd w:val="0"/>
        <w:snapToGrid/>
        <w:spacing w:before="0" w:after="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履约保证金退回时间：合同期结束后由成交供应商发起退回申请，</w:t>
      </w:r>
      <w:r>
        <w:rPr>
          <w:rFonts w:hint="eastAsia" w:hAnsi="宋体" w:cs="宋体"/>
          <w:color w:val="auto"/>
          <w:sz w:val="24"/>
          <w:szCs w:val="24"/>
          <w:highlight w:val="none"/>
          <w:lang w:val="en-US" w:eastAsia="zh-CN"/>
        </w:rPr>
        <w:t>甲方</w:t>
      </w:r>
      <w:r>
        <w:rPr>
          <w:rFonts w:hint="eastAsia" w:ascii="宋体" w:hAnsi="宋体" w:eastAsia="宋体" w:cs="宋体"/>
          <w:color w:val="auto"/>
          <w:sz w:val="24"/>
          <w:szCs w:val="24"/>
          <w:highlight w:val="none"/>
        </w:rPr>
        <w:t>在收到申请的30日内无息退回履约保证金。但在合同履行期内，</w:t>
      </w:r>
      <w:r>
        <w:rPr>
          <w:rFonts w:hint="eastAsia" w:hAnsi="宋体" w:cs="宋体"/>
          <w:color w:val="auto"/>
          <w:sz w:val="24"/>
          <w:szCs w:val="24"/>
          <w:highlight w:val="none"/>
          <w:lang w:val="en-US" w:eastAsia="zh-CN"/>
        </w:rPr>
        <w:t>乙方</w:t>
      </w:r>
      <w:r>
        <w:rPr>
          <w:rFonts w:hint="eastAsia" w:ascii="宋体" w:hAnsi="宋体" w:eastAsia="宋体" w:cs="宋体"/>
          <w:color w:val="auto"/>
          <w:sz w:val="24"/>
          <w:szCs w:val="24"/>
          <w:highlight w:val="none"/>
        </w:rPr>
        <w:t>未按要求履约的，采购人有权从履约保证金中得到补偿。</w:t>
      </w:r>
    </w:p>
    <w:p w14:paraId="1276EFC7">
      <w:pPr>
        <w:pStyle w:val="31"/>
        <w:keepNext w:val="0"/>
        <w:keepLines w:val="0"/>
        <w:pageBreakBefore w:val="0"/>
        <w:widowControl w:val="0"/>
        <w:kinsoku/>
        <w:wordWrap/>
        <w:overflowPunct/>
        <w:topLinePunct w:val="0"/>
        <w:autoSpaceDE/>
        <w:autoSpaceDN/>
        <w:bidi w:val="0"/>
        <w:adjustRightInd w:val="0"/>
        <w:snapToGrid/>
        <w:spacing w:before="0" w:after="0" w:line="360" w:lineRule="auto"/>
        <w:ind w:firstLine="480" w:firstLineChars="200"/>
        <w:textAlignment w:val="auto"/>
        <w:rPr>
          <w:rFonts w:hint="eastAsia" w:ascii="宋体" w:hAnsi="宋体" w:eastAsia="宋体" w:cs="宋体"/>
          <w:color w:val="auto"/>
          <w:sz w:val="24"/>
          <w:szCs w:val="24"/>
          <w:highlight w:val="none"/>
        </w:rPr>
      </w:pPr>
      <w:r>
        <w:rPr>
          <w:rFonts w:hint="eastAsia" w:hAnsi="宋体" w:cs="宋体"/>
          <w:color w:val="auto"/>
          <w:sz w:val="24"/>
          <w:szCs w:val="24"/>
          <w:highlight w:val="none"/>
          <w:lang w:val="en-US" w:eastAsia="zh-CN"/>
        </w:rPr>
        <w:t>7.</w:t>
      </w:r>
      <w:r>
        <w:rPr>
          <w:rFonts w:hint="eastAsia" w:ascii="宋体" w:hAnsi="宋体" w:eastAsia="宋体" w:cs="宋体"/>
          <w:color w:val="auto"/>
          <w:sz w:val="24"/>
          <w:szCs w:val="24"/>
          <w:highlight w:val="none"/>
        </w:rPr>
        <w:t>合同签订地</w:t>
      </w:r>
    </w:p>
    <w:p w14:paraId="40C9BA3A">
      <w:pPr>
        <w:pStyle w:val="31"/>
        <w:keepNext w:val="0"/>
        <w:keepLines w:val="0"/>
        <w:pageBreakBefore w:val="0"/>
        <w:widowControl w:val="0"/>
        <w:kinsoku/>
        <w:wordWrap/>
        <w:overflowPunct/>
        <w:topLinePunct w:val="0"/>
        <w:autoSpaceDE/>
        <w:autoSpaceDN/>
        <w:bidi w:val="0"/>
        <w:adjustRightInd w:val="0"/>
        <w:snapToGrid/>
        <w:spacing w:before="0" w:after="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根据实际情况填写</w:t>
      </w:r>
    </w:p>
    <w:p w14:paraId="06A18D7F">
      <w:pPr>
        <w:pStyle w:val="31"/>
        <w:keepNext w:val="0"/>
        <w:keepLines w:val="0"/>
        <w:pageBreakBefore w:val="0"/>
        <w:widowControl w:val="0"/>
        <w:kinsoku/>
        <w:wordWrap/>
        <w:overflowPunct/>
        <w:topLinePunct w:val="0"/>
        <w:autoSpaceDE/>
        <w:autoSpaceDN/>
        <w:bidi w:val="0"/>
        <w:adjustRightInd w:val="0"/>
        <w:snapToGrid/>
        <w:spacing w:before="0" w:after="0" w:line="360" w:lineRule="auto"/>
        <w:ind w:firstLine="480" w:firstLineChars="200"/>
        <w:textAlignment w:val="auto"/>
        <w:rPr>
          <w:rFonts w:hint="eastAsia" w:ascii="宋体" w:hAnsi="宋体" w:eastAsia="宋体" w:cs="宋体"/>
          <w:color w:val="auto"/>
          <w:sz w:val="24"/>
          <w:szCs w:val="24"/>
          <w:highlight w:val="none"/>
        </w:rPr>
      </w:pPr>
      <w:r>
        <w:rPr>
          <w:rFonts w:hint="eastAsia" w:hAnsi="宋体" w:cs="宋体"/>
          <w:color w:val="auto"/>
          <w:sz w:val="24"/>
          <w:szCs w:val="24"/>
          <w:highlight w:val="none"/>
          <w:lang w:val="en-US" w:eastAsia="zh-CN"/>
        </w:rPr>
        <w:t>8</w:t>
      </w:r>
      <w:r>
        <w:rPr>
          <w:rFonts w:hint="eastAsia" w:ascii="宋体" w:hAnsi="宋体" w:eastAsia="宋体" w:cs="宋体"/>
          <w:color w:val="auto"/>
          <w:sz w:val="24"/>
          <w:szCs w:val="24"/>
          <w:highlight w:val="none"/>
          <w:lang w:eastAsia="zh-Hans"/>
        </w:rPr>
        <w:t>.争议解决</w:t>
      </w:r>
    </w:p>
    <w:p w14:paraId="526C3E08">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eastAsia="zh-Hans"/>
        </w:rPr>
        <w:t>因履行本合同所产生的所有争议，双方友好协商解决，协商不成的，提交宁波仲裁委员会仲裁解决。</w:t>
      </w:r>
    </w:p>
    <w:p w14:paraId="5355EBE8">
      <w:pPr>
        <w:pStyle w:val="31"/>
        <w:keepNext w:val="0"/>
        <w:keepLines w:val="0"/>
        <w:pageBreakBefore w:val="0"/>
        <w:widowControl w:val="0"/>
        <w:kinsoku/>
        <w:wordWrap/>
        <w:overflowPunct/>
        <w:topLinePunct w:val="0"/>
        <w:autoSpaceDE/>
        <w:autoSpaceDN/>
        <w:bidi w:val="0"/>
        <w:adjustRightInd w:val="0"/>
        <w:snapToGrid/>
        <w:spacing w:before="0" w:after="0" w:line="360" w:lineRule="auto"/>
        <w:ind w:firstLine="480" w:firstLineChars="200"/>
        <w:textAlignment w:val="auto"/>
        <w:rPr>
          <w:rFonts w:hint="eastAsia" w:ascii="宋体" w:hAnsi="宋体" w:eastAsia="宋体" w:cs="宋体"/>
          <w:color w:val="auto"/>
          <w:sz w:val="24"/>
          <w:szCs w:val="24"/>
          <w:highlight w:val="none"/>
        </w:rPr>
      </w:pPr>
      <w:r>
        <w:rPr>
          <w:rFonts w:hint="eastAsia" w:hAnsi="宋体" w:cs="宋体"/>
          <w:color w:val="auto"/>
          <w:sz w:val="24"/>
          <w:szCs w:val="24"/>
          <w:highlight w:val="none"/>
          <w:lang w:val="en-US" w:eastAsia="zh-CN"/>
        </w:rPr>
        <w:t>9</w:t>
      </w:r>
      <w:r>
        <w:rPr>
          <w:rFonts w:hint="eastAsia" w:ascii="宋体" w:hAnsi="宋体" w:eastAsia="宋体" w:cs="宋体"/>
          <w:color w:val="auto"/>
          <w:sz w:val="24"/>
          <w:szCs w:val="24"/>
          <w:highlight w:val="none"/>
        </w:rPr>
        <w:t>.合同生效</w:t>
      </w:r>
    </w:p>
    <w:p w14:paraId="44545AA6">
      <w:pPr>
        <w:pStyle w:val="31"/>
        <w:keepNext w:val="0"/>
        <w:keepLines w:val="0"/>
        <w:pageBreakBefore w:val="0"/>
        <w:widowControl w:val="0"/>
        <w:kinsoku/>
        <w:wordWrap/>
        <w:overflowPunct/>
        <w:topLinePunct w:val="0"/>
        <w:autoSpaceDE/>
        <w:autoSpaceDN/>
        <w:bidi w:val="0"/>
        <w:adjustRightInd w:val="0"/>
        <w:snapToGrid/>
        <w:spacing w:before="0" w:after="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本合同一式______份，</w:t>
      </w:r>
      <w:r>
        <w:rPr>
          <w:rFonts w:hint="eastAsia" w:ascii="宋体" w:hAnsi="宋体" w:eastAsia="宋体" w:cs="宋体"/>
          <w:color w:val="auto"/>
          <w:sz w:val="24"/>
          <w:szCs w:val="24"/>
          <w:highlight w:val="none"/>
          <w:lang w:eastAsia="zh-Hans"/>
        </w:rPr>
        <w:t>甲方执 份，乙方执</w:t>
      </w:r>
      <w:r>
        <w:rPr>
          <w:rFonts w:hint="eastAsia"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eastAsia="zh-Hans"/>
        </w:rPr>
        <w:t>份，具有同等法律效力，本合同</w:t>
      </w:r>
      <w:r>
        <w:rPr>
          <w:rFonts w:hint="eastAsia" w:ascii="宋体" w:hAnsi="宋体" w:eastAsia="宋体" w:cs="宋体"/>
          <w:color w:val="auto"/>
          <w:sz w:val="24"/>
          <w:szCs w:val="24"/>
          <w:highlight w:val="none"/>
        </w:rPr>
        <w:t>经甲乙双方法定代表人或其授权代表签字盖章后生效。</w:t>
      </w:r>
    </w:p>
    <w:p w14:paraId="2C841112">
      <w:pPr>
        <w:pStyle w:val="31"/>
        <w:keepNext w:val="0"/>
        <w:keepLines w:val="0"/>
        <w:pageBreakBefore w:val="0"/>
        <w:widowControl w:val="0"/>
        <w:kinsoku/>
        <w:wordWrap/>
        <w:overflowPunct/>
        <w:topLinePunct w:val="0"/>
        <w:autoSpaceDE/>
        <w:autoSpaceDN/>
        <w:bidi w:val="0"/>
        <w:adjustRightInd w:val="0"/>
        <w:snapToGrid/>
        <w:spacing w:before="0" w:after="0" w:line="360" w:lineRule="auto"/>
        <w:textAlignment w:val="auto"/>
        <w:rPr>
          <w:rFonts w:hint="eastAsia" w:ascii="宋体" w:hAnsi="宋体" w:eastAsia="宋体" w:cs="宋体"/>
          <w:color w:val="auto"/>
          <w:sz w:val="24"/>
          <w:szCs w:val="24"/>
          <w:highlight w:val="none"/>
        </w:rPr>
      </w:pPr>
    </w:p>
    <w:p w14:paraId="52899F81">
      <w:pPr>
        <w:pStyle w:val="31"/>
        <w:keepNext w:val="0"/>
        <w:keepLines w:val="0"/>
        <w:pageBreakBefore w:val="0"/>
        <w:widowControl w:val="0"/>
        <w:kinsoku/>
        <w:wordWrap/>
        <w:overflowPunct/>
        <w:topLinePunct w:val="0"/>
        <w:autoSpaceDE/>
        <w:autoSpaceDN/>
        <w:bidi w:val="0"/>
        <w:adjustRightInd w:val="0"/>
        <w:snapToGrid/>
        <w:spacing w:before="0" w:after="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甲方：(招标人名称)　　　　　　　　</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　乙方：(供应商名称)</w:t>
      </w:r>
    </w:p>
    <w:p w14:paraId="625C41DB">
      <w:pPr>
        <w:pStyle w:val="31"/>
        <w:keepNext w:val="0"/>
        <w:keepLines w:val="0"/>
        <w:pageBreakBefore w:val="0"/>
        <w:widowControl w:val="0"/>
        <w:kinsoku/>
        <w:wordWrap/>
        <w:overflowPunct/>
        <w:topLinePunct w:val="0"/>
        <w:autoSpaceDE/>
        <w:autoSpaceDN/>
        <w:bidi w:val="0"/>
        <w:adjustRightInd w:val="0"/>
        <w:snapToGrid/>
        <w:spacing w:before="0" w:after="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法定代表人或其授权代表签字(签章): </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 xml:space="preserve">  法定代表人或其授权代表签字(签章)：</w:t>
      </w:r>
    </w:p>
    <w:p w14:paraId="2DFB4238">
      <w:pPr>
        <w:pStyle w:val="31"/>
        <w:keepNext w:val="0"/>
        <w:keepLines w:val="0"/>
        <w:pageBreakBefore w:val="0"/>
        <w:widowControl w:val="0"/>
        <w:kinsoku/>
        <w:wordWrap/>
        <w:overflowPunct/>
        <w:topLinePunct w:val="0"/>
        <w:autoSpaceDE/>
        <w:autoSpaceDN/>
        <w:bidi w:val="0"/>
        <w:adjustRightInd w:val="0"/>
        <w:snapToGrid/>
        <w:spacing w:before="0" w:after="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盖章：</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盖章：</w:t>
      </w:r>
    </w:p>
    <w:p w14:paraId="4249A54D">
      <w:pPr>
        <w:pStyle w:val="31"/>
        <w:keepNext w:val="0"/>
        <w:keepLines w:val="0"/>
        <w:pageBreakBefore w:val="0"/>
        <w:widowControl w:val="0"/>
        <w:kinsoku/>
        <w:wordWrap/>
        <w:overflowPunct/>
        <w:topLinePunct w:val="0"/>
        <w:autoSpaceDE/>
        <w:autoSpaceDN/>
        <w:bidi w:val="0"/>
        <w:adjustRightInd w:val="0"/>
        <w:snapToGrid/>
        <w:spacing w:before="0" w:after="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开户银行：                           开户银行：</w:t>
      </w:r>
    </w:p>
    <w:p w14:paraId="6A7CA262">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银行账号：                           银行账号：</w:t>
      </w:r>
    </w:p>
    <w:p w14:paraId="272920A6">
      <w:pPr>
        <w:pStyle w:val="31"/>
        <w:keepNext w:val="0"/>
        <w:keepLines w:val="0"/>
        <w:pageBreakBefore w:val="0"/>
        <w:widowControl w:val="0"/>
        <w:kinsoku/>
        <w:wordWrap/>
        <w:overflowPunct/>
        <w:topLinePunct w:val="0"/>
        <w:autoSpaceDE/>
        <w:autoSpaceDN/>
        <w:bidi w:val="0"/>
        <w:adjustRightInd w:val="0"/>
        <w:snapToGrid/>
        <w:spacing w:before="0" w:after="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日期：______年____月____日</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 xml:space="preserve">     日期：______年____月____日</w:t>
      </w:r>
    </w:p>
    <w:p w14:paraId="4A76421D">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14:paraId="30D21F15">
      <w:pPr>
        <w:pStyle w:val="31"/>
        <w:keepNext w:val="0"/>
        <w:keepLines w:val="0"/>
        <w:pageBreakBefore w:val="0"/>
        <w:widowControl w:val="0"/>
        <w:kinsoku/>
        <w:wordWrap/>
        <w:overflowPunct/>
        <w:topLinePunct w:val="0"/>
        <w:autoSpaceDE/>
        <w:autoSpaceDN/>
        <w:bidi w:val="0"/>
        <w:adjustRightInd w:val="0"/>
        <w:snapToGrid/>
        <w:spacing w:before="0" w:after="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一、合同条款</w:t>
      </w:r>
    </w:p>
    <w:p w14:paraId="763ED8EA">
      <w:pPr>
        <w:pStyle w:val="31"/>
        <w:keepNext w:val="0"/>
        <w:keepLines w:val="0"/>
        <w:pageBreakBefore w:val="0"/>
        <w:widowControl w:val="0"/>
        <w:kinsoku/>
        <w:wordWrap/>
        <w:overflowPunct/>
        <w:topLinePunct w:val="0"/>
        <w:autoSpaceDE/>
        <w:autoSpaceDN/>
        <w:bidi w:val="0"/>
        <w:adjustRightInd w:val="0"/>
        <w:snapToGrid/>
        <w:spacing w:before="0" w:after="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1.定义</w:t>
      </w:r>
    </w:p>
    <w:p w14:paraId="26723A51">
      <w:pPr>
        <w:pStyle w:val="31"/>
        <w:keepNext w:val="0"/>
        <w:keepLines w:val="0"/>
        <w:pageBreakBefore w:val="0"/>
        <w:widowControl w:val="0"/>
        <w:kinsoku/>
        <w:wordWrap/>
        <w:overflowPunct/>
        <w:topLinePunct w:val="0"/>
        <w:autoSpaceDE/>
        <w:autoSpaceDN/>
        <w:bidi w:val="0"/>
        <w:adjustRightInd w:val="0"/>
        <w:snapToGrid/>
        <w:spacing w:before="0" w:after="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本合同下列术语应解释为：</w:t>
      </w:r>
    </w:p>
    <w:p w14:paraId="471534EE">
      <w:pPr>
        <w:pStyle w:val="31"/>
        <w:keepNext w:val="0"/>
        <w:keepLines w:val="0"/>
        <w:pageBreakBefore w:val="0"/>
        <w:widowControl w:val="0"/>
        <w:kinsoku/>
        <w:wordWrap/>
        <w:overflowPunct/>
        <w:topLinePunct w:val="0"/>
        <w:autoSpaceDE/>
        <w:autoSpaceDN/>
        <w:bidi w:val="0"/>
        <w:adjustRightInd w:val="0"/>
        <w:snapToGrid/>
        <w:spacing w:before="0" w:after="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　“甲方”是指招标人。</w:t>
      </w:r>
    </w:p>
    <w:p w14:paraId="1F4FB551">
      <w:pPr>
        <w:pStyle w:val="31"/>
        <w:keepNext w:val="0"/>
        <w:keepLines w:val="0"/>
        <w:pageBreakBefore w:val="0"/>
        <w:widowControl w:val="0"/>
        <w:kinsoku/>
        <w:wordWrap/>
        <w:overflowPunct/>
        <w:topLinePunct w:val="0"/>
        <w:autoSpaceDE/>
        <w:autoSpaceDN/>
        <w:bidi w:val="0"/>
        <w:adjustRightInd w:val="0"/>
        <w:snapToGrid/>
        <w:spacing w:before="0" w:after="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　“乙方”是指中标/成交供应商。</w:t>
      </w:r>
    </w:p>
    <w:p w14:paraId="2C694ADC">
      <w:pPr>
        <w:pStyle w:val="31"/>
        <w:keepNext w:val="0"/>
        <w:keepLines w:val="0"/>
        <w:pageBreakBefore w:val="0"/>
        <w:widowControl w:val="0"/>
        <w:kinsoku/>
        <w:wordWrap/>
        <w:overflowPunct/>
        <w:topLinePunct w:val="0"/>
        <w:autoSpaceDE/>
        <w:autoSpaceDN/>
        <w:bidi w:val="0"/>
        <w:adjustRightInd w:val="0"/>
        <w:snapToGrid/>
        <w:spacing w:before="0" w:after="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　“合同”系指甲乙双方签署的、合同中载明的甲乙双方所达成的协议，包括所有的附件、附录和上述文件所提到的构成合同的所有文件。</w:t>
      </w:r>
    </w:p>
    <w:p w14:paraId="298798DA">
      <w:pPr>
        <w:pStyle w:val="31"/>
        <w:keepNext w:val="0"/>
        <w:keepLines w:val="0"/>
        <w:pageBreakBefore w:val="0"/>
        <w:widowControl w:val="0"/>
        <w:kinsoku/>
        <w:wordWrap/>
        <w:overflowPunct/>
        <w:topLinePunct w:val="0"/>
        <w:autoSpaceDE/>
        <w:autoSpaceDN/>
        <w:bidi w:val="0"/>
        <w:adjustRightInd w:val="0"/>
        <w:snapToGrid/>
        <w:spacing w:before="0" w:after="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　“服务”是指乙方按照招标(采购)、投标(响应)文件要求，向招标人提供的技术支持服务。</w:t>
      </w:r>
    </w:p>
    <w:p w14:paraId="6BD53334">
      <w:pPr>
        <w:pStyle w:val="31"/>
        <w:keepNext w:val="0"/>
        <w:keepLines w:val="0"/>
        <w:pageBreakBefore w:val="0"/>
        <w:widowControl w:val="0"/>
        <w:kinsoku/>
        <w:wordWrap/>
        <w:overflowPunct/>
        <w:topLinePunct w:val="0"/>
        <w:autoSpaceDE/>
        <w:autoSpaceDN/>
        <w:bidi w:val="0"/>
        <w:adjustRightInd w:val="0"/>
        <w:snapToGrid/>
        <w:spacing w:before="0" w:after="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　“项目现场”是指甲方指定的最终服务地点。</w:t>
      </w:r>
    </w:p>
    <w:p w14:paraId="0A85AECE">
      <w:pPr>
        <w:pStyle w:val="31"/>
        <w:keepNext w:val="0"/>
        <w:keepLines w:val="0"/>
        <w:pageBreakBefore w:val="0"/>
        <w:widowControl w:val="0"/>
        <w:kinsoku/>
        <w:wordWrap/>
        <w:overflowPunct/>
        <w:topLinePunct w:val="0"/>
        <w:autoSpaceDE/>
        <w:autoSpaceDN/>
        <w:bidi w:val="0"/>
        <w:adjustRightInd w:val="0"/>
        <w:snapToGrid/>
        <w:spacing w:before="0" w:after="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　“天”除非特别指出，“天”均为自然天。</w:t>
      </w:r>
    </w:p>
    <w:p w14:paraId="59871102">
      <w:pPr>
        <w:pStyle w:val="31"/>
        <w:keepNext w:val="0"/>
        <w:keepLines w:val="0"/>
        <w:pageBreakBefore w:val="0"/>
        <w:widowControl w:val="0"/>
        <w:kinsoku/>
        <w:wordWrap/>
        <w:overflowPunct/>
        <w:topLinePunct w:val="0"/>
        <w:autoSpaceDE/>
        <w:autoSpaceDN/>
        <w:bidi w:val="0"/>
        <w:adjustRightInd w:val="0"/>
        <w:snapToGrid/>
        <w:spacing w:before="0" w:after="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2.服务标准</w:t>
      </w:r>
    </w:p>
    <w:p w14:paraId="7DAF77E7">
      <w:pPr>
        <w:pStyle w:val="31"/>
        <w:keepNext w:val="0"/>
        <w:keepLines w:val="0"/>
        <w:pageBreakBefore w:val="0"/>
        <w:widowControl w:val="0"/>
        <w:kinsoku/>
        <w:wordWrap/>
        <w:overflowPunct/>
        <w:topLinePunct w:val="0"/>
        <w:autoSpaceDE/>
        <w:autoSpaceDN/>
        <w:bidi w:val="0"/>
        <w:adjustRightInd w:val="0"/>
        <w:snapToGrid/>
        <w:spacing w:before="0" w:after="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　乙方为甲方交付的服务应符合招标(采购)文件所述的内容，如果没有提及适用标准，则应符合相应的国家标准。这些标准必须是有关机构发布的最新版本的标准。如没有标准或者标准不明确的，以甲方要求为准。</w:t>
      </w:r>
    </w:p>
    <w:p w14:paraId="1FA2453A">
      <w:pPr>
        <w:pStyle w:val="31"/>
        <w:keepNext w:val="0"/>
        <w:keepLines w:val="0"/>
        <w:pageBreakBefore w:val="0"/>
        <w:widowControl w:val="0"/>
        <w:kinsoku/>
        <w:wordWrap/>
        <w:overflowPunct/>
        <w:topLinePunct w:val="0"/>
        <w:autoSpaceDE/>
        <w:autoSpaceDN/>
        <w:bidi w:val="0"/>
        <w:adjustRightInd w:val="0"/>
        <w:snapToGrid/>
        <w:spacing w:before="0" w:after="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　除非技术要求中另有规定，计量单位均采用中华人民共和国法定计量单位。</w:t>
      </w:r>
    </w:p>
    <w:p w14:paraId="4B93178A">
      <w:pPr>
        <w:pStyle w:val="31"/>
        <w:keepNext w:val="0"/>
        <w:keepLines w:val="0"/>
        <w:pageBreakBefore w:val="0"/>
        <w:widowControl w:val="0"/>
        <w:kinsoku/>
        <w:wordWrap/>
        <w:overflowPunct/>
        <w:topLinePunct w:val="0"/>
        <w:autoSpaceDE/>
        <w:autoSpaceDN/>
        <w:bidi w:val="0"/>
        <w:adjustRightInd w:val="0"/>
        <w:snapToGrid/>
        <w:spacing w:before="0" w:after="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3.服务</w:t>
      </w:r>
    </w:p>
    <w:p w14:paraId="105FC355">
      <w:pPr>
        <w:pStyle w:val="31"/>
        <w:keepNext w:val="0"/>
        <w:keepLines w:val="0"/>
        <w:pageBreakBefore w:val="0"/>
        <w:widowControl w:val="0"/>
        <w:kinsoku/>
        <w:wordWrap/>
        <w:overflowPunct/>
        <w:topLinePunct w:val="0"/>
        <w:autoSpaceDE/>
        <w:autoSpaceDN/>
        <w:bidi w:val="0"/>
        <w:adjustRightInd w:val="0"/>
        <w:snapToGrid/>
        <w:spacing w:before="0" w:after="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　乙方应按照合同的规定，向甲方提供符合要求的服务。</w:t>
      </w:r>
    </w:p>
    <w:p w14:paraId="696E7DAC">
      <w:pPr>
        <w:pStyle w:val="31"/>
        <w:keepNext w:val="0"/>
        <w:keepLines w:val="0"/>
        <w:pageBreakBefore w:val="0"/>
        <w:widowControl w:val="0"/>
        <w:kinsoku/>
        <w:wordWrap/>
        <w:overflowPunct/>
        <w:topLinePunct w:val="0"/>
        <w:autoSpaceDE/>
        <w:autoSpaceDN/>
        <w:bidi w:val="0"/>
        <w:adjustRightInd w:val="0"/>
        <w:snapToGrid/>
        <w:spacing w:before="0" w:after="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4.知识产权</w:t>
      </w:r>
    </w:p>
    <w:p w14:paraId="0E6EC0BC">
      <w:pPr>
        <w:pStyle w:val="31"/>
        <w:keepNext w:val="0"/>
        <w:keepLines w:val="0"/>
        <w:pageBreakBefore w:val="0"/>
        <w:widowControl w:val="0"/>
        <w:kinsoku/>
        <w:wordWrap/>
        <w:overflowPunct/>
        <w:topLinePunct w:val="0"/>
        <w:autoSpaceDE/>
        <w:autoSpaceDN/>
        <w:bidi w:val="0"/>
        <w:adjustRightInd w:val="0"/>
        <w:snapToGrid/>
        <w:spacing w:before="0" w:after="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　乙方应保证所提供的服务免受第三方提出侵犯其知识产权(专利权、商标权、版权等)</w:t>
      </w:r>
      <w:r>
        <w:rPr>
          <w:rFonts w:hint="eastAsia" w:ascii="宋体" w:hAnsi="宋体" w:eastAsia="宋体" w:cs="宋体"/>
          <w:color w:val="auto"/>
          <w:sz w:val="24"/>
          <w:szCs w:val="24"/>
          <w:highlight w:val="none"/>
          <w:lang w:eastAsia="zh-Hans"/>
        </w:rPr>
        <w:t>或其他合法权益</w:t>
      </w:r>
      <w:r>
        <w:rPr>
          <w:rFonts w:hint="eastAsia" w:ascii="宋体" w:hAnsi="宋体" w:eastAsia="宋体" w:cs="宋体"/>
          <w:color w:val="auto"/>
          <w:sz w:val="24"/>
          <w:szCs w:val="24"/>
          <w:highlight w:val="none"/>
        </w:rPr>
        <w:t>的起诉。因侵害他人知识产权</w:t>
      </w:r>
      <w:r>
        <w:rPr>
          <w:rFonts w:hint="eastAsia" w:ascii="宋体" w:hAnsi="宋体" w:eastAsia="宋体" w:cs="宋体"/>
          <w:color w:val="auto"/>
          <w:sz w:val="24"/>
          <w:szCs w:val="24"/>
          <w:highlight w:val="none"/>
          <w:lang w:eastAsia="zh-Hans"/>
        </w:rPr>
        <w:t>或其他合法权益</w:t>
      </w:r>
      <w:r>
        <w:rPr>
          <w:rFonts w:hint="eastAsia" w:ascii="宋体" w:hAnsi="宋体" w:eastAsia="宋体" w:cs="宋体"/>
          <w:color w:val="auto"/>
          <w:sz w:val="24"/>
          <w:szCs w:val="24"/>
          <w:highlight w:val="none"/>
        </w:rPr>
        <w:t>而产生的法律责任，全部由</w:t>
      </w:r>
      <w:r>
        <w:rPr>
          <w:rFonts w:hint="eastAsia" w:ascii="宋体" w:hAnsi="宋体" w:eastAsia="宋体" w:cs="宋体"/>
          <w:color w:val="auto"/>
          <w:sz w:val="24"/>
          <w:szCs w:val="24"/>
          <w:highlight w:val="none"/>
          <w:lang w:eastAsia="zh-Hans"/>
        </w:rPr>
        <w:t>乙方</w:t>
      </w:r>
      <w:r>
        <w:rPr>
          <w:rFonts w:hint="eastAsia" w:ascii="宋体" w:hAnsi="宋体" w:eastAsia="宋体" w:cs="宋体"/>
          <w:color w:val="auto"/>
          <w:sz w:val="24"/>
          <w:szCs w:val="24"/>
          <w:highlight w:val="none"/>
        </w:rPr>
        <w:t>承担。</w:t>
      </w:r>
    </w:p>
    <w:p w14:paraId="07EBCC46">
      <w:pPr>
        <w:pStyle w:val="31"/>
        <w:keepNext w:val="0"/>
        <w:keepLines w:val="0"/>
        <w:pageBreakBefore w:val="0"/>
        <w:widowControl w:val="0"/>
        <w:kinsoku/>
        <w:wordWrap/>
        <w:overflowPunct/>
        <w:topLinePunct w:val="0"/>
        <w:autoSpaceDE/>
        <w:autoSpaceDN/>
        <w:bidi w:val="0"/>
        <w:adjustRightInd w:val="0"/>
        <w:snapToGrid/>
        <w:spacing w:before="0" w:after="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　甲方委托乙方开发的产品</w:t>
      </w:r>
      <w:r>
        <w:rPr>
          <w:rFonts w:hint="eastAsia" w:ascii="宋体" w:hAnsi="宋体" w:eastAsia="宋体" w:cs="宋体"/>
          <w:color w:val="auto"/>
          <w:sz w:val="24"/>
          <w:szCs w:val="24"/>
          <w:highlight w:val="none"/>
          <w:lang w:eastAsia="zh-Hans"/>
        </w:rPr>
        <w:t>或其他成果</w:t>
      </w:r>
      <w:r>
        <w:rPr>
          <w:rFonts w:hint="eastAsia" w:ascii="宋体" w:hAnsi="宋体" w:eastAsia="宋体" w:cs="宋体"/>
          <w:color w:val="auto"/>
          <w:sz w:val="24"/>
          <w:szCs w:val="24"/>
          <w:highlight w:val="none"/>
        </w:rPr>
        <w:t>，甲方享有</w:t>
      </w:r>
      <w:r>
        <w:rPr>
          <w:rFonts w:hint="eastAsia" w:ascii="宋体" w:hAnsi="宋体" w:eastAsia="宋体" w:cs="宋体"/>
          <w:color w:val="auto"/>
          <w:sz w:val="24"/>
          <w:szCs w:val="24"/>
          <w:highlight w:val="none"/>
          <w:lang w:eastAsia="zh-Hans"/>
        </w:rPr>
        <w:t>全部</w:t>
      </w:r>
      <w:r>
        <w:rPr>
          <w:rFonts w:hint="eastAsia" w:ascii="宋体" w:hAnsi="宋体" w:eastAsia="宋体" w:cs="宋体"/>
          <w:color w:val="auto"/>
          <w:sz w:val="24"/>
          <w:szCs w:val="24"/>
          <w:highlight w:val="none"/>
        </w:rPr>
        <w:t>知识产权，未经甲方许可不得转让任何第三人。</w:t>
      </w:r>
    </w:p>
    <w:p w14:paraId="7594E61B">
      <w:pPr>
        <w:pStyle w:val="31"/>
        <w:keepNext w:val="0"/>
        <w:keepLines w:val="0"/>
        <w:pageBreakBefore w:val="0"/>
        <w:widowControl w:val="0"/>
        <w:kinsoku/>
        <w:wordWrap/>
        <w:overflowPunct/>
        <w:topLinePunct w:val="0"/>
        <w:autoSpaceDE/>
        <w:autoSpaceDN/>
        <w:bidi w:val="0"/>
        <w:adjustRightInd w:val="0"/>
        <w:snapToGrid/>
        <w:spacing w:before="0" w:after="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5.保密条款</w:t>
      </w:r>
    </w:p>
    <w:p w14:paraId="4049CFE2">
      <w:pPr>
        <w:pStyle w:val="31"/>
        <w:keepNext w:val="0"/>
        <w:keepLines w:val="0"/>
        <w:pageBreakBefore w:val="0"/>
        <w:widowControl w:val="0"/>
        <w:kinsoku/>
        <w:wordWrap/>
        <w:overflowPunct/>
        <w:topLinePunct w:val="0"/>
        <w:autoSpaceDE/>
        <w:autoSpaceDN/>
        <w:bidi w:val="0"/>
        <w:adjustRightInd w:val="0"/>
        <w:snapToGrid/>
        <w:spacing w:before="0" w:after="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　乙方应对在本合同签订或履行过程中所接触的</w:t>
      </w:r>
      <w:r>
        <w:rPr>
          <w:rFonts w:hint="eastAsia" w:ascii="宋体" w:hAnsi="宋体" w:eastAsia="宋体" w:cs="宋体"/>
          <w:color w:val="auto"/>
          <w:sz w:val="24"/>
          <w:szCs w:val="24"/>
          <w:highlight w:val="none"/>
          <w:lang w:eastAsia="zh-Hans"/>
        </w:rPr>
        <w:t>甲</w:t>
      </w:r>
      <w:r>
        <w:rPr>
          <w:rFonts w:hint="eastAsia" w:ascii="宋体" w:hAnsi="宋体" w:eastAsia="宋体" w:cs="宋体"/>
          <w:color w:val="auto"/>
          <w:sz w:val="24"/>
          <w:szCs w:val="24"/>
          <w:highlight w:val="none"/>
        </w:rPr>
        <w:t>方</w:t>
      </w:r>
      <w:r>
        <w:rPr>
          <w:rFonts w:hint="eastAsia" w:ascii="宋体" w:hAnsi="宋体" w:eastAsia="宋体" w:cs="宋体"/>
          <w:color w:val="auto"/>
          <w:sz w:val="24"/>
          <w:szCs w:val="24"/>
          <w:highlight w:val="none"/>
          <w:lang w:eastAsia="zh-Hans"/>
        </w:rPr>
        <w:t>或被服务对象的</w:t>
      </w:r>
      <w:r>
        <w:rPr>
          <w:rFonts w:hint="eastAsia" w:ascii="宋体" w:hAnsi="宋体" w:eastAsia="宋体" w:cs="宋体"/>
          <w:color w:val="auto"/>
          <w:sz w:val="24"/>
          <w:szCs w:val="24"/>
          <w:highlight w:val="none"/>
        </w:rPr>
        <w:t>信息，包括但不限于知识产权、技术资料、技术诀窍、内部管理及其他相关信息，负有保密义务。</w:t>
      </w:r>
    </w:p>
    <w:p w14:paraId="1F1EFD6E">
      <w:pPr>
        <w:pStyle w:val="31"/>
        <w:keepNext w:val="0"/>
        <w:keepLines w:val="0"/>
        <w:pageBreakBefore w:val="0"/>
        <w:widowControl w:val="0"/>
        <w:kinsoku/>
        <w:wordWrap/>
        <w:overflowPunct/>
        <w:topLinePunct w:val="0"/>
        <w:autoSpaceDE/>
        <w:autoSpaceDN/>
        <w:bidi w:val="0"/>
        <w:adjustRightInd w:val="0"/>
        <w:snapToGrid/>
        <w:spacing w:before="0" w:after="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　乙方在使用甲方</w:t>
      </w:r>
      <w:r>
        <w:rPr>
          <w:rFonts w:hint="eastAsia" w:ascii="宋体" w:hAnsi="宋体" w:eastAsia="宋体" w:cs="宋体"/>
          <w:color w:val="auto"/>
          <w:sz w:val="24"/>
          <w:szCs w:val="24"/>
          <w:highlight w:val="none"/>
          <w:lang w:eastAsia="zh-Hans"/>
        </w:rPr>
        <w:t>或被服务对象</w:t>
      </w:r>
      <w:r>
        <w:rPr>
          <w:rFonts w:hint="eastAsia" w:ascii="宋体" w:hAnsi="宋体" w:eastAsia="宋体" w:cs="宋体"/>
          <w:color w:val="auto"/>
          <w:sz w:val="24"/>
          <w:szCs w:val="24"/>
          <w:highlight w:val="none"/>
        </w:rPr>
        <w:t>为乙方及其工作人员提供的数据、程序、用户名、口令、资料及甲方相关的业务和技术文档，包括政策、方案设计细节、程序文件、数据结构，以及相关业务系统的硬软件、文档、测试和测试产生的数据时，应遵循以下规定：</w:t>
      </w:r>
    </w:p>
    <w:p w14:paraId="4182EA75">
      <w:pPr>
        <w:pStyle w:val="31"/>
        <w:keepNext w:val="0"/>
        <w:keepLines w:val="0"/>
        <w:pageBreakBefore w:val="0"/>
        <w:widowControl w:val="0"/>
        <w:kinsoku/>
        <w:wordWrap/>
        <w:overflowPunct/>
        <w:topLinePunct w:val="0"/>
        <w:autoSpaceDE/>
        <w:autoSpaceDN/>
        <w:bidi w:val="0"/>
        <w:adjustRightInd w:val="0"/>
        <w:snapToGrid/>
        <w:spacing w:before="0" w:after="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(1)应以审慎态度避免泄露、公开或传播甲方的信息；</w:t>
      </w:r>
    </w:p>
    <w:p w14:paraId="221E413E">
      <w:pPr>
        <w:pStyle w:val="31"/>
        <w:keepNext w:val="0"/>
        <w:keepLines w:val="0"/>
        <w:pageBreakBefore w:val="0"/>
        <w:widowControl w:val="0"/>
        <w:kinsoku/>
        <w:wordWrap/>
        <w:overflowPunct/>
        <w:topLinePunct w:val="0"/>
        <w:autoSpaceDE/>
        <w:autoSpaceDN/>
        <w:bidi w:val="0"/>
        <w:adjustRightInd w:val="0"/>
        <w:snapToGrid/>
        <w:spacing w:before="0" w:after="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(2)未经甲方书面许可，不得对有关信息进行修改、补充、复制；</w:t>
      </w:r>
    </w:p>
    <w:p w14:paraId="1BAF2CB8">
      <w:pPr>
        <w:pStyle w:val="31"/>
        <w:keepNext w:val="0"/>
        <w:keepLines w:val="0"/>
        <w:pageBreakBefore w:val="0"/>
        <w:widowControl w:val="0"/>
        <w:kinsoku/>
        <w:wordWrap/>
        <w:overflowPunct/>
        <w:topLinePunct w:val="0"/>
        <w:autoSpaceDE/>
        <w:autoSpaceDN/>
        <w:bidi w:val="0"/>
        <w:adjustRightInd w:val="0"/>
        <w:snapToGrid/>
        <w:spacing w:before="0" w:after="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(3)未经甲方书面许可，不得将信息以任何方式(如E－mail)携带出甲方场所；</w:t>
      </w:r>
    </w:p>
    <w:p w14:paraId="05F2327C">
      <w:pPr>
        <w:pStyle w:val="31"/>
        <w:keepNext w:val="0"/>
        <w:keepLines w:val="0"/>
        <w:pageBreakBefore w:val="0"/>
        <w:widowControl w:val="0"/>
        <w:kinsoku/>
        <w:wordWrap/>
        <w:overflowPunct/>
        <w:topLinePunct w:val="0"/>
        <w:autoSpaceDE/>
        <w:autoSpaceDN/>
        <w:bidi w:val="0"/>
        <w:adjustRightInd w:val="0"/>
        <w:snapToGrid/>
        <w:spacing w:before="0" w:after="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(4)未经甲方书面许可，不得将信息透露给任何其他人；</w:t>
      </w:r>
    </w:p>
    <w:p w14:paraId="40B1192C">
      <w:pPr>
        <w:pStyle w:val="31"/>
        <w:keepNext w:val="0"/>
        <w:keepLines w:val="0"/>
        <w:pageBreakBefore w:val="0"/>
        <w:widowControl w:val="0"/>
        <w:kinsoku/>
        <w:wordWrap/>
        <w:overflowPunct/>
        <w:topLinePunct w:val="0"/>
        <w:autoSpaceDE/>
        <w:autoSpaceDN/>
        <w:bidi w:val="0"/>
        <w:adjustRightInd w:val="0"/>
        <w:snapToGrid/>
        <w:spacing w:before="0" w:after="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(5)甲方以书面形式提出的其他保密措施。</w:t>
      </w:r>
    </w:p>
    <w:p w14:paraId="77863503">
      <w:pPr>
        <w:pStyle w:val="31"/>
        <w:keepNext w:val="0"/>
        <w:keepLines w:val="0"/>
        <w:pageBreakBefore w:val="0"/>
        <w:widowControl w:val="0"/>
        <w:kinsoku/>
        <w:wordWrap/>
        <w:overflowPunct/>
        <w:topLinePunct w:val="0"/>
        <w:autoSpaceDE/>
        <w:autoSpaceDN/>
        <w:bidi w:val="0"/>
        <w:adjustRightInd w:val="0"/>
        <w:snapToGrid/>
        <w:spacing w:before="0" w:after="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5.3　保密期限不受合同有效期的限制，在合同有效期结束后，信息接受方仍应承担保密义务，直至该等信息成为公开信息。</w:t>
      </w:r>
    </w:p>
    <w:p w14:paraId="7B2F6195">
      <w:pPr>
        <w:pStyle w:val="31"/>
        <w:keepNext w:val="0"/>
        <w:keepLines w:val="0"/>
        <w:pageBreakBefore w:val="0"/>
        <w:widowControl w:val="0"/>
        <w:kinsoku/>
        <w:wordWrap/>
        <w:overflowPunct/>
        <w:topLinePunct w:val="0"/>
        <w:autoSpaceDE/>
        <w:autoSpaceDN/>
        <w:bidi w:val="0"/>
        <w:adjustRightInd w:val="0"/>
        <w:snapToGrid/>
        <w:spacing w:before="0" w:after="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5.4　乙方如出现泄密行为，</w:t>
      </w:r>
      <w:r>
        <w:rPr>
          <w:rFonts w:hint="eastAsia" w:ascii="宋体" w:hAnsi="宋体" w:eastAsia="宋体" w:cs="宋体"/>
          <w:color w:val="auto"/>
          <w:sz w:val="24"/>
          <w:szCs w:val="24"/>
          <w:highlight w:val="none"/>
          <w:lang w:eastAsia="zh-Hans"/>
        </w:rPr>
        <w:t>乙</w:t>
      </w:r>
      <w:r>
        <w:rPr>
          <w:rFonts w:hint="eastAsia" w:ascii="宋体" w:hAnsi="宋体" w:eastAsia="宋体" w:cs="宋体"/>
          <w:color w:val="auto"/>
          <w:sz w:val="24"/>
          <w:szCs w:val="24"/>
          <w:highlight w:val="none"/>
        </w:rPr>
        <w:t>方应承担相关的法律责任，包括但不限于对由此给</w:t>
      </w:r>
      <w:r>
        <w:rPr>
          <w:rFonts w:hint="eastAsia" w:ascii="宋体" w:hAnsi="宋体" w:eastAsia="宋体" w:cs="宋体"/>
          <w:color w:val="auto"/>
          <w:sz w:val="24"/>
          <w:szCs w:val="24"/>
          <w:highlight w:val="none"/>
          <w:lang w:eastAsia="zh-Hans"/>
        </w:rPr>
        <w:t>甲</w:t>
      </w:r>
      <w:r>
        <w:rPr>
          <w:rFonts w:hint="eastAsia" w:ascii="宋体" w:hAnsi="宋体" w:eastAsia="宋体" w:cs="宋体"/>
          <w:color w:val="auto"/>
          <w:sz w:val="24"/>
          <w:szCs w:val="24"/>
          <w:highlight w:val="none"/>
        </w:rPr>
        <w:t>方</w:t>
      </w:r>
      <w:r>
        <w:rPr>
          <w:rFonts w:hint="eastAsia" w:ascii="宋体" w:hAnsi="宋体" w:eastAsia="宋体" w:cs="宋体"/>
          <w:color w:val="auto"/>
          <w:sz w:val="24"/>
          <w:szCs w:val="24"/>
          <w:highlight w:val="none"/>
          <w:lang w:eastAsia="zh-Hans"/>
        </w:rPr>
        <w:t>及/或被服务对象</w:t>
      </w:r>
      <w:r>
        <w:rPr>
          <w:rFonts w:hint="eastAsia" w:ascii="宋体" w:hAnsi="宋体" w:eastAsia="宋体" w:cs="宋体"/>
          <w:color w:val="auto"/>
          <w:sz w:val="24"/>
          <w:szCs w:val="24"/>
          <w:highlight w:val="none"/>
        </w:rPr>
        <w:t>造成的经济损失进行赔偿。</w:t>
      </w:r>
    </w:p>
    <w:p w14:paraId="7358A0F7">
      <w:pPr>
        <w:pStyle w:val="31"/>
        <w:keepNext w:val="0"/>
        <w:keepLines w:val="0"/>
        <w:pageBreakBefore w:val="0"/>
        <w:widowControl w:val="0"/>
        <w:kinsoku/>
        <w:wordWrap/>
        <w:overflowPunct/>
        <w:topLinePunct w:val="0"/>
        <w:autoSpaceDE/>
        <w:autoSpaceDN/>
        <w:bidi w:val="0"/>
        <w:adjustRightInd w:val="0"/>
        <w:snapToGrid/>
        <w:spacing w:before="0" w:after="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6.服务质量保证</w:t>
      </w:r>
    </w:p>
    <w:p w14:paraId="57358EA8">
      <w:pPr>
        <w:pStyle w:val="31"/>
        <w:keepNext w:val="0"/>
        <w:keepLines w:val="0"/>
        <w:pageBreakBefore w:val="0"/>
        <w:widowControl w:val="0"/>
        <w:kinsoku/>
        <w:wordWrap/>
        <w:overflowPunct/>
        <w:topLinePunct w:val="0"/>
        <w:autoSpaceDE/>
        <w:autoSpaceDN/>
        <w:bidi w:val="0"/>
        <w:adjustRightInd w:val="0"/>
        <w:snapToGrid/>
        <w:spacing w:before="0" w:after="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　乙方应保证所提供的服务，符合合同规定的技术要求。如不符时，乙方应负全责并尽快处理解决，由此造成的损失和相关费用由乙方负责，甲方保留终止合同及索赔的权利。</w:t>
      </w:r>
    </w:p>
    <w:p w14:paraId="665D3633">
      <w:pPr>
        <w:pStyle w:val="31"/>
        <w:keepNext w:val="0"/>
        <w:keepLines w:val="0"/>
        <w:pageBreakBefore w:val="0"/>
        <w:widowControl w:val="0"/>
        <w:kinsoku/>
        <w:wordWrap/>
        <w:overflowPunct/>
        <w:topLinePunct w:val="0"/>
        <w:autoSpaceDE/>
        <w:autoSpaceDN/>
        <w:bidi w:val="0"/>
        <w:adjustRightInd w:val="0"/>
        <w:snapToGrid/>
        <w:spacing w:before="0" w:after="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6.2　乙方应保证通过执行合同中全部方案后，可以取得本合同规定的结果，达到本合同规定的预期目标。对任何情况下出现问题的，应尽快提出解决方案。</w:t>
      </w:r>
    </w:p>
    <w:p w14:paraId="339AFAF6">
      <w:pPr>
        <w:pStyle w:val="31"/>
        <w:keepNext w:val="0"/>
        <w:keepLines w:val="0"/>
        <w:pageBreakBefore w:val="0"/>
        <w:widowControl w:val="0"/>
        <w:kinsoku/>
        <w:wordWrap/>
        <w:overflowPunct/>
        <w:topLinePunct w:val="0"/>
        <w:autoSpaceDE/>
        <w:autoSpaceDN/>
        <w:bidi w:val="0"/>
        <w:adjustRightInd w:val="0"/>
        <w:snapToGrid/>
        <w:spacing w:before="0" w:after="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6.3　如果乙方提供的服务和解决方案不符合甲方要求，或在规定的时间内没有弥补缺陷，甲方有权采取一切必要的补救措施，由此产生的费用全部由乙方负责。</w:t>
      </w:r>
    </w:p>
    <w:p w14:paraId="61E4BF66">
      <w:pPr>
        <w:pStyle w:val="31"/>
        <w:keepNext w:val="0"/>
        <w:keepLines w:val="0"/>
        <w:pageBreakBefore w:val="0"/>
        <w:widowControl w:val="0"/>
        <w:kinsoku/>
        <w:wordWrap/>
        <w:overflowPunct/>
        <w:topLinePunct w:val="0"/>
        <w:autoSpaceDE/>
        <w:autoSpaceDN/>
        <w:bidi w:val="0"/>
        <w:adjustRightInd w:val="0"/>
        <w:snapToGrid/>
        <w:spacing w:before="0" w:after="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7.履约保证金</w:t>
      </w:r>
    </w:p>
    <w:p w14:paraId="56AB7C66">
      <w:pPr>
        <w:pStyle w:val="31"/>
        <w:keepNext w:val="0"/>
        <w:keepLines w:val="0"/>
        <w:pageBreakBefore w:val="0"/>
        <w:widowControl w:val="0"/>
        <w:kinsoku/>
        <w:wordWrap/>
        <w:overflowPunct/>
        <w:topLinePunct w:val="0"/>
        <w:autoSpaceDE/>
        <w:autoSpaceDN/>
        <w:bidi w:val="0"/>
        <w:adjustRightInd w:val="0"/>
        <w:snapToGrid/>
        <w:spacing w:before="0" w:after="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7.1　乙方应在签署合同前，以银行保函、银行电汇或履约担保函形式向甲方提供。</w:t>
      </w:r>
    </w:p>
    <w:p w14:paraId="0375F764">
      <w:pPr>
        <w:pStyle w:val="31"/>
        <w:keepNext w:val="0"/>
        <w:keepLines w:val="0"/>
        <w:pageBreakBefore w:val="0"/>
        <w:widowControl w:val="0"/>
        <w:kinsoku/>
        <w:wordWrap/>
        <w:overflowPunct/>
        <w:topLinePunct w:val="0"/>
        <w:autoSpaceDE/>
        <w:autoSpaceDN/>
        <w:bidi w:val="0"/>
        <w:adjustRightInd w:val="0"/>
        <w:snapToGrid/>
        <w:spacing w:before="0" w:after="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7.2　履约保证金具体金额及返还要求见合同条款。</w:t>
      </w:r>
    </w:p>
    <w:p w14:paraId="078370A9">
      <w:pPr>
        <w:pStyle w:val="31"/>
        <w:keepNext w:val="0"/>
        <w:keepLines w:val="0"/>
        <w:pageBreakBefore w:val="0"/>
        <w:widowControl w:val="0"/>
        <w:kinsoku/>
        <w:wordWrap/>
        <w:overflowPunct/>
        <w:topLinePunct w:val="0"/>
        <w:autoSpaceDE/>
        <w:autoSpaceDN/>
        <w:bidi w:val="0"/>
        <w:adjustRightInd w:val="0"/>
        <w:snapToGrid/>
        <w:spacing w:before="0" w:after="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7.3　如乙方未能履行合同规定的义务，甲方有权按照本合同的约定从履约保证金中进行相应扣除。乙方应在甲方扣除履约保证金后15天内，及时补充扣除部分金额。</w:t>
      </w:r>
    </w:p>
    <w:p w14:paraId="7733AB7A">
      <w:pPr>
        <w:pStyle w:val="31"/>
        <w:keepNext w:val="0"/>
        <w:keepLines w:val="0"/>
        <w:pageBreakBefore w:val="0"/>
        <w:widowControl w:val="0"/>
        <w:kinsoku/>
        <w:wordWrap/>
        <w:overflowPunct/>
        <w:topLinePunct w:val="0"/>
        <w:autoSpaceDE/>
        <w:autoSpaceDN/>
        <w:bidi w:val="0"/>
        <w:adjustRightInd w:val="0"/>
        <w:snapToGrid/>
        <w:spacing w:before="0" w:after="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7.4　乙方不履行合同，或者履行合同义务不符合约定使得合同目的不能实现，履约保证金不予退还，给甲方造成的损失超过履约保证金数额的，还应当对超过部分予以赔偿。</w:t>
      </w:r>
    </w:p>
    <w:p w14:paraId="65003D95">
      <w:pPr>
        <w:pStyle w:val="31"/>
        <w:keepNext w:val="0"/>
        <w:keepLines w:val="0"/>
        <w:pageBreakBefore w:val="0"/>
        <w:widowControl w:val="0"/>
        <w:kinsoku/>
        <w:wordWrap/>
        <w:overflowPunct/>
        <w:topLinePunct w:val="0"/>
        <w:autoSpaceDE/>
        <w:autoSpaceDN/>
        <w:bidi w:val="0"/>
        <w:adjustRightInd w:val="0"/>
        <w:snapToGrid/>
        <w:spacing w:before="0" w:after="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8.服务时间、地点与验收</w:t>
      </w:r>
    </w:p>
    <w:p w14:paraId="5E0C751D">
      <w:pPr>
        <w:pStyle w:val="31"/>
        <w:keepNext w:val="0"/>
        <w:keepLines w:val="0"/>
        <w:pageBreakBefore w:val="0"/>
        <w:widowControl w:val="0"/>
        <w:kinsoku/>
        <w:wordWrap/>
        <w:overflowPunct/>
        <w:topLinePunct w:val="0"/>
        <w:autoSpaceDE/>
        <w:autoSpaceDN/>
        <w:bidi w:val="0"/>
        <w:adjustRightInd w:val="0"/>
        <w:snapToGrid/>
        <w:spacing w:before="0" w:after="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8.1　服务地点：合同条款指定地点。</w:t>
      </w:r>
    </w:p>
    <w:p w14:paraId="36B720FE">
      <w:pPr>
        <w:pStyle w:val="31"/>
        <w:keepNext w:val="0"/>
        <w:keepLines w:val="0"/>
        <w:pageBreakBefore w:val="0"/>
        <w:widowControl w:val="0"/>
        <w:kinsoku/>
        <w:wordWrap/>
        <w:overflowPunct/>
        <w:topLinePunct w:val="0"/>
        <w:autoSpaceDE/>
        <w:autoSpaceDN/>
        <w:bidi w:val="0"/>
        <w:adjustRightInd w:val="0"/>
        <w:snapToGrid/>
        <w:spacing w:before="0" w:after="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8.2　服务时间：合同条款指定时间。</w:t>
      </w:r>
    </w:p>
    <w:p w14:paraId="6C8866DD">
      <w:pPr>
        <w:pStyle w:val="31"/>
        <w:keepNext w:val="0"/>
        <w:keepLines w:val="0"/>
        <w:pageBreakBefore w:val="0"/>
        <w:widowControl w:val="0"/>
        <w:kinsoku/>
        <w:wordWrap/>
        <w:overflowPunct/>
        <w:topLinePunct w:val="0"/>
        <w:autoSpaceDE/>
        <w:autoSpaceDN/>
        <w:bidi w:val="0"/>
        <w:adjustRightInd w:val="0"/>
        <w:snapToGrid/>
        <w:spacing w:before="0" w:after="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8.3　甲方应在乙方完成相关服务工作后及时对服务质量、技术指标、服务成果进行验收。</w:t>
      </w:r>
    </w:p>
    <w:p w14:paraId="0A716AA4">
      <w:pPr>
        <w:pStyle w:val="31"/>
        <w:keepNext w:val="0"/>
        <w:keepLines w:val="0"/>
        <w:pageBreakBefore w:val="0"/>
        <w:widowControl w:val="0"/>
        <w:kinsoku/>
        <w:wordWrap/>
        <w:overflowPunct/>
        <w:topLinePunct w:val="0"/>
        <w:autoSpaceDE/>
        <w:autoSpaceDN/>
        <w:bidi w:val="0"/>
        <w:adjustRightInd w:val="0"/>
        <w:snapToGrid/>
        <w:spacing w:before="0" w:after="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9.违约责任</w:t>
      </w:r>
    </w:p>
    <w:p w14:paraId="7301ED7A">
      <w:pPr>
        <w:pStyle w:val="31"/>
        <w:keepNext w:val="0"/>
        <w:keepLines w:val="0"/>
        <w:pageBreakBefore w:val="0"/>
        <w:widowControl w:val="0"/>
        <w:kinsoku/>
        <w:wordWrap/>
        <w:overflowPunct/>
        <w:topLinePunct w:val="0"/>
        <w:autoSpaceDE/>
        <w:autoSpaceDN/>
        <w:bidi w:val="0"/>
        <w:adjustRightInd w:val="0"/>
        <w:snapToGrid/>
        <w:spacing w:before="0" w:after="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9.1　服务缺陷的补救措施和索赔</w:t>
      </w:r>
    </w:p>
    <w:p w14:paraId="6B87A51A">
      <w:pPr>
        <w:pStyle w:val="31"/>
        <w:keepNext w:val="0"/>
        <w:keepLines w:val="0"/>
        <w:pageBreakBefore w:val="0"/>
        <w:widowControl w:val="0"/>
        <w:kinsoku/>
        <w:wordWrap/>
        <w:overflowPunct/>
        <w:topLinePunct w:val="0"/>
        <w:autoSpaceDE/>
        <w:autoSpaceDN/>
        <w:bidi w:val="0"/>
        <w:adjustRightInd w:val="0"/>
        <w:snapToGrid/>
        <w:spacing w:before="0" w:after="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(1)如果乙方提供的服务不符合本合同约定以及招标文件、投标文件关于服务的要求和承诺，乙方应按照甲方同意的下列一种或几种方式结合起来解决索赔事宜：</w:t>
      </w:r>
    </w:p>
    <w:p w14:paraId="0A400E72">
      <w:pPr>
        <w:pStyle w:val="31"/>
        <w:keepNext w:val="0"/>
        <w:keepLines w:val="0"/>
        <w:pageBreakBefore w:val="0"/>
        <w:widowControl w:val="0"/>
        <w:kinsoku/>
        <w:wordWrap/>
        <w:overflowPunct/>
        <w:topLinePunct w:val="0"/>
        <w:autoSpaceDE/>
        <w:autoSpaceDN/>
        <w:bidi w:val="0"/>
        <w:adjustRightInd w:val="0"/>
        <w:snapToGrid/>
        <w:spacing w:before="0" w:after="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①乙方同意将服务款项退还给甲方，由此发生的一切费用和损失由乙方承担。如甲方以适当的条件和方法购买与未履约标的相类似的服务，乙方应负担新购买类似服务所超出的费用。</w:t>
      </w:r>
    </w:p>
    <w:p w14:paraId="18F96CAA">
      <w:pPr>
        <w:pStyle w:val="31"/>
        <w:keepNext w:val="0"/>
        <w:keepLines w:val="0"/>
        <w:pageBreakBefore w:val="0"/>
        <w:widowControl w:val="0"/>
        <w:kinsoku/>
        <w:wordWrap/>
        <w:overflowPunct/>
        <w:topLinePunct w:val="0"/>
        <w:autoSpaceDE/>
        <w:autoSpaceDN/>
        <w:bidi w:val="0"/>
        <w:adjustRightInd w:val="0"/>
        <w:snapToGrid/>
        <w:spacing w:before="0" w:after="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②根据服务的质量状况以及甲方所遭受的损失，经过甲乙双方商定降低服务的价格。</w:t>
      </w:r>
    </w:p>
    <w:p w14:paraId="74AF790E">
      <w:pPr>
        <w:pStyle w:val="31"/>
        <w:keepNext w:val="0"/>
        <w:keepLines w:val="0"/>
        <w:pageBreakBefore w:val="0"/>
        <w:widowControl w:val="0"/>
        <w:kinsoku/>
        <w:wordWrap/>
        <w:overflowPunct/>
        <w:topLinePunct w:val="0"/>
        <w:autoSpaceDE/>
        <w:autoSpaceDN/>
        <w:bidi w:val="0"/>
        <w:adjustRightInd w:val="0"/>
        <w:snapToGrid/>
        <w:spacing w:before="0" w:after="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如果在甲方发出索赔通知后10日内乙方未作答复，上述索赔应视为已被乙方接受。如果乙方未能在甲方发出索赔通知后10日内或甲方同意延长的期限内，按照上述规定的任何一种方法采取补救措施，甲方有权从应付服务款中扣除索赔金额或者没收履约保证金，如不足以弥补甲方损失的，甲方有权进一步要求乙方赔偿。</w:t>
      </w:r>
    </w:p>
    <w:p w14:paraId="024BD640">
      <w:pPr>
        <w:pStyle w:val="31"/>
        <w:keepNext w:val="0"/>
        <w:keepLines w:val="0"/>
        <w:pageBreakBefore w:val="0"/>
        <w:widowControl w:val="0"/>
        <w:kinsoku/>
        <w:wordWrap/>
        <w:overflowPunct/>
        <w:topLinePunct w:val="0"/>
        <w:autoSpaceDE/>
        <w:autoSpaceDN/>
        <w:bidi w:val="0"/>
        <w:adjustRightInd w:val="0"/>
        <w:snapToGrid/>
        <w:spacing w:before="0" w:after="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9.2　迟延履约的违约责任</w:t>
      </w:r>
    </w:p>
    <w:p w14:paraId="560DE153">
      <w:pPr>
        <w:pStyle w:val="31"/>
        <w:keepNext w:val="0"/>
        <w:keepLines w:val="0"/>
        <w:pageBreakBefore w:val="0"/>
        <w:widowControl w:val="0"/>
        <w:kinsoku/>
        <w:wordWrap/>
        <w:overflowPunct/>
        <w:topLinePunct w:val="0"/>
        <w:autoSpaceDE/>
        <w:autoSpaceDN/>
        <w:bidi w:val="0"/>
        <w:adjustRightInd w:val="0"/>
        <w:snapToGrid/>
        <w:spacing w:before="0" w:after="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(1)乙方应按照本合同规定的时间、地点提供服务。</w:t>
      </w:r>
    </w:p>
    <w:p w14:paraId="13BD47A9">
      <w:pPr>
        <w:pStyle w:val="31"/>
        <w:keepNext w:val="0"/>
        <w:keepLines w:val="0"/>
        <w:pageBreakBefore w:val="0"/>
        <w:widowControl w:val="0"/>
        <w:kinsoku/>
        <w:wordWrap/>
        <w:overflowPunct/>
        <w:topLinePunct w:val="0"/>
        <w:autoSpaceDE/>
        <w:autoSpaceDN/>
        <w:bidi w:val="0"/>
        <w:adjustRightInd w:val="0"/>
        <w:snapToGrid/>
        <w:spacing w:before="0" w:after="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在履行合同过程中，如果乙方遇到可能妨碍按时提供服务的情形时，应及时以书面形式将迟延的事实、可能迟延的期限和理由通知甲方。甲方在收到乙方通知后，应尽快对情况进行评价，并确定是否同意延期提供服务。</w:t>
      </w:r>
    </w:p>
    <w:p w14:paraId="5CFEA8D7">
      <w:pPr>
        <w:pStyle w:val="31"/>
        <w:keepNext w:val="0"/>
        <w:keepLines w:val="0"/>
        <w:pageBreakBefore w:val="0"/>
        <w:widowControl w:val="0"/>
        <w:kinsoku/>
        <w:wordWrap/>
        <w:overflowPunct/>
        <w:topLinePunct w:val="0"/>
        <w:autoSpaceDE/>
        <w:autoSpaceDN/>
        <w:bidi w:val="0"/>
        <w:adjustRightInd w:val="0"/>
        <w:snapToGrid/>
        <w:spacing w:before="0" w:after="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除甲乙双方另有约定外，如果乙方没有按照合同规定的时间提供服务，且没有在甲方同意的延长的期限内进行补救时，甲方有权从服务款、履约保证金中扣除或要求乙方另行支付误期赔偿费而不影响合同项下的其他补救方法。赔偿费按每日加收合同金额的0.5%计收，直至交货或提供服务为止。</w:t>
      </w:r>
    </w:p>
    <w:p w14:paraId="6DB41F85">
      <w:pPr>
        <w:pStyle w:val="31"/>
        <w:keepNext w:val="0"/>
        <w:keepLines w:val="0"/>
        <w:pageBreakBefore w:val="0"/>
        <w:widowControl w:val="0"/>
        <w:kinsoku/>
        <w:wordWrap/>
        <w:overflowPunct/>
        <w:topLinePunct w:val="0"/>
        <w:autoSpaceDE/>
        <w:autoSpaceDN/>
        <w:bidi w:val="0"/>
        <w:adjustRightInd w:val="0"/>
        <w:snapToGrid/>
        <w:spacing w:before="0" w:after="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(4)如果乙方延迟履约超过30日，甲方有权终止全部或部分合同，并依其认为适当的条件和方法购买与未履约类似的服务，乙方应负担购买类似服务所超出的费用。但是，乙方应继续执行合同中未终止的部分。</w:t>
      </w:r>
    </w:p>
    <w:p w14:paraId="40FFE2E8">
      <w:pPr>
        <w:pStyle w:val="31"/>
        <w:keepNext w:val="0"/>
        <w:keepLines w:val="0"/>
        <w:pageBreakBefore w:val="0"/>
        <w:widowControl w:val="0"/>
        <w:kinsoku/>
        <w:wordWrap/>
        <w:overflowPunct/>
        <w:topLinePunct w:val="0"/>
        <w:autoSpaceDE/>
        <w:autoSpaceDN/>
        <w:bidi w:val="0"/>
        <w:adjustRightInd w:val="0"/>
        <w:snapToGrid/>
        <w:spacing w:before="0" w:after="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9.3　未履行合同义务的违约责任</w:t>
      </w:r>
    </w:p>
    <w:p w14:paraId="634DB693">
      <w:pPr>
        <w:pStyle w:val="31"/>
        <w:keepNext w:val="0"/>
        <w:keepLines w:val="0"/>
        <w:pageBreakBefore w:val="0"/>
        <w:widowControl w:val="0"/>
        <w:kinsoku/>
        <w:wordWrap/>
        <w:overflowPunct/>
        <w:topLinePunct w:val="0"/>
        <w:autoSpaceDE/>
        <w:autoSpaceDN/>
        <w:bidi w:val="0"/>
        <w:adjustRightInd w:val="0"/>
        <w:snapToGrid/>
        <w:spacing w:before="0" w:after="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(1)守约方有权终止全部或部分合同。</w:t>
      </w:r>
    </w:p>
    <w:p w14:paraId="12AC6EAF">
      <w:pPr>
        <w:pStyle w:val="31"/>
        <w:keepNext w:val="0"/>
        <w:keepLines w:val="0"/>
        <w:pageBreakBefore w:val="0"/>
        <w:widowControl w:val="0"/>
        <w:kinsoku/>
        <w:wordWrap/>
        <w:overflowPunct/>
        <w:topLinePunct w:val="0"/>
        <w:autoSpaceDE/>
        <w:autoSpaceDN/>
        <w:bidi w:val="0"/>
        <w:adjustRightInd w:val="0"/>
        <w:snapToGrid/>
        <w:spacing w:before="0" w:after="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(2)没收全额履约保证金。</w:t>
      </w:r>
    </w:p>
    <w:p w14:paraId="01BDB406">
      <w:pPr>
        <w:pStyle w:val="31"/>
        <w:keepNext w:val="0"/>
        <w:keepLines w:val="0"/>
        <w:pageBreakBefore w:val="0"/>
        <w:widowControl w:val="0"/>
        <w:kinsoku/>
        <w:wordWrap/>
        <w:overflowPunct/>
        <w:topLinePunct w:val="0"/>
        <w:autoSpaceDE/>
        <w:autoSpaceDN/>
        <w:bidi w:val="0"/>
        <w:adjustRightInd w:val="0"/>
        <w:snapToGrid/>
        <w:spacing w:before="0" w:after="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(3)由违约一方支付违约金，违约金标准</w:t>
      </w:r>
      <w:r>
        <w:rPr>
          <w:rFonts w:hint="eastAsia" w:ascii="宋体" w:hAnsi="宋体" w:eastAsia="宋体" w:cs="宋体"/>
          <w:color w:val="auto"/>
          <w:sz w:val="24"/>
          <w:szCs w:val="24"/>
          <w:highlight w:val="none"/>
          <w:lang w:eastAsia="zh-Hans"/>
        </w:rPr>
        <w:t>为合同金额的10%</w:t>
      </w:r>
      <w:r>
        <w:rPr>
          <w:rFonts w:hint="eastAsia" w:ascii="宋体" w:hAnsi="宋体" w:eastAsia="宋体" w:cs="宋体"/>
          <w:color w:val="auto"/>
          <w:sz w:val="24"/>
          <w:szCs w:val="24"/>
          <w:highlight w:val="none"/>
        </w:rPr>
        <w:t>。</w:t>
      </w:r>
    </w:p>
    <w:p w14:paraId="1A109ADA">
      <w:pPr>
        <w:pStyle w:val="31"/>
        <w:keepNext w:val="0"/>
        <w:keepLines w:val="0"/>
        <w:pageBreakBefore w:val="0"/>
        <w:widowControl w:val="0"/>
        <w:kinsoku/>
        <w:wordWrap/>
        <w:overflowPunct/>
        <w:topLinePunct w:val="0"/>
        <w:autoSpaceDE/>
        <w:autoSpaceDN/>
        <w:bidi w:val="0"/>
        <w:adjustRightInd w:val="0"/>
        <w:snapToGrid/>
        <w:spacing w:before="0" w:after="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(4)违约金不足以弥补守约方实际损失、可预见或者应当预见的损失，由违约方全额予以赔偿。</w:t>
      </w:r>
    </w:p>
    <w:p w14:paraId="48AAE53C">
      <w:pPr>
        <w:pStyle w:val="31"/>
        <w:keepNext w:val="0"/>
        <w:keepLines w:val="0"/>
        <w:pageBreakBefore w:val="0"/>
        <w:widowControl w:val="0"/>
        <w:kinsoku/>
        <w:wordWrap/>
        <w:overflowPunct/>
        <w:topLinePunct w:val="0"/>
        <w:autoSpaceDE/>
        <w:autoSpaceDN/>
        <w:bidi w:val="0"/>
        <w:adjustRightInd w:val="0"/>
        <w:snapToGrid/>
        <w:spacing w:before="0" w:after="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9.4 甲方为主张债权而支付的诉讼费、保全费、诉讼担保费、仲裁</w:t>
      </w:r>
      <w:r>
        <w:rPr>
          <w:rFonts w:hint="eastAsia" w:hAnsi="宋体" w:cs="宋体"/>
          <w:color w:val="auto"/>
          <w:sz w:val="24"/>
          <w:szCs w:val="24"/>
          <w:highlight w:val="none"/>
          <w:lang w:eastAsia="zh-CN"/>
        </w:rPr>
        <w:t>费</w:t>
      </w:r>
      <w:r>
        <w:rPr>
          <w:rFonts w:hint="eastAsia" w:ascii="宋体" w:hAnsi="宋体" w:eastAsia="宋体" w:cs="宋体"/>
          <w:color w:val="auto"/>
          <w:sz w:val="24"/>
          <w:szCs w:val="24"/>
          <w:highlight w:val="none"/>
        </w:rPr>
        <w:t>、律师费等一切费用全部由乙方承担。</w:t>
      </w:r>
    </w:p>
    <w:p w14:paraId="104F2519">
      <w:pPr>
        <w:pStyle w:val="31"/>
        <w:keepNext w:val="0"/>
        <w:keepLines w:val="0"/>
        <w:pageBreakBefore w:val="0"/>
        <w:widowControl w:val="0"/>
        <w:kinsoku/>
        <w:wordWrap/>
        <w:overflowPunct/>
        <w:topLinePunct w:val="0"/>
        <w:autoSpaceDE/>
        <w:autoSpaceDN/>
        <w:bidi w:val="0"/>
        <w:adjustRightInd w:val="0"/>
        <w:snapToGrid/>
        <w:spacing w:before="0" w:after="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9.5  其他违约责任</w:t>
      </w:r>
    </w:p>
    <w:p w14:paraId="0BC79C98">
      <w:pPr>
        <w:pStyle w:val="31"/>
        <w:keepNext w:val="0"/>
        <w:keepLines w:val="0"/>
        <w:pageBreakBefore w:val="0"/>
        <w:widowControl w:val="0"/>
        <w:kinsoku/>
        <w:wordWrap/>
        <w:overflowPunct/>
        <w:topLinePunct w:val="0"/>
        <w:autoSpaceDE/>
        <w:autoSpaceDN/>
        <w:bidi w:val="0"/>
        <w:adjustRightInd w:val="0"/>
        <w:snapToGrid/>
        <w:spacing w:before="0" w:after="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（1）乙方在本项目实施过程中发生违反网络安全规定行为，造成数据失窃或丢失、敏感信息泄露、主要业务系统瘫痪等不良后果的，自甲方做出认定之日起三年内，甲方可以拒绝乙方参与其政府采购活动。</w:t>
      </w:r>
    </w:p>
    <w:p w14:paraId="02EFF3AD">
      <w:pPr>
        <w:pStyle w:val="31"/>
        <w:keepNext w:val="0"/>
        <w:keepLines w:val="0"/>
        <w:pageBreakBefore w:val="0"/>
        <w:widowControl w:val="0"/>
        <w:kinsoku/>
        <w:wordWrap/>
        <w:overflowPunct/>
        <w:topLinePunct w:val="0"/>
        <w:autoSpaceDE/>
        <w:autoSpaceDN/>
        <w:bidi w:val="0"/>
        <w:adjustRightInd w:val="0"/>
        <w:snapToGrid/>
        <w:spacing w:before="0" w:after="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甲方有权对乙方提供的本合同相关文件（包含但不限于乙方投标（响应）文件内容等）的真实性进行审查，若经查实乙方存在提供虚假信息谋取中标（成交）情形的，参照《中华人民共和国政府采购法》第七十七条规定，甲方有权将相关情况上报财政部门，乙方将被列入不良行为记录名单，在一至三年内禁止参加政府采购活动。本合同终止，甲方无须承担任何法律责任，乙方应赔偿合同总价10%的违约金，用于补偿延误甲方项目工期带来的相应损失。</w:t>
      </w:r>
    </w:p>
    <w:p w14:paraId="2AE62FA2">
      <w:pPr>
        <w:pStyle w:val="31"/>
        <w:keepNext w:val="0"/>
        <w:keepLines w:val="0"/>
        <w:pageBreakBefore w:val="0"/>
        <w:widowControl w:val="0"/>
        <w:kinsoku/>
        <w:wordWrap/>
        <w:overflowPunct/>
        <w:topLinePunct w:val="0"/>
        <w:autoSpaceDE/>
        <w:autoSpaceDN/>
        <w:bidi w:val="0"/>
        <w:adjustRightInd w:val="0"/>
        <w:snapToGrid/>
        <w:spacing w:before="0" w:after="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乙方在合同履行期间存在“围猎”甲方工作人员行为的（指以获取不正当利益为目的，采取馈赠礼品礼金、邀请娱乐旅游消费、提供便利条件等非正常交往手段“围猎”相关税务人员及亲属），自甲方及甲方主管机关认定或通报之日起三年内，甲方可以拒绝乙方参与其政府采购活动。</w:t>
      </w:r>
    </w:p>
    <w:p w14:paraId="7D2B195A">
      <w:pPr>
        <w:pStyle w:val="31"/>
        <w:keepNext w:val="0"/>
        <w:keepLines w:val="0"/>
        <w:pageBreakBefore w:val="0"/>
        <w:widowControl w:val="0"/>
        <w:kinsoku/>
        <w:wordWrap/>
        <w:overflowPunct/>
        <w:topLinePunct w:val="0"/>
        <w:autoSpaceDE/>
        <w:autoSpaceDN/>
        <w:bidi w:val="0"/>
        <w:adjustRightInd w:val="0"/>
        <w:snapToGrid/>
        <w:spacing w:before="0" w:after="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10.不可抗力</w:t>
      </w:r>
    </w:p>
    <w:p w14:paraId="5CA7F92F">
      <w:pPr>
        <w:pStyle w:val="31"/>
        <w:keepNext w:val="0"/>
        <w:keepLines w:val="0"/>
        <w:pageBreakBefore w:val="0"/>
        <w:widowControl w:val="0"/>
        <w:kinsoku/>
        <w:wordWrap/>
        <w:overflowPunct/>
        <w:topLinePunct w:val="0"/>
        <w:autoSpaceDE/>
        <w:autoSpaceDN/>
        <w:bidi w:val="0"/>
        <w:adjustRightInd w:val="0"/>
        <w:snapToGrid/>
        <w:spacing w:before="0" w:after="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10.1　如果合同双方因不可抗力而导致合同实施延误或合同无法实施，不应该承担误期赔偿或不能履行合同义务的责任。</w:t>
      </w:r>
    </w:p>
    <w:p w14:paraId="3EA878C0">
      <w:pPr>
        <w:pStyle w:val="31"/>
        <w:keepNext w:val="0"/>
        <w:keepLines w:val="0"/>
        <w:pageBreakBefore w:val="0"/>
        <w:widowControl w:val="0"/>
        <w:kinsoku/>
        <w:wordWrap/>
        <w:overflowPunct/>
        <w:topLinePunct w:val="0"/>
        <w:autoSpaceDE/>
        <w:autoSpaceDN/>
        <w:bidi w:val="0"/>
        <w:adjustRightInd w:val="0"/>
        <w:snapToGrid/>
        <w:spacing w:before="0" w:after="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10.2　本条所述的“不可抗力”系指那些双方不可预见、不可避免、不可克服的客观情况，但不包括双方的违约或疏忽。这些事件包括但不限于：战争、严重火灾、洪水、台风、地震等。</w:t>
      </w:r>
    </w:p>
    <w:p w14:paraId="04EC37C0">
      <w:pPr>
        <w:pStyle w:val="31"/>
        <w:keepNext w:val="0"/>
        <w:keepLines w:val="0"/>
        <w:pageBreakBefore w:val="0"/>
        <w:widowControl w:val="0"/>
        <w:kinsoku/>
        <w:wordWrap/>
        <w:overflowPunct/>
        <w:topLinePunct w:val="0"/>
        <w:autoSpaceDE/>
        <w:autoSpaceDN/>
        <w:bidi w:val="0"/>
        <w:adjustRightInd w:val="0"/>
        <w:snapToGrid/>
        <w:spacing w:before="0" w:after="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10.3　在不可抗力事件发生后，当事方应及时将不可抗力情况通知合同对方，在不可抗力事件结束后3日内以书面形式将不可抗力的情况和原因通知合同对方，并提供相应的证明文件。合同各方应尽可能继续履行合同义务，并积极寻求采取合理的措施履行不受不可抗力影响的其他事项。合同各方应通过友好协商在合理的时间内达成进一步履行的协议。</w:t>
      </w:r>
    </w:p>
    <w:p w14:paraId="213AAB06">
      <w:pPr>
        <w:pStyle w:val="31"/>
        <w:keepNext w:val="0"/>
        <w:keepLines w:val="0"/>
        <w:pageBreakBefore w:val="0"/>
        <w:widowControl w:val="0"/>
        <w:kinsoku/>
        <w:wordWrap/>
        <w:overflowPunct/>
        <w:topLinePunct w:val="0"/>
        <w:autoSpaceDE/>
        <w:autoSpaceDN/>
        <w:bidi w:val="0"/>
        <w:adjustRightInd w:val="0"/>
        <w:snapToGrid/>
        <w:spacing w:before="0" w:after="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11.合同纠纷的解决方式</w:t>
      </w:r>
    </w:p>
    <w:p w14:paraId="608AEBA3">
      <w:pPr>
        <w:pStyle w:val="31"/>
        <w:keepNext w:val="0"/>
        <w:keepLines w:val="0"/>
        <w:pageBreakBefore w:val="0"/>
        <w:widowControl w:val="0"/>
        <w:kinsoku/>
        <w:wordWrap/>
        <w:overflowPunct/>
        <w:topLinePunct w:val="0"/>
        <w:autoSpaceDE/>
        <w:autoSpaceDN/>
        <w:bidi w:val="0"/>
        <w:adjustRightInd w:val="0"/>
        <w:snapToGrid/>
        <w:spacing w:before="0" w:after="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　合同各方应通过友好协商，解决在执行合同过程中所发生的或与合同有关的一切争端。如协商30日内不能解决，可以按合同规定的方式提起仲裁或诉讼。</w:t>
      </w:r>
    </w:p>
    <w:p w14:paraId="3EBDA37D">
      <w:pPr>
        <w:pStyle w:val="31"/>
        <w:keepNext w:val="0"/>
        <w:keepLines w:val="0"/>
        <w:pageBreakBefore w:val="0"/>
        <w:widowControl w:val="0"/>
        <w:kinsoku/>
        <w:wordWrap/>
        <w:overflowPunct/>
        <w:topLinePunct w:val="0"/>
        <w:autoSpaceDE/>
        <w:autoSpaceDN/>
        <w:bidi w:val="0"/>
        <w:adjustRightInd w:val="0"/>
        <w:snapToGrid/>
        <w:spacing w:before="0" w:after="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　仲裁裁决应为最终裁决，对双方均具有约束力。</w:t>
      </w:r>
    </w:p>
    <w:p w14:paraId="2D6AE443">
      <w:pPr>
        <w:pStyle w:val="31"/>
        <w:keepNext w:val="0"/>
        <w:keepLines w:val="0"/>
        <w:pageBreakBefore w:val="0"/>
        <w:widowControl w:val="0"/>
        <w:kinsoku/>
        <w:wordWrap/>
        <w:overflowPunct/>
        <w:topLinePunct w:val="0"/>
        <w:autoSpaceDE/>
        <w:autoSpaceDN/>
        <w:bidi w:val="0"/>
        <w:adjustRightInd w:val="0"/>
        <w:snapToGrid/>
        <w:spacing w:before="0" w:after="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11.3　仲裁费除仲裁机关另有裁决外应由败诉方负担。</w:t>
      </w:r>
    </w:p>
    <w:p w14:paraId="4661BE52">
      <w:pPr>
        <w:pStyle w:val="31"/>
        <w:keepNext w:val="0"/>
        <w:keepLines w:val="0"/>
        <w:pageBreakBefore w:val="0"/>
        <w:widowControl w:val="0"/>
        <w:kinsoku/>
        <w:wordWrap/>
        <w:overflowPunct/>
        <w:topLinePunct w:val="0"/>
        <w:autoSpaceDE/>
        <w:autoSpaceDN/>
        <w:bidi w:val="0"/>
        <w:adjustRightInd w:val="0"/>
        <w:snapToGrid/>
        <w:spacing w:before="0" w:after="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11.4　诉讼应由服务所在地人民法院管辖。诉讼费除人民法院另有判决外应由败诉方负担。</w:t>
      </w:r>
    </w:p>
    <w:p w14:paraId="639E58AA">
      <w:pPr>
        <w:pStyle w:val="31"/>
        <w:keepNext w:val="0"/>
        <w:keepLines w:val="0"/>
        <w:pageBreakBefore w:val="0"/>
        <w:widowControl w:val="0"/>
        <w:kinsoku/>
        <w:wordWrap/>
        <w:overflowPunct/>
        <w:topLinePunct w:val="0"/>
        <w:autoSpaceDE/>
        <w:autoSpaceDN/>
        <w:bidi w:val="0"/>
        <w:adjustRightInd w:val="0"/>
        <w:snapToGrid/>
        <w:spacing w:before="0" w:after="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11.5　如仲裁或诉讼事项不影响合同其他部分的履行，则在仲裁或诉讼期间，除正在进行仲裁或诉讼的部分外，合同的其他部分应继续执行。</w:t>
      </w:r>
    </w:p>
    <w:p w14:paraId="751E304F">
      <w:pPr>
        <w:pStyle w:val="31"/>
        <w:keepNext w:val="0"/>
        <w:keepLines w:val="0"/>
        <w:pageBreakBefore w:val="0"/>
        <w:widowControl w:val="0"/>
        <w:kinsoku/>
        <w:wordWrap/>
        <w:overflowPunct/>
        <w:topLinePunct w:val="0"/>
        <w:autoSpaceDE/>
        <w:autoSpaceDN/>
        <w:bidi w:val="0"/>
        <w:adjustRightInd w:val="0"/>
        <w:snapToGrid/>
        <w:spacing w:before="0" w:after="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12.合同修改或变更</w:t>
      </w:r>
    </w:p>
    <w:p w14:paraId="73D9F58B">
      <w:pPr>
        <w:pStyle w:val="31"/>
        <w:keepNext w:val="0"/>
        <w:keepLines w:val="0"/>
        <w:pageBreakBefore w:val="0"/>
        <w:widowControl w:val="0"/>
        <w:kinsoku/>
        <w:wordWrap/>
        <w:overflowPunct/>
        <w:topLinePunct w:val="0"/>
        <w:autoSpaceDE/>
        <w:autoSpaceDN/>
        <w:bidi w:val="0"/>
        <w:adjustRightInd w:val="0"/>
        <w:snapToGrid/>
        <w:spacing w:before="0" w:after="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12.1　如无重大变故，甲乙双方不得擅自变更合同。</w:t>
      </w:r>
    </w:p>
    <w:p w14:paraId="16966A99">
      <w:pPr>
        <w:pStyle w:val="31"/>
        <w:keepNext w:val="0"/>
        <w:keepLines w:val="0"/>
        <w:pageBreakBefore w:val="0"/>
        <w:widowControl w:val="0"/>
        <w:kinsoku/>
        <w:wordWrap/>
        <w:overflowPunct/>
        <w:topLinePunct w:val="0"/>
        <w:autoSpaceDE/>
        <w:autoSpaceDN/>
        <w:bidi w:val="0"/>
        <w:adjustRightInd w:val="0"/>
        <w:snapToGrid/>
        <w:spacing w:before="0" w:after="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12.2　如确需变更合同，甲乙双方应签署书面变更协议。变更协议为本合同不可分割的一部分。</w:t>
      </w:r>
    </w:p>
    <w:p w14:paraId="764FCF23">
      <w:pPr>
        <w:pStyle w:val="31"/>
        <w:keepNext w:val="0"/>
        <w:keepLines w:val="0"/>
        <w:pageBreakBefore w:val="0"/>
        <w:widowControl w:val="0"/>
        <w:kinsoku/>
        <w:wordWrap/>
        <w:overflowPunct/>
        <w:topLinePunct w:val="0"/>
        <w:autoSpaceDE/>
        <w:autoSpaceDN/>
        <w:bidi w:val="0"/>
        <w:adjustRightInd w:val="0"/>
        <w:snapToGrid/>
        <w:spacing w:before="0" w:after="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12.3　在不改变合同其他条款的前提下，甲方有权在合同价款10%的范围内追加与合同标的相同的货物或服务，并就此与乙方签订补充合同，乙方不得拒绝。</w:t>
      </w:r>
    </w:p>
    <w:p w14:paraId="547BE555">
      <w:pPr>
        <w:pStyle w:val="31"/>
        <w:keepNext w:val="0"/>
        <w:keepLines w:val="0"/>
        <w:pageBreakBefore w:val="0"/>
        <w:widowControl w:val="0"/>
        <w:kinsoku/>
        <w:wordWrap/>
        <w:overflowPunct/>
        <w:topLinePunct w:val="0"/>
        <w:autoSpaceDE/>
        <w:autoSpaceDN/>
        <w:bidi w:val="0"/>
        <w:adjustRightInd w:val="0"/>
        <w:snapToGrid/>
        <w:spacing w:before="0" w:after="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13.合同中止</w:t>
      </w:r>
    </w:p>
    <w:p w14:paraId="36C2738A">
      <w:pPr>
        <w:pStyle w:val="31"/>
        <w:keepNext w:val="0"/>
        <w:keepLines w:val="0"/>
        <w:pageBreakBefore w:val="0"/>
        <w:widowControl w:val="0"/>
        <w:kinsoku/>
        <w:wordWrap/>
        <w:overflowPunct/>
        <w:topLinePunct w:val="0"/>
        <w:autoSpaceDE/>
        <w:autoSpaceDN/>
        <w:bidi w:val="0"/>
        <w:adjustRightInd w:val="0"/>
        <w:snapToGrid/>
        <w:spacing w:before="0" w:after="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13.1合同在履行过程中，因采购计划调整，甲方可以要求中止履行，待计划确定后继续履行；合同履行过程中因供应商就采购过程或结果提起投诉的，甲方认为有必要或财政部责令中止的，应当中止合同的履行。</w:t>
      </w:r>
    </w:p>
    <w:p w14:paraId="2DD9A00E">
      <w:pPr>
        <w:pStyle w:val="31"/>
        <w:keepNext w:val="0"/>
        <w:keepLines w:val="0"/>
        <w:pageBreakBefore w:val="0"/>
        <w:widowControl w:val="0"/>
        <w:kinsoku/>
        <w:wordWrap/>
        <w:overflowPunct/>
        <w:topLinePunct w:val="0"/>
        <w:autoSpaceDE/>
        <w:autoSpaceDN/>
        <w:bidi w:val="0"/>
        <w:adjustRightInd w:val="0"/>
        <w:snapToGrid/>
        <w:spacing w:before="0" w:after="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14.违约终止合同</w:t>
      </w:r>
    </w:p>
    <w:p w14:paraId="528E684B">
      <w:pPr>
        <w:pStyle w:val="31"/>
        <w:keepNext w:val="0"/>
        <w:keepLines w:val="0"/>
        <w:pageBreakBefore w:val="0"/>
        <w:widowControl w:val="0"/>
        <w:kinsoku/>
        <w:wordWrap/>
        <w:overflowPunct/>
        <w:topLinePunct w:val="0"/>
        <w:autoSpaceDE/>
        <w:autoSpaceDN/>
        <w:bidi w:val="0"/>
        <w:adjustRightInd w:val="0"/>
        <w:snapToGrid/>
        <w:spacing w:before="0" w:after="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14.1　若出现如下情况，在甲方对乙方违约行为而采取的任何补救措施不受影响的情况下，甲方可向乙方发出书面通知书，提出终止部分或全部合同。</w:t>
      </w:r>
    </w:p>
    <w:p w14:paraId="41805272">
      <w:pPr>
        <w:pStyle w:val="31"/>
        <w:keepNext w:val="0"/>
        <w:keepLines w:val="0"/>
        <w:pageBreakBefore w:val="0"/>
        <w:widowControl w:val="0"/>
        <w:kinsoku/>
        <w:wordWrap/>
        <w:overflowPunct/>
        <w:topLinePunct w:val="0"/>
        <w:autoSpaceDE/>
        <w:autoSpaceDN/>
        <w:bidi w:val="0"/>
        <w:adjustRightInd w:val="0"/>
        <w:snapToGrid/>
        <w:spacing w:before="0" w:after="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14.1.1　如果乙方未能在合同规定的期限或甲方同意延长的期限内提供服务；</w:t>
      </w:r>
    </w:p>
    <w:p w14:paraId="047AD4B6">
      <w:pPr>
        <w:pStyle w:val="31"/>
        <w:keepNext w:val="0"/>
        <w:keepLines w:val="0"/>
        <w:pageBreakBefore w:val="0"/>
        <w:widowControl w:val="0"/>
        <w:kinsoku/>
        <w:wordWrap/>
        <w:overflowPunct/>
        <w:topLinePunct w:val="0"/>
        <w:autoSpaceDE/>
        <w:autoSpaceDN/>
        <w:bidi w:val="0"/>
        <w:adjustRightInd w:val="0"/>
        <w:snapToGrid/>
        <w:spacing w:before="0" w:after="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14.1.2　因乙方人员自身技术能力、经验不足等原因造成甲方硬件设备、应用系统发生重大紧急故障或应用系统数据丢失，带来重大影响和损失的；</w:t>
      </w:r>
    </w:p>
    <w:p w14:paraId="7405F9DF">
      <w:pPr>
        <w:pStyle w:val="31"/>
        <w:keepNext w:val="0"/>
        <w:keepLines w:val="0"/>
        <w:pageBreakBefore w:val="0"/>
        <w:widowControl w:val="0"/>
        <w:kinsoku/>
        <w:wordWrap/>
        <w:overflowPunct/>
        <w:topLinePunct w:val="0"/>
        <w:autoSpaceDE/>
        <w:autoSpaceDN/>
        <w:bidi w:val="0"/>
        <w:adjustRightInd w:val="0"/>
        <w:snapToGrid/>
        <w:spacing w:before="0" w:after="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14.1.3　乙方对甲方硬件设备、应用系统重大紧急故障没有及时响应，或不能在规定时间内解决处理故障，恢复系统正常运行的；</w:t>
      </w:r>
    </w:p>
    <w:p w14:paraId="6890605F">
      <w:pPr>
        <w:pStyle w:val="31"/>
        <w:keepNext w:val="0"/>
        <w:keepLines w:val="0"/>
        <w:pageBreakBefore w:val="0"/>
        <w:widowControl w:val="0"/>
        <w:kinsoku/>
        <w:wordWrap/>
        <w:overflowPunct/>
        <w:topLinePunct w:val="0"/>
        <w:autoSpaceDE/>
        <w:autoSpaceDN/>
        <w:bidi w:val="0"/>
        <w:adjustRightInd w:val="0"/>
        <w:snapToGrid/>
        <w:spacing w:before="0" w:after="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14.1.4　不能满足本项目技术需求的管理要求和规范，且经多次整改无明显改进的；</w:t>
      </w:r>
    </w:p>
    <w:p w14:paraId="0E855F3C">
      <w:pPr>
        <w:pStyle w:val="31"/>
        <w:keepNext w:val="0"/>
        <w:keepLines w:val="0"/>
        <w:pageBreakBefore w:val="0"/>
        <w:widowControl w:val="0"/>
        <w:kinsoku/>
        <w:wordWrap/>
        <w:overflowPunct/>
        <w:topLinePunct w:val="0"/>
        <w:autoSpaceDE/>
        <w:autoSpaceDN/>
        <w:bidi w:val="0"/>
        <w:adjustRightInd w:val="0"/>
        <w:snapToGrid/>
        <w:spacing w:before="0" w:after="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14.1.5　在合同规定的每个服务年度(12个自然月)内，在服务过程中，出现2次经甲乙双方确认的违规操作的。</w:t>
      </w:r>
    </w:p>
    <w:p w14:paraId="4DCC5AFC">
      <w:pPr>
        <w:pStyle w:val="31"/>
        <w:keepNext w:val="0"/>
        <w:keepLines w:val="0"/>
        <w:pageBreakBefore w:val="0"/>
        <w:widowControl w:val="0"/>
        <w:kinsoku/>
        <w:wordWrap/>
        <w:overflowPunct/>
        <w:topLinePunct w:val="0"/>
        <w:autoSpaceDE/>
        <w:autoSpaceDN/>
        <w:bidi w:val="0"/>
        <w:adjustRightInd w:val="0"/>
        <w:snapToGrid/>
        <w:spacing w:before="0" w:after="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14.2　如果甲方根据上述第14.1条的规定，终止了全部或部分合同，甲方可以适当的条件和方法购买乙方未能提供的服务，乙方应对甲方购买类似服务所超出的费用负责。同时，乙方应继续执行合同中未终止的部分。</w:t>
      </w:r>
    </w:p>
    <w:p w14:paraId="5FB28CFA">
      <w:pPr>
        <w:pStyle w:val="31"/>
        <w:keepNext w:val="0"/>
        <w:keepLines w:val="0"/>
        <w:pageBreakBefore w:val="0"/>
        <w:widowControl w:val="0"/>
        <w:kinsoku/>
        <w:wordWrap/>
        <w:overflowPunct/>
        <w:topLinePunct w:val="0"/>
        <w:autoSpaceDE/>
        <w:autoSpaceDN/>
        <w:bidi w:val="0"/>
        <w:adjustRightInd w:val="0"/>
        <w:snapToGrid/>
        <w:spacing w:before="0" w:after="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15.破产终止合同</w:t>
      </w:r>
    </w:p>
    <w:p w14:paraId="410AFF7C">
      <w:pPr>
        <w:pStyle w:val="31"/>
        <w:keepNext w:val="0"/>
        <w:keepLines w:val="0"/>
        <w:pageBreakBefore w:val="0"/>
        <w:widowControl w:val="0"/>
        <w:kinsoku/>
        <w:wordWrap/>
        <w:overflowPunct/>
        <w:topLinePunct w:val="0"/>
        <w:autoSpaceDE/>
        <w:autoSpaceDN/>
        <w:bidi w:val="0"/>
        <w:adjustRightInd w:val="0"/>
        <w:snapToGrid/>
        <w:spacing w:before="0" w:after="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15.1　如果乙方破产或无清偿能力，甲方可在任何时候以书面形式通知乙方终止合同而不给乙方补偿。</w:t>
      </w:r>
    </w:p>
    <w:p w14:paraId="3382B902">
      <w:pPr>
        <w:pStyle w:val="31"/>
        <w:keepNext w:val="0"/>
        <w:keepLines w:val="0"/>
        <w:pageBreakBefore w:val="0"/>
        <w:widowControl w:val="0"/>
        <w:kinsoku/>
        <w:wordWrap/>
        <w:overflowPunct/>
        <w:topLinePunct w:val="0"/>
        <w:autoSpaceDE/>
        <w:autoSpaceDN/>
        <w:bidi w:val="0"/>
        <w:adjustRightInd w:val="0"/>
        <w:snapToGrid/>
        <w:spacing w:before="0" w:after="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15.2　该终止协议将不损害或影响甲方已经采取或将要采取的任何行动或补救措施的权利。</w:t>
      </w:r>
    </w:p>
    <w:p w14:paraId="59469ED0">
      <w:pPr>
        <w:pStyle w:val="31"/>
        <w:keepNext w:val="0"/>
        <w:keepLines w:val="0"/>
        <w:pageBreakBefore w:val="0"/>
        <w:widowControl w:val="0"/>
        <w:kinsoku/>
        <w:wordWrap/>
        <w:overflowPunct/>
        <w:topLinePunct w:val="0"/>
        <w:autoSpaceDE/>
        <w:autoSpaceDN/>
        <w:bidi w:val="0"/>
        <w:adjustRightInd w:val="0"/>
        <w:snapToGrid/>
        <w:spacing w:before="0" w:after="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16.其他情况的终止合同</w:t>
      </w:r>
    </w:p>
    <w:p w14:paraId="523CA2EE">
      <w:pPr>
        <w:pStyle w:val="31"/>
        <w:keepNext w:val="0"/>
        <w:keepLines w:val="0"/>
        <w:pageBreakBefore w:val="0"/>
        <w:widowControl w:val="0"/>
        <w:kinsoku/>
        <w:wordWrap/>
        <w:overflowPunct/>
        <w:topLinePunct w:val="0"/>
        <w:autoSpaceDE/>
        <w:autoSpaceDN/>
        <w:bidi w:val="0"/>
        <w:adjustRightInd w:val="0"/>
        <w:snapToGrid/>
        <w:spacing w:before="0" w:after="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16.1　若合同继续履行将给甲方造成重大损失的，甲方可以终止合同而不给予乙方任何补偿。</w:t>
      </w:r>
    </w:p>
    <w:p w14:paraId="1378FA93">
      <w:pPr>
        <w:pStyle w:val="31"/>
        <w:keepNext w:val="0"/>
        <w:keepLines w:val="0"/>
        <w:pageBreakBefore w:val="0"/>
        <w:widowControl w:val="0"/>
        <w:kinsoku/>
        <w:wordWrap/>
        <w:overflowPunct/>
        <w:topLinePunct w:val="0"/>
        <w:autoSpaceDE/>
        <w:autoSpaceDN/>
        <w:bidi w:val="0"/>
        <w:adjustRightInd w:val="0"/>
        <w:snapToGrid/>
        <w:spacing w:before="0" w:after="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16.2　乙方在执行合同的过程中发生重大事故，对履行合同有直接影响的，甲方可以终止合同而不给予乙方任何补偿。</w:t>
      </w:r>
    </w:p>
    <w:p w14:paraId="70F73519">
      <w:pPr>
        <w:pStyle w:val="31"/>
        <w:keepNext w:val="0"/>
        <w:keepLines w:val="0"/>
        <w:pageBreakBefore w:val="0"/>
        <w:widowControl w:val="0"/>
        <w:kinsoku/>
        <w:wordWrap/>
        <w:overflowPunct/>
        <w:topLinePunct w:val="0"/>
        <w:autoSpaceDE/>
        <w:autoSpaceDN/>
        <w:bidi w:val="0"/>
        <w:adjustRightInd w:val="0"/>
        <w:snapToGrid/>
        <w:spacing w:before="0" w:after="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16.3　甲方因重大变故取消或部分取消原来的采购任务，导致合同全部或部分内容无须继续履行的，可以终止合同而不给予乙方任何补偿。</w:t>
      </w:r>
    </w:p>
    <w:p w14:paraId="13C5273F">
      <w:pPr>
        <w:pStyle w:val="31"/>
        <w:keepNext w:val="0"/>
        <w:keepLines w:val="0"/>
        <w:pageBreakBefore w:val="0"/>
        <w:widowControl w:val="0"/>
        <w:kinsoku/>
        <w:wordWrap/>
        <w:overflowPunct/>
        <w:topLinePunct w:val="0"/>
        <w:autoSpaceDE/>
        <w:autoSpaceDN/>
        <w:bidi w:val="0"/>
        <w:adjustRightInd w:val="0"/>
        <w:snapToGrid/>
        <w:spacing w:before="0" w:after="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17.合同转让和分包</w:t>
      </w:r>
    </w:p>
    <w:p w14:paraId="0C7C2807">
      <w:pPr>
        <w:pStyle w:val="31"/>
        <w:keepNext w:val="0"/>
        <w:keepLines w:val="0"/>
        <w:pageBreakBefore w:val="0"/>
        <w:widowControl w:val="0"/>
        <w:kinsoku/>
        <w:wordWrap/>
        <w:overflowPunct/>
        <w:topLinePunct w:val="0"/>
        <w:autoSpaceDE/>
        <w:autoSpaceDN/>
        <w:bidi w:val="0"/>
        <w:adjustRightInd w:val="0"/>
        <w:snapToGrid/>
        <w:spacing w:before="0" w:after="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17.1　乙方不得以任何形式将合同转包，或部分或全部转让其应履行的合同义务。</w:t>
      </w:r>
    </w:p>
    <w:p w14:paraId="5B4DA2EE">
      <w:pPr>
        <w:pStyle w:val="31"/>
        <w:keepNext w:val="0"/>
        <w:keepLines w:val="0"/>
        <w:pageBreakBefore w:val="0"/>
        <w:widowControl w:val="0"/>
        <w:kinsoku/>
        <w:wordWrap/>
        <w:overflowPunct/>
        <w:topLinePunct w:val="0"/>
        <w:autoSpaceDE/>
        <w:autoSpaceDN/>
        <w:bidi w:val="0"/>
        <w:adjustRightInd w:val="0"/>
        <w:snapToGrid/>
        <w:spacing w:before="0" w:after="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17.2　除经甲方事先书面同意外，乙方不得以任何形式将合同分包。</w:t>
      </w:r>
    </w:p>
    <w:p w14:paraId="73A23D65">
      <w:pPr>
        <w:pStyle w:val="31"/>
        <w:keepNext w:val="0"/>
        <w:keepLines w:val="0"/>
        <w:pageBreakBefore w:val="0"/>
        <w:widowControl w:val="0"/>
        <w:kinsoku/>
        <w:wordWrap/>
        <w:overflowPunct/>
        <w:topLinePunct w:val="0"/>
        <w:autoSpaceDE/>
        <w:autoSpaceDN/>
        <w:bidi w:val="0"/>
        <w:adjustRightInd w:val="0"/>
        <w:snapToGrid/>
        <w:spacing w:before="0" w:after="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18.适用法律</w:t>
      </w:r>
    </w:p>
    <w:p w14:paraId="7E497410">
      <w:pPr>
        <w:pStyle w:val="31"/>
        <w:keepNext w:val="0"/>
        <w:keepLines w:val="0"/>
        <w:pageBreakBefore w:val="0"/>
        <w:widowControl w:val="0"/>
        <w:kinsoku/>
        <w:wordWrap/>
        <w:overflowPunct/>
        <w:topLinePunct w:val="0"/>
        <w:autoSpaceDE/>
        <w:autoSpaceDN/>
        <w:bidi w:val="0"/>
        <w:adjustRightInd w:val="0"/>
        <w:snapToGrid/>
        <w:spacing w:before="0" w:after="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18.1　本合同适用中华人民共和国现行法律、行政法规和规章，如合同条款与法律、行政法规和规章不一致的，按照法律、行政法规和规章修改本合同。</w:t>
      </w:r>
    </w:p>
    <w:p w14:paraId="0E4A4833">
      <w:pPr>
        <w:pStyle w:val="31"/>
        <w:keepNext w:val="0"/>
        <w:keepLines w:val="0"/>
        <w:pageBreakBefore w:val="0"/>
        <w:widowControl w:val="0"/>
        <w:kinsoku/>
        <w:wordWrap/>
        <w:overflowPunct/>
        <w:topLinePunct w:val="0"/>
        <w:autoSpaceDE/>
        <w:autoSpaceDN/>
        <w:bidi w:val="0"/>
        <w:adjustRightInd w:val="0"/>
        <w:snapToGrid/>
        <w:spacing w:before="0" w:after="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19.合同语言</w:t>
      </w:r>
    </w:p>
    <w:p w14:paraId="4F35F0A1">
      <w:pPr>
        <w:pStyle w:val="31"/>
        <w:keepNext w:val="0"/>
        <w:keepLines w:val="0"/>
        <w:pageBreakBefore w:val="0"/>
        <w:widowControl w:val="0"/>
        <w:kinsoku/>
        <w:wordWrap/>
        <w:overflowPunct/>
        <w:topLinePunct w:val="0"/>
        <w:autoSpaceDE/>
        <w:autoSpaceDN/>
        <w:bidi w:val="0"/>
        <w:adjustRightInd w:val="0"/>
        <w:snapToGrid/>
        <w:spacing w:before="0" w:after="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19.1　本合同语言为中文。</w:t>
      </w:r>
    </w:p>
    <w:p w14:paraId="23E70786">
      <w:pPr>
        <w:pStyle w:val="31"/>
        <w:keepNext w:val="0"/>
        <w:keepLines w:val="0"/>
        <w:pageBreakBefore w:val="0"/>
        <w:widowControl w:val="0"/>
        <w:kinsoku/>
        <w:wordWrap/>
        <w:overflowPunct/>
        <w:topLinePunct w:val="0"/>
        <w:autoSpaceDE/>
        <w:autoSpaceDN/>
        <w:bidi w:val="0"/>
        <w:adjustRightInd w:val="0"/>
        <w:snapToGrid/>
        <w:spacing w:before="0" w:after="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19.2　双方交换的与合同有关的信件和其他文件应用合同语言书写。</w:t>
      </w:r>
    </w:p>
    <w:p w14:paraId="50EDDC8C">
      <w:pPr>
        <w:pStyle w:val="31"/>
        <w:keepNext w:val="0"/>
        <w:keepLines w:val="0"/>
        <w:pageBreakBefore w:val="0"/>
        <w:widowControl w:val="0"/>
        <w:kinsoku/>
        <w:wordWrap/>
        <w:overflowPunct/>
        <w:topLinePunct w:val="0"/>
        <w:autoSpaceDE/>
        <w:autoSpaceDN/>
        <w:bidi w:val="0"/>
        <w:adjustRightInd w:val="0"/>
        <w:snapToGrid/>
        <w:spacing w:before="0" w:after="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20.合同生效</w:t>
      </w:r>
    </w:p>
    <w:p w14:paraId="2D0BE61C">
      <w:pPr>
        <w:pStyle w:val="31"/>
        <w:keepNext w:val="0"/>
        <w:keepLines w:val="0"/>
        <w:pageBreakBefore w:val="0"/>
        <w:widowControl w:val="0"/>
        <w:kinsoku/>
        <w:wordWrap/>
        <w:overflowPunct/>
        <w:topLinePunct w:val="0"/>
        <w:autoSpaceDE/>
        <w:autoSpaceDN/>
        <w:bidi w:val="0"/>
        <w:adjustRightInd w:val="0"/>
        <w:snapToGrid/>
        <w:spacing w:before="0" w:after="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20.1　本合同应在双方签字盖章后生效。</w:t>
      </w:r>
    </w:p>
    <w:p w14:paraId="05C789B9">
      <w:pPr>
        <w:pStyle w:val="31"/>
        <w:keepNext w:val="0"/>
        <w:keepLines w:val="0"/>
        <w:pageBreakBefore w:val="0"/>
        <w:widowControl w:val="0"/>
        <w:kinsoku/>
        <w:wordWrap/>
        <w:overflowPunct/>
        <w:topLinePunct w:val="0"/>
        <w:autoSpaceDE/>
        <w:autoSpaceDN/>
        <w:bidi w:val="0"/>
        <w:adjustRightInd w:val="0"/>
        <w:snapToGrid/>
        <w:spacing w:before="0" w:after="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21.合同效力</w:t>
      </w:r>
    </w:p>
    <w:p w14:paraId="2C003F4F">
      <w:pPr>
        <w:pStyle w:val="31"/>
        <w:keepNext w:val="0"/>
        <w:keepLines w:val="0"/>
        <w:pageBreakBefore w:val="0"/>
        <w:widowControl w:val="0"/>
        <w:kinsoku/>
        <w:wordWrap/>
        <w:overflowPunct/>
        <w:topLinePunct w:val="0"/>
        <w:autoSpaceDE/>
        <w:autoSpaceDN/>
        <w:bidi w:val="0"/>
        <w:adjustRightInd w:val="0"/>
        <w:snapToGrid/>
        <w:spacing w:before="0" w:after="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21.1　除本合同和甲乙双方书面签署的补充协议外，其他任何形式的双方约定和往来函件均不具有合同效力，对本项目无约束。</w:t>
      </w:r>
    </w:p>
    <w:p w14:paraId="20525648">
      <w:pPr>
        <w:pStyle w:val="31"/>
        <w:keepNext w:val="0"/>
        <w:keepLines w:val="0"/>
        <w:pageBreakBefore w:val="0"/>
        <w:widowControl w:val="0"/>
        <w:kinsoku/>
        <w:wordWrap/>
        <w:overflowPunct/>
        <w:topLinePunct w:val="0"/>
        <w:autoSpaceDE/>
        <w:autoSpaceDN/>
        <w:bidi w:val="0"/>
        <w:adjustRightInd w:val="0"/>
        <w:snapToGrid/>
        <w:spacing w:before="0" w:after="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22.检查和审计</w:t>
      </w:r>
    </w:p>
    <w:p w14:paraId="56CA2ADD">
      <w:pPr>
        <w:pStyle w:val="31"/>
        <w:keepNext w:val="0"/>
        <w:keepLines w:val="0"/>
        <w:pageBreakBefore w:val="0"/>
        <w:widowControl w:val="0"/>
        <w:kinsoku/>
        <w:wordWrap/>
        <w:overflowPunct/>
        <w:topLinePunct w:val="0"/>
        <w:autoSpaceDE/>
        <w:autoSpaceDN/>
        <w:bidi w:val="0"/>
        <w:adjustRightInd w:val="0"/>
        <w:snapToGrid/>
        <w:spacing w:before="0" w:after="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22.1在本合同的履行过程中，甲方有权对乙方的合同履约情况进行阶段性检查，并对乙方投标时提供的相关资料进行复核。</w:t>
      </w:r>
    </w:p>
    <w:p w14:paraId="6DEFDC23">
      <w:pPr>
        <w:pStyle w:val="31"/>
        <w:keepNext w:val="0"/>
        <w:keepLines w:val="0"/>
        <w:pageBreakBefore w:val="0"/>
        <w:widowControl w:val="0"/>
        <w:kinsoku/>
        <w:wordWrap/>
        <w:overflowPunct/>
        <w:topLinePunct w:val="0"/>
        <w:autoSpaceDE/>
        <w:autoSpaceDN/>
        <w:bidi w:val="0"/>
        <w:adjustRightInd w:val="0"/>
        <w:snapToGrid/>
        <w:spacing w:before="0" w:after="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22.2　在本合同的履行过程中，如果甲乙双方发生争议或者乙方没有按照合同约定履行义务，乙方应允许甲方检查乙方与实施本合同有关的账户和记录，并由甲方指定的审计人员对其进行审计。</w:t>
      </w:r>
    </w:p>
    <w:p w14:paraId="7F9165E7">
      <w:pPr>
        <w:pStyle w:val="31"/>
        <w:keepNext w:val="0"/>
        <w:keepLines w:val="0"/>
        <w:pageBreakBefore w:val="0"/>
        <w:widowControl w:val="0"/>
        <w:kinsoku/>
        <w:wordWrap/>
        <w:overflowPunct/>
        <w:topLinePunct w:val="0"/>
        <w:autoSpaceDE/>
        <w:autoSpaceDN/>
        <w:bidi w:val="0"/>
        <w:adjustRightInd w:val="0"/>
        <w:snapToGrid/>
        <w:spacing w:before="0" w:after="0" w:line="360" w:lineRule="auto"/>
        <w:ind w:firstLine="480" w:firstLineChars="200"/>
        <w:textAlignment w:val="auto"/>
        <w:rPr>
          <w:rFonts w:hint="eastAsia" w:ascii="宋体" w:hAnsi="宋体" w:eastAsia="宋体" w:cs="宋体"/>
          <w:color w:val="auto"/>
          <w:sz w:val="24"/>
          <w:szCs w:val="24"/>
          <w:highlight w:val="none"/>
        </w:rPr>
      </w:pPr>
    </w:p>
    <w:p w14:paraId="4ED8F03D">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br w:type="page"/>
      </w:r>
    </w:p>
    <w:p w14:paraId="58E741C9">
      <w:pPr>
        <w:snapToGrid w:val="0"/>
        <w:spacing w:line="360" w:lineRule="auto"/>
        <w:jc w:val="center"/>
        <w:outlineLvl w:val="0"/>
        <w:rPr>
          <w:rFonts w:hint="eastAsia" w:ascii="宋体" w:hAnsi="宋体" w:eastAsia="宋体" w:cs="宋体"/>
          <w:b/>
          <w:color w:val="auto"/>
          <w:sz w:val="36"/>
          <w:szCs w:val="20"/>
          <w:highlight w:val="none"/>
        </w:rPr>
      </w:pPr>
      <w:bookmarkStart w:id="135" w:name="_Toc25023"/>
      <w:r>
        <w:rPr>
          <w:rFonts w:hint="eastAsia" w:ascii="宋体" w:hAnsi="宋体" w:eastAsia="宋体" w:cs="宋体"/>
          <w:b/>
          <w:color w:val="auto"/>
          <w:sz w:val="36"/>
          <w:szCs w:val="20"/>
          <w:highlight w:val="none"/>
        </w:rPr>
        <w:t>第七部分</w:t>
      </w:r>
      <w:bookmarkEnd w:id="133"/>
      <w:r>
        <w:rPr>
          <w:rFonts w:hint="eastAsia" w:ascii="宋体" w:hAnsi="宋体" w:eastAsia="宋体" w:cs="宋体"/>
          <w:b/>
          <w:color w:val="auto"/>
          <w:sz w:val="36"/>
          <w:szCs w:val="20"/>
          <w:highlight w:val="none"/>
        </w:rPr>
        <w:t xml:space="preserve">  </w:t>
      </w:r>
      <w:bookmarkEnd w:id="134"/>
      <w:r>
        <w:rPr>
          <w:rFonts w:hint="eastAsia" w:ascii="宋体" w:hAnsi="宋体" w:eastAsia="宋体" w:cs="宋体"/>
          <w:b/>
          <w:color w:val="auto"/>
          <w:sz w:val="36"/>
          <w:szCs w:val="20"/>
          <w:highlight w:val="none"/>
        </w:rPr>
        <w:t>应提交的有关格式范例</w:t>
      </w:r>
      <w:bookmarkEnd w:id="135"/>
    </w:p>
    <w:p w14:paraId="260FF86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供应商按照以下格式编制响应文件。</w:t>
      </w:r>
    </w:p>
    <w:p w14:paraId="3A8B1A62">
      <w:pPr>
        <w:spacing w:line="360" w:lineRule="auto"/>
        <w:ind w:firstLine="480" w:firstLineChars="200"/>
        <w:rPr>
          <w:rFonts w:hint="eastAsia" w:ascii="宋体" w:hAnsi="宋体" w:eastAsia="宋体" w:cs="宋体"/>
          <w:color w:val="auto"/>
          <w:sz w:val="24"/>
          <w:highlight w:val="none"/>
        </w:rPr>
      </w:pPr>
    </w:p>
    <w:p w14:paraId="30E7D80C">
      <w:pPr>
        <w:spacing w:line="360" w:lineRule="auto"/>
        <w:jc w:val="center"/>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目录</w:t>
      </w:r>
    </w:p>
    <w:p w14:paraId="7E0A4C3C">
      <w:pPr>
        <w:pStyle w:val="19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（1）响应函………………………………………………………………………（页码）</w:t>
      </w:r>
    </w:p>
    <w:p w14:paraId="675F47E1">
      <w:pPr>
        <w:pStyle w:val="19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（2）资格文件……………………………………………………………</w:t>
      </w:r>
      <w:r>
        <w:rPr>
          <w:rFonts w:hint="eastAsia" w:ascii="宋体" w:hAnsi="宋体" w:eastAsia="宋体" w:cs="宋体"/>
          <w:color w:val="auto"/>
          <w:highlight w:val="none"/>
          <w:lang w:val="zh-CN"/>
        </w:rPr>
        <w:t>…</w:t>
      </w:r>
      <w:r>
        <w:rPr>
          <w:rFonts w:hint="eastAsia" w:ascii="宋体" w:hAnsi="宋体" w:eastAsia="宋体" w:cs="宋体"/>
          <w:color w:val="auto"/>
          <w:highlight w:val="none"/>
        </w:rPr>
        <w:t>……（页码）</w:t>
      </w:r>
    </w:p>
    <w:p w14:paraId="6FFF90A1">
      <w:pPr>
        <w:pStyle w:val="19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（3）法人授权书</w:t>
      </w:r>
      <w:r>
        <w:rPr>
          <w:rFonts w:hint="eastAsia" w:ascii="宋体" w:hAnsi="宋体" w:eastAsia="宋体" w:cs="宋体"/>
          <w:color w:val="auto"/>
          <w:highlight w:val="none"/>
          <w:lang w:val="zh-CN"/>
        </w:rPr>
        <w:t>…………………………………………</w:t>
      </w:r>
      <w:r>
        <w:rPr>
          <w:rFonts w:hint="eastAsia" w:ascii="宋体" w:hAnsi="宋体" w:eastAsia="宋体" w:cs="宋体"/>
          <w:color w:val="auto"/>
          <w:highlight w:val="none"/>
        </w:rPr>
        <w:t>………</w:t>
      </w:r>
      <w:r>
        <w:rPr>
          <w:rFonts w:hint="eastAsia" w:ascii="宋体" w:hAnsi="宋体" w:eastAsia="宋体" w:cs="宋体"/>
          <w:color w:val="auto"/>
          <w:highlight w:val="none"/>
          <w:lang w:val="zh-CN"/>
        </w:rPr>
        <w:t>………………</w:t>
      </w:r>
      <w:r>
        <w:rPr>
          <w:rFonts w:hint="eastAsia" w:ascii="宋体" w:hAnsi="宋体" w:eastAsia="宋体" w:cs="宋体"/>
          <w:color w:val="auto"/>
          <w:highlight w:val="none"/>
        </w:rPr>
        <w:t>（页码）</w:t>
      </w:r>
    </w:p>
    <w:p w14:paraId="2F2DE563">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rPr>
        <w:t>（4）分包意向协议</w:t>
      </w:r>
      <w:r>
        <w:rPr>
          <w:rFonts w:hint="eastAsia" w:ascii="宋体" w:hAnsi="宋体" w:eastAsia="宋体" w:cs="宋体"/>
          <w:color w:val="auto"/>
          <w:highlight w:val="none"/>
        </w:rPr>
        <w:t>…………………………………………………………………………（页码）</w:t>
      </w:r>
    </w:p>
    <w:p w14:paraId="6DF95564">
      <w:pPr>
        <w:pStyle w:val="19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（5）所有资信文件（复印件）…………………………………………………（页码）</w:t>
      </w:r>
    </w:p>
    <w:p w14:paraId="0F73D46C">
      <w:pPr>
        <w:pStyle w:val="19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6</w:t>
      </w:r>
      <w:r>
        <w:rPr>
          <w:rFonts w:hint="eastAsia" w:ascii="宋体" w:hAnsi="宋体" w:eastAsia="宋体" w:cs="宋体"/>
          <w:color w:val="auto"/>
          <w:highlight w:val="none"/>
        </w:rPr>
        <w:t>）</w:t>
      </w:r>
      <w:r>
        <w:rPr>
          <w:rFonts w:hint="eastAsia" w:ascii="宋体" w:hAnsi="宋体" w:eastAsia="宋体" w:cs="宋体"/>
          <w:color w:val="auto"/>
          <w:highlight w:val="none"/>
          <w:lang w:val="zh-CN"/>
        </w:rPr>
        <w:t>关于对磋商文件中有关条款的拒绝声明……………</w:t>
      </w:r>
      <w:r>
        <w:rPr>
          <w:rFonts w:hint="eastAsia" w:ascii="宋体" w:hAnsi="宋体" w:eastAsia="宋体" w:cs="宋体"/>
          <w:color w:val="auto"/>
          <w:highlight w:val="none"/>
        </w:rPr>
        <w:t>………</w:t>
      </w:r>
      <w:r>
        <w:rPr>
          <w:rFonts w:hint="eastAsia" w:ascii="宋体" w:hAnsi="宋体" w:eastAsia="宋体" w:cs="宋体"/>
          <w:color w:val="auto"/>
          <w:highlight w:val="none"/>
          <w:lang w:val="zh-CN"/>
        </w:rPr>
        <w:t>……………</w:t>
      </w:r>
      <w:r>
        <w:rPr>
          <w:rFonts w:hint="eastAsia" w:ascii="宋体" w:hAnsi="宋体" w:eastAsia="宋体" w:cs="宋体"/>
          <w:color w:val="auto"/>
          <w:highlight w:val="none"/>
        </w:rPr>
        <w:t>（页码）</w:t>
      </w:r>
    </w:p>
    <w:p w14:paraId="0E3C8DA0">
      <w:pPr>
        <w:pStyle w:val="19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7</w:t>
      </w:r>
      <w:r>
        <w:rPr>
          <w:rFonts w:hint="eastAsia" w:ascii="宋体" w:hAnsi="宋体" w:eastAsia="宋体" w:cs="宋体"/>
          <w:color w:val="auto"/>
          <w:highlight w:val="none"/>
        </w:rPr>
        <w:t>）认为需要的其他商务文件或说明…………………………………………（页码）</w:t>
      </w:r>
    </w:p>
    <w:p w14:paraId="1BA3EAF7">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en-US" w:eastAsia="zh-CN"/>
        </w:rPr>
        <w:t>8</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针对本项目《第四部分  采购需求》和“第五部分  评审方法及评审标准  评审方法前附表”中的条款拟定完整方案，格式自拟；</w:t>
      </w:r>
      <w:r>
        <w:rPr>
          <w:rFonts w:hint="eastAsia" w:ascii="宋体" w:hAnsi="宋体" w:eastAsia="宋体" w:cs="宋体"/>
          <w:color w:val="auto"/>
          <w:kern w:val="0"/>
          <w:sz w:val="24"/>
          <w:highlight w:val="none"/>
        </w:rPr>
        <w:t>………………………………（页码）</w:t>
      </w:r>
    </w:p>
    <w:p w14:paraId="399D33DD">
      <w:pPr>
        <w:pStyle w:val="31"/>
        <w:spacing w:line="360" w:lineRule="auto"/>
        <w:ind w:firstLine="480" w:firstLineChars="200"/>
        <w:rPr>
          <w:rFonts w:hint="default" w:ascii="宋体" w:hAnsi="宋体" w:eastAsia="宋体" w:cs="宋体"/>
          <w:color w:val="auto"/>
          <w:sz w:val="24"/>
          <w:szCs w:val="24"/>
          <w:highlight w:val="none"/>
          <w:lang w:val="en-US" w:eastAsia="zh-CN"/>
        </w:rPr>
      </w:pP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en-US" w:eastAsia="zh-CN"/>
        </w:rPr>
        <w:t>9</w:t>
      </w:r>
      <w:r>
        <w:rPr>
          <w:rFonts w:hint="eastAsia" w:ascii="宋体" w:hAnsi="宋体" w:eastAsia="宋体" w:cs="宋体"/>
          <w:color w:val="auto"/>
          <w:kern w:val="0"/>
          <w:sz w:val="24"/>
          <w:highlight w:val="none"/>
        </w:rPr>
        <w:t>）</w:t>
      </w:r>
      <w:r>
        <w:rPr>
          <w:rFonts w:hint="eastAsia" w:ascii="宋体" w:hAnsi="宋体" w:eastAsia="宋体" w:cs="宋体"/>
          <w:color w:val="auto"/>
          <w:sz w:val="24"/>
          <w:highlight w:val="none"/>
          <w:lang w:val="zh-CN"/>
        </w:rPr>
        <w:t>针对本项目《第四部分  采购需求》和“第五部分  评审方法及评审标准  评审方法前附表”中</w:t>
      </w:r>
      <w:r>
        <w:rPr>
          <w:rFonts w:hint="eastAsia" w:ascii="宋体" w:hAnsi="宋体" w:eastAsia="宋体" w:cs="宋体"/>
          <w:color w:val="auto"/>
          <w:sz w:val="24"/>
          <w:highlight w:val="none"/>
          <w:lang w:val="en-US" w:eastAsia="zh-CN"/>
        </w:rPr>
        <w:t>需要提供的人员资质证书、工作经验证明材料、社保证明、认证证书和全国认证认可信息公共服务平台官网认证截图等</w:t>
      </w:r>
      <w:r>
        <w:rPr>
          <w:rFonts w:hint="eastAsia" w:hAnsi="宋体" w:cs="宋体"/>
          <w:color w:val="auto"/>
          <w:sz w:val="24"/>
          <w:szCs w:val="24"/>
          <w:highlight w:val="none"/>
          <w:lang w:val="en-US" w:eastAsia="zh-CN"/>
        </w:rPr>
        <w:t>（如有）；</w:t>
      </w:r>
    </w:p>
    <w:p w14:paraId="1747C4DD">
      <w:pPr>
        <w:spacing w:line="360" w:lineRule="auto"/>
        <w:ind w:firstLine="480"/>
        <w:jc w:val="center"/>
        <w:rPr>
          <w:rFonts w:hint="eastAsia" w:ascii="宋体" w:hAnsi="宋体" w:eastAsia="宋体" w:cs="宋体"/>
          <w:color w:val="auto"/>
          <w:kern w:val="0"/>
          <w:sz w:val="24"/>
          <w:highlight w:val="none"/>
        </w:rPr>
      </w:pP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lang w:val="en-US" w:eastAsia="zh-CN"/>
        </w:rPr>
        <w:t>10）</w:t>
      </w:r>
      <w:r>
        <w:rPr>
          <w:rFonts w:hint="eastAsia" w:ascii="宋体" w:hAnsi="宋体" w:eastAsia="宋体" w:cs="宋体"/>
          <w:color w:val="auto"/>
          <w:kern w:val="0"/>
          <w:sz w:val="24"/>
          <w:highlight w:val="none"/>
          <w:lang w:val="zh-CN"/>
        </w:rPr>
        <w:t>认为需要的其他技术文件或说明…………………</w:t>
      </w:r>
      <w:r>
        <w:rPr>
          <w:rFonts w:hint="eastAsia" w:ascii="宋体" w:hAnsi="宋体" w:eastAsia="宋体" w:cs="宋体"/>
          <w:color w:val="auto"/>
          <w:highlight w:val="none"/>
        </w:rPr>
        <w:t>…………</w:t>
      </w:r>
      <w:r>
        <w:rPr>
          <w:rFonts w:hint="eastAsia" w:ascii="宋体" w:hAnsi="宋体" w:eastAsia="宋体" w:cs="宋体"/>
          <w:color w:val="auto"/>
          <w:kern w:val="0"/>
          <w:sz w:val="24"/>
          <w:highlight w:val="none"/>
          <w:lang w:val="zh-CN"/>
        </w:rPr>
        <w:t>……………</w:t>
      </w:r>
      <w:r>
        <w:rPr>
          <w:rFonts w:hint="eastAsia" w:ascii="宋体" w:hAnsi="宋体" w:eastAsia="宋体" w:cs="宋体"/>
          <w:color w:val="auto"/>
          <w:kern w:val="0"/>
          <w:sz w:val="24"/>
          <w:highlight w:val="none"/>
        </w:rPr>
        <w:t>（页码）</w:t>
      </w:r>
    </w:p>
    <w:p w14:paraId="34E1BA39">
      <w:pPr>
        <w:tabs>
          <w:tab w:val="left" w:pos="0"/>
        </w:tabs>
        <w:autoSpaceDE w:val="0"/>
        <w:autoSpaceDN w:val="0"/>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r>
        <w:rPr>
          <w:rFonts w:hint="eastAsia" w:ascii="宋体" w:hAnsi="宋体" w:cs="宋体"/>
          <w:color w:val="auto"/>
          <w:kern w:val="0"/>
          <w:sz w:val="24"/>
          <w:highlight w:val="none"/>
          <w:lang w:val="en-US" w:eastAsia="zh-CN"/>
        </w:rPr>
        <w:t>1</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政府采购供应商廉洁自律承诺书………………………………………</w:t>
      </w:r>
      <w:r>
        <w:rPr>
          <w:rFonts w:hint="eastAsia" w:ascii="宋体" w:hAnsi="宋体" w:eastAsia="宋体" w:cs="宋体"/>
          <w:color w:val="auto"/>
          <w:kern w:val="0"/>
          <w:sz w:val="24"/>
          <w:highlight w:val="none"/>
        </w:rPr>
        <w:t>（页码）</w:t>
      </w:r>
    </w:p>
    <w:p w14:paraId="490EF03D">
      <w:pPr>
        <w:pStyle w:val="22"/>
        <w:ind w:firstLine="480" w:firstLineChars="200"/>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（1</w:t>
      </w:r>
      <w:r>
        <w:rPr>
          <w:rFonts w:hint="eastAsia" w:hAnsi="宋体" w:cs="宋体"/>
          <w:color w:val="auto"/>
          <w:highlight w:val="none"/>
          <w:lang w:val="en-US" w:eastAsia="zh-CN"/>
        </w:rPr>
        <w:t>2</w:t>
      </w:r>
      <w:r>
        <w:rPr>
          <w:rFonts w:hint="eastAsia" w:ascii="宋体" w:hAnsi="宋体" w:eastAsia="宋体" w:cs="宋体"/>
          <w:color w:val="auto"/>
          <w:highlight w:val="none"/>
          <w:lang w:val="zh-CN"/>
        </w:rPr>
        <w:t>）</w:t>
      </w:r>
      <w:r>
        <w:rPr>
          <w:rFonts w:hint="eastAsia" w:ascii="宋体" w:hAnsi="宋体" w:eastAsia="宋体" w:cs="宋体"/>
          <w:color w:val="auto"/>
          <w:highlight w:val="none"/>
          <w:lang w:val="en-US" w:eastAsia="zh-CN"/>
        </w:rPr>
        <w:t>报价文件</w:t>
      </w:r>
      <w:r>
        <w:rPr>
          <w:rFonts w:hint="eastAsia" w:ascii="宋体" w:hAnsi="宋体" w:eastAsia="宋体" w:cs="宋体"/>
          <w:color w:val="auto"/>
          <w:highlight w:val="none"/>
          <w:lang w:val="zh-CN"/>
        </w:rPr>
        <w:t>…………………………………………………………………（页码）</w:t>
      </w:r>
    </w:p>
    <w:p w14:paraId="0B80B9D6">
      <w:pPr>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注：以上目录是编制供应商响应文件的基本格式要求，各供应商可根据自身情况进一步细化。</w:t>
      </w:r>
    </w:p>
    <w:p w14:paraId="4541ADC8">
      <w:pPr>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color w:val="auto"/>
          <w:sz w:val="36"/>
          <w:szCs w:val="36"/>
          <w:highlight w:val="none"/>
        </w:rPr>
        <w:br w:type="page"/>
      </w:r>
      <w:r>
        <w:rPr>
          <w:rFonts w:hint="eastAsia" w:ascii="宋体" w:hAnsi="宋体" w:eastAsia="宋体" w:cs="宋体"/>
          <w:b/>
          <w:color w:val="auto"/>
          <w:kern w:val="0"/>
          <w:sz w:val="32"/>
          <w:szCs w:val="32"/>
          <w:highlight w:val="none"/>
        </w:rPr>
        <w:t>一、响应</w:t>
      </w:r>
      <w:r>
        <w:rPr>
          <w:rFonts w:hint="eastAsia" w:ascii="宋体" w:hAnsi="宋体" w:eastAsia="宋体" w:cs="宋体"/>
          <w:b/>
          <w:color w:val="auto"/>
          <w:sz w:val="32"/>
          <w:szCs w:val="32"/>
          <w:highlight w:val="none"/>
        </w:rPr>
        <w:t>函</w:t>
      </w:r>
    </w:p>
    <w:p w14:paraId="349DA3B4">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宁波市数据局</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宁波中基国际招标有限公司</w:t>
      </w:r>
      <w:r>
        <w:rPr>
          <w:rFonts w:hint="eastAsia" w:ascii="宋体" w:hAnsi="宋体" w:eastAsia="宋体" w:cs="宋体"/>
          <w:color w:val="auto"/>
          <w:sz w:val="24"/>
          <w:highlight w:val="none"/>
        </w:rPr>
        <w:t>：</w:t>
      </w:r>
    </w:p>
    <w:p w14:paraId="25A93720">
      <w:pPr>
        <w:spacing w:line="360" w:lineRule="auto"/>
        <w:rPr>
          <w:rFonts w:hint="eastAsia" w:ascii="宋体" w:hAnsi="宋体" w:eastAsia="宋体" w:cs="宋体"/>
          <w:color w:val="auto"/>
          <w:sz w:val="24"/>
          <w:highlight w:val="none"/>
        </w:rPr>
      </w:pP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sz w:val="24"/>
          <w:highlight w:val="none"/>
        </w:rPr>
        <w:t>(供应商全称)授权</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sz w:val="24"/>
          <w:highlight w:val="none"/>
        </w:rPr>
        <w:t>(全权代表姓名)</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sz w:val="24"/>
          <w:highlight w:val="none"/>
        </w:rPr>
        <w:t>(职务、职称)为全权代表，参加贵方组织的</w:t>
      </w:r>
      <w:r>
        <w:rPr>
          <w:rFonts w:hint="eastAsia" w:ascii="宋体" w:hAnsi="宋体" w:cs="宋体"/>
          <w:color w:val="auto"/>
          <w:sz w:val="24"/>
          <w:highlight w:val="none"/>
          <w:lang w:eastAsia="zh-CN"/>
        </w:rPr>
        <w:t>2025年市公共数据平台运维服务</w:t>
      </w:r>
      <w:r>
        <w:rPr>
          <w:rFonts w:hint="eastAsia" w:ascii="宋体" w:hAnsi="宋体" w:eastAsia="宋体" w:cs="宋体"/>
          <w:color w:val="auto"/>
          <w:sz w:val="24"/>
          <w:highlight w:val="none"/>
        </w:rPr>
        <w:t>【项目编号：</w:t>
      </w:r>
      <w:r>
        <w:rPr>
          <w:rFonts w:hint="eastAsia" w:ascii="宋体" w:hAnsi="宋体" w:eastAsia="宋体" w:cs="宋体"/>
          <w:color w:val="auto"/>
          <w:sz w:val="24"/>
          <w:highlight w:val="none"/>
          <w:lang w:eastAsia="zh-CN"/>
        </w:rPr>
        <w:t>CBNB-20252271G</w:t>
      </w:r>
      <w:r>
        <w:rPr>
          <w:rFonts w:hint="eastAsia" w:ascii="宋体" w:hAnsi="宋体" w:eastAsia="宋体" w:cs="宋体"/>
          <w:color w:val="auto"/>
          <w:sz w:val="24"/>
          <w:highlight w:val="none"/>
        </w:rPr>
        <w:t>】的有关活动，并对此项目进行响应。为此：</w:t>
      </w:r>
    </w:p>
    <w:p w14:paraId="7151F4F7">
      <w:pPr>
        <w:pStyle w:val="111"/>
        <w:numPr>
          <w:ilvl w:val="0"/>
          <w:numId w:val="10"/>
        </w:numPr>
        <w:snapToGrid w:val="0"/>
        <w:ind w:firstLineChars="0"/>
        <w:rPr>
          <w:rFonts w:hint="eastAsia" w:ascii="宋体" w:hAnsi="宋体" w:eastAsia="宋体" w:cs="宋体"/>
          <w:color w:val="auto"/>
          <w:highlight w:val="none"/>
        </w:rPr>
      </w:pPr>
      <w:r>
        <w:rPr>
          <w:rFonts w:hint="eastAsia" w:ascii="宋体" w:hAnsi="宋体" w:eastAsia="宋体" w:cs="宋体"/>
          <w:color w:val="auto"/>
          <w:highlight w:val="none"/>
        </w:rPr>
        <w:t>我方承诺响应有效期从提交响应文件的截止之日起</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天，（不少于90天），本响应文件在响应有效期满之前均具有约束力。</w:t>
      </w:r>
    </w:p>
    <w:p w14:paraId="538EE147">
      <w:pPr>
        <w:numPr>
          <w:ilvl w:val="0"/>
          <w:numId w:val="10"/>
        </w:numPr>
        <w:adjustRightInd/>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提供</w:t>
      </w:r>
      <w:r>
        <w:rPr>
          <w:rFonts w:hint="eastAsia" w:ascii="宋体" w:hAnsi="宋体" w:eastAsia="宋体" w:cs="宋体"/>
          <w:bCs/>
          <w:color w:val="auto"/>
          <w:kern w:val="44"/>
          <w:sz w:val="24"/>
          <w:highlight w:val="none"/>
        </w:rPr>
        <w:t>磋商文件中</w:t>
      </w:r>
      <w:r>
        <w:rPr>
          <w:rFonts w:hint="eastAsia" w:ascii="宋体" w:hAnsi="宋体" w:eastAsia="宋体" w:cs="宋体"/>
          <w:color w:val="auto"/>
          <w:sz w:val="24"/>
          <w:highlight w:val="none"/>
        </w:rPr>
        <w:t>规定的全部响应文件。</w:t>
      </w:r>
    </w:p>
    <w:p w14:paraId="79F08F38">
      <w:pPr>
        <w:numPr>
          <w:ilvl w:val="0"/>
          <w:numId w:val="10"/>
        </w:numPr>
        <w:adjustRightInd/>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我方承诺除响应文件列出的偏离外，我方响应磋商文件的全部要求。</w:t>
      </w:r>
    </w:p>
    <w:p w14:paraId="004F356F">
      <w:pPr>
        <w:numPr>
          <w:ilvl w:val="0"/>
          <w:numId w:val="10"/>
        </w:numPr>
        <w:adjustRightInd/>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保证遵守磋商文件中的其他有关规定。</w:t>
      </w:r>
    </w:p>
    <w:p w14:paraId="2C815883">
      <w:pPr>
        <w:numPr>
          <w:ilvl w:val="0"/>
          <w:numId w:val="10"/>
        </w:numPr>
        <w:adjustRightInd/>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我方愿意向贵方提供任何与该项目响应有关的数据、情况和技术资料。若贵方需要，我方愿意提供我方作出的一切承诺的证明材料。</w:t>
      </w:r>
    </w:p>
    <w:p w14:paraId="440A4ADF">
      <w:pPr>
        <w:numPr>
          <w:ilvl w:val="0"/>
          <w:numId w:val="10"/>
        </w:numPr>
        <w:adjustRightInd/>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我方已详细阅读全部磋商文件，包括磋商文件“更正（延期）公告”（如果有）、参考资料及有关附件，确认无误。</w:t>
      </w:r>
    </w:p>
    <w:p w14:paraId="7E13EDD9">
      <w:pPr>
        <w:numPr>
          <w:ilvl w:val="0"/>
          <w:numId w:val="10"/>
        </w:numPr>
        <w:adjustRightInd/>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如我方成交，我方承诺：</w:t>
      </w:r>
    </w:p>
    <w:p w14:paraId="0372F562">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rPr>
        <w:t xml:space="preserve">.1在收到成交通知书后，在成交通知书规定的期限内与你方签订合同； </w:t>
      </w:r>
    </w:p>
    <w:p w14:paraId="5FA49BD8">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rPr>
        <w:t xml:space="preserve">.2在签订合同时不向你方提出附加条件； </w:t>
      </w:r>
    </w:p>
    <w:p w14:paraId="7E5CDA8B">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rPr>
        <w:t xml:space="preserve">.3按照磋商文件要求提交履约保证金； </w:t>
      </w:r>
    </w:p>
    <w:p w14:paraId="36D76F9E">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rPr>
        <w:t xml:space="preserve">.4在合同约定的期限内完成合同规定的全部义务。 </w:t>
      </w:r>
    </w:p>
    <w:p w14:paraId="4F1BBE23">
      <w:pPr>
        <w:numPr>
          <w:ilvl w:val="0"/>
          <w:numId w:val="10"/>
        </w:numPr>
        <w:adjustRightInd/>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其他补充说明: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146F1DE0">
      <w:pPr>
        <w:autoSpaceDE w:val="0"/>
        <w:autoSpaceDN w:val="0"/>
        <w:spacing w:line="360" w:lineRule="auto"/>
        <w:ind w:firstLine="3960" w:firstLineChars="1650"/>
        <w:rPr>
          <w:rFonts w:hint="eastAsia" w:ascii="宋体" w:hAnsi="宋体" w:eastAsia="宋体" w:cs="宋体"/>
          <w:color w:val="auto"/>
          <w:kern w:val="0"/>
          <w:sz w:val="24"/>
          <w:highlight w:val="none"/>
          <w:lang w:val="zh-CN"/>
        </w:rPr>
      </w:pPr>
    </w:p>
    <w:p w14:paraId="12CB97CF">
      <w:pPr>
        <w:spacing w:line="360" w:lineRule="auto"/>
        <w:ind w:firstLine="3600" w:firstLineChars="15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供应商名称（电子签名）：                          </w:t>
      </w:r>
    </w:p>
    <w:p w14:paraId="1F6F15E5">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日期：  年   月   日</w:t>
      </w:r>
    </w:p>
    <w:p w14:paraId="65E4E6BF">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5C21B0CC">
      <w:pPr>
        <w:autoSpaceDE w:val="0"/>
        <w:autoSpaceDN w:val="0"/>
        <w:spacing w:line="360" w:lineRule="auto"/>
        <w:rPr>
          <w:rFonts w:hint="eastAsia" w:ascii="宋体" w:hAnsi="宋体" w:eastAsia="宋体" w:cs="宋体"/>
          <w:color w:val="auto"/>
          <w:kern w:val="0"/>
          <w:sz w:val="24"/>
          <w:highlight w:val="none"/>
        </w:rPr>
      </w:pPr>
    </w:p>
    <w:p w14:paraId="76102207">
      <w:pPr>
        <w:pStyle w:val="121"/>
        <w:keepNext w:val="0"/>
        <w:pageBreakBefore w:val="0"/>
        <w:tabs>
          <w:tab w:val="clear" w:pos="720"/>
        </w:tabs>
        <w:jc w:val="both"/>
        <w:outlineLvl w:val="9"/>
        <w:rPr>
          <w:rFonts w:hint="eastAsia" w:ascii="宋体" w:hAnsi="宋体" w:eastAsia="宋体" w:cs="宋体"/>
          <w:color w:val="auto"/>
          <w:sz w:val="24"/>
          <w:szCs w:val="24"/>
          <w:highlight w:val="none"/>
        </w:rPr>
      </w:pPr>
    </w:p>
    <w:p w14:paraId="0BD87A5B">
      <w:pPr>
        <w:spacing w:line="360" w:lineRule="auto"/>
        <w:rPr>
          <w:rFonts w:hint="eastAsia" w:ascii="宋体" w:hAnsi="宋体" w:eastAsia="宋体" w:cs="宋体"/>
          <w:color w:val="auto"/>
          <w:sz w:val="24"/>
          <w:highlight w:val="none"/>
        </w:rPr>
      </w:pPr>
    </w:p>
    <w:p w14:paraId="713A0294">
      <w:pPr>
        <w:spacing w:line="360" w:lineRule="auto"/>
        <w:rPr>
          <w:rFonts w:hint="eastAsia" w:ascii="宋体" w:hAnsi="宋体" w:eastAsia="宋体" w:cs="宋体"/>
          <w:color w:val="auto"/>
          <w:sz w:val="18"/>
          <w:szCs w:val="18"/>
          <w:highlight w:val="none"/>
        </w:rPr>
      </w:pPr>
    </w:p>
    <w:p w14:paraId="28400462">
      <w:pPr>
        <w:spacing w:line="360" w:lineRule="auto"/>
        <w:rPr>
          <w:rFonts w:hint="eastAsia" w:ascii="宋体" w:hAnsi="宋体" w:eastAsia="宋体" w:cs="宋体"/>
          <w:color w:val="auto"/>
          <w:sz w:val="18"/>
          <w:szCs w:val="18"/>
          <w:highlight w:val="none"/>
        </w:rPr>
      </w:pPr>
    </w:p>
    <w:p w14:paraId="72DF0C77">
      <w:pPr>
        <w:widowControl/>
        <w:adjustRightInd/>
        <w:jc w:val="left"/>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00D8C70C">
      <w:pPr>
        <w:widowControl/>
        <w:tabs>
          <w:tab w:val="left" w:pos="1200"/>
        </w:tabs>
        <w:adjustRightInd/>
        <w:ind w:left="840"/>
        <w:jc w:val="center"/>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lang w:val="zh-CN"/>
        </w:rPr>
        <w:t>二、资格文件</w:t>
      </w:r>
    </w:p>
    <w:p w14:paraId="3B1544DF">
      <w:pPr>
        <w:pStyle w:val="111"/>
        <w:widowControl/>
        <w:tabs>
          <w:tab w:val="left" w:pos="1200"/>
          <w:tab w:val="left" w:pos="1560"/>
        </w:tabs>
        <w:adjustRightInd/>
        <w:ind w:left="1560" w:firstLine="0" w:firstLineChars="0"/>
        <w:jc w:val="left"/>
        <w:rPr>
          <w:rFonts w:hint="eastAsia" w:ascii="宋体" w:hAnsi="宋体" w:eastAsia="宋体" w:cs="宋体"/>
          <w:b/>
          <w:color w:val="auto"/>
          <w:sz w:val="30"/>
          <w:szCs w:val="30"/>
          <w:highlight w:val="none"/>
        </w:rPr>
      </w:pPr>
    </w:p>
    <w:p w14:paraId="551D3C19">
      <w:pPr>
        <w:snapToGrid w:val="0"/>
        <w:spacing w:line="360" w:lineRule="auto"/>
        <w:ind w:right="48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A、符合参加政府采购活动应当具备的一般条件的承诺函</w:t>
      </w:r>
    </w:p>
    <w:p w14:paraId="3EA3BE9C">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宁波市数据局</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宁波中基国际招标有限公司</w:t>
      </w:r>
      <w:r>
        <w:rPr>
          <w:rFonts w:hint="eastAsia" w:ascii="宋体" w:hAnsi="宋体" w:eastAsia="宋体" w:cs="宋体"/>
          <w:color w:val="auto"/>
          <w:sz w:val="24"/>
          <w:highlight w:val="none"/>
        </w:rPr>
        <w:t>：</w:t>
      </w:r>
    </w:p>
    <w:p w14:paraId="3F708D79">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我方参与</w:t>
      </w:r>
      <w:r>
        <w:rPr>
          <w:rFonts w:hint="eastAsia" w:ascii="宋体" w:hAnsi="宋体" w:cs="宋体"/>
          <w:color w:val="auto"/>
          <w:sz w:val="24"/>
          <w:highlight w:val="none"/>
          <w:lang w:eastAsia="zh-CN"/>
        </w:rPr>
        <w:t>2025年市公共数据平台运维服务</w:t>
      </w:r>
      <w:r>
        <w:rPr>
          <w:rFonts w:hint="eastAsia" w:ascii="宋体" w:hAnsi="宋体" w:eastAsia="宋体" w:cs="宋体"/>
          <w:color w:val="auto"/>
          <w:kern w:val="0"/>
          <w:sz w:val="24"/>
          <w:highlight w:val="none"/>
          <w:lang w:val="zh-CN"/>
        </w:rPr>
        <w:t>【项目编号：CBNB-20252271G】</w:t>
      </w:r>
      <w:r>
        <w:rPr>
          <w:rFonts w:hint="eastAsia" w:ascii="宋体" w:hAnsi="宋体" w:eastAsia="宋体" w:cs="宋体"/>
          <w:color w:val="auto"/>
          <w:sz w:val="24"/>
          <w:highlight w:val="none"/>
        </w:rPr>
        <w:t>政府采购活动，郑重承诺：</w:t>
      </w:r>
    </w:p>
    <w:p w14:paraId="576E4035">
      <w:pPr>
        <w:snapToGrid w:val="0"/>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（一）具备《中华人民共和国政府采购法》第二十二条第一款规定的条件：</w:t>
      </w:r>
    </w:p>
    <w:p w14:paraId="360BC709">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1、具有独立承担民事责任的能力；</w:t>
      </w:r>
    </w:p>
    <w:p w14:paraId="490094A1">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2、具有良好的商业信誉和健全的财务会计制度； </w:t>
      </w:r>
    </w:p>
    <w:p w14:paraId="600CFD81">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3、具有履行合同所必需的设备和专业技术能力；</w:t>
      </w:r>
    </w:p>
    <w:p w14:paraId="59C050BC">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4、有依法缴纳税收和社会保障资金的良好记录；</w:t>
      </w:r>
    </w:p>
    <w:p w14:paraId="315B32B7">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5、参加政府采购活动前三年内，在经营活动中没有重大违法记录；</w:t>
      </w:r>
    </w:p>
    <w:p w14:paraId="2A89E973">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6、具有法律、行政法规规定的其他条件。</w:t>
      </w:r>
    </w:p>
    <w:p w14:paraId="215E10FF">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（二）未被信用中国（www.creditchina.gov.cn)、中国政府采购网（www.ccgp.gov.cn）列入失信被执行人、</w:t>
      </w:r>
      <w:r>
        <w:rPr>
          <w:rFonts w:hint="eastAsia" w:ascii="宋体" w:hAnsi="宋体" w:eastAsia="宋体" w:cs="宋体"/>
          <w:color w:val="auto"/>
          <w:sz w:val="24"/>
          <w:highlight w:val="none"/>
          <w:lang w:val="en-US" w:eastAsia="zh-CN"/>
        </w:rPr>
        <w:t>重大税收违法失信主体</w:t>
      </w:r>
      <w:r>
        <w:rPr>
          <w:rFonts w:hint="eastAsia" w:ascii="宋体" w:hAnsi="宋体" w:eastAsia="宋体" w:cs="宋体"/>
          <w:color w:val="auto"/>
          <w:sz w:val="24"/>
          <w:highlight w:val="none"/>
        </w:rPr>
        <w:t>、政府采购严重违法失信行为记录名单。</w:t>
      </w:r>
    </w:p>
    <w:p w14:paraId="762CBBFC">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（三）不存在以下情况：</w:t>
      </w:r>
    </w:p>
    <w:p w14:paraId="1C6ED530">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1、单位负责人为同一人或者存在直接控股、管理关系的不同供应商参加同一合同项下的政府采购活动的；</w:t>
      </w:r>
    </w:p>
    <w:p w14:paraId="74F436AF">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2、为采购项目提供整体设计、规范编制或者项目管理、监理、检测等服务后再参加该采购项目的其他采购活动的。</w:t>
      </w:r>
    </w:p>
    <w:p w14:paraId="585359A6">
      <w:pPr>
        <w:snapToGrid w:val="0"/>
        <w:spacing w:line="360" w:lineRule="auto"/>
        <w:ind w:firstLine="5520" w:firstLineChars="23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供应商名称(电子签名)：</w:t>
      </w:r>
    </w:p>
    <w:p w14:paraId="63DA2E83">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 xml:space="preserve">                        </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282868A2">
      <w:pPr>
        <w:snapToGrid w:val="0"/>
        <w:spacing w:line="360" w:lineRule="auto"/>
        <w:ind w:right="480"/>
        <w:jc w:val="center"/>
        <w:rPr>
          <w:rFonts w:hint="eastAsia" w:ascii="宋体" w:hAnsi="宋体" w:eastAsia="宋体" w:cs="宋体"/>
          <w:b/>
          <w:color w:val="auto"/>
          <w:kern w:val="0"/>
          <w:sz w:val="32"/>
          <w:szCs w:val="32"/>
          <w:highlight w:val="none"/>
        </w:rPr>
      </w:pPr>
    </w:p>
    <w:p w14:paraId="4CA1F0AE">
      <w:pPr>
        <w:widowControl/>
        <w:adjustRightInd/>
        <w:jc w:val="left"/>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br w:type="page"/>
      </w:r>
    </w:p>
    <w:p w14:paraId="76F1A99A">
      <w:pPr>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B、联合协议（如果有）</w:t>
      </w:r>
    </w:p>
    <w:p w14:paraId="7EA97BAC">
      <w:pPr>
        <w:widowControl/>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（以联合体形式响应的，提供联合协议；本项目不接受联合体响应或者供应商不以联合体形式响应的，则不需要提供）</w:t>
      </w:r>
    </w:p>
    <w:p w14:paraId="718F6FCF">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（联合体所有成员名称）</w:t>
      </w:r>
      <w:r>
        <w:rPr>
          <w:rFonts w:hint="eastAsia" w:ascii="宋体" w:hAnsi="宋体" w:eastAsia="宋体" w:cs="宋体"/>
          <w:color w:val="auto"/>
          <w:kern w:val="0"/>
          <w:sz w:val="24"/>
          <w:highlight w:val="none"/>
        </w:rPr>
        <w:t>自愿</w:t>
      </w:r>
      <w:r>
        <w:rPr>
          <w:rFonts w:hint="eastAsia" w:ascii="宋体" w:hAnsi="宋体" w:eastAsia="宋体" w:cs="宋体"/>
          <w:color w:val="auto"/>
          <w:kern w:val="0"/>
          <w:sz w:val="24"/>
          <w:highlight w:val="none"/>
          <w:lang w:val="zh-CN"/>
        </w:rPr>
        <w:t>组成一个联合体，以一个供应商的身份</w:t>
      </w:r>
      <w:r>
        <w:rPr>
          <w:rFonts w:hint="eastAsia" w:ascii="宋体" w:hAnsi="宋体" w:eastAsia="宋体" w:cs="宋体"/>
          <w:color w:val="auto"/>
          <w:kern w:val="0"/>
          <w:sz w:val="24"/>
          <w:highlight w:val="none"/>
        </w:rPr>
        <w:t>参加</w:t>
      </w:r>
      <w:r>
        <w:rPr>
          <w:rFonts w:hint="eastAsia" w:ascii="宋体" w:hAnsi="宋体" w:cs="宋体"/>
          <w:color w:val="auto"/>
          <w:sz w:val="24"/>
          <w:highlight w:val="none"/>
          <w:lang w:eastAsia="zh-CN"/>
        </w:rPr>
        <w:t>2025年市公共数据平台运维服务</w:t>
      </w:r>
      <w:r>
        <w:rPr>
          <w:rFonts w:hint="eastAsia" w:ascii="宋体" w:hAnsi="宋体" w:eastAsia="宋体" w:cs="宋体"/>
          <w:color w:val="auto"/>
          <w:kern w:val="0"/>
          <w:sz w:val="24"/>
          <w:highlight w:val="none"/>
          <w:lang w:val="zh-CN"/>
        </w:rPr>
        <w:t xml:space="preserve">【项目编号：CBNB-20252271G】响应。 </w:t>
      </w:r>
    </w:p>
    <w:p w14:paraId="69DF21A0">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一、各方一致决定，</w:t>
      </w:r>
      <w:r>
        <w:rPr>
          <w:rFonts w:hint="eastAsia" w:ascii="宋体" w:hAnsi="宋体" w:eastAsia="宋体" w:cs="宋体"/>
          <w:color w:val="auto"/>
          <w:kern w:val="0"/>
          <w:sz w:val="24"/>
          <w:highlight w:val="none"/>
          <w:u w:val="single"/>
        </w:rPr>
        <w:t>（某联合体成员名称）</w:t>
      </w:r>
      <w:r>
        <w:rPr>
          <w:rFonts w:hint="eastAsia" w:ascii="宋体" w:hAnsi="宋体" w:eastAsia="宋体" w:cs="宋体"/>
          <w:color w:val="auto"/>
          <w:kern w:val="0"/>
          <w:sz w:val="24"/>
          <w:highlight w:val="none"/>
        </w:rPr>
        <w:t>为联合体</w:t>
      </w:r>
      <w:r>
        <w:rPr>
          <w:rFonts w:hint="eastAsia" w:ascii="宋体" w:hAnsi="宋体" w:eastAsia="宋体" w:cs="宋体"/>
          <w:color w:val="auto"/>
          <w:kern w:val="0"/>
          <w:sz w:val="24"/>
          <w:highlight w:val="none"/>
          <w:lang w:val="zh-CN"/>
        </w:rPr>
        <w:t>牵头人</w:t>
      </w:r>
      <w:r>
        <w:rPr>
          <w:rFonts w:hint="eastAsia" w:ascii="宋体" w:hAnsi="宋体" w:eastAsia="宋体" w:cs="宋体"/>
          <w:color w:val="auto"/>
          <w:sz w:val="24"/>
          <w:highlight w:val="none"/>
        </w:rPr>
        <w:t>，代表所有联合体成员负责响应和合同实施阶段的主办、协调工作</w:t>
      </w:r>
      <w:r>
        <w:rPr>
          <w:rFonts w:hint="eastAsia" w:ascii="宋体" w:hAnsi="宋体" w:eastAsia="宋体" w:cs="宋体"/>
          <w:color w:val="auto"/>
          <w:kern w:val="0"/>
          <w:sz w:val="24"/>
          <w:highlight w:val="none"/>
          <w:lang w:val="zh-CN"/>
        </w:rPr>
        <w:t>。</w:t>
      </w:r>
    </w:p>
    <w:p w14:paraId="34E4C6FE">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二、</w:t>
      </w:r>
      <w:r>
        <w:rPr>
          <w:rFonts w:hint="eastAsia" w:ascii="宋体" w:hAnsi="宋体" w:eastAsia="宋体" w:cs="宋体"/>
          <w:color w:val="auto"/>
          <w:sz w:val="24"/>
          <w:highlight w:val="none"/>
        </w:rPr>
        <w:t>所有联合体成员各方签署授权书，授权书载明的</w:t>
      </w:r>
      <w:r>
        <w:rPr>
          <w:rFonts w:hint="eastAsia" w:ascii="宋体" w:hAnsi="宋体" w:eastAsia="宋体" w:cs="宋体"/>
          <w:color w:val="auto"/>
          <w:kern w:val="0"/>
          <w:sz w:val="24"/>
          <w:highlight w:val="none"/>
          <w:lang w:val="zh-CN"/>
        </w:rPr>
        <w:t>授权代表根据磋商文件规定及采购内容而对采购人、采购代理机构所作的任何合法承诺，包括书面澄清及</w:t>
      </w:r>
      <w:r>
        <w:rPr>
          <w:rFonts w:hint="eastAsia" w:ascii="宋体" w:hAnsi="宋体" w:eastAsia="宋体" w:cs="宋体"/>
          <w:color w:val="auto"/>
          <w:kern w:val="0"/>
          <w:sz w:val="24"/>
          <w:highlight w:val="none"/>
          <w:lang w:val="en-US" w:eastAsia="zh-CN"/>
        </w:rPr>
        <w:t>响</w:t>
      </w:r>
      <w:r>
        <w:rPr>
          <w:rFonts w:hint="eastAsia" w:ascii="宋体" w:hAnsi="宋体" w:eastAsia="宋体" w:cs="宋体"/>
          <w:color w:val="auto"/>
          <w:kern w:val="0"/>
          <w:sz w:val="24"/>
          <w:highlight w:val="none"/>
          <w:lang w:val="zh-CN"/>
        </w:rPr>
        <w:t>应等均对联合体各方产生约束力。</w:t>
      </w:r>
    </w:p>
    <w:p w14:paraId="277F7D9D">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三、本次联合响应中，分工如下：</w:t>
      </w:r>
    </w:p>
    <w:p w14:paraId="41E2D433">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（联合体成员1）</w:t>
      </w:r>
      <w:r>
        <w:rPr>
          <w:rFonts w:hint="eastAsia" w:ascii="宋体" w:hAnsi="宋体" w:eastAsia="宋体" w:cs="宋体"/>
          <w:color w:val="auto"/>
          <w:kern w:val="0"/>
          <w:sz w:val="24"/>
          <w:highlight w:val="none"/>
          <w:lang w:val="zh-CN"/>
        </w:rPr>
        <w:t>承担的工作和义务为：</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lang w:val="zh-CN"/>
        </w:rPr>
        <w:t>；</w:t>
      </w:r>
    </w:p>
    <w:p w14:paraId="4F9E1CFF">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（联合体成员2）</w:t>
      </w:r>
      <w:r>
        <w:rPr>
          <w:rFonts w:hint="eastAsia" w:ascii="宋体" w:hAnsi="宋体" w:eastAsia="宋体" w:cs="宋体"/>
          <w:color w:val="auto"/>
          <w:kern w:val="0"/>
          <w:sz w:val="24"/>
          <w:highlight w:val="none"/>
          <w:lang w:val="zh-CN"/>
        </w:rPr>
        <w:t>承担的工作和义务为：</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lang w:val="zh-CN"/>
        </w:rPr>
        <w:t>；</w:t>
      </w:r>
    </w:p>
    <w:p w14:paraId="567B7CA7">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w:t>
      </w:r>
    </w:p>
    <w:p w14:paraId="78DDB69D">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四、联合体成员中小企业合同份额（如果有）。</w:t>
      </w:r>
    </w:p>
    <w:p w14:paraId="7CBC5AAD">
      <w:pPr>
        <w:snapToGrid w:val="0"/>
        <w:spacing w:line="360" w:lineRule="auto"/>
        <w:ind w:firstLine="576"/>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lang w:val="zh-CN"/>
        </w:rPr>
        <w:t>1、</w:t>
      </w:r>
      <w:r>
        <w:rPr>
          <w:rFonts w:hint="eastAsia" w:ascii="宋体" w:hAnsi="宋体" w:eastAsia="宋体" w:cs="宋体"/>
          <w:color w:val="auto"/>
          <w:kern w:val="0"/>
          <w:sz w:val="24"/>
          <w:highlight w:val="none"/>
          <w:u w:val="single"/>
        </w:rPr>
        <w:t>（</w:t>
      </w:r>
      <w:bookmarkStart w:id="136" w:name="_Hlk101131882"/>
      <w:r>
        <w:rPr>
          <w:rFonts w:hint="eastAsia" w:ascii="宋体" w:hAnsi="宋体" w:eastAsia="宋体" w:cs="宋体"/>
          <w:color w:val="auto"/>
          <w:kern w:val="0"/>
          <w:sz w:val="24"/>
          <w:highlight w:val="none"/>
          <w:u w:val="single"/>
        </w:rPr>
        <w:t>联合体成员X,……</w:t>
      </w:r>
      <w:bookmarkEnd w:id="136"/>
      <w:r>
        <w:rPr>
          <w:rFonts w:hint="eastAsia" w:ascii="宋体" w:hAnsi="宋体" w:eastAsia="宋体" w:cs="宋体"/>
          <w:color w:val="auto"/>
          <w:kern w:val="0"/>
          <w:sz w:val="24"/>
          <w:highlight w:val="none"/>
          <w:u w:val="single"/>
        </w:rPr>
        <w:t>）</w:t>
      </w:r>
      <w:r>
        <w:rPr>
          <w:rFonts w:hint="eastAsia" w:ascii="宋体" w:hAnsi="宋体" w:eastAsia="宋体" w:cs="宋体"/>
          <w:color w:val="auto"/>
          <w:kern w:val="0"/>
          <w:sz w:val="24"/>
          <w:highlight w:val="none"/>
        </w:rPr>
        <w:t>提供的服务由小微企业承接，其合同份额占到合同总金额</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%以上</w:t>
      </w:r>
      <w:r>
        <w:rPr>
          <w:rFonts w:hint="eastAsia" w:ascii="宋体" w:hAnsi="宋体" w:eastAsia="宋体" w:cs="宋体"/>
          <w:color w:val="auto"/>
          <w:kern w:val="0"/>
          <w:sz w:val="24"/>
          <w:highlight w:val="none"/>
          <w:lang w:val="zh-CN"/>
        </w:rPr>
        <w:t>。</w:t>
      </w:r>
      <w:r>
        <w:rPr>
          <w:rFonts w:hint="eastAsia" w:ascii="宋体" w:hAnsi="宋体" w:eastAsia="宋体" w:cs="宋体"/>
          <w:b/>
          <w:color w:val="auto"/>
          <w:kern w:val="0"/>
          <w:sz w:val="24"/>
          <w:highlight w:val="none"/>
          <w:lang w:val="zh-CN"/>
        </w:rPr>
        <w:t>（</w:t>
      </w:r>
      <w:bookmarkStart w:id="137" w:name="_Hlk101133598"/>
      <w:r>
        <w:rPr>
          <w:rFonts w:hint="eastAsia" w:ascii="宋体" w:hAnsi="宋体" w:eastAsia="宋体" w:cs="宋体"/>
          <w:b/>
          <w:color w:val="auto"/>
          <w:kern w:val="0"/>
          <w:sz w:val="24"/>
          <w:highlight w:val="none"/>
          <w:lang w:val="zh-CN"/>
        </w:rPr>
        <w:t>未预留份额专门面向中小企业采购的采购项目，以及预留份额中的非预留部分采购包，接受联合体响应的，联合协议约定小微企业的合同份额占到合同总金额30%以上的，对联合体报价按评标标准确定的比例给予扣除。供应商</w:t>
      </w:r>
      <w:r>
        <w:rPr>
          <w:rFonts w:hint="eastAsia" w:ascii="宋体" w:hAnsi="宋体" w:eastAsia="宋体" w:cs="宋体"/>
          <w:b/>
          <w:color w:val="auto"/>
          <w:sz w:val="24"/>
          <w:highlight w:val="none"/>
        </w:rPr>
        <w:t>拟享受以上价格扣除政策的，填写有关内容。</w:t>
      </w:r>
      <w:bookmarkEnd w:id="137"/>
      <w:r>
        <w:rPr>
          <w:rFonts w:hint="eastAsia" w:ascii="宋体" w:hAnsi="宋体" w:eastAsia="宋体" w:cs="宋体"/>
          <w:b/>
          <w:color w:val="auto"/>
          <w:kern w:val="0"/>
          <w:sz w:val="24"/>
          <w:highlight w:val="none"/>
          <w:lang w:val="zh-CN"/>
        </w:rPr>
        <w:t>）</w:t>
      </w:r>
    </w:p>
    <w:p w14:paraId="3DF8AF36">
      <w:pPr>
        <w:spacing w:line="360" w:lineRule="auto"/>
        <w:ind w:firstLine="480" w:firstLineChars="200"/>
        <w:rPr>
          <w:rFonts w:hint="eastAsia" w:ascii="宋体" w:hAnsi="宋体" w:eastAsia="宋体" w:cs="宋体"/>
          <w:b/>
          <w:bCs/>
          <w:color w:val="auto"/>
          <w:kern w:val="0"/>
          <w:sz w:val="24"/>
          <w:highlight w:val="none"/>
          <w:lang w:val="zh-CN"/>
        </w:rPr>
      </w:pPr>
      <w:r>
        <w:rPr>
          <w:rFonts w:hint="eastAsia" w:ascii="宋体" w:hAnsi="宋体" w:eastAsia="宋体" w:cs="宋体"/>
          <w:color w:val="auto"/>
          <w:sz w:val="24"/>
          <w:highlight w:val="none"/>
        </w:rPr>
        <w:t>2、</w:t>
      </w:r>
      <w:bookmarkStart w:id="138" w:name="_Hlk101133173"/>
      <w:r>
        <w:rPr>
          <w:rFonts w:hint="eastAsia" w:ascii="宋体" w:hAnsi="宋体" w:eastAsia="宋体" w:cs="宋体"/>
          <w:color w:val="auto"/>
          <w:sz w:val="24"/>
          <w:highlight w:val="none"/>
        </w:rPr>
        <w:t>中小企业合同金额达到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%，其中小微企业合同金额达到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w:t>
      </w:r>
      <w:r>
        <w:rPr>
          <w:rFonts w:hint="eastAsia" w:ascii="宋体" w:hAnsi="宋体" w:eastAsia="宋体" w:cs="宋体"/>
          <w:b/>
          <w:bCs/>
          <w:color w:val="auto"/>
          <w:kern w:val="0"/>
          <w:sz w:val="24"/>
          <w:highlight w:val="none"/>
          <w:lang w:val="zh-CN"/>
        </w:rPr>
        <w:t>（</w:t>
      </w:r>
      <w:r>
        <w:rPr>
          <w:rFonts w:hint="eastAsia" w:ascii="宋体" w:hAnsi="宋体" w:eastAsia="宋体" w:cs="宋体"/>
          <w:b/>
          <w:bCs/>
          <w:color w:val="auto"/>
          <w:sz w:val="24"/>
          <w:highlight w:val="none"/>
        </w:rPr>
        <w:t>要求以联合体形式参加的项目或采购包，供应商按磋商文件第一部分竞争性磋商</w:t>
      </w:r>
      <w:r>
        <w:rPr>
          <w:rFonts w:hint="eastAsia" w:ascii="宋体" w:hAnsi="宋体" w:eastAsia="宋体" w:cs="宋体"/>
          <w:b/>
          <w:bCs/>
          <w:color w:val="auto"/>
          <w:sz w:val="24"/>
          <w:highlight w:val="none"/>
          <w:lang w:eastAsia="zh-CN"/>
        </w:rPr>
        <w:t>采购公告</w:t>
      </w:r>
      <w:r>
        <w:rPr>
          <w:rFonts w:hint="eastAsia" w:ascii="宋体" w:hAnsi="宋体" w:eastAsia="宋体" w:cs="宋体"/>
          <w:b/>
          <w:bCs/>
          <w:color w:val="auto"/>
          <w:sz w:val="24"/>
          <w:highlight w:val="none"/>
        </w:rPr>
        <w:t>申请人的资格要求中规定的联合协议中中小企业、小微企业合同金额应当达到的比例要求填写。</w:t>
      </w:r>
      <w:r>
        <w:rPr>
          <w:rFonts w:hint="eastAsia" w:ascii="宋体" w:hAnsi="宋体" w:eastAsia="宋体" w:cs="宋体"/>
          <w:b/>
          <w:bCs/>
          <w:color w:val="auto"/>
          <w:kern w:val="0"/>
          <w:sz w:val="24"/>
          <w:highlight w:val="none"/>
          <w:lang w:val="zh-CN"/>
        </w:rPr>
        <w:t>）</w:t>
      </w:r>
      <w:bookmarkEnd w:id="138"/>
    </w:p>
    <w:p w14:paraId="508B478C">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五、如果成交，</w:t>
      </w:r>
      <w:r>
        <w:rPr>
          <w:rFonts w:hint="eastAsia" w:ascii="宋体" w:hAnsi="宋体" w:eastAsia="宋体" w:cs="宋体"/>
          <w:color w:val="auto"/>
          <w:sz w:val="24"/>
          <w:highlight w:val="none"/>
        </w:rPr>
        <w:t>联合体各成员方共同与采购人签订合同，并就采购合同约定的事项对采购人承担连带责任。</w:t>
      </w:r>
    </w:p>
    <w:p w14:paraId="3EF2B7C7">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六、有关本次联合响应的其他事宜：</w:t>
      </w:r>
    </w:p>
    <w:p w14:paraId="65B8B252">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1、联合体各方不再单独参加或者与其他供应商另外组成联合体参加同一合同项下的政府采购活动。</w:t>
      </w:r>
    </w:p>
    <w:p w14:paraId="03A66066">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2、联合体中有同类资质的各方按照联合体分工承担相同工作的，按照资质等级较低的供应商确定资质等级。</w:t>
      </w:r>
    </w:p>
    <w:p w14:paraId="568A9C32">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3、本协议提交采购人、采购代理机构后，联合体各方不得以任何形式对上述内容进行修改或撤销。</w:t>
      </w:r>
    </w:p>
    <w:p w14:paraId="30EEC558">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14:paraId="04A56F8D">
      <w:pPr>
        <w:snapToGrid w:val="0"/>
        <w:spacing w:line="360" w:lineRule="auto"/>
        <w:ind w:firstLine="5040" w:firstLineChars="21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14:paraId="52BC6F75">
      <w:pPr>
        <w:snapToGrid w:val="0"/>
        <w:spacing w:line="360" w:lineRule="auto"/>
        <w:ind w:firstLine="5760" w:firstLineChars="2400"/>
        <w:rPr>
          <w:rFonts w:hint="eastAsia" w:ascii="宋体" w:hAnsi="宋体" w:eastAsia="宋体" w:cs="宋体"/>
          <w:color w:val="auto"/>
          <w:highlight w:val="none"/>
        </w:rPr>
      </w:pPr>
      <w:r>
        <w:rPr>
          <w:rFonts w:hint="eastAsia" w:ascii="宋体" w:hAnsi="宋体" w:eastAsia="宋体" w:cs="宋体"/>
          <w:color w:val="auto"/>
          <w:kern w:val="0"/>
          <w:sz w:val="24"/>
          <w:highlight w:val="none"/>
          <w:lang w:val="zh-CN"/>
        </w:rPr>
        <w:t>……</w:t>
      </w:r>
    </w:p>
    <w:p w14:paraId="640B8828">
      <w:pPr>
        <w:snapToGrid w:val="0"/>
        <w:spacing w:line="360" w:lineRule="auto"/>
        <w:jc w:val="righ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  年  月   日</w:t>
      </w:r>
    </w:p>
    <w:p w14:paraId="34D982A0">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325A5AAD">
      <w:pPr>
        <w:snapToGrid w:val="0"/>
        <w:spacing w:line="360" w:lineRule="auto"/>
        <w:ind w:right="480"/>
        <w:jc w:val="center"/>
        <w:rPr>
          <w:rFonts w:hint="eastAsia" w:ascii="宋体" w:hAnsi="宋体" w:eastAsia="宋体" w:cs="宋体"/>
          <w:b/>
          <w:color w:val="auto"/>
          <w:sz w:val="32"/>
          <w:szCs w:val="32"/>
          <w:highlight w:val="none"/>
        </w:rPr>
      </w:pPr>
    </w:p>
    <w:p w14:paraId="58B256DF">
      <w:pPr>
        <w:widowControl/>
        <w:adjustRightInd/>
        <w:jc w:val="left"/>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br w:type="page"/>
      </w:r>
    </w:p>
    <w:p w14:paraId="08AA7274">
      <w:pPr>
        <w:snapToGrid w:val="0"/>
        <w:spacing w:line="360" w:lineRule="auto"/>
        <w:ind w:right="48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sz w:val="32"/>
          <w:szCs w:val="32"/>
          <w:highlight w:val="none"/>
        </w:rPr>
        <w:t>C、</w:t>
      </w:r>
      <w:r>
        <w:rPr>
          <w:rFonts w:hint="eastAsia" w:ascii="宋体" w:hAnsi="宋体" w:eastAsia="宋体" w:cs="宋体"/>
          <w:b/>
          <w:color w:val="auto"/>
          <w:kern w:val="0"/>
          <w:sz w:val="32"/>
          <w:szCs w:val="32"/>
          <w:highlight w:val="none"/>
        </w:rPr>
        <w:t>落实政府采购政策需满足的资格要求</w:t>
      </w:r>
    </w:p>
    <w:p w14:paraId="6B94F10A">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（根据</w:t>
      </w:r>
      <w:r>
        <w:rPr>
          <w:rFonts w:hint="eastAsia" w:ascii="宋体" w:hAnsi="宋体" w:eastAsia="宋体" w:cs="宋体"/>
          <w:b/>
          <w:bCs/>
          <w:color w:val="auto"/>
          <w:sz w:val="24"/>
          <w:highlight w:val="none"/>
        </w:rPr>
        <w:t>磋商文件第一部分竞争性磋商</w:t>
      </w:r>
      <w:r>
        <w:rPr>
          <w:rFonts w:hint="eastAsia" w:ascii="宋体" w:hAnsi="宋体" w:eastAsia="宋体" w:cs="宋体"/>
          <w:b/>
          <w:bCs/>
          <w:color w:val="auto"/>
          <w:sz w:val="24"/>
          <w:highlight w:val="none"/>
          <w:lang w:eastAsia="zh-CN"/>
        </w:rPr>
        <w:t>采购公告</w:t>
      </w:r>
      <w:r>
        <w:rPr>
          <w:rFonts w:hint="eastAsia" w:ascii="宋体" w:hAnsi="宋体" w:eastAsia="宋体" w:cs="宋体"/>
          <w:b/>
          <w:bCs/>
          <w:color w:val="auto"/>
          <w:sz w:val="24"/>
          <w:highlight w:val="none"/>
        </w:rPr>
        <w:t>中</w:t>
      </w:r>
      <w:r>
        <w:rPr>
          <w:rFonts w:hint="eastAsia" w:ascii="宋体" w:hAnsi="宋体" w:eastAsia="宋体" w:cs="宋体"/>
          <w:color w:val="auto"/>
          <w:sz w:val="24"/>
          <w:highlight w:val="none"/>
        </w:rPr>
        <w:t>落实政府采购政策需满足的资格要求选择提供相应的材料；未要求的，无需提供）</w:t>
      </w:r>
    </w:p>
    <w:p w14:paraId="71F9320C">
      <w:pPr>
        <w:snapToGrid w:val="0"/>
        <w:spacing w:before="50" w:after="50" w:line="360" w:lineRule="auto"/>
        <w:ind w:firstLine="472" w:firstLineChars="196"/>
        <w:jc w:val="left"/>
        <w:rPr>
          <w:rFonts w:hint="eastAsia" w:ascii="宋体" w:hAnsi="宋体" w:eastAsia="宋体" w:cs="宋体"/>
          <w:color w:val="auto"/>
          <w:sz w:val="24"/>
          <w:highlight w:val="none"/>
        </w:rPr>
      </w:pPr>
      <w:r>
        <w:rPr>
          <w:rFonts w:hint="eastAsia" w:ascii="宋体" w:hAnsi="宋体" w:eastAsia="宋体" w:cs="宋体"/>
          <w:b/>
          <w:color w:val="auto"/>
          <w:sz w:val="24"/>
          <w:highlight w:val="none"/>
        </w:rPr>
        <w:t>a</w:t>
      </w:r>
      <w:r>
        <w:rPr>
          <w:rFonts w:hint="eastAsia" w:ascii="宋体" w:hAnsi="宋体" w:eastAsia="宋体" w:cs="宋体"/>
          <w:color w:val="auto"/>
          <w:sz w:val="24"/>
          <w:highlight w:val="none"/>
        </w:rPr>
        <w:t>.专门面向中小企业，服务全部由符合政策要求的中小企业（或小微企业）承接的，提供相应的中小企业声明函（附件</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 xml:space="preserve">）。 </w:t>
      </w:r>
    </w:p>
    <w:p w14:paraId="7E9BA0A8">
      <w:pPr>
        <w:widowControl/>
        <w:spacing w:line="360" w:lineRule="auto"/>
        <w:ind w:firstLine="480"/>
        <w:jc w:val="left"/>
        <w:rPr>
          <w:rFonts w:hint="eastAsia" w:ascii="宋体" w:hAnsi="宋体" w:eastAsia="宋体" w:cs="宋体"/>
          <w:color w:val="auto"/>
          <w:sz w:val="24"/>
          <w:highlight w:val="none"/>
        </w:rPr>
      </w:pPr>
    </w:p>
    <w:p w14:paraId="63539675">
      <w:pPr>
        <w:widowControl/>
        <w:spacing w:line="360" w:lineRule="auto"/>
        <w:ind w:firstLine="472" w:firstLineChars="196"/>
        <w:jc w:val="left"/>
        <w:rPr>
          <w:rFonts w:hint="eastAsia" w:ascii="宋体" w:hAnsi="宋体" w:eastAsia="宋体" w:cs="宋体"/>
          <w:color w:val="auto"/>
          <w:sz w:val="24"/>
          <w:highlight w:val="none"/>
        </w:rPr>
      </w:pPr>
      <w:r>
        <w:rPr>
          <w:rFonts w:hint="eastAsia" w:ascii="宋体" w:hAnsi="宋体" w:eastAsia="宋体" w:cs="宋体"/>
          <w:b/>
          <w:color w:val="auto"/>
          <w:sz w:val="24"/>
          <w:highlight w:val="none"/>
        </w:rPr>
        <w:t>b.</w:t>
      </w:r>
      <w:r>
        <w:rPr>
          <w:rFonts w:hint="eastAsia" w:ascii="宋体" w:hAnsi="宋体" w:eastAsia="宋体" w:cs="宋体"/>
          <w:color w:val="auto"/>
          <w:sz w:val="24"/>
          <w:highlight w:val="none"/>
        </w:rPr>
        <w:t>要求以联合体形式参加的，提供联合协议和中小企业声明函（附件</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），联合协议中中小企业合同金额应当达到</w:t>
      </w:r>
      <w:r>
        <w:rPr>
          <w:rFonts w:hint="eastAsia" w:ascii="宋体" w:hAnsi="宋体" w:eastAsia="宋体" w:cs="宋体"/>
          <w:b/>
          <w:bCs/>
          <w:color w:val="auto"/>
          <w:sz w:val="24"/>
          <w:highlight w:val="none"/>
        </w:rPr>
        <w:t>竞争性磋商</w:t>
      </w:r>
      <w:r>
        <w:rPr>
          <w:rFonts w:hint="eastAsia" w:ascii="宋体" w:hAnsi="宋体" w:eastAsia="宋体" w:cs="宋体"/>
          <w:b/>
          <w:bCs/>
          <w:color w:val="auto"/>
          <w:sz w:val="24"/>
          <w:highlight w:val="none"/>
          <w:lang w:eastAsia="zh-CN"/>
        </w:rPr>
        <w:t>采购公告</w:t>
      </w:r>
      <w:r>
        <w:rPr>
          <w:rFonts w:hint="eastAsia" w:ascii="宋体" w:hAnsi="宋体" w:eastAsia="宋体" w:cs="宋体"/>
          <w:color w:val="auto"/>
          <w:sz w:val="24"/>
          <w:highlight w:val="none"/>
        </w:rPr>
        <w:t>载明的比例；如果供应商本身提</w:t>
      </w:r>
      <w:r>
        <w:rPr>
          <w:rFonts w:hint="eastAsia" w:ascii="宋体" w:hAnsi="宋体" w:cs="宋体"/>
          <w:color w:val="auto"/>
          <w:sz w:val="24"/>
          <w:highlight w:val="none"/>
          <w:lang w:eastAsia="zh-CN"/>
        </w:rPr>
        <w:t>供的</w:t>
      </w:r>
      <w:r>
        <w:rPr>
          <w:rFonts w:hint="eastAsia" w:ascii="宋体" w:hAnsi="宋体" w:eastAsia="宋体" w:cs="宋体"/>
          <w:color w:val="auto"/>
          <w:sz w:val="24"/>
          <w:highlight w:val="none"/>
        </w:rPr>
        <w:t>所有标的均由中小企业承接的，</w:t>
      </w:r>
      <w:r>
        <w:rPr>
          <w:rFonts w:hint="eastAsia" w:ascii="宋体" w:hAnsi="宋体" w:eastAsia="宋体" w:cs="宋体"/>
          <w:color w:val="auto"/>
          <w:spacing w:val="8"/>
          <w:kern w:val="0"/>
          <w:sz w:val="24"/>
          <w:highlight w:val="none"/>
        </w:rPr>
        <w:t>并相应达到了前述比例要求，</w:t>
      </w:r>
      <w:r>
        <w:rPr>
          <w:rFonts w:hint="eastAsia" w:ascii="宋体" w:hAnsi="宋体" w:eastAsia="宋体" w:cs="宋体"/>
          <w:color w:val="auto"/>
          <w:sz w:val="24"/>
          <w:highlight w:val="none"/>
        </w:rPr>
        <w:t>视同符合了资格条件，无需再与其他中小企业组成联合体参加政府采购活动，无需提供联合协议。</w:t>
      </w:r>
    </w:p>
    <w:p w14:paraId="358657CB">
      <w:pPr>
        <w:snapToGrid w:val="0"/>
        <w:spacing w:before="50" w:after="50" w:line="360" w:lineRule="auto"/>
        <w:jc w:val="center"/>
        <w:rPr>
          <w:rFonts w:hint="eastAsia" w:ascii="宋体" w:hAnsi="宋体" w:eastAsia="宋体" w:cs="宋体"/>
          <w:color w:val="auto"/>
          <w:sz w:val="24"/>
          <w:highlight w:val="none"/>
        </w:rPr>
      </w:pPr>
      <w:r>
        <w:rPr>
          <w:rFonts w:hint="eastAsia" w:ascii="宋体" w:hAnsi="宋体" w:eastAsia="宋体" w:cs="宋体"/>
          <w:b/>
          <w:color w:val="auto"/>
          <w:sz w:val="24"/>
          <w:highlight w:val="none"/>
        </w:rPr>
        <w:t xml:space="preserve">    </w:t>
      </w:r>
    </w:p>
    <w:p w14:paraId="09F25D10">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c、</w:t>
      </w:r>
      <w:r>
        <w:rPr>
          <w:rFonts w:hint="eastAsia" w:ascii="宋体" w:hAnsi="宋体" w:eastAsia="宋体" w:cs="宋体"/>
          <w:color w:val="auto"/>
          <w:sz w:val="24"/>
          <w:highlight w:val="none"/>
        </w:rPr>
        <w:t>要求合同分包的，提供分包意向协议和中小企业声明函（附件</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），分包意向协议中中小企业合同金额应当达到</w:t>
      </w:r>
      <w:r>
        <w:rPr>
          <w:rFonts w:hint="eastAsia" w:ascii="宋体" w:hAnsi="宋体" w:eastAsia="宋体" w:cs="宋体"/>
          <w:b/>
          <w:bCs/>
          <w:color w:val="auto"/>
          <w:sz w:val="24"/>
          <w:highlight w:val="none"/>
        </w:rPr>
        <w:t>竞争性磋商</w:t>
      </w:r>
      <w:r>
        <w:rPr>
          <w:rFonts w:hint="eastAsia" w:ascii="宋体" w:hAnsi="宋体" w:eastAsia="宋体" w:cs="宋体"/>
          <w:b/>
          <w:bCs/>
          <w:color w:val="auto"/>
          <w:sz w:val="24"/>
          <w:highlight w:val="none"/>
          <w:lang w:eastAsia="zh-CN"/>
        </w:rPr>
        <w:t>采购公告</w:t>
      </w:r>
      <w:r>
        <w:rPr>
          <w:rFonts w:hint="eastAsia" w:ascii="宋体" w:hAnsi="宋体" w:eastAsia="宋体" w:cs="宋体"/>
          <w:color w:val="auto"/>
          <w:sz w:val="24"/>
          <w:highlight w:val="none"/>
        </w:rPr>
        <w:t>载明的比例；如果供应商本身提供的所有标的均由中小企业承接的，</w:t>
      </w:r>
      <w:r>
        <w:rPr>
          <w:rFonts w:hint="eastAsia" w:ascii="宋体" w:hAnsi="宋体" w:eastAsia="宋体" w:cs="宋体"/>
          <w:color w:val="auto"/>
          <w:spacing w:val="8"/>
          <w:kern w:val="0"/>
          <w:sz w:val="24"/>
          <w:highlight w:val="none"/>
        </w:rPr>
        <w:t>并相应达到了前述比例要求，</w:t>
      </w:r>
      <w:r>
        <w:rPr>
          <w:rFonts w:hint="eastAsia" w:ascii="宋体" w:hAnsi="宋体" w:eastAsia="宋体" w:cs="宋体"/>
          <w:color w:val="auto"/>
          <w:sz w:val="24"/>
          <w:highlight w:val="none"/>
        </w:rPr>
        <w:t>视同符合了资格条件，无需再向中小企业分包，无需提供分包意向协议。</w:t>
      </w:r>
    </w:p>
    <w:p w14:paraId="6121A88D">
      <w:pPr>
        <w:spacing w:line="360" w:lineRule="auto"/>
        <w:jc w:val="center"/>
        <w:rPr>
          <w:rFonts w:hint="eastAsia" w:ascii="宋体" w:hAnsi="宋体" w:eastAsia="宋体" w:cs="宋体"/>
          <w:b/>
          <w:color w:val="auto"/>
          <w:sz w:val="32"/>
          <w:szCs w:val="32"/>
          <w:highlight w:val="none"/>
        </w:rPr>
      </w:pPr>
    </w:p>
    <w:p w14:paraId="7E870CC2">
      <w:pPr>
        <w:spacing w:line="360" w:lineRule="auto"/>
        <w:jc w:val="center"/>
        <w:rPr>
          <w:rFonts w:hint="eastAsia" w:ascii="宋体" w:hAnsi="宋体" w:eastAsia="宋体" w:cs="宋体"/>
          <w:b/>
          <w:color w:val="auto"/>
          <w:sz w:val="32"/>
          <w:szCs w:val="32"/>
          <w:highlight w:val="none"/>
        </w:rPr>
      </w:pPr>
    </w:p>
    <w:p w14:paraId="0A779F0A">
      <w:pPr>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D、符合特定资格条件要求的资质文件（复印件）</w:t>
      </w:r>
    </w:p>
    <w:p w14:paraId="12BBD332">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（由供应商根据“磋商文件第一部分”中“本项目的特定资格要求”编制；如果本项目没有设置特定资格条件，则不需要提供）</w:t>
      </w:r>
    </w:p>
    <w:p w14:paraId="76D213B3">
      <w:pPr>
        <w:widowControl/>
        <w:spacing w:line="360" w:lineRule="auto"/>
        <w:ind w:firstLine="480" w:firstLineChars="200"/>
        <w:jc w:val="left"/>
        <w:rPr>
          <w:rFonts w:hint="eastAsia" w:ascii="宋体" w:hAnsi="宋体" w:eastAsia="宋体" w:cs="宋体"/>
          <w:color w:val="auto"/>
          <w:sz w:val="24"/>
          <w:highlight w:val="none"/>
        </w:rPr>
      </w:pPr>
    </w:p>
    <w:p w14:paraId="50560247">
      <w:pPr>
        <w:snapToGrid w:val="0"/>
        <w:spacing w:line="360" w:lineRule="auto"/>
        <w:ind w:firstLine="5880" w:firstLineChars="245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供应商名称(电子签名)：</w:t>
      </w:r>
    </w:p>
    <w:p w14:paraId="5F837CE6">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签发日期：  年  月   日</w:t>
      </w:r>
    </w:p>
    <w:p w14:paraId="21D03072">
      <w:pPr>
        <w:snapToGrid w:val="0"/>
        <w:spacing w:line="360" w:lineRule="auto"/>
        <w:rPr>
          <w:rFonts w:hint="eastAsia" w:ascii="宋体" w:hAnsi="宋体" w:eastAsia="宋体" w:cs="宋体"/>
          <w:color w:val="auto"/>
          <w:kern w:val="0"/>
          <w:sz w:val="24"/>
          <w:highlight w:val="none"/>
          <w:lang w:val="zh-CN"/>
        </w:rPr>
      </w:pPr>
    </w:p>
    <w:p w14:paraId="04A13896">
      <w:pPr>
        <w:snapToGrid w:val="0"/>
        <w:spacing w:line="360" w:lineRule="auto"/>
        <w:ind w:right="480"/>
        <w:jc w:val="center"/>
        <w:rPr>
          <w:rFonts w:hint="eastAsia" w:ascii="宋体" w:hAnsi="宋体" w:eastAsia="宋体" w:cs="宋体"/>
          <w:b/>
          <w:color w:val="auto"/>
          <w:kern w:val="0"/>
          <w:sz w:val="32"/>
          <w:szCs w:val="32"/>
          <w:highlight w:val="none"/>
          <w:lang w:val="zh-CN"/>
        </w:rPr>
        <w:sectPr>
          <w:headerReference r:id="rId4" w:type="first"/>
          <w:footerReference r:id="rId6" w:type="first"/>
          <w:headerReference r:id="rId3" w:type="default"/>
          <w:footerReference r:id="rId5" w:type="default"/>
          <w:pgSz w:w="11906" w:h="16838"/>
          <w:pgMar w:top="1440" w:right="1440" w:bottom="1440" w:left="1440" w:header="851" w:footer="992" w:gutter="0"/>
          <w:pgBorders>
            <w:top w:val="none" w:sz="0" w:space="0"/>
            <w:left w:val="none" w:sz="0" w:space="0"/>
            <w:bottom w:val="none" w:sz="0" w:space="0"/>
            <w:right w:val="none" w:sz="0" w:space="0"/>
          </w:pgBorders>
          <w:cols w:space="0" w:num="1"/>
          <w:titlePg/>
          <w:rtlGutter w:val="0"/>
          <w:docGrid w:linePitch="312" w:charSpace="0"/>
        </w:sectPr>
      </w:pPr>
    </w:p>
    <w:p w14:paraId="69B38559">
      <w:pPr>
        <w:widowControl/>
        <w:spacing w:line="360" w:lineRule="auto"/>
        <w:jc w:val="center"/>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lang w:val="zh-CN"/>
        </w:rPr>
        <w:t>三、法人授权书</w:t>
      </w:r>
    </w:p>
    <w:p w14:paraId="72837DC3">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lang w:eastAsia="zh-CN"/>
        </w:rPr>
        <w:t>宁波市数据局</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宁波中基国际招标有限公司</w:t>
      </w:r>
      <w:r>
        <w:rPr>
          <w:rFonts w:hint="eastAsia" w:ascii="宋体" w:hAnsi="宋体" w:eastAsia="宋体" w:cs="宋体"/>
          <w:color w:val="auto"/>
          <w:kern w:val="0"/>
          <w:sz w:val="24"/>
          <w:highlight w:val="none"/>
          <w:lang w:val="zh-CN"/>
        </w:rPr>
        <w:t>：</w:t>
      </w:r>
    </w:p>
    <w:p w14:paraId="163BE079">
      <w:pPr>
        <w:snapToGrid w:val="0"/>
        <w:spacing w:line="360" w:lineRule="auto"/>
        <w:ind w:firstLine="576"/>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兹委派我公司</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先生/女士(其在本公司的职务是：</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 xml:space="preserve"> ，联系电话：</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手机：</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传真：</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)，代表我公司全权处理</w:t>
      </w:r>
      <w:r>
        <w:rPr>
          <w:rFonts w:hint="eastAsia" w:ascii="宋体" w:hAnsi="宋体" w:cs="宋体"/>
          <w:color w:val="auto"/>
          <w:sz w:val="24"/>
          <w:highlight w:val="none"/>
          <w:lang w:eastAsia="zh-CN"/>
        </w:rPr>
        <w:t>2025年市公共数据平台运维服务</w:t>
      </w:r>
      <w:r>
        <w:rPr>
          <w:rFonts w:hint="eastAsia" w:ascii="宋体" w:hAnsi="宋体" w:eastAsia="宋体" w:cs="宋体"/>
          <w:color w:val="auto"/>
          <w:sz w:val="24"/>
          <w:highlight w:val="none"/>
        </w:rPr>
        <w:t>【项目编号：</w:t>
      </w:r>
      <w:r>
        <w:rPr>
          <w:rFonts w:hint="eastAsia" w:ascii="宋体" w:hAnsi="宋体" w:eastAsia="宋体" w:cs="宋体"/>
          <w:color w:val="auto"/>
          <w:sz w:val="24"/>
          <w:highlight w:val="none"/>
          <w:lang w:eastAsia="zh-CN"/>
        </w:rPr>
        <w:t>CBNB-20252271G</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政府采购响应的一切事项，若成交则全权代表本公司签订相关合同，并负责处理合同履行等事宜。</w:t>
      </w:r>
    </w:p>
    <w:p w14:paraId="52935EDC">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本委托书有效期：自    年 月  日起至    年  月  日止。</w:t>
      </w:r>
    </w:p>
    <w:p w14:paraId="1733DFA4">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 xml:space="preserve">    特此告知。</w:t>
      </w:r>
    </w:p>
    <w:p w14:paraId="5A4D3201">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 xml:space="preserve">                                                供应商名称(电子签名)：</w:t>
      </w:r>
    </w:p>
    <w:p w14:paraId="2E3D0DE2">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签发日期：  年  月   日</w:t>
      </w:r>
    </w:p>
    <w:p w14:paraId="6E350BE7">
      <w:pPr>
        <w:snapToGrid w:val="0"/>
        <w:spacing w:line="360" w:lineRule="auto"/>
        <w:rPr>
          <w:rFonts w:hint="eastAsia" w:ascii="宋体" w:hAnsi="宋体" w:eastAsia="宋体" w:cs="宋体"/>
          <w:color w:val="auto"/>
          <w:kern w:val="0"/>
          <w:sz w:val="24"/>
          <w:highlight w:val="none"/>
          <w:lang w:val="zh-CN"/>
        </w:rPr>
      </w:pPr>
    </w:p>
    <w:p w14:paraId="73725F5A">
      <w:pPr>
        <w:widowControl/>
        <w:adjustRightInd/>
        <w:jc w:val="left"/>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lang w:val="zh-CN"/>
        </w:rPr>
        <w:br w:type="page"/>
      </w:r>
    </w:p>
    <w:p w14:paraId="485B717C">
      <w:pPr>
        <w:snapToGrid w:val="0"/>
        <w:spacing w:line="360" w:lineRule="auto"/>
        <w:jc w:val="center"/>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lang w:val="zh-CN"/>
        </w:rPr>
        <w:t>联合体响应授权书（扫描件加盖上传单位电子签名）</w:t>
      </w:r>
    </w:p>
    <w:p w14:paraId="0F1E08E1">
      <w:pPr>
        <w:snapToGrid w:val="0"/>
        <w:spacing w:line="360" w:lineRule="auto"/>
        <w:jc w:val="center"/>
        <w:rPr>
          <w:rFonts w:hint="eastAsia" w:ascii="宋体" w:hAnsi="宋体" w:eastAsia="宋体" w:cs="宋体"/>
          <w:b/>
          <w:color w:val="auto"/>
          <w:kern w:val="0"/>
          <w:sz w:val="30"/>
          <w:szCs w:val="30"/>
          <w:highlight w:val="none"/>
          <w:lang w:val="zh-CN"/>
        </w:rPr>
      </w:pPr>
      <w:r>
        <w:rPr>
          <w:rFonts w:hint="eastAsia" w:ascii="宋体" w:hAnsi="宋体" w:eastAsia="宋体" w:cs="宋体"/>
          <w:b/>
          <w:color w:val="auto"/>
          <w:kern w:val="0"/>
          <w:sz w:val="30"/>
          <w:szCs w:val="30"/>
          <w:highlight w:val="none"/>
          <w:lang w:val="zh-CN"/>
        </w:rPr>
        <w:t>（适用于联合体响应）</w:t>
      </w:r>
    </w:p>
    <w:p w14:paraId="7E1417E7">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lang w:eastAsia="zh-CN"/>
        </w:rPr>
        <w:t>宁波市数据局</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宁波中基国际招标有限公司</w:t>
      </w:r>
      <w:r>
        <w:rPr>
          <w:rFonts w:hint="eastAsia" w:ascii="宋体" w:hAnsi="宋体" w:eastAsia="宋体" w:cs="宋体"/>
          <w:color w:val="auto"/>
          <w:kern w:val="0"/>
          <w:sz w:val="24"/>
          <w:highlight w:val="none"/>
          <w:lang w:val="zh-CN"/>
        </w:rPr>
        <w:t>：</w:t>
      </w:r>
    </w:p>
    <w:p w14:paraId="08D279BE">
      <w:pPr>
        <w:snapToGrid w:val="0"/>
        <w:spacing w:line="360" w:lineRule="auto"/>
        <w:ind w:firstLine="576"/>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现</w:t>
      </w:r>
      <w:r>
        <w:rPr>
          <w:rFonts w:hint="eastAsia" w:ascii="宋体" w:hAnsi="宋体" w:eastAsia="宋体" w:cs="宋体"/>
          <w:color w:val="auto"/>
          <w:kern w:val="0"/>
          <w:sz w:val="24"/>
          <w:highlight w:val="none"/>
          <w:lang w:val="zh-CN"/>
        </w:rPr>
        <w:t>委托</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（姓名）为我方代理人（身份证号码：</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，手机：</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），以我方名义处理</w:t>
      </w:r>
      <w:r>
        <w:rPr>
          <w:rFonts w:hint="eastAsia" w:ascii="宋体" w:hAnsi="宋体" w:cs="宋体"/>
          <w:color w:val="auto"/>
          <w:sz w:val="24"/>
          <w:highlight w:val="none"/>
          <w:lang w:eastAsia="zh-CN"/>
        </w:rPr>
        <w:t>2025年市公共数据平台运维服务</w:t>
      </w:r>
      <w:r>
        <w:rPr>
          <w:rFonts w:hint="eastAsia" w:ascii="宋体" w:hAnsi="宋体" w:eastAsia="宋体" w:cs="宋体"/>
          <w:color w:val="auto"/>
          <w:kern w:val="0"/>
          <w:sz w:val="24"/>
          <w:highlight w:val="none"/>
          <w:lang w:val="zh-CN"/>
        </w:rPr>
        <w:t>【项目编号：CBNB-20252271G】政府采购响应的一切事项，其法律后果由我方承担。。</w:t>
      </w:r>
    </w:p>
    <w:p w14:paraId="79C0B9ED">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本授权书有效期：自   年 月  日起至  年  月  日止。</w:t>
      </w:r>
    </w:p>
    <w:p w14:paraId="6B684556">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 xml:space="preserve">    特此告知。</w:t>
      </w:r>
    </w:p>
    <w:p w14:paraId="109AFB3F">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w:t>
      </w:r>
    </w:p>
    <w:p w14:paraId="763A36BF">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14:paraId="280264DF">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14:paraId="4B91CC14">
      <w:pPr>
        <w:snapToGrid w:val="0"/>
        <w:spacing w:line="360" w:lineRule="auto"/>
        <w:ind w:firstLine="5760" w:firstLineChars="2400"/>
        <w:rPr>
          <w:rFonts w:hint="eastAsia" w:ascii="宋体" w:hAnsi="宋体" w:eastAsia="宋体" w:cs="宋体"/>
          <w:color w:val="auto"/>
          <w:highlight w:val="none"/>
        </w:rPr>
      </w:pPr>
      <w:r>
        <w:rPr>
          <w:rFonts w:hint="eastAsia" w:ascii="宋体" w:hAnsi="宋体" w:eastAsia="宋体" w:cs="宋体"/>
          <w:color w:val="auto"/>
          <w:kern w:val="0"/>
          <w:sz w:val="24"/>
          <w:highlight w:val="none"/>
          <w:lang w:val="zh-CN"/>
        </w:rPr>
        <w:t>……</w:t>
      </w:r>
    </w:p>
    <w:p w14:paraId="7BA55B56">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14:paraId="350FB0FE">
      <w:pPr>
        <w:widowControl/>
        <w:adjustRightInd/>
        <w:jc w:val="left"/>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br w:type="page"/>
      </w:r>
    </w:p>
    <w:p w14:paraId="1704344B">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b/>
          <w:color w:val="auto"/>
          <w:sz w:val="30"/>
          <w:szCs w:val="30"/>
          <w:highlight w:val="none"/>
        </w:rPr>
        <w:t>授权代表的身份证（复印件）</w:t>
      </w:r>
    </w:p>
    <w:p w14:paraId="684EB349">
      <w:pPr>
        <w:pStyle w:val="623"/>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授权代表身份证件扫描件：</w:t>
      </w:r>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07"/>
      </w:tblGrid>
      <w:tr w14:paraId="1831A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shd w:val="clear" w:color="auto" w:fill="auto"/>
          </w:tcPr>
          <w:p w14:paraId="6537C2F0">
            <w:pPr>
              <w:pStyle w:val="623"/>
              <w:keepNext w:val="0"/>
              <w:keepLines w:val="0"/>
              <w:suppressLineNumbers w:val="0"/>
              <w:spacing w:before="0" w:beforeAutospacing="0" w:after="0" w:afterAutospacing="0" w:line="360" w:lineRule="auto"/>
              <w:ind w:left="0" w:right="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正面：                                 反面：</w:t>
            </w:r>
          </w:p>
          <w:p w14:paraId="3DF6DCF2">
            <w:pPr>
              <w:pStyle w:val="623"/>
              <w:keepNext w:val="0"/>
              <w:keepLines w:val="0"/>
              <w:suppressLineNumbers w:val="0"/>
              <w:spacing w:before="0" w:beforeAutospacing="0" w:after="0" w:afterAutospacing="0" w:line="360" w:lineRule="auto"/>
              <w:ind w:left="0" w:right="0"/>
              <w:rPr>
                <w:rFonts w:hint="eastAsia" w:ascii="宋体" w:hAnsi="宋体" w:eastAsia="宋体" w:cs="宋体"/>
                <w:bCs/>
                <w:color w:val="auto"/>
                <w:sz w:val="24"/>
                <w:highlight w:val="none"/>
              </w:rPr>
            </w:pPr>
          </w:p>
        </w:tc>
      </w:tr>
    </w:tbl>
    <w:p w14:paraId="5FB8A8BC">
      <w:pPr>
        <w:snapToGrid w:val="0"/>
        <w:spacing w:line="360" w:lineRule="auto"/>
        <w:ind w:firstLine="576"/>
        <w:jc w:val="right"/>
        <w:rPr>
          <w:rFonts w:hint="eastAsia" w:ascii="宋体" w:hAnsi="宋体" w:eastAsia="宋体" w:cs="宋体"/>
          <w:color w:val="auto"/>
          <w:kern w:val="0"/>
          <w:sz w:val="24"/>
          <w:highlight w:val="none"/>
          <w:lang w:val="zh-CN"/>
        </w:rPr>
      </w:pPr>
    </w:p>
    <w:p w14:paraId="500D102A">
      <w:pPr>
        <w:snapToGrid w:val="0"/>
        <w:spacing w:line="360" w:lineRule="auto"/>
        <w:ind w:firstLine="576"/>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供应商名称(电子签名)：                              </w:t>
      </w:r>
    </w:p>
    <w:p w14:paraId="4A88B2BE">
      <w:pPr>
        <w:spacing w:line="360" w:lineRule="auto"/>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w:t>
      </w:r>
    </w:p>
    <w:p w14:paraId="5CF911B5">
      <w:pPr>
        <w:snapToGrid w:val="0"/>
        <w:spacing w:line="360" w:lineRule="auto"/>
        <w:ind w:firstLine="576"/>
        <w:jc w:val="center"/>
        <w:rPr>
          <w:rFonts w:hint="eastAsia" w:ascii="宋体" w:hAnsi="宋体" w:eastAsia="宋体" w:cs="宋体"/>
          <w:color w:val="auto"/>
          <w:sz w:val="28"/>
          <w:szCs w:val="28"/>
          <w:highlight w:val="none"/>
        </w:rPr>
      </w:pPr>
    </w:p>
    <w:p w14:paraId="40199A5F">
      <w:pPr>
        <w:widowControl/>
        <w:adjustRightInd/>
        <w:jc w:val="left"/>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lang w:val="zh-CN"/>
        </w:rPr>
        <w:br w:type="page"/>
      </w:r>
    </w:p>
    <w:p w14:paraId="6212859C">
      <w:pPr>
        <w:snapToGrid w:val="0"/>
        <w:spacing w:line="360" w:lineRule="auto"/>
        <w:ind w:firstLine="3534" w:firstLineChars="1100"/>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lang w:val="zh-CN"/>
        </w:rPr>
        <w:t>四</w:t>
      </w:r>
      <w:r>
        <w:rPr>
          <w:rFonts w:hint="eastAsia" w:ascii="宋体" w:hAnsi="宋体" w:eastAsia="宋体" w:cs="宋体"/>
          <w:b/>
          <w:color w:val="auto"/>
          <w:sz w:val="32"/>
          <w:szCs w:val="32"/>
          <w:highlight w:val="none"/>
        </w:rPr>
        <w:t>、</w:t>
      </w:r>
      <w:r>
        <w:rPr>
          <w:rFonts w:hint="eastAsia" w:ascii="宋体" w:hAnsi="宋体" w:eastAsia="宋体" w:cs="宋体"/>
          <w:b/>
          <w:color w:val="auto"/>
          <w:kern w:val="0"/>
          <w:sz w:val="32"/>
          <w:szCs w:val="32"/>
          <w:highlight w:val="none"/>
        </w:rPr>
        <w:t>分包意向协议（如果有）</w:t>
      </w:r>
    </w:p>
    <w:p w14:paraId="3BB5B1ED">
      <w:pPr>
        <w:widowControl/>
        <w:spacing w:line="360" w:lineRule="auto"/>
        <w:ind w:firstLine="120" w:firstLineChars="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b/>
          <w:color w:val="auto"/>
          <w:sz w:val="24"/>
          <w:highlight w:val="none"/>
        </w:rPr>
        <w:t>成交后以分包方式履行合同的，提供分包意向协议；采购人不同意分包或者供应商成交后不以分包方式履行合同的，则不需要提供。</w:t>
      </w:r>
      <w:r>
        <w:rPr>
          <w:rFonts w:hint="eastAsia" w:ascii="宋体" w:hAnsi="宋体" w:eastAsia="宋体" w:cs="宋体"/>
          <w:color w:val="auto"/>
          <w:sz w:val="24"/>
          <w:highlight w:val="none"/>
        </w:rPr>
        <w:t>）</w:t>
      </w:r>
    </w:p>
    <w:p w14:paraId="02262268">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（供应商名称）</w:t>
      </w:r>
      <w:r>
        <w:rPr>
          <w:rFonts w:hint="eastAsia" w:ascii="宋体" w:hAnsi="宋体" w:eastAsia="宋体" w:cs="宋体"/>
          <w:color w:val="auto"/>
          <w:kern w:val="0"/>
          <w:sz w:val="24"/>
          <w:highlight w:val="none"/>
          <w:lang w:val="zh-CN"/>
        </w:rPr>
        <w:t>若成为</w:t>
      </w:r>
      <w:r>
        <w:rPr>
          <w:rFonts w:hint="eastAsia" w:ascii="宋体" w:hAnsi="宋体" w:cs="宋体"/>
          <w:color w:val="auto"/>
          <w:sz w:val="24"/>
          <w:highlight w:val="none"/>
          <w:lang w:eastAsia="zh-CN"/>
        </w:rPr>
        <w:t>2025年市公共数据平台运维服务</w:t>
      </w:r>
      <w:r>
        <w:rPr>
          <w:rFonts w:hint="eastAsia" w:ascii="宋体" w:hAnsi="宋体" w:eastAsia="宋体" w:cs="宋体"/>
          <w:color w:val="auto"/>
          <w:sz w:val="24"/>
          <w:highlight w:val="none"/>
        </w:rPr>
        <w:t>【项目编号：</w:t>
      </w:r>
      <w:r>
        <w:rPr>
          <w:rFonts w:hint="eastAsia" w:ascii="宋体" w:hAnsi="宋体" w:eastAsia="宋体" w:cs="宋体"/>
          <w:color w:val="auto"/>
          <w:sz w:val="24"/>
          <w:highlight w:val="none"/>
          <w:lang w:eastAsia="zh-CN"/>
        </w:rPr>
        <w:t>CBNB-20252271G</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的成交供应商，将依法采取分包方式履行合同。</w:t>
      </w:r>
      <w:r>
        <w:rPr>
          <w:rFonts w:hint="eastAsia" w:ascii="宋体" w:hAnsi="宋体" w:eastAsia="宋体" w:cs="宋体"/>
          <w:color w:val="auto"/>
          <w:kern w:val="0"/>
          <w:sz w:val="24"/>
          <w:highlight w:val="none"/>
          <w:u w:val="single"/>
        </w:rPr>
        <w:t>（供应商名称）</w:t>
      </w:r>
      <w:r>
        <w:rPr>
          <w:rFonts w:hint="eastAsia" w:ascii="宋体" w:hAnsi="宋体" w:eastAsia="宋体" w:cs="宋体"/>
          <w:color w:val="auto"/>
          <w:kern w:val="0"/>
          <w:sz w:val="24"/>
          <w:highlight w:val="none"/>
        </w:rPr>
        <w:t>与</w:t>
      </w:r>
      <w:r>
        <w:rPr>
          <w:rFonts w:hint="eastAsia" w:ascii="宋体" w:hAnsi="宋体" w:eastAsia="宋体" w:cs="宋体"/>
          <w:color w:val="auto"/>
          <w:kern w:val="0"/>
          <w:sz w:val="24"/>
          <w:highlight w:val="none"/>
          <w:u w:val="single"/>
        </w:rPr>
        <w:t>（所有分包供应商名称）</w:t>
      </w:r>
      <w:r>
        <w:rPr>
          <w:rFonts w:hint="eastAsia" w:ascii="宋体" w:hAnsi="宋体" w:eastAsia="宋体" w:cs="宋体"/>
          <w:color w:val="auto"/>
          <w:kern w:val="0"/>
          <w:sz w:val="24"/>
          <w:highlight w:val="none"/>
        </w:rPr>
        <w:t>达成分包意向协议</w:t>
      </w:r>
      <w:r>
        <w:rPr>
          <w:rFonts w:hint="eastAsia" w:ascii="宋体" w:hAnsi="宋体" w:eastAsia="宋体" w:cs="宋体"/>
          <w:color w:val="auto"/>
          <w:kern w:val="0"/>
          <w:sz w:val="24"/>
          <w:highlight w:val="none"/>
          <w:lang w:val="zh-CN"/>
        </w:rPr>
        <w:t xml:space="preserve">。 </w:t>
      </w:r>
    </w:p>
    <w:p w14:paraId="3857A560">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一、分包标的及数量</w:t>
      </w:r>
    </w:p>
    <w:p w14:paraId="57B13FA0">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（供应商名称）</w:t>
      </w:r>
      <w:r>
        <w:rPr>
          <w:rFonts w:hint="eastAsia" w:ascii="宋体" w:hAnsi="宋体" w:eastAsia="宋体" w:cs="宋体"/>
          <w:color w:val="auto"/>
          <w:kern w:val="0"/>
          <w:sz w:val="24"/>
          <w:highlight w:val="none"/>
          <w:lang w:val="zh-CN"/>
        </w:rPr>
        <w:t>将</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u w:val="single"/>
        </w:rPr>
        <w:t xml:space="preserve"> XX工作内容   </w:t>
      </w:r>
      <w:r>
        <w:rPr>
          <w:rFonts w:hint="eastAsia" w:ascii="宋体" w:hAnsi="宋体" w:eastAsia="宋体" w:cs="宋体"/>
          <w:color w:val="auto"/>
          <w:sz w:val="24"/>
          <w:highlight w:val="none"/>
        </w:rPr>
        <w:t>分包给</w:t>
      </w:r>
      <w:r>
        <w:rPr>
          <w:rFonts w:hint="eastAsia" w:ascii="宋体" w:hAnsi="宋体" w:eastAsia="宋体" w:cs="宋体"/>
          <w:color w:val="auto"/>
          <w:kern w:val="0"/>
          <w:sz w:val="24"/>
          <w:highlight w:val="none"/>
          <w:u w:val="single"/>
        </w:rPr>
        <w:t>（分包供应商1名称）</w:t>
      </w:r>
      <w:r>
        <w:rPr>
          <w:rFonts w:hint="eastAsia" w:ascii="宋体" w:hAnsi="宋体" w:eastAsia="宋体" w:cs="宋体"/>
          <w:color w:val="auto"/>
          <w:kern w:val="0"/>
          <w:sz w:val="24"/>
          <w:highlight w:val="none"/>
          <w:lang w:val="zh-CN"/>
        </w:rPr>
        <w:t>，</w:t>
      </w:r>
      <w:r>
        <w:rPr>
          <w:rFonts w:hint="eastAsia" w:ascii="宋体" w:hAnsi="宋体" w:eastAsia="宋体" w:cs="宋体"/>
          <w:color w:val="auto"/>
          <w:kern w:val="0"/>
          <w:sz w:val="24"/>
          <w:highlight w:val="none"/>
          <w:u w:val="single"/>
        </w:rPr>
        <w:t>（分包供应商2名称），</w:t>
      </w:r>
      <w:r>
        <w:rPr>
          <w:rFonts w:hint="eastAsia" w:ascii="宋体" w:hAnsi="宋体" w:eastAsia="宋体" w:cs="宋体"/>
          <w:color w:val="auto"/>
          <w:kern w:val="0"/>
          <w:sz w:val="24"/>
          <w:highlight w:val="none"/>
          <w:lang w:val="zh-CN"/>
        </w:rPr>
        <w:t>具备承</w:t>
      </w:r>
      <w:r>
        <w:rPr>
          <w:rFonts w:hint="eastAsia" w:ascii="宋体" w:hAnsi="宋体" w:eastAsia="宋体" w:cs="宋体"/>
          <w:color w:val="auto"/>
          <w:kern w:val="0"/>
          <w:sz w:val="24"/>
          <w:highlight w:val="none"/>
        </w:rPr>
        <w:t>担</w:t>
      </w:r>
      <w:r>
        <w:rPr>
          <w:rFonts w:hint="eastAsia" w:ascii="宋体" w:hAnsi="宋体" w:eastAsia="宋体" w:cs="宋体"/>
          <w:color w:val="auto"/>
          <w:kern w:val="0"/>
          <w:sz w:val="24"/>
          <w:highlight w:val="none"/>
          <w:u w:val="single"/>
          <w:lang w:val="zh-CN"/>
        </w:rPr>
        <w:t>XX工作内容</w:t>
      </w:r>
      <w:r>
        <w:rPr>
          <w:rFonts w:hint="eastAsia" w:ascii="宋体" w:hAnsi="宋体" w:eastAsia="宋体" w:cs="宋体"/>
          <w:color w:val="auto"/>
          <w:kern w:val="0"/>
          <w:sz w:val="24"/>
          <w:highlight w:val="none"/>
          <w:lang w:val="zh-CN"/>
        </w:rPr>
        <w:t>相应资质条件且不得再次分包；</w:t>
      </w:r>
    </w:p>
    <w:p w14:paraId="575323B2">
      <w:pPr>
        <w:pStyle w:val="3"/>
        <w:ind w:left="664" w:leftChars="316" w:firstLine="229" w:firstLineChars="95"/>
        <w:rPr>
          <w:rFonts w:hint="eastAsia" w:ascii="宋体" w:hAnsi="宋体" w:eastAsia="宋体" w:cs="宋体"/>
          <w:color w:val="auto"/>
          <w:kern w:val="0"/>
          <w:sz w:val="24"/>
          <w:szCs w:val="24"/>
          <w:highlight w:val="none"/>
        </w:rPr>
      </w:pPr>
      <w:bookmarkStart w:id="139" w:name="_Toc15430"/>
      <w:bookmarkStart w:id="140" w:name="_Toc20071"/>
      <w:r>
        <w:rPr>
          <w:rFonts w:hint="eastAsia" w:ascii="宋体" w:hAnsi="宋体" w:eastAsia="宋体" w:cs="宋体"/>
          <w:color w:val="auto"/>
          <w:kern w:val="0"/>
          <w:sz w:val="24"/>
          <w:szCs w:val="24"/>
          <w:highlight w:val="none"/>
        </w:rPr>
        <w:t>……</w:t>
      </w:r>
      <w:bookmarkEnd w:id="139"/>
      <w:bookmarkEnd w:id="140"/>
    </w:p>
    <w:p w14:paraId="58947144">
      <w:pPr>
        <w:ind w:firstLine="305"/>
        <w:rPr>
          <w:rFonts w:hint="eastAsia" w:ascii="宋体" w:hAnsi="宋体" w:eastAsia="宋体" w:cs="宋体"/>
          <w:color w:val="auto"/>
          <w:highlight w:val="none"/>
        </w:rPr>
      </w:pPr>
      <w:r>
        <w:rPr>
          <w:rFonts w:hint="eastAsia" w:ascii="宋体" w:hAnsi="宋体" w:eastAsia="宋体" w:cs="宋体"/>
          <w:color w:val="auto"/>
          <w:highlight w:val="none"/>
          <w:lang w:val="zh-CN"/>
        </w:rPr>
        <w:t xml:space="preserve"> </w:t>
      </w:r>
    </w:p>
    <w:p w14:paraId="7828F8DD">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二、分包供应商中小企业合同份额（如果有）</w:t>
      </w:r>
    </w:p>
    <w:p w14:paraId="7DB51AF4">
      <w:pPr>
        <w:snapToGrid w:val="0"/>
        <w:spacing w:line="360" w:lineRule="auto"/>
        <w:ind w:firstLine="576"/>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rPr>
        <w:t>1、</w:t>
      </w:r>
      <w:r>
        <w:rPr>
          <w:rFonts w:hint="eastAsia" w:ascii="宋体" w:hAnsi="宋体" w:eastAsia="宋体" w:cs="宋体"/>
          <w:color w:val="auto"/>
          <w:kern w:val="0"/>
          <w:sz w:val="24"/>
          <w:highlight w:val="none"/>
          <w:u w:val="single"/>
        </w:rPr>
        <w:t>（分包供应商X,……）提供的服务全部由小微企业承接，</w:t>
      </w:r>
      <w:r>
        <w:rPr>
          <w:rFonts w:hint="eastAsia" w:ascii="宋体" w:hAnsi="宋体" w:eastAsia="宋体" w:cs="宋体"/>
          <w:color w:val="auto"/>
          <w:kern w:val="0"/>
          <w:sz w:val="24"/>
          <w:highlight w:val="none"/>
        </w:rPr>
        <w:t>其合同份额占到合同总金额</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%以上</w:t>
      </w:r>
      <w:r>
        <w:rPr>
          <w:rFonts w:hint="eastAsia" w:ascii="宋体" w:hAnsi="宋体" w:eastAsia="宋体" w:cs="宋体"/>
          <w:color w:val="auto"/>
          <w:highlight w:val="none"/>
        </w:rPr>
        <w:t>。</w:t>
      </w:r>
      <w:r>
        <w:rPr>
          <w:rFonts w:hint="eastAsia" w:ascii="宋体" w:hAnsi="宋体" w:eastAsia="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eastAsia="宋体" w:cs="宋体"/>
          <w:b/>
          <w:color w:val="auto"/>
          <w:sz w:val="24"/>
          <w:highlight w:val="none"/>
        </w:rPr>
        <w:t>拟享受以上价格扣除政策的，填写有关内容。</w:t>
      </w:r>
      <w:r>
        <w:rPr>
          <w:rFonts w:hint="eastAsia" w:ascii="宋体" w:hAnsi="宋体" w:eastAsia="宋体" w:cs="宋体"/>
          <w:b/>
          <w:color w:val="auto"/>
          <w:kern w:val="0"/>
          <w:sz w:val="24"/>
          <w:highlight w:val="none"/>
          <w:lang w:val="zh-CN"/>
        </w:rPr>
        <w:t>）</w:t>
      </w:r>
    </w:p>
    <w:p w14:paraId="6A8C8FDD">
      <w:pPr>
        <w:spacing w:line="360" w:lineRule="auto"/>
        <w:ind w:firstLine="480" w:firstLineChars="200"/>
        <w:rPr>
          <w:rFonts w:hint="eastAsia" w:ascii="宋体" w:hAnsi="宋体" w:eastAsia="宋体" w:cs="宋体"/>
          <w:b/>
          <w:bCs/>
          <w:color w:val="auto"/>
          <w:kern w:val="0"/>
          <w:sz w:val="24"/>
          <w:highlight w:val="none"/>
          <w:lang w:val="zh-CN"/>
        </w:rPr>
      </w:pPr>
      <w:r>
        <w:rPr>
          <w:rFonts w:hint="eastAsia" w:ascii="宋体" w:hAnsi="宋体" w:eastAsia="宋体" w:cs="宋体"/>
          <w:color w:val="auto"/>
          <w:sz w:val="24"/>
          <w:highlight w:val="none"/>
        </w:rPr>
        <w:t>2、中小企业合同金额达到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%，其中小微企业合同金额达到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w:t>
      </w:r>
      <w:r>
        <w:rPr>
          <w:rFonts w:hint="eastAsia" w:ascii="宋体" w:hAnsi="宋体" w:eastAsia="宋体" w:cs="宋体"/>
          <w:b/>
          <w:bCs/>
          <w:color w:val="auto"/>
          <w:kern w:val="0"/>
          <w:sz w:val="24"/>
          <w:highlight w:val="none"/>
          <w:lang w:val="zh-CN"/>
        </w:rPr>
        <w:t>（</w:t>
      </w:r>
      <w:r>
        <w:rPr>
          <w:rFonts w:hint="eastAsia" w:ascii="宋体" w:hAnsi="宋体" w:eastAsia="宋体" w:cs="宋体"/>
          <w:b/>
          <w:bCs/>
          <w:color w:val="auto"/>
          <w:sz w:val="24"/>
          <w:highlight w:val="none"/>
        </w:rPr>
        <w:t>要求合同分包形式参加的项目或采购包，供应商按磋商文件第一部分竞争性磋商</w:t>
      </w:r>
      <w:r>
        <w:rPr>
          <w:rFonts w:hint="eastAsia" w:ascii="宋体" w:hAnsi="宋体" w:eastAsia="宋体" w:cs="宋体"/>
          <w:b/>
          <w:bCs/>
          <w:color w:val="auto"/>
          <w:sz w:val="24"/>
          <w:highlight w:val="none"/>
          <w:lang w:eastAsia="zh-CN"/>
        </w:rPr>
        <w:t>采购公告</w:t>
      </w:r>
      <w:r>
        <w:rPr>
          <w:rFonts w:hint="eastAsia" w:ascii="宋体" w:hAnsi="宋体" w:eastAsia="宋体" w:cs="宋体"/>
          <w:b/>
          <w:bCs/>
          <w:color w:val="auto"/>
          <w:sz w:val="24"/>
          <w:highlight w:val="none"/>
        </w:rPr>
        <w:t>申请人的资格要求中规定的</w:t>
      </w:r>
      <w:r>
        <w:rPr>
          <w:rFonts w:hint="eastAsia" w:ascii="宋体" w:hAnsi="宋体" w:eastAsia="宋体" w:cs="宋体"/>
          <w:b/>
          <w:color w:val="auto"/>
          <w:kern w:val="0"/>
          <w:sz w:val="24"/>
          <w:highlight w:val="none"/>
          <w:lang w:val="zh-CN"/>
        </w:rPr>
        <w:t>分包意向协议</w:t>
      </w:r>
      <w:r>
        <w:rPr>
          <w:rFonts w:hint="eastAsia" w:ascii="宋体" w:hAnsi="宋体" w:eastAsia="宋体" w:cs="宋体"/>
          <w:b/>
          <w:bCs/>
          <w:color w:val="auto"/>
          <w:sz w:val="24"/>
          <w:highlight w:val="none"/>
        </w:rPr>
        <w:t>中中小企业、小微企业合同金额应当达到的比例要求填写。</w:t>
      </w:r>
      <w:r>
        <w:rPr>
          <w:rFonts w:hint="eastAsia" w:ascii="宋体" w:hAnsi="宋体" w:eastAsia="宋体" w:cs="宋体"/>
          <w:b/>
          <w:bCs/>
          <w:color w:val="auto"/>
          <w:kern w:val="0"/>
          <w:sz w:val="24"/>
          <w:highlight w:val="none"/>
          <w:lang w:val="zh-CN"/>
        </w:rPr>
        <w:t>）</w:t>
      </w:r>
    </w:p>
    <w:p w14:paraId="5B6E84D3">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三、分包工作履行期限、地点、方式</w:t>
      </w:r>
    </w:p>
    <w:p w14:paraId="1DB09450">
      <w:pPr>
        <w:snapToGrid w:val="0"/>
        <w:spacing w:line="360" w:lineRule="auto"/>
        <w:ind w:firstLine="576"/>
        <w:rPr>
          <w:rFonts w:hint="eastAsia" w:ascii="宋体" w:hAnsi="宋体" w:eastAsia="宋体" w:cs="宋体"/>
          <w:color w:val="auto"/>
          <w:highlight w:val="none"/>
          <w:u w:val="single"/>
        </w:rPr>
      </w:pPr>
      <w:r>
        <w:rPr>
          <w:rFonts w:hint="eastAsia" w:ascii="宋体" w:hAnsi="宋体" w:eastAsia="宋体" w:cs="宋体"/>
          <w:color w:val="auto"/>
          <w:highlight w:val="none"/>
          <w:u w:val="single"/>
        </w:rPr>
        <w:t xml:space="preserve">                                                                                  </w:t>
      </w:r>
    </w:p>
    <w:p w14:paraId="7E7E965A">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四、质量</w:t>
      </w:r>
    </w:p>
    <w:p w14:paraId="67BDD936">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45A3B2E8">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五、价款或者报酬</w:t>
      </w:r>
    </w:p>
    <w:p w14:paraId="25839BB6">
      <w:pPr>
        <w:snapToGrid w:val="0"/>
        <w:spacing w:line="360" w:lineRule="auto"/>
        <w:ind w:left="573" w:leftChars="273"/>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1FFA34AF">
      <w:pPr>
        <w:snapToGrid w:val="0"/>
        <w:spacing w:line="360" w:lineRule="auto"/>
        <w:ind w:left="573" w:leftChars="273"/>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六、违约责任</w:t>
      </w:r>
    </w:p>
    <w:p w14:paraId="0FDF8415">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64ECF3B4">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七、争议解决的办法</w:t>
      </w:r>
    </w:p>
    <w:p w14:paraId="21C5FF63">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10BC8E2A">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八、其他</w:t>
      </w:r>
    </w:p>
    <w:p w14:paraId="3E18C99D">
      <w:pPr>
        <w:snapToGrid w:val="0"/>
        <w:spacing w:line="360" w:lineRule="auto"/>
        <w:ind w:left="5758" w:leftChars="342" w:hanging="5040" w:hangingChars="2100"/>
        <w:rPr>
          <w:rFonts w:hint="eastAsia" w:ascii="宋体" w:hAnsi="宋体" w:eastAsia="宋体" w:cs="宋体"/>
          <w:color w:val="auto"/>
          <w:kern w:val="0"/>
          <w:sz w:val="24"/>
          <w:highlight w:val="none"/>
          <w:lang w:val="zh-CN"/>
        </w:rPr>
      </w:pPr>
      <w:r>
        <w:rPr>
          <w:rFonts w:hint="eastAsia" w:ascii="宋体" w:hAnsi="宋体" w:eastAsia="宋体" w:cs="宋体"/>
          <w:color w:val="auto"/>
          <w:sz w:val="24"/>
          <w:highlight w:val="none"/>
        </w:rPr>
        <w:t>中小企业合同金额达到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%，小微企业合同金额达到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 xml:space="preserve">  。                                           供应商名称(电子签名)：</w:t>
      </w:r>
    </w:p>
    <w:p w14:paraId="6CE59871">
      <w:pPr>
        <w:snapToGrid w:val="0"/>
        <w:spacing w:line="360" w:lineRule="auto"/>
        <w:jc w:val="righ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分包供应商名称(电子签名/公章)：</w:t>
      </w:r>
    </w:p>
    <w:p w14:paraId="597F01EE">
      <w:pPr>
        <w:snapToGrid w:val="0"/>
        <w:spacing w:line="360" w:lineRule="auto"/>
        <w:ind w:firstLine="5760" w:firstLineChars="2400"/>
        <w:rPr>
          <w:rFonts w:hint="eastAsia" w:ascii="宋体" w:hAnsi="宋体" w:eastAsia="宋体" w:cs="宋体"/>
          <w:color w:val="auto"/>
          <w:highlight w:val="none"/>
        </w:rPr>
      </w:pPr>
      <w:r>
        <w:rPr>
          <w:rFonts w:hint="eastAsia" w:ascii="宋体" w:hAnsi="宋体" w:eastAsia="宋体" w:cs="宋体"/>
          <w:color w:val="auto"/>
          <w:kern w:val="0"/>
          <w:sz w:val="24"/>
          <w:highlight w:val="none"/>
          <w:lang w:val="zh-CN"/>
        </w:rPr>
        <w:t>……</w:t>
      </w:r>
    </w:p>
    <w:p w14:paraId="00FB7B6D">
      <w:pPr>
        <w:spacing w:line="360" w:lineRule="auto"/>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14:paraId="1591FFE3">
      <w:pPr>
        <w:widowControl/>
        <w:adjustRightInd/>
        <w:jc w:val="left"/>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lang w:val="zh-CN"/>
        </w:rPr>
        <w:br w:type="page"/>
      </w:r>
    </w:p>
    <w:p w14:paraId="50613207">
      <w:pPr>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kern w:val="0"/>
          <w:sz w:val="32"/>
          <w:szCs w:val="32"/>
          <w:highlight w:val="none"/>
          <w:lang w:val="zh-CN"/>
        </w:rPr>
        <w:t>五</w:t>
      </w:r>
      <w:r>
        <w:rPr>
          <w:rFonts w:hint="eastAsia" w:ascii="宋体" w:hAnsi="宋体" w:eastAsia="宋体" w:cs="宋体"/>
          <w:b/>
          <w:color w:val="auto"/>
          <w:sz w:val="32"/>
          <w:szCs w:val="32"/>
          <w:highlight w:val="none"/>
        </w:rPr>
        <w:t>、所有资信文件（复印件）</w:t>
      </w:r>
    </w:p>
    <w:p w14:paraId="150494D4">
      <w:pPr>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color w:val="auto"/>
          <w:sz w:val="24"/>
          <w:highlight w:val="none"/>
        </w:rPr>
        <w:t>（由供应商根据采购需求及磋商文件要求编制）</w:t>
      </w:r>
    </w:p>
    <w:p w14:paraId="445C1404">
      <w:pPr>
        <w:spacing w:line="360" w:lineRule="auto"/>
        <w:jc w:val="center"/>
        <w:rPr>
          <w:rFonts w:hint="eastAsia" w:ascii="宋体" w:hAnsi="宋体" w:eastAsia="宋体" w:cs="宋体"/>
          <w:b/>
          <w:color w:val="auto"/>
          <w:sz w:val="30"/>
          <w:szCs w:val="30"/>
          <w:highlight w:val="none"/>
        </w:rPr>
      </w:pPr>
    </w:p>
    <w:p w14:paraId="25DF0837">
      <w:pPr>
        <w:snapToGrid w:val="0"/>
        <w:spacing w:line="360" w:lineRule="auto"/>
        <w:ind w:firstLine="5160" w:firstLineChars="215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供应商名称(电子签名)：</w:t>
      </w:r>
    </w:p>
    <w:p w14:paraId="18252F06">
      <w:pPr>
        <w:snapToGrid w:val="0"/>
        <w:spacing w:line="360" w:lineRule="auto"/>
        <w:ind w:firstLine="5160" w:firstLineChars="21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7F866B10">
      <w:pPr>
        <w:spacing w:line="360" w:lineRule="auto"/>
        <w:jc w:val="center"/>
        <w:rPr>
          <w:rFonts w:hint="eastAsia" w:ascii="宋体" w:hAnsi="宋体" w:eastAsia="宋体" w:cs="宋体"/>
          <w:b/>
          <w:color w:val="auto"/>
          <w:kern w:val="0"/>
          <w:sz w:val="32"/>
          <w:szCs w:val="32"/>
          <w:highlight w:val="none"/>
        </w:rPr>
      </w:pPr>
    </w:p>
    <w:p w14:paraId="0EBD8650">
      <w:pPr>
        <w:spacing w:line="360" w:lineRule="auto"/>
        <w:jc w:val="center"/>
        <w:rPr>
          <w:rFonts w:hint="eastAsia" w:ascii="宋体" w:hAnsi="宋体" w:eastAsia="宋体" w:cs="宋体"/>
          <w:b/>
          <w:color w:val="auto"/>
          <w:kern w:val="0"/>
          <w:sz w:val="32"/>
          <w:szCs w:val="32"/>
          <w:highlight w:val="none"/>
          <w:lang w:val="zh-CN"/>
        </w:rPr>
      </w:pPr>
      <w:r>
        <w:rPr>
          <w:rFonts w:hint="eastAsia" w:ascii="宋体" w:hAnsi="宋体" w:eastAsia="宋体" w:cs="宋体"/>
          <w:b/>
          <w:bCs/>
          <w:color w:val="auto"/>
          <w:sz w:val="32"/>
          <w:szCs w:val="32"/>
          <w:highlight w:val="none"/>
          <w:lang w:val="en-US" w:eastAsia="zh-CN"/>
        </w:rPr>
        <w:t>六</w:t>
      </w:r>
      <w:r>
        <w:rPr>
          <w:rFonts w:hint="eastAsia" w:ascii="宋体" w:hAnsi="宋体" w:eastAsia="宋体" w:cs="宋体"/>
          <w:b/>
          <w:bCs/>
          <w:color w:val="auto"/>
          <w:sz w:val="32"/>
          <w:szCs w:val="32"/>
          <w:highlight w:val="none"/>
        </w:rPr>
        <w:t>、关于</w:t>
      </w:r>
      <w:r>
        <w:rPr>
          <w:rFonts w:hint="eastAsia" w:ascii="宋体" w:hAnsi="宋体" w:eastAsia="宋体" w:cs="宋体"/>
          <w:b/>
          <w:color w:val="auto"/>
          <w:kern w:val="0"/>
          <w:sz w:val="32"/>
          <w:szCs w:val="32"/>
          <w:highlight w:val="none"/>
          <w:lang w:val="zh-CN"/>
        </w:rPr>
        <w:t>对磋商文件中有关条款的拒绝声明</w:t>
      </w:r>
    </w:p>
    <w:p w14:paraId="6927797D">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（由供应商根据采购需求自行编制）</w:t>
      </w:r>
    </w:p>
    <w:p w14:paraId="0E0AA992">
      <w:pPr>
        <w:spacing w:line="360" w:lineRule="auto"/>
        <w:rPr>
          <w:rFonts w:hint="eastAsia" w:ascii="宋体" w:hAnsi="宋体" w:eastAsia="宋体" w:cs="宋体"/>
          <w:color w:val="auto"/>
          <w:sz w:val="24"/>
          <w:highlight w:val="none"/>
        </w:rPr>
      </w:pPr>
    </w:p>
    <w:p w14:paraId="172C5EB8">
      <w:pPr>
        <w:autoSpaceDE w:val="0"/>
        <w:autoSpaceDN w:val="0"/>
        <w:spacing w:line="360" w:lineRule="auto"/>
        <w:ind w:firstLine="4560" w:firstLineChars="19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w:t>
      </w:r>
      <w:r>
        <w:rPr>
          <w:rFonts w:hint="eastAsia" w:ascii="宋体" w:hAnsi="宋体" w:eastAsia="宋体" w:cs="宋体"/>
          <w:color w:val="auto"/>
          <w:kern w:val="0"/>
          <w:sz w:val="24"/>
          <w:highlight w:val="none"/>
          <w:lang w:val="zh-CN"/>
        </w:rPr>
        <w:t>电子签名</w:t>
      </w:r>
      <w:r>
        <w:rPr>
          <w:rFonts w:hint="eastAsia" w:ascii="宋体" w:hAnsi="宋体" w:eastAsia="宋体" w:cs="宋体"/>
          <w:color w:val="auto"/>
          <w:kern w:val="0"/>
          <w:sz w:val="24"/>
          <w:highlight w:val="none"/>
        </w:rPr>
        <w:t xml:space="preserve">）：                       </w:t>
      </w:r>
    </w:p>
    <w:p w14:paraId="458DB0B1">
      <w:pPr>
        <w:spacing w:line="360" w:lineRule="auto"/>
        <w:rPr>
          <w:rFonts w:hint="eastAsia" w:ascii="宋体" w:hAnsi="宋体" w:eastAsia="宋体" w:cs="宋体"/>
          <w:b/>
          <w:bCs/>
          <w:color w:val="auto"/>
          <w:sz w:val="24"/>
          <w:highlight w:val="none"/>
        </w:rPr>
      </w:pPr>
      <w:r>
        <w:rPr>
          <w:rFonts w:hint="eastAsia" w:ascii="宋体" w:hAnsi="宋体" w:eastAsia="宋体" w:cs="宋体"/>
          <w:color w:val="auto"/>
          <w:kern w:val="0"/>
          <w:sz w:val="24"/>
          <w:highlight w:val="none"/>
        </w:rPr>
        <w:t xml:space="preserve">                                      日期：  年  月   日</w:t>
      </w:r>
    </w:p>
    <w:p w14:paraId="5671862B">
      <w:pPr>
        <w:spacing w:line="360" w:lineRule="auto"/>
        <w:jc w:val="center"/>
        <w:rPr>
          <w:rFonts w:hint="eastAsia" w:ascii="宋体" w:hAnsi="宋体" w:eastAsia="宋体" w:cs="宋体"/>
          <w:b/>
          <w:bCs/>
          <w:color w:val="auto"/>
          <w:sz w:val="32"/>
          <w:szCs w:val="32"/>
          <w:highlight w:val="none"/>
        </w:rPr>
      </w:pPr>
    </w:p>
    <w:p w14:paraId="44DFD95B">
      <w:pPr>
        <w:spacing w:line="360" w:lineRule="auto"/>
        <w:jc w:val="center"/>
        <w:rPr>
          <w:rFonts w:hint="eastAsia" w:ascii="宋体" w:hAnsi="宋体" w:eastAsia="宋体" w:cs="宋体"/>
          <w:b/>
          <w:bCs/>
          <w:color w:val="auto"/>
          <w:sz w:val="32"/>
          <w:szCs w:val="32"/>
          <w:highlight w:val="none"/>
        </w:rPr>
      </w:pPr>
    </w:p>
    <w:p w14:paraId="665A4595">
      <w:pPr>
        <w:spacing w:line="360" w:lineRule="auto"/>
        <w:jc w:val="center"/>
        <w:rPr>
          <w:rFonts w:hint="eastAsia" w:ascii="宋体" w:hAnsi="宋体" w:eastAsia="宋体" w:cs="宋体"/>
          <w:b/>
          <w:bCs/>
          <w:color w:val="auto"/>
          <w:sz w:val="32"/>
          <w:szCs w:val="32"/>
          <w:highlight w:val="none"/>
        </w:rPr>
      </w:pPr>
    </w:p>
    <w:p w14:paraId="4CE68749">
      <w:pPr>
        <w:spacing w:line="360" w:lineRule="auto"/>
        <w:jc w:val="center"/>
        <w:rPr>
          <w:rFonts w:hint="eastAsia" w:ascii="宋体" w:hAnsi="宋体" w:eastAsia="宋体" w:cs="宋体"/>
          <w:b/>
          <w:bCs/>
          <w:color w:val="auto"/>
          <w:sz w:val="32"/>
          <w:szCs w:val="32"/>
          <w:highlight w:val="none"/>
        </w:rPr>
      </w:pPr>
    </w:p>
    <w:p w14:paraId="0AE2F724">
      <w:pPr>
        <w:spacing w:line="360" w:lineRule="auto"/>
        <w:jc w:val="center"/>
        <w:rPr>
          <w:rFonts w:hint="eastAsia" w:ascii="宋体" w:hAnsi="宋体" w:eastAsia="宋体" w:cs="宋体"/>
          <w:b/>
          <w:color w:val="auto"/>
          <w:kern w:val="0"/>
          <w:sz w:val="32"/>
          <w:szCs w:val="32"/>
          <w:highlight w:val="none"/>
          <w:lang w:val="zh-CN"/>
        </w:rPr>
      </w:pPr>
      <w:r>
        <w:rPr>
          <w:rFonts w:hint="eastAsia" w:ascii="宋体" w:hAnsi="宋体" w:eastAsia="宋体" w:cs="宋体"/>
          <w:b/>
          <w:bCs/>
          <w:color w:val="auto"/>
          <w:sz w:val="32"/>
          <w:szCs w:val="32"/>
          <w:highlight w:val="none"/>
          <w:lang w:val="en-US" w:eastAsia="zh-CN"/>
        </w:rPr>
        <w:t>七</w:t>
      </w:r>
      <w:r>
        <w:rPr>
          <w:rFonts w:hint="eastAsia" w:ascii="宋体" w:hAnsi="宋体" w:eastAsia="宋体" w:cs="宋体"/>
          <w:b/>
          <w:bCs/>
          <w:color w:val="auto"/>
          <w:sz w:val="32"/>
          <w:szCs w:val="32"/>
          <w:highlight w:val="none"/>
        </w:rPr>
        <w:t>、认为需要的</w:t>
      </w:r>
      <w:r>
        <w:rPr>
          <w:rFonts w:hint="eastAsia" w:ascii="宋体" w:hAnsi="宋体" w:eastAsia="宋体" w:cs="宋体"/>
          <w:b/>
          <w:color w:val="auto"/>
          <w:kern w:val="0"/>
          <w:sz w:val="32"/>
          <w:szCs w:val="32"/>
          <w:highlight w:val="none"/>
          <w:lang w:val="zh-CN"/>
        </w:rPr>
        <w:t>其他商务文件或说明</w:t>
      </w:r>
    </w:p>
    <w:p w14:paraId="06669696">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（由供应商根据采购需求自行编制）</w:t>
      </w:r>
    </w:p>
    <w:p w14:paraId="4B9222BF">
      <w:pPr>
        <w:spacing w:line="360" w:lineRule="auto"/>
        <w:jc w:val="center"/>
        <w:rPr>
          <w:rFonts w:hint="eastAsia" w:ascii="宋体" w:hAnsi="宋体" w:eastAsia="宋体" w:cs="宋体"/>
          <w:color w:val="auto"/>
          <w:sz w:val="24"/>
          <w:highlight w:val="none"/>
        </w:rPr>
      </w:pPr>
    </w:p>
    <w:p w14:paraId="380B26A8">
      <w:pPr>
        <w:spacing w:line="360" w:lineRule="auto"/>
        <w:rPr>
          <w:rFonts w:hint="eastAsia" w:ascii="宋体" w:hAnsi="宋体" w:eastAsia="宋体" w:cs="宋体"/>
          <w:color w:val="auto"/>
          <w:sz w:val="24"/>
          <w:highlight w:val="none"/>
        </w:rPr>
      </w:pPr>
    </w:p>
    <w:p w14:paraId="0C419BEA">
      <w:pPr>
        <w:autoSpaceDE w:val="0"/>
        <w:autoSpaceDN w:val="0"/>
        <w:spacing w:line="360" w:lineRule="auto"/>
        <w:ind w:firstLine="4560" w:firstLineChars="19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w:t>
      </w:r>
      <w:r>
        <w:rPr>
          <w:rFonts w:hint="eastAsia" w:ascii="宋体" w:hAnsi="宋体" w:eastAsia="宋体" w:cs="宋体"/>
          <w:color w:val="auto"/>
          <w:kern w:val="0"/>
          <w:sz w:val="24"/>
          <w:highlight w:val="none"/>
          <w:lang w:val="zh-CN"/>
        </w:rPr>
        <w:t>电子签名</w:t>
      </w:r>
      <w:r>
        <w:rPr>
          <w:rFonts w:hint="eastAsia" w:ascii="宋体" w:hAnsi="宋体" w:eastAsia="宋体" w:cs="宋体"/>
          <w:color w:val="auto"/>
          <w:kern w:val="0"/>
          <w:sz w:val="24"/>
          <w:highlight w:val="none"/>
        </w:rPr>
        <w:t xml:space="preserve">）：                       </w:t>
      </w:r>
    </w:p>
    <w:p w14:paraId="0F178F62">
      <w:pPr>
        <w:spacing w:line="360" w:lineRule="auto"/>
        <w:rPr>
          <w:rFonts w:hint="eastAsia" w:ascii="宋体" w:hAnsi="宋体" w:eastAsia="宋体" w:cs="宋体"/>
          <w:b/>
          <w:bCs/>
          <w:color w:val="auto"/>
          <w:sz w:val="24"/>
          <w:highlight w:val="none"/>
        </w:rPr>
      </w:pPr>
      <w:r>
        <w:rPr>
          <w:rFonts w:hint="eastAsia" w:ascii="宋体" w:hAnsi="宋体" w:eastAsia="宋体" w:cs="宋体"/>
          <w:color w:val="auto"/>
          <w:kern w:val="0"/>
          <w:sz w:val="24"/>
          <w:highlight w:val="none"/>
        </w:rPr>
        <w:t xml:space="preserve">                                      日期：  年  月   日</w:t>
      </w:r>
    </w:p>
    <w:p w14:paraId="3CBD5082">
      <w:pPr>
        <w:spacing w:line="360" w:lineRule="auto"/>
        <w:jc w:val="center"/>
        <w:rPr>
          <w:rFonts w:hint="eastAsia" w:ascii="宋体" w:hAnsi="宋体" w:eastAsia="宋体" w:cs="宋体"/>
          <w:b/>
          <w:bCs/>
          <w:color w:val="auto"/>
          <w:sz w:val="32"/>
          <w:szCs w:val="32"/>
          <w:highlight w:val="none"/>
        </w:rPr>
      </w:pPr>
    </w:p>
    <w:p w14:paraId="79C73CFC">
      <w:pPr>
        <w:spacing w:line="360" w:lineRule="auto"/>
        <w:rPr>
          <w:rFonts w:hint="eastAsia" w:ascii="宋体" w:hAnsi="宋体" w:eastAsia="宋体" w:cs="宋体"/>
          <w:b/>
          <w:bCs/>
          <w:color w:val="auto"/>
          <w:kern w:val="0"/>
          <w:sz w:val="24"/>
          <w:highlight w:val="none"/>
        </w:rPr>
      </w:pPr>
    </w:p>
    <w:p w14:paraId="17AB7D0D">
      <w:pPr>
        <w:widowControl/>
        <w:adjustRightInd/>
        <w:jc w:val="left"/>
        <w:rPr>
          <w:rFonts w:hint="eastAsia" w:ascii="宋体" w:hAnsi="宋体" w:eastAsia="宋体" w:cs="宋体"/>
          <w:b/>
          <w:color w:val="auto"/>
          <w:sz w:val="32"/>
          <w:szCs w:val="32"/>
          <w:highlight w:val="none"/>
        </w:rPr>
      </w:pPr>
      <w:r>
        <w:rPr>
          <w:rFonts w:hint="eastAsia" w:ascii="宋体" w:hAnsi="宋体" w:eastAsia="宋体" w:cs="宋体"/>
          <w:color w:val="auto"/>
          <w:highlight w:val="none"/>
        </w:rPr>
        <w:br w:type="page"/>
      </w:r>
    </w:p>
    <w:p w14:paraId="7D308092">
      <w:pPr>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lang w:val="en-US" w:eastAsia="zh-CN"/>
        </w:rPr>
        <w:t>八</w:t>
      </w:r>
      <w:r>
        <w:rPr>
          <w:rFonts w:hint="eastAsia" w:ascii="宋体" w:hAnsi="宋体" w:eastAsia="宋体" w:cs="宋体"/>
          <w:b/>
          <w:bCs/>
          <w:color w:val="auto"/>
          <w:sz w:val="32"/>
          <w:szCs w:val="32"/>
          <w:highlight w:val="none"/>
        </w:rPr>
        <w:t>、</w:t>
      </w:r>
      <w:r>
        <w:rPr>
          <w:rFonts w:hint="eastAsia" w:ascii="宋体" w:hAnsi="宋体" w:eastAsia="宋体" w:cs="宋体"/>
          <w:b/>
          <w:bCs/>
          <w:color w:val="auto"/>
          <w:sz w:val="32"/>
          <w:szCs w:val="32"/>
          <w:highlight w:val="none"/>
          <w:lang w:val="zh-CN"/>
        </w:rPr>
        <w:t>针对本项目《第四部分  采购需求》和“第五部分  评审方法及评审标准  评审方法前附表”中的条款拟定完整方案，格式自拟；</w:t>
      </w:r>
    </w:p>
    <w:p w14:paraId="03143699">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（由供应商根据采购需求及磋商文件要求编制）</w:t>
      </w:r>
    </w:p>
    <w:p w14:paraId="3C5C4446">
      <w:pPr>
        <w:spacing w:line="360" w:lineRule="auto"/>
        <w:jc w:val="center"/>
        <w:rPr>
          <w:rFonts w:hint="eastAsia" w:ascii="宋体" w:hAnsi="宋体" w:eastAsia="宋体" w:cs="宋体"/>
          <w:color w:val="auto"/>
          <w:sz w:val="24"/>
          <w:highlight w:val="none"/>
        </w:rPr>
      </w:pPr>
    </w:p>
    <w:p w14:paraId="240B31F9">
      <w:pPr>
        <w:autoSpaceDE w:val="0"/>
        <w:autoSpaceDN w:val="0"/>
        <w:spacing w:line="360" w:lineRule="auto"/>
        <w:rPr>
          <w:rFonts w:hint="eastAsia" w:ascii="宋体" w:hAnsi="宋体" w:eastAsia="宋体" w:cs="宋体"/>
          <w:color w:val="auto"/>
          <w:kern w:val="0"/>
          <w:sz w:val="24"/>
          <w:highlight w:val="none"/>
        </w:rPr>
      </w:pPr>
    </w:p>
    <w:p w14:paraId="0219B2DB">
      <w:pPr>
        <w:autoSpaceDE w:val="0"/>
        <w:autoSpaceDN w:val="0"/>
        <w:spacing w:line="360" w:lineRule="auto"/>
        <w:ind w:firstLine="4560" w:firstLineChars="19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w:t>
      </w:r>
      <w:r>
        <w:rPr>
          <w:rFonts w:hint="eastAsia" w:ascii="宋体" w:hAnsi="宋体" w:eastAsia="宋体" w:cs="宋体"/>
          <w:color w:val="auto"/>
          <w:kern w:val="0"/>
          <w:sz w:val="24"/>
          <w:highlight w:val="none"/>
          <w:lang w:val="zh-CN"/>
        </w:rPr>
        <w:t>电子签名</w:t>
      </w:r>
      <w:r>
        <w:rPr>
          <w:rFonts w:hint="eastAsia" w:ascii="宋体" w:hAnsi="宋体" w:eastAsia="宋体" w:cs="宋体"/>
          <w:color w:val="auto"/>
          <w:kern w:val="0"/>
          <w:sz w:val="24"/>
          <w:highlight w:val="none"/>
        </w:rPr>
        <w:t xml:space="preserve">）：                       </w:t>
      </w:r>
    </w:p>
    <w:p w14:paraId="3435CCC4">
      <w:pPr>
        <w:spacing w:line="360" w:lineRule="auto"/>
        <w:rPr>
          <w:rFonts w:hint="eastAsia" w:ascii="宋体" w:hAnsi="宋体" w:eastAsia="宋体" w:cs="宋体"/>
          <w:b/>
          <w:bCs/>
          <w:color w:val="auto"/>
          <w:sz w:val="24"/>
          <w:highlight w:val="none"/>
        </w:rPr>
      </w:pPr>
      <w:r>
        <w:rPr>
          <w:rFonts w:hint="eastAsia" w:ascii="宋体" w:hAnsi="宋体" w:eastAsia="宋体" w:cs="宋体"/>
          <w:color w:val="auto"/>
          <w:kern w:val="0"/>
          <w:sz w:val="24"/>
          <w:highlight w:val="none"/>
        </w:rPr>
        <w:t xml:space="preserve">                                      日期：  年  月   日</w:t>
      </w:r>
    </w:p>
    <w:p w14:paraId="560BF63A">
      <w:pPr>
        <w:spacing w:line="360" w:lineRule="auto"/>
        <w:jc w:val="center"/>
        <w:rPr>
          <w:rFonts w:hint="eastAsia" w:ascii="宋体" w:hAnsi="宋体" w:eastAsia="宋体" w:cs="宋体"/>
          <w:b/>
          <w:bCs/>
          <w:color w:val="auto"/>
          <w:sz w:val="32"/>
          <w:szCs w:val="32"/>
          <w:highlight w:val="none"/>
        </w:rPr>
      </w:pPr>
    </w:p>
    <w:p w14:paraId="2E413CDD">
      <w:pPr>
        <w:tabs>
          <w:tab w:val="left" w:pos="2790"/>
          <w:tab w:val="left" w:pos="4230"/>
        </w:tabs>
        <w:autoSpaceDE w:val="0"/>
        <w:autoSpaceDN w:val="0"/>
        <w:spacing w:line="360" w:lineRule="auto"/>
        <w:ind w:right="1400"/>
        <w:jc w:val="center"/>
        <w:rPr>
          <w:rFonts w:hint="eastAsia" w:ascii="宋体" w:hAnsi="宋体" w:eastAsia="宋体" w:cs="宋体"/>
          <w:b/>
          <w:bCs/>
          <w:color w:val="auto"/>
          <w:kern w:val="0"/>
          <w:sz w:val="24"/>
          <w:highlight w:val="none"/>
          <w:lang w:val="zh-CN"/>
        </w:rPr>
      </w:pPr>
      <w:r>
        <w:rPr>
          <w:rFonts w:hint="eastAsia" w:ascii="宋体" w:hAnsi="宋体" w:eastAsia="宋体" w:cs="宋体"/>
          <w:b/>
          <w:bCs/>
          <w:color w:val="auto"/>
          <w:kern w:val="0"/>
          <w:sz w:val="24"/>
          <w:highlight w:val="none"/>
          <w:lang w:val="zh-CN"/>
        </w:rPr>
        <w:t xml:space="preserve">       </w:t>
      </w:r>
    </w:p>
    <w:p w14:paraId="4B975779">
      <w:pPr>
        <w:spacing w:line="360" w:lineRule="auto"/>
        <w:jc w:val="center"/>
        <w:rPr>
          <w:rFonts w:hint="eastAsia" w:ascii="宋体" w:hAnsi="宋体" w:eastAsia="宋体" w:cs="宋体"/>
          <w:color w:val="auto"/>
          <w:kern w:val="0"/>
          <w:sz w:val="24"/>
          <w:highlight w:val="none"/>
        </w:rPr>
      </w:pPr>
    </w:p>
    <w:p w14:paraId="2E85B564">
      <w:pPr>
        <w:spacing w:line="360" w:lineRule="auto"/>
        <w:jc w:val="center"/>
        <w:rPr>
          <w:rFonts w:hint="default"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highlight w:val="none"/>
          <w:lang w:val="en-US" w:eastAsia="zh-CN"/>
        </w:rPr>
        <w:t>九、</w:t>
      </w:r>
      <w:r>
        <w:rPr>
          <w:rFonts w:hint="eastAsia" w:ascii="宋体" w:hAnsi="宋体" w:eastAsia="宋体" w:cs="宋体"/>
          <w:b/>
          <w:bCs/>
          <w:color w:val="auto"/>
          <w:sz w:val="32"/>
          <w:szCs w:val="32"/>
          <w:highlight w:val="none"/>
          <w:lang w:val="zh-CN"/>
        </w:rPr>
        <w:t>针对本项目《第四部分  采购需求》和“第五部分  评审方法及评审标准  评审方法前附表”中</w:t>
      </w:r>
      <w:r>
        <w:rPr>
          <w:rFonts w:hint="eastAsia" w:ascii="宋体" w:hAnsi="宋体" w:eastAsia="宋体" w:cs="宋体"/>
          <w:b/>
          <w:bCs/>
          <w:color w:val="auto"/>
          <w:sz w:val="32"/>
          <w:szCs w:val="32"/>
          <w:highlight w:val="none"/>
          <w:lang w:val="en-US" w:eastAsia="zh-CN"/>
        </w:rPr>
        <w:t>需要提供的人员资质证书、工作经验证明材料、社保证明、认证证书和全国认证认可信息公共服务平台官网认证截图等（如有）；</w:t>
      </w:r>
    </w:p>
    <w:p w14:paraId="06097C97">
      <w:pPr>
        <w:spacing w:line="360" w:lineRule="auto"/>
        <w:jc w:val="center"/>
        <w:rPr>
          <w:rFonts w:hint="eastAsia" w:ascii="宋体" w:hAnsi="宋体" w:eastAsia="宋体" w:cs="宋体"/>
          <w:b/>
          <w:bCs/>
          <w:color w:val="auto"/>
          <w:sz w:val="32"/>
          <w:szCs w:val="32"/>
          <w:highlight w:val="none"/>
          <w:lang w:val="en-US" w:eastAsia="zh-CN"/>
        </w:rPr>
      </w:pPr>
    </w:p>
    <w:p w14:paraId="49A8052E">
      <w:pPr>
        <w:spacing w:line="360" w:lineRule="auto"/>
        <w:jc w:val="center"/>
        <w:rPr>
          <w:rFonts w:hint="eastAsia" w:ascii="宋体" w:hAnsi="宋体" w:eastAsia="宋体" w:cs="宋体"/>
          <w:b/>
          <w:bCs/>
          <w:color w:val="auto"/>
          <w:sz w:val="32"/>
          <w:szCs w:val="32"/>
          <w:highlight w:val="none"/>
          <w:lang w:val="en-US" w:eastAsia="zh-CN"/>
        </w:rPr>
      </w:pPr>
    </w:p>
    <w:p w14:paraId="65CA45B8">
      <w:pPr>
        <w:spacing w:line="360" w:lineRule="auto"/>
        <w:jc w:val="center"/>
        <w:rPr>
          <w:rFonts w:hint="eastAsia" w:ascii="宋体" w:hAnsi="宋体" w:eastAsia="宋体" w:cs="宋体"/>
          <w:b/>
          <w:bCs/>
          <w:color w:val="auto"/>
          <w:sz w:val="32"/>
          <w:szCs w:val="32"/>
          <w:highlight w:val="none"/>
          <w:lang w:val="en-US" w:eastAsia="zh-CN"/>
        </w:rPr>
      </w:pPr>
    </w:p>
    <w:p w14:paraId="731D4D3F">
      <w:pPr>
        <w:spacing w:line="360" w:lineRule="auto"/>
        <w:jc w:val="center"/>
        <w:rPr>
          <w:rFonts w:hint="eastAsia" w:ascii="宋体" w:hAnsi="宋体" w:eastAsia="宋体" w:cs="宋体"/>
          <w:b/>
          <w:color w:val="auto"/>
          <w:kern w:val="0"/>
          <w:sz w:val="32"/>
          <w:szCs w:val="32"/>
          <w:highlight w:val="none"/>
          <w:lang w:val="zh-CN"/>
        </w:rPr>
      </w:pPr>
      <w:r>
        <w:rPr>
          <w:rFonts w:hint="eastAsia" w:ascii="宋体" w:hAnsi="宋体" w:cs="宋体"/>
          <w:b/>
          <w:bCs/>
          <w:color w:val="auto"/>
          <w:sz w:val="32"/>
          <w:szCs w:val="32"/>
          <w:highlight w:val="none"/>
          <w:lang w:val="en-US" w:eastAsia="zh-CN"/>
        </w:rPr>
        <w:t>十</w:t>
      </w:r>
      <w:r>
        <w:rPr>
          <w:rFonts w:hint="eastAsia" w:ascii="宋体" w:hAnsi="宋体" w:eastAsia="宋体" w:cs="宋体"/>
          <w:b/>
          <w:bCs/>
          <w:color w:val="auto"/>
          <w:sz w:val="32"/>
          <w:szCs w:val="32"/>
          <w:highlight w:val="none"/>
        </w:rPr>
        <w:t>、认为需</w:t>
      </w:r>
      <w:r>
        <w:rPr>
          <w:rFonts w:hint="eastAsia" w:ascii="宋体" w:hAnsi="宋体" w:eastAsia="宋体" w:cs="宋体"/>
          <w:b/>
          <w:bCs/>
          <w:color w:val="auto"/>
          <w:sz w:val="32"/>
          <w:szCs w:val="32"/>
          <w:highlight w:val="none"/>
          <w:lang w:val="en-US" w:eastAsia="zh-CN"/>
        </w:rPr>
        <w:t>要</w:t>
      </w:r>
      <w:r>
        <w:rPr>
          <w:rFonts w:hint="eastAsia" w:ascii="宋体" w:hAnsi="宋体" w:eastAsia="宋体" w:cs="宋体"/>
          <w:b/>
          <w:bCs/>
          <w:color w:val="auto"/>
          <w:sz w:val="32"/>
          <w:szCs w:val="32"/>
          <w:highlight w:val="none"/>
        </w:rPr>
        <w:t>的</w:t>
      </w:r>
      <w:r>
        <w:rPr>
          <w:rFonts w:hint="eastAsia" w:ascii="宋体" w:hAnsi="宋体" w:eastAsia="宋体" w:cs="宋体"/>
          <w:b/>
          <w:color w:val="auto"/>
          <w:kern w:val="0"/>
          <w:sz w:val="32"/>
          <w:szCs w:val="32"/>
          <w:highlight w:val="none"/>
          <w:lang w:val="zh-CN"/>
        </w:rPr>
        <w:t>其他技术文件或说明</w:t>
      </w:r>
    </w:p>
    <w:p w14:paraId="6C1255EF">
      <w:pPr>
        <w:spacing w:line="360" w:lineRule="auto"/>
        <w:rPr>
          <w:rFonts w:hint="eastAsia" w:ascii="宋体" w:hAnsi="宋体" w:eastAsia="宋体" w:cs="宋体"/>
          <w:color w:val="auto"/>
          <w:sz w:val="24"/>
          <w:highlight w:val="none"/>
        </w:rPr>
      </w:pPr>
    </w:p>
    <w:p w14:paraId="1EF01376">
      <w:pPr>
        <w:autoSpaceDE w:val="0"/>
        <w:autoSpaceDN w:val="0"/>
        <w:spacing w:line="360" w:lineRule="auto"/>
        <w:jc w:val="center"/>
        <w:rPr>
          <w:rFonts w:hint="eastAsia" w:ascii="宋体" w:hAnsi="宋体" w:eastAsia="宋体" w:cs="宋体"/>
          <w:color w:val="auto"/>
          <w:sz w:val="24"/>
          <w:highlight w:val="none"/>
        </w:rPr>
      </w:pPr>
    </w:p>
    <w:p w14:paraId="5CCF397F">
      <w:pPr>
        <w:autoSpaceDE w:val="0"/>
        <w:autoSpaceDN w:val="0"/>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其他技术文件或说明</w:t>
      </w:r>
      <w:r>
        <w:rPr>
          <w:rFonts w:hint="eastAsia" w:ascii="宋体" w:hAnsi="宋体" w:eastAsia="宋体" w:cs="宋体"/>
          <w:color w:val="auto"/>
          <w:sz w:val="24"/>
          <w:highlight w:val="none"/>
        </w:rPr>
        <w:t>由供应商根据采购需求自行编制）</w:t>
      </w:r>
    </w:p>
    <w:p w14:paraId="583143C3">
      <w:pPr>
        <w:autoSpaceDE w:val="0"/>
        <w:autoSpaceDN w:val="0"/>
        <w:spacing w:line="360" w:lineRule="auto"/>
        <w:ind w:firstLine="4560" w:firstLineChars="1900"/>
        <w:rPr>
          <w:rFonts w:hint="eastAsia" w:ascii="宋体" w:hAnsi="宋体" w:eastAsia="宋体" w:cs="宋体"/>
          <w:color w:val="auto"/>
          <w:kern w:val="0"/>
          <w:sz w:val="24"/>
          <w:highlight w:val="none"/>
        </w:rPr>
      </w:pPr>
    </w:p>
    <w:p w14:paraId="42DB5772">
      <w:pPr>
        <w:autoSpaceDE w:val="0"/>
        <w:autoSpaceDN w:val="0"/>
        <w:spacing w:line="360" w:lineRule="auto"/>
        <w:ind w:firstLine="4560" w:firstLineChars="19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w:t>
      </w:r>
      <w:r>
        <w:rPr>
          <w:rFonts w:hint="eastAsia" w:ascii="宋体" w:hAnsi="宋体" w:eastAsia="宋体" w:cs="宋体"/>
          <w:color w:val="auto"/>
          <w:kern w:val="0"/>
          <w:sz w:val="24"/>
          <w:highlight w:val="none"/>
          <w:lang w:val="zh-CN"/>
        </w:rPr>
        <w:t>电子签名</w:t>
      </w:r>
      <w:r>
        <w:rPr>
          <w:rFonts w:hint="eastAsia" w:ascii="宋体" w:hAnsi="宋体" w:eastAsia="宋体" w:cs="宋体"/>
          <w:color w:val="auto"/>
          <w:kern w:val="0"/>
          <w:sz w:val="24"/>
          <w:highlight w:val="none"/>
        </w:rPr>
        <w:t xml:space="preserve">）：                       </w:t>
      </w:r>
    </w:p>
    <w:p w14:paraId="4090D733">
      <w:pPr>
        <w:spacing w:line="360" w:lineRule="auto"/>
        <w:rPr>
          <w:rFonts w:hint="eastAsia" w:ascii="宋体" w:hAnsi="宋体" w:eastAsia="宋体" w:cs="宋体"/>
          <w:b/>
          <w:bCs/>
          <w:color w:val="auto"/>
          <w:sz w:val="24"/>
          <w:highlight w:val="none"/>
        </w:rPr>
      </w:pPr>
      <w:r>
        <w:rPr>
          <w:rFonts w:hint="eastAsia" w:ascii="宋体" w:hAnsi="宋体" w:eastAsia="宋体" w:cs="宋体"/>
          <w:color w:val="auto"/>
          <w:kern w:val="0"/>
          <w:sz w:val="24"/>
          <w:highlight w:val="none"/>
        </w:rPr>
        <w:t xml:space="preserve">                                      日期：  年  月   日</w:t>
      </w:r>
    </w:p>
    <w:p w14:paraId="77B15B22">
      <w:pPr>
        <w:spacing w:line="360" w:lineRule="auto"/>
        <w:jc w:val="center"/>
        <w:rPr>
          <w:rFonts w:hint="eastAsia" w:ascii="宋体" w:hAnsi="宋体" w:eastAsia="宋体" w:cs="宋体"/>
          <w:b/>
          <w:bCs/>
          <w:color w:val="auto"/>
          <w:sz w:val="32"/>
          <w:szCs w:val="32"/>
          <w:highlight w:val="none"/>
        </w:rPr>
      </w:pPr>
    </w:p>
    <w:p w14:paraId="48425AA2">
      <w:pPr>
        <w:tabs>
          <w:tab w:val="left" w:pos="0"/>
        </w:tabs>
        <w:autoSpaceDE w:val="0"/>
        <w:autoSpaceDN w:val="0"/>
        <w:spacing w:line="360" w:lineRule="auto"/>
        <w:jc w:val="center"/>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十</w:t>
      </w:r>
      <w:r>
        <w:rPr>
          <w:rFonts w:hint="eastAsia" w:ascii="宋体" w:hAnsi="宋体" w:cs="宋体"/>
          <w:b/>
          <w:bCs/>
          <w:color w:val="auto"/>
          <w:sz w:val="30"/>
          <w:szCs w:val="30"/>
          <w:highlight w:val="none"/>
          <w:lang w:val="en-US" w:eastAsia="zh-CN"/>
        </w:rPr>
        <w:t>一</w:t>
      </w:r>
      <w:r>
        <w:rPr>
          <w:rFonts w:hint="eastAsia" w:ascii="宋体" w:hAnsi="宋体" w:eastAsia="宋体" w:cs="宋体"/>
          <w:b/>
          <w:bCs/>
          <w:color w:val="auto"/>
          <w:sz w:val="30"/>
          <w:szCs w:val="30"/>
          <w:highlight w:val="none"/>
        </w:rPr>
        <w:t>、</w:t>
      </w:r>
      <w:r>
        <w:rPr>
          <w:rFonts w:hint="eastAsia" w:ascii="宋体" w:hAnsi="宋体" w:eastAsia="宋体" w:cs="宋体"/>
          <w:b/>
          <w:color w:val="auto"/>
          <w:kern w:val="0"/>
          <w:sz w:val="32"/>
          <w:szCs w:val="32"/>
          <w:highlight w:val="none"/>
          <w:lang w:val="zh-CN"/>
        </w:rPr>
        <w:t>政府采购供应商廉洁自律承诺书</w:t>
      </w:r>
    </w:p>
    <w:p w14:paraId="0DD4EA2B">
      <w:pPr>
        <w:autoSpaceDE w:val="0"/>
        <w:autoSpaceDN w:val="0"/>
        <w:spacing w:line="360" w:lineRule="auto"/>
        <w:jc w:val="left"/>
        <w:rPr>
          <w:rFonts w:hint="eastAsia" w:ascii="宋体" w:hAnsi="宋体" w:eastAsia="宋体" w:cs="宋体"/>
          <w:color w:val="auto"/>
          <w:kern w:val="0"/>
          <w:sz w:val="24"/>
          <w:highlight w:val="none"/>
          <w:lang w:val="zh-CN"/>
        </w:rPr>
      </w:pPr>
      <w:r>
        <w:rPr>
          <w:rFonts w:hint="eastAsia" w:ascii="宋体" w:hAnsi="宋体" w:eastAsia="宋体" w:cs="宋体"/>
          <w:color w:val="auto"/>
          <w:sz w:val="24"/>
          <w:highlight w:val="none"/>
          <w:lang w:eastAsia="zh-CN"/>
        </w:rPr>
        <w:t>宁波市数据局</w:t>
      </w:r>
      <w:r>
        <w:rPr>
          <w:rFonts w:hint="eastAsia" w:ascii="宋体" w:hAnsi="宋体" w:eastAsia="宋体" w:cs="宋体"/>
          <w:color w:val="auto"/>
          <w:kern w:val="0"/>
          <w:sz w:val="24"/>
          <w:highlight w:val="none"/>
          <w:lang w:val="zh-CN"/>
        </w:rPr>
        <w:t xml:space="preserve">：    </w:t>
      </w:r>
    </w:p>
    <w:p w14:paraId="6D23BA7C">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我单位响应你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项目采购要求参加响应。在这次响应过程中和成交后，我们将严格遵守国家法律法规要求，并郑重承诺：</w:t>
      </w:r>
    </w:p>
    <w:p w14:paraId="04784AA4">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一、不向项目有关人员及部门赠送礼金礼物、有价证券、回扣以及中介费、介绍费、咨询费等好处费； </w:t>
      </w:r>
    </w:p>
    <w:p w14:paraId="336DB34A">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二、不为项目有关人员及部门报销应由你方单位或个人支付的费用； </w:t>
      </w:r>
    </w:p>
    <w:p w14:paraId="5DBF189C">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三、不向项目有关人员及部门提供有可能影响公正的宴请和健身娱乐等活动； </w:t>
      </w:r>
    </w:p>
    <w:p w14:paraId="6956FE30">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四、不为项目有关人员及部门出国（境）、旅游等提供方便；</w:t>
      </w:r>
    </w:p>
    <w:p w14:paraId="24748F29">
      <w:pPr>
        <w:autoSpaceDE w:val="0"/>
        <w:autoSpaceDN w:val="0"/>
        <w:spacing w:line="360" w:lineRule="auto"/>
        <w:ind w:left="481" w:leftChars="229"/>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五、不为项目有关人员个人装修住房、婚丧嫁娶、配偶子女工作安排等提供</w:t>
      </w:r>
    </w:p>
    <w:p w14:paraId="15E5B4BE">
      <w:pPr>
        <w:autoSpaceDE w:val="0"/>
        <w:autoSpaceDN w:val="0"/>
        <w:spacing w:line="360" w:lineRule="auto"/>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好处；</w:t>
      </w:r>
    </w:p>
    <w:p w14:paraId="10084F64">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六、严格遵守《中华人民共和国政府采购法》《中华人民共和国招标投标法》《中华人民共和国民法典》等法律法规，诚实守信，合法经营，坚决抵制各种违法违纪行为。 </w:t>
      </w:r>
    </w:p>
    <w:p w14:paraId="438AFB2B">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如违反上述承诺，你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有权立即取消我单位响应、成交或在建项目的建设资格，有权拒绝我单位在一定时期内进入你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进行项目建设或其他经营活动，并通报市财政局。由此引起的相应损失均由我单位承担。</w:t>
      </w:r>
    </w:p>
    <w:p w14:paraId="2EBBAE0B">
      <w:pPr>
        <w:autoSpaceDE w:val="0"/>
        <w:autoSpaceDN w:val="0"/>
        <w:spacing w:line="360" w:lineRule="auto"/>
        <w:ind w:left="2"/>
        <w:jc w:val="left"/>
        <w:rPr>
          <w:rFonts w:hint="eastAsia" w:ascii="宋体" w:hAnsi="宋体" w:eastAsia="宋体" w:cs="宋体"/>
          <w:color w:val="auto"/>
          <w:kern w:val="0"/>
          <w:sz w:val="24"/>
          <w:highlight w:val="none"/>
          <w:lang w:val="zh-CN"/>
        </w:rPr>
      </w:pPr>
    </w:p>
    <w:p w14:paraId="506C8694">
      <w:pPr>
        <w:autoSpaceDE w:val="0"/>
        <w:autoSpaceDN w:val="0"/>
        <w:spacing w:line="360" w:lineRule="auto"/>
        <w:ind w:left="2"/>
        <w:jc w:val="left"/>
        <w:rPr>
          <w:rFonts w:hint="eastAsia" w:ascii="宋体" w:hAnsi="宋体" w:eastAsia="宋体" w:cs="宋体"/>
          <w:color w:val="auto"/>
          <w:kern w:val="0"/>
          <w:sz w:val="24"/>
          <w:highlight w:val="none"/>
          <w:lang w:val="zh-CN"/>
        </w:rPr>
      </w:pPr>
    </w:p>
    <w:p w14:paraId="6BDB577A">
      <w:pPr>
        <w:autoSpaceDE w:val="0"/>
        <w:autoSpaceDN w:val="0"/>
        <w:spacing w:line="360" w:lineRule="auto"/>
        <w:ind w:left="2"/>
        <w:jc w:val="left"/>
        <w:rPr>
          <w:rFonts w:hint="eastAsia" w:ascii="宋体" w:hAnsi="宋体" w:eastAsia="宋体" w:cs="宋体"/>
          <w:color w:val="auto"/>
          <w:kern w:val="0"/>
          <w:sz w:val="24"/>
          <w:highlight w:val="none"/>
          <w:lang w:val="zh-CN"/>
        </w:rPr>
      </w:pPr>
    </w:p>
    <w:p w14:paraId="02246687">
      <w:pPr>
        <w:autoSpaceDE w:val="0"/>
        <w:autoSpaceDN w:val="0"/>
        <w:spacing w:line="360" w:lineRule="auto"/>
        <w:ind w:left="2" w:leftChars="1" w:right="1120" w:firstLine="4560" w:firstLineChars="19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rPr>
        <w:t>供应商</w:t>
      </w:r>
      <w:r>
        <w:rPr>
          <w:rFonts w:hint="eastAsia" w:ascii="宋体" w:hAnsi="宋体" w:eastAsia="宋体" w:cs="宋体"/>
          <w:color w:val="auto"/>
          <w:kern w:val="0"/>
          <w:sz w:val="24"/>
          <w:highlight w:val="none"/>
          <w:lang w:val="zh-CN"/>
        </w:rPr>
        <w:t>名称（</w:t>
      </w:r>
      <w:r>
        <w:rPr>
          <w:rFonts w:hint="eastAsia" w:ascii="宋体" w:hAnsi="宋体" w:eastAsia="宋体" w:cs="宋体"/>
          <w:color w:val="auto"/>
          <w:sz w:val="24"/>
          <w:highlight w:val="none"/>
        </w:rPr>
        <w:t>电子签名</w:t>
      </w:r>
      <w:r>
        <w:rPr>
          <w:rFonts w:hint="eastAsia" w:ascii="宋体" w:hAnsi="宋体" w:eastAsia="宋体" w:cs="宋体"/>
          <w:color w:val="auto"/>
          <w:kern w:val="0"/>
          <w:sz w:val="24"/>
          <w:highlight w:val="none"/>
          <w:lang w:val="zh-CN"/>
        </w:rPr>
        <w:t xml:space="preserve">）：                </w:t>
      </w:r>
    </w:p>
    <w:p w14:paraId="16AD0946">
      <w:pPr>
        <w:spacing w:line="360" w:lineRule="auto"/>
        <w:ind w:left="4620" w:leftChars="2200"/>
        <w:rPr>
          <w:rFonts w:hint="eastAsia" w:ascii="宋体" w:hAnsi="宋体" w:eastAsia="宋体" w:cs="宋体"/>
          <w:color w:val="auto"/>
          <w:kern w:val="0"/>
          <w:sz w:val="24"/>
          <w:highlight w:val="none"/>
          <w:lang w:val="zh-CN"/>
        </w:rPr>
        <w:sectPr>
          <w:headerReference r:id="rId8" w:type="first"/>
          <w:footerReference r:id="rId11" w:type="first"/>
          <w:headerReference r:id="rId7" w:type="default"/>
          <w:footerReference r:id="rId9" w:type="default"/>
          <w:footerReference r:id="rId10" w:type="even"/>
          <w:pgSz w:w="11906" w:h="16838"/>
          <w:pgMar w:top="1440" w:right="1440" w:bottom="1440" w:left="1440" w:header="851" w:footer="992" w:gutter="0"/>
          <w:pgBorders>
            <w:top w:val="none" w:sz="0" w:space="0"/>
            <w:left w:val="none" w:sz="0" w:space="0"/>
            <w:bottom w:val="none" w:sz="0" w:space="0"/>
            <w:right w:val="none" w:sz="0" w:space="0"/>
          </w:pgBorders>
          <w:cols w:space="0" w:num="1"/>
          <w:titlePg/>
          <w:rtlGutter w:val="0"/>
          <w:docGrid w:linePitch="312" w:charSpace="0"/>
        </w:sect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 xml:space="preserve">   年   月   日</w:t>
      </w:r>
    </w:p>
    <w:p w14:paraId="018C968A">
      <w:pPr>
        <w:pStyle w:val="121"/>
        <w:keepNext w:val="0"/>
        <w:pageBreakBefore w:val="0"/>
        <w:tabs>
          <w:tab w:val="clear" w:pos="720"/>
        </w:tabs>
        <w:ind w:firstLine="640"/>
        <w:outlineLvl w:val="9"/>
        <w:rPr>
          <w:rFonts w:hint="eastAsia" w:ascii="宋体" w:hAnsi="宋体" w:eastAsia="宋体" w:cs="宋体"/>
          <w:b/>
          <w:color w:val="auto"/>
          <w:sz w:val="36"/>
          <w:szCs w:val="36"/>
          <w:highlight w:val="none"/>
          <w:lang w:val="en-US" w:eastAsia="zh-CN"/>
        </w:rPr>
      </w:pPr>
      <w:r>
        <w:rPr>
          <w:rFonts w:hint="eastAsia" w:ascii="宋体" w:hAnsi="宋体" w:eastAsia="宋体" w:cs="宋体"/>
          <w:b/>
          <w:color w:val="auto"/>
          <w:sz w:val="36"/>
          <w:szCs w:val="36"/>
          <w:highlight w:val="none"/>
          <w:lang w:val="en-US" w:eastAsia="zh-CN"/>
        </w:rPr>
        <w:t>十二、初次报价文件</w:t>
      </w:r>
    </w:p>
    <w:p w14:paraId="03898E65">
      <w:pPr>
        <w:pStyle w:val="121"/>
        <w:keepNext w:val="0"/>
        <w:pageBreakBefore w:val="0"/>
        <w:tabs>
          <w:tab w:val="clear" w:pos="720"/>
        </w:tabs>
        <w:ind w:firstLine="640"/>
        <w:outlineLvl w:val="9"/>
        <w:rPr>
          <w:rFonts w:hint="eastAsia"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A、报价一览表（初次报价）</w:t>
      </w:r>
    </w:p>
    <w:p w14:paraId="5D350C91">
      <w:pPr>
        <w:autoSpaceDE w:val="0"/>
        <w:autoSpaceDN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lang w:eastAsia="zh-CN"/>
        </w:rPr>
        <w:t>宁波市数据局</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宁波中基国际招标有限公司</w:t>
      </w:r>
      <w:r>
        <w:rPr>
          <w:rFonts w:hint="eastAsia" w:ascii="宋体" w:hAnsi="宋体" w:eastAsia="宋体" w:cs="宋体"/>
          <w:color w:val="auto"/>
          <w:kern w:val="0"/>
          <w:sz w:val="24"/>
          <w:highlight w:val="none"/>
          <w:lang w:val="zh-CN"/>
        </w:rPr>
        <w:t>：</w:t>
      </w:r>
    </w:p>
    <w:p w14:paraId="257ED3C1">
      <w:pPr>
        <w:spacing w:line="360" w:lineRule="auto"/>
        <w:ind w:firstLine="72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按你方磋商文件要求，</w:t>
      </w:r>
      <w:r>
        <w:rPr>
          <w:rFonts w:hint="eastAsia" w:ascii="宋体" w:hAnsi="宋体" w:eastAsia="宋体" w:cs="宋体"/>
          <w:color w:val="auto"/>
          <w:sz w:val="24"/>
          <w:highlight w:val="none"/>
        </w:rPr>
        <w:t>我们即</w:t>
      </w:r>
      <w:r>
        <w:rPr>
          <w:rFonts w:hint="eastAsia" w:ascii="宋体" w:hAnsi="宋体" w:eastAsia="宋体" w:cs="宋体"/>
          <w:color w:val="auto"/>
          <w:kern w:val="0"/>
          <w:sz w:val="24"/>
          <w:highlight w:val="none"/>
          <w:lang w:val="zh-CN"/>
        </w:rPr>
        <w:t>本响应文件签字方，谨此向你方发出要约如下：如你方接受本响应，我方承诺按照如下报价一览表的价格完成</w:t>
      </w:r>
      <w:r>
        <w:rPr>
          <w:rFonts w:hint="eastAsia" w:ascii="宋体" w:hAnsi="宋体" w:cs="宋体"/>
          <w:color w:val="auto"/>
          <w:sz w:val="24"/>
          <w:highlight w:val="none"/>
          <w:lang w:eastAsia="zh-CN"/>
        </w:rPr>
        <w:t>2025年市公共数据平台运维服务</w:t>
      </w:r>
      <w:r>
        <w:rPr>
          <w:rFonts w:hint="eastAsia" w:ascii="宋体" w:hAnsi="宋体" w:eastAsia="宋体" w:cs="宋体"/>
          <w:color w:val="auto"/>
          <w:sz w:val="24"/>
          <w:highlight w:val="none"/>
        </w:rPr>
        <w:t>【项目编号：</w:t>
      </w:r>
      <w:r>
        <w:rPr>
          <w:rFonts w:hint="eastAsia" w:ascii="宋体" w:hAnsi="宋体" w:eastAsia="宋体" w:cs="宋体"/>
          <w:color w:val="auto"/>
          <w:sz w:val="24"/>
          <w:highlight w:val="none"/>
          <w:lang w:eastAsia="zh-CN"/>
        </w:rPr>
        <w:t>CBNB-20252271G</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的实施。</w:t>
      </w:r>
    </w:p>
    <w:p w14:paraId="65B46409">
      <w:pPr>
        <w:snapToGrid w:val="0"/>
        <w:spacing w:line="360" w:lineRule="auto"/>
        <w:ind w:left="480"/>
        <w:jc w:val="center"/>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报价一览表(单位均为人民币元)</w:t>
      </w:r>
    </w:p>
    <w:tbl>
      <w:tblPr>
        <w:tblStyle w:val="60"/>
        <w:tblW w:w="93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1"/>
        <w:gridCol w:w="2706"/>
        <w:gridCol w:w="2592"/>
        <w:gridCol w:w="3059"/>
      </w:tblGrid>
      <w:tr w14:paraId="13BF9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981" w:type="dxa"/>
            <w:tcBorders>
              <w:top w:val="single" w:color="auto" w:sz="4" w:space="0"/>
              <w:left w:val="single" w:color="auto" w:sz="4" w:space="0"/>
              <w:bottom w:val="single" w:color="auto" w:sz="4" w:space="0"/>
              <w:right w:val="single" w:color="auto" w:sz="4" w:space="0"/>
            </w:tcBorders>
            <w:noWrap w:val="0"/>
            <w:vAlign w:val="center"/>
          </w:tcPr>
          <w:p w14:paraId="376101B7">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标项号</w:t>
            </w:r>
          </w:p>
        </w:tc>
        <w:tc>
          <w:tcPr>
            <w:tcW w:w="2706" w:type="dxa"/>
            <w:tcBorders>
              <w:top w:val="single" w:color="auto" w:sz="4" w:space="0"/>
              <w:left w:val="single" w:color="auto" w:sz="4" w:space="0"/>
              <w:bottom w:val="single" w:color="auto" w:sz="4" w:space="0"/>
              <w:right w:val="single" w:color="auto" w:sz="4" w:space="0"/>
            </w:tcBorders>
            <w:noWrap w:val="0"/>
            <w:vAlign w:val="center"/>
          </w:tcPr>
          <w:p w14:paraId="62291E65">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采购内容</w:t>
            </w:r>
          </w:p>
        </w:tc>
        <w:tc>
          <w:tcPr>
            <w:tcW w:w="2592" w:type="dxa"/>
            <w:tcBorders>
              <w:top w:val="single" w:color="auto" w:sz="4" w:space="0"/>
              <w:left w:val="single" w:color="auto" w:sz="4" w:space="0"/>
              <w:bottom w:val="single" w:color="auto" w:sz="4" w:space="0"/>
              <w:right w:val="single" w:color="auto" w:sz="4" w:space="0"/>
            </w:tcBorders>
            <w:noWrap w:val="0"/>
            <w:vAlign w:val="center"/>
          </w:tcPr>
          <w:p w14:paraId="21D7C9BE">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报价</w:t>
            </w:r>
          </w:p>
        </w:tc>
        <w:tc>
          <w:tcPr>
            <w:tcW w:w="3059" w:type="dxa"/>
            <w:tcBorders>
              <w:top w:val="single" w:color="auto" w:sz="4" w:space="0"/>
              <w:left w:val="single" w:color="auto" w:sz="4" w:space="0"/>
              <w:bottom w:val="single" w:color="auto" w:sz="4" w:space="0"/>
              <w:right w:val="single" w:color="auto" w:sz="4" w:space="0"/>
            </w:tcBorders>
            <w:noWrap w:val="0"/>
            <w:vAlign w:val="center"/>
          </w:tcPr>
          <w:p w14:paraId="67544080">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服务期限</w:t>
            </w:r>
          </w:p>
        </w:tc>
      </w:tr>
      <w:tr w14:paraId="4960D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jc w:val="center"/>
        </w:trPr>
        <w:tc>
          <w:tcPr>
            <w:tcW w:w="981" w:type="dxa"/>
            <w:tcBorders>
              <w:top w:val="single" w:color="auto" w:sz="4" w:space="0"/>
              <w:left w:val="single" w:color="auto" w:sz="4" w:space="0"/>
              <w:right w:val="single" w:color="auto" w:sz="4" w:space="0"/>
            </w:tcBorders>
            <w:noWrap w:val="0"/>
            <w:vAlign w:val="center"/>
          </w:tcPr>
          <w:p w14:paraId="743D8047">
            <w:pPr>
              <w:keepNext w:val="0"/>
              <w:keepLines w:val="0"/>
              <w:widowControl w:val="0"/>
              <w:suppressLineNumbers w:val="0"/>
              <w:shd w:val="clear"/>
              <w:adjustRightInd/>
              <w:snapToGrid w:val="0"/>
              <w:spacing w:before="0" w:beforeLines="0" w:beforeAutospacing="0" w:after="0" w:afterLines="0" w:afterAutospacing="0" w:line="360" w:lineRule="auto"/>
              <w:ind w:left="0" w:right="0" w:firstLine="301"/>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spacing w:val="-4"/>
                <w:kern w:val="2"/>
                <w:sz w:val="21"/>
                <w:szCs w:val="21"/>
                <w:highlight w:val="none"/>
                <w:lang w:val="en-US" w:eastAsia="zh-CN" w:bidi="ar"/>
              </w:rPr>
              <w:t>一</w:t>
            </w:r>
          </w:p>
        </w:tc>
        <w:tc>
          <w:tcPr>
            <w:tcW w:w="2706" w:type="dxa"/>
            <w:tcBorders>
              <w:top w:val="single" w:color="auto" w:sz="4" w:space="0"/>
              <w:left w:val="single" w:color="auto" w:sz="4" w:space="0"/>
              <w:right w:val="single" w:color="auto" w:sz="4" w:space="0"/>
            </w:tcBorders>
            <w:noWrap w:val="0"/>
            <w:vAlign w:val="center"/>
          </w:tcPr>
          <w:p w14:paraId="644621D0">
            <w:pPr>
              <w:keepNext w:val="0"/>
              <w:keepLines w:val="0"/>
              <w:widowControl/>
              <w:suppressLineNumbers w:val="0"/>
              <w:shd w:val="clear"/>
              <w:adjustRightInd/>
              <w:spacing w:before="0" w:beforeAutospacing="0" w:after="0" w:afterAutospacing="0" w:line="400" w:lineRule="exact"/>
              <w:ind w:left="0" w:right="0"/>
              <w:jc w:val="center"/>
              <w:rPr>
                <w:rFonts w:hint="eastAsia" w:ascii="宋体" w:hAnsi="宋体" w:eastAsia="宋体" w:cs="宋体"/>
                <w:color w:val="auto"/>
                <w:kern w:val="2"/>
                <w:szCs w:val="21"/>
                <w:highlight w:val="none"/>
              </w:rPr>
            </w:pPr>
            <w:r>
              <w:rPr>
                <w:rFonts w:hint="eastAsia" w:ascii="宋体" w:hAnsi="宋体" w:eastAsia="宋体" w:cs="宋体"/>
                <w:color w:val="auto"/>
                <w:sz w:val="24"/>
                <w:highlight w:val="none"/>
                <w:lang w:eastAsia="zh-CN"/>
              </w:rPr>
              <w:t>2025年市公共数据平台运维服务</w:t>
            </w:r>
          </w:p>
        </w:tc>
        <w:tc>
          <w:tcPr>
            <w:tcW w:w="2592" w:type="dxa"/>
            <w:tcBorders>
              <w:top w:val="single" w:color="auto" w:sz="4" w:space="0"/>
              <w:left w:val="single" w:color="auto" w:sz="4" w:space="0"/>
              <w:right w:val="single" w:color="auto" w:sz="4" w:space="0"/>
            </w:tcBorders>
            <w:noWrap w:val="0"/>
            <w:vAlign w:val="center"/>
          </w:tcPr>
          <w:p w14:paraId="41B34106">
            <w:pPr>
              <w:keepNext w:val="0"/>
              <w:keepLines w:val="0"/>
              <w:suppressLineNumbers w:val="0"/>
              <w:spacing w:before="0" w:beforeAutospacing="0" w:after="0" w:afterAutospacing="0" w:line="400" w:lineRule="exact"/>
              <w:ind w:left="0" w:right="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小写：</w:t>
            </w:r>
          </w:p>
          <w:p w14:paraId="0513471A">
            <w:pPr>
              <w:keepNext w:val="0"/>
              <w:keepLines w:val="0"/>
              <w:suppressLineNumbers w:val="0"/>
              <w:spacing w:before="0" w:beforeAutospacing="0" w:after="0" w:afterAutospacing="0" w:line="400" w:lineRule="exact"/>
              <w:ind w:left="0" w:right="0"/>
              <w:rPr>
                <w:rFonts w:hint="default"/>
                <w:color w:val="auto"/>
                <w:highlight w:val="none"/>
                <w:lang w:val="en-US" w:eastAsia="zh-CN"/>
              </w:rPr>
            </w:pPr>
            <w:r>
              <w:rPr>
                <w:rFonts w:hint="eastAsia" w:ascii="宋体" w:hAnsi="宋体" w:cs="宋体"/>
                <w:color w:val="auto"/>
                <w:sz w:val="24"/>
                <w:highlight w:val="none"/>
                <w:lang w:val="en-US" w:eastAsia="zh-CN"/>
              </w:rPr>
              <w:t>大写：</w:t>
            </w:r>
          </w:p>
        </w:tc>
        <w:tc>
          <w:tcPr>
            <w:tcW w:w="3059" w:type="dxa"/>
            <w:tcBorders>
              <w:top w:val="single" w:color="auto" w:sz="4" w:space="0"/>
              <w:left w:val="single" w:color="auto" w:sz="4" w:space="0"/>
              <w:right w:val="single" w:color="auto" w:sz="4" w:space="0"/>
            </w:tcBorders>
            <w:noWrap w:val="0"/>
            <w:vAlign w:val="center"/>
          </w:tcPr>
          <w:p w14:paraId="419BF4DE">
            <w:pPr>
              <w:keepNext w:val="0"/>
              <w:keepLines w:val="0"/>
              <w:suppressLineNumbers w:val="0"/>
              <w:spacing w:before="0" w:beforeAutospacing="0" w:after="0" w:afterAutospacing="0" w:line="400" w:lineRule="exact"/>
              <w:ind w:left="0" w:right="0"/>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sz w:val="24"/>
                <w:highlight w:val="none"/>
              </w:rPr>
              <w:t>12个月。本项目采购有效期为3年，合同一年一签，每年经考核合格，</w:t>
            </w:r>
            <w:r>
              <w:rPr>
                <w:rFonts w:hint="eastAsia" w:ascii="宋体" w:hAnsi="宋体" w:cs="宋体"/>
                <w:color w:val="auto"/>
                <w:sz w:val="24"/>
                <w:highlight w:val="none"/>
                <w:lang w:val="en-US" w:eastAsia="zh-CN"/>
              </w:rPr>
              <w:t>经</w:t>
            </w:r>
            <w:r>
              <w:rPr>
                <w:rFonts w:hint="eastAsia" w:ascii="宋体" w:hAnsi="宋体" w:cs="宋体"/>
                <w:color w:val="auto"/>
                <w:sz w:val="24"/>
                <w:highlight w:val="none"/>
              </w:rPr>
              <w:t>采购人同意，可续订下一年合同，最多续签2次。</w:t>
            </w:r>
          </w:p>
        </w:tc>
      </w:tr>
    </w:tbl>
    <w:p w14:paraId="22139176">
      <w:pPr>
        <w:spacing w:line="360" w:lineRule="auto"/>
        <w:ind w:left="-2" w:leftChars="-1"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sz w:val="24"/>
          <w:highlight w:val="none"/>
        </w:rPr>
        <w:t>注：</w:t>
      </w:r>
      <w:r>
        <w:rPr>
          <w:rFonts w:hint="eastAsia" w:ascii="宋体" w:hAnsi="宋体" w:eastAsia="宋体" w:cs="宋体"/>
          <w:color w:val="auto"/>
          <w:kern w:val="0"/>
          <w:sz w:val="24"/>
          <w:highlight w:val="none"/>
          <w:lang w:val="zh-CN"/>
        </w:rPr>
        <w:t>1、供应商需按本表格式填写。</w:t>
      </w:r>
    </w:p>
    <w:p w14:paraId="7B5E7542">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2、</w:t>
      </w:r>
      <w:r>
        <w:rPr>
          <w:rFonts w:hint="eastAsia" w:ascii="宋体" w:hAnsi="宋体" w:cs="宋体"/>
          <w:color w:val="auto"/>
          <w:kern w:val="0"/>
          <w:sz w:val="24"/>
          <w:highlight w:val="none"/>
          <w:lang w:val="zh-CN"/>
        </w:rPr>
        <w:t>有关本项目实施所涉及的一切费用均计入报价。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报价明细表中部分产品、服务单价为零的，视作已包含在总价中</w:t>
      </w:r>
      <w:r>
        <w:rPr>
          <w:rFonts w:hint="eastAsia" w:ascii="宋体" w:hAnsi="宋体" w:eastAsia="宋体" w:cs="宋体"/>
          <w:b/>
          <w:color w:val="auto"/>
          <w:sz w:val="24"/>
          <w:highlight w:val="none"/>
        </w:rPr>
        <w:t>。</w:t>
      </w:r>
    </w:p>
    <w:p w14:paraId="7905C244">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3、特别提示：采购代理机构将对项目名称和项目编号，成交供应商名称、地址和成交金额，主要成交标的名称、服务范围、服务要求、服务时间、服务标准等予以公示。</w:t>
      </w:r>
    </w:p>
    <w:p w14:paraId="741D254B">
      <w:pPr>
        <w:spacing w:line="360" w:lineRule="auto"/>
        <w:ind w:right="-874" w:rightChars="-416"/>
        <w:rPr>
          <w:rFonts w:hint="eastAsia" w:ascii="宋体" w:hAnsi="宋体" w:eastAsia="宋体" w:cs="宋体"/>
          <w:color w:val="auto"/>
          <w:sz w:val="24"/>
          <w:highlight w:val="none"/>
        </w:rPr>
      </w:pPr>
    </w:p>
    <w:p w14:paraId="2B3EDD0A">
      <w:pPr>
        <w:spacing w:line="360" w:lineRule="auto"/>
        <w:ind w:right="-874" w:rightChars="-416"/>
        <w:rPr>
          <w:rFonts w:hint="eastAsia" w:ascii="宋体" w:hAnsi="宋体" w:eastAsia="宋体" w:cs="宋体"/>
          <w:color w:val="auto"/>
          <w:sz w:val="24"/>
          <w:highlight w:val="none"/>
        </w:rPr>
      </w:pPr>
    </w:p>
    <w:p w14:paraId="1B194C3D">
      <w:pPr>
        <w:spacing w:line="360" w:lineRule="auto"/>
        <w:ind w:right="-874" w:rightChars="-416"/>
        <w:rPr>
          <w:rFonts w:hint="eastAsia" w:ascii="宋体" w:hAnsi="宋体" w:eastAsia="宋体" w:cs="宋体"/>
          <w:color w:val="auto"/>
          <w:sz w:val="24"/>
          <w:highlight w:val="none"/>
        </w:rPr>
      </w:pPr>
    </w:p>
    <w:p w14:paraId="2077DCA7">
      <w:pPr>
        <w:spacing w:line="360" w:lineRule="auto"/>
        <w:ind w:right="-874" w:rightChars="-416"/>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kern w:val="0"/>
          <w:sz w:val="24"/>
          <w:highlight w:val="none"/>
          <w:lang w:val="zh-CN"/>
        </w:rPr>
        <w:t>供应商名称（电子签名）：</w:t>
      </w:r>
    </w:p>
    <w:p w14:paraId="0A889035">
      <w:pPr>
        <w:autoSpaceDE w:val="0"/>
        <w:autoSpaceDN w:val="0"/>
        <w:spacing w:line="360" w:lineRule="auto"/>
        <w:ind w:left="5040" w:hanging="5040" w:hanging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14:paraId="523326AB">
      <w:pPr>
        <w:widowControl/>
        <w:adjustRightInd/>
        <w:jc w:val="left"/>
        <w:rPr>
          <w:rFonts w:hint="eastAsia" w:ascii="宋体" w:hAnsi="宋体" w:eastAsia="宋体" w:cs="宋体"/>
          <w:color w:val="auto"/>
          <w:kern w:val="0"/>
          <w:sz w:val="24"/>
          <w:highlight w:val="none"/>
          <w:lang w:val="zh-CN"/>
        </w:rPr>
        <w:sectPr>
          <w:pgSz w:w="11906" w:h="16838"/>
          <w:pgMar w:top="1440" w:right="1440" w:bottom="1440" w:left="1440" w:header="851" w:footer="992" w:gutter="0"/>
          <w:pgBorders>
            <w:top w:val="none" w:sz="0" w:space="0"/>
            <w:left w:val="none" w:sz="0" w:space="0"/>
            <w:bottom w:val="none" w:sz="0" w:space="0"/>
            <w:right w:val="none" w:sz="0" w:space="0"/>
          </w:pgBorders>
          <w:cols w:space="0" w:num="1"/>
          <w:titlePg/>
          <w:rtlGutter w:val="0"/>
          <w:docGrid w:linePitch="312" w:charSpace="0"/>
        </w:sectPr>
      </w:pPr>
    </w:p>
    <w:p w14:paraId="0131E90D">
      <w:pPr>
        <w:pStyle w:val="121"/>
        <w:keepNext w:val="0"/>
        <w:pageBreakBefore w:val="0"/>
        <w:tabs>
          <w:tab w:val="clear" w:pos="720"/>
        </w:tabs>
        <w:ind w:firstLine="640"/>
        <w:outlineLvl w:val="9"/>
        <w:rPr>
          <w:rFonts w:hint="eastAsia"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lang w:val="en-US" w:eastAsia="zh-CN"/>
        </w:rPr>
        <w:t>B</w:t>
      </w:r>
      <w:r>
        <w:rPr>
          <w:rFonts w:hint="eastAsia" w:ascii="宋体" w:hAnsi="宋体" w:eastAsia="宋体" w:cs="宋体"/>
          <w:color w:val="auto"/>
          <w:kern w:val="2"/>
          <w:sz w:val="32"/>
          <w:szCs w:val="32"/>
          <w:highlight w:val="none"/>
        </w:rPr>
        <w:t>、报价明细表</w:t>
      </w:r>
    </w:p>
    <w:tbl>
      <w:tblPr>
        <w:tblStyle w:val="60"/>
        <w:tblW w:w="8947" w:type="dxa"/>
        <w:jc w:val="center"/>
        <w:tblLayout w:type="fixed"/>
        <w:tblCellMar>
          <w:top w:w="0" w:type="dxa"/>
          <w:left w:w="108" w:type="dxa"/>
          <w:bottom w:w="0" w:type="dxa"/>
          <w:right w:w="108" w:type="dxa"/>
        </w:tblCellMar>
      </w:tblPr>
      <w:tblGrid>
        <w:gridCol w:w="817"/>
        <w:gridCol w:w="3665"/>
        <w:gridCol w:w="1780"/>
        <w:gridCol w:w="1253"/>
        <w:gridCol w:w="1432"/>
      </w:tblGrid>
      <w:tr w14:paraId="08C8E167">
        <w:tblPrEx>
          <w:tblCellMar>
            <w:top w:w="0" w:type="dxa"/>
            <w:left w:w="108" w:type="dxa"/>
            <w:bottom w:w="0" w:type="dxa"/>
            <w:right w:w="108" w:type="dxa"/>
          </w:tblCellMar>
        </w:tblPrEx>
        <w:trPr>
          <w:trHeight w:val="673"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14:paraId="0D12EFD4">
            <w:pPr>
              <w:keepNext w:val="0"/>
              <w:keepLines w:val="0"/>
              <w:suppressLineNumbers w:val="0"/>
              <w:snapToGrid w:val="0"/>
              <w:spacing w:before="50" w:beforeAutospacing="0" w:after="50" w:afterAutospacing="0" w:line="360" w:lineRule="auto"/>
              <w:ind w:left="0" w:right="0"/>
              <w:jc w:val="center"/>
              <w:textAlignment w:val="baseline"/>
              <w:rPr>
                <w:rFonts w:hint="eastAsia" w:ascii="宋体" w:hAnsi="宋体" w:eastAsia="宋体" w:cs="宋体"/>
                <w:color w:val="auto"/>
                <w:spacing w:val="20"/>
                <w:kern w:val="0"/>
                <w:sz w:val="24"/>
                <w:highlight w:val="none"/>
              </w:rPr>
            </w:pPr>
            <w:r>
              <w:rPr>
                <w:rFonts w:hint="eastAsia" w:ascii="宋体" w:hAnsi="宋体" w:eastAsia="宋体" w:cs="宋体"/>
                <w:color w:val="auto"/>
                <w:kern w:val="0"/>
                <w:sz w:val="24"/>
                <w:highlight w:val="none"/>
                <w:lang w:bidi="ar"/>
              </w:rPr>
              <w:t>序号</w:t>
            </w:r>
          </w:p>
        </w:tc>
        <w:tc>
          <w:tcPr>
            <w:tcW w:w="3665" w:type="dxa"/>
            <w:tcBorders>
              <w:top w:val="single" w:color="auto" w:sz="4" w:space="0"/>
              <w:left w:val="nil"/>
              <w:bottom w:val="single" w:color="auto" w:sz="4" w:space="0"/>
              <w:right w:val="single" w:color="auto" w:sz="4" w:space="0"/>
            </w:tcBorders>
            <w:vAlign w:val="center"/>
          </w:tcPr>
          <w:p w14:paraId="5926F6CB">
            <w:pPr>
              <w:keepNext w:val="0"/>
              <w:keepLines w:val="0"/>
              <w:suppressLineNumbers w:val="0"/>
              <w:snapToGrid w:val="0"/>
              <w:spacing w:before="50" w:beforeAutospacing="0" w:after="50" w:afterAutospacing="0" w:line="360" w:lineRule="auto"/>
              <w:ind w:left="0" w:right="0"/>
              <w:jc w:val="center"/>
              <w:textAlignment w:val="baseline"/>
              <w:rPr>
                <w:rFonts w:hint="eastAsia" w:ascii="宋体" w:hAnsi="宋体" w:eastAsia="宋体" w:cs="宋体"/>
                <w:color w:val="auto"/>
                <w:spacing w:val="20"/>
                <w:kern w:val="0"/>
                <w:sz w:val="24"/>
                <w:highlight w:val="none"/>
                <w:lang w:val="en-US" w:eastAsia="zh-CN" w:bidi="ar"/>
              </w:rPr>
            </w:pPr>
            <w:r>
              <w:rPr>
                <w:rFonts w:hint="eastAsia" w:ascii="宋体" w:hAnsi="宋体" w:eastAsia="宋体" w:cs="宋体"/>
                <w:color w:val="auto"/>
                <w:spacing w:val="20"/>
                <w:kern w:val="0"/>
                <w:sz w:val="24"/>
                <w:highlight w:val="none"/>
                <w:lang w:val="en-US" w:eastAsia="zh-CN" w:bidi="ar"/>
              </w:rPr>
              <w:t>服务内</w:t>
            </w:r>
            <w:r>
              <w:rPr>
                <w:rFonts w:hint="eastAsia" w:ascii="宋体" w:hAnsi="宋体" w:eastAsia="宋体" w:cs="宋体"/>
                <w:color w:val="auto"/>
                <w:spacing w:val="20"/>
                <w:kern w:val="0"/>
                <w:sz w:val="24"/>
                <w:highlight w:val="none"/>
                <w:lang w:bidi="ar"/>
              </w:rPr>
              <w:t>容</w:t>
            </w:r>
          </w:p>
        </w:tc>
        <w:tc>
          <w:tcPr>
            <w:tcW w:w="1780" w:type="dxa"/>
            <w:tcBorders>
              <w:top w:val="single" w:color="auto" w:sz="4" w:space="0"/>
              <w:left w:val="nil"/>
              <w:bottom w:val="single" w:color="auto" w:sz="4" w:space="0"/>
              <w:right w:val="single" w:color="auto" w:sz="4" w:space="0"/>
            </w:tcBorders>
            <w:vAlign w:val="center"/>
          </w:tcPr>
          <w:p w14:paraId="73534E59">
            <w:pPr>
              <w:keepNext w:val="0"/>
              <w:keepLines w:val="0"/>
              <w:suppressLineNumbers w:val="0"/>
              <w:snapToGrid w:val="0"/>
              <w:spacing w:before="50" w:beforeAutospacing="0" w:after="50" w:afterAutospacing="0" w:line="360" w:lineRule="auto"/>
              <w:ind w:left="0" w:right="0"/>
              <w:jc w:val="center"/>
              <w:textAlignment w:val="baseline"/>
              <w:rPr>
                <w:rFonts w:hint="eastAsia" w:ascii="宋体" w:hAnsi="宋体" w:eastAsia="宋体" w:cs="宋体"/>
                <w:color w:val="auto"/>
                <w:spacing w:val="20"/>
                <w:kern w:val="0"/>
                <w:sz w:val="24"/>
                <w:highlight w:val="none"/>
              </w:rPr>
            </w:pPr>
            <w:r>
              <w:rPr>
                <w:rFonts w:hint="eastAsia" w:ascii="宋体" w:hAnsi="宋体" w:eastAsia="宋体" w:cs="宋体"/>
                <w:color w:val="auto"/>
                <w:kern w:val="0"/>
                <w:sz w:val="24"/>
                <w:highlight w:val="none"/>
                <w:lang w:bidi="ar"/>
              </w:rPr>
              <w:t>单位及数量</w:t>
            </w:r>
          </w:p>
        </w:tc>
        <w:tc>
          <w:tcPr>
            <w:tcW w:w="1253" w:type="dxa"/>
            <w:tcBorders>
              <w:top w:val="single" w:color="auto" w:sz="4" w:space="0"/>
              <w:left w:val="nil"/>
              <w:bottom w:val="single" w:color="auto" w:sz="4" w:space="0"/>
              <w:right w:val="single" w:color="auto" w:sz="4" w:space="0"/>
            </w:tcBorders>
            <w:vAlign w:val="center"/>
          </w:tcPr>
          <w:p w14:paraId="29A03AC6">
            <w:pPr>
              <w:keepNext w:val="0"/>
              <w:keepLines w:val="0"/>
              <w:suppressLineNumbers w:val="0"/>
              <w:snapToGrid w:val="0"/>
              <w:spacing w:before="50" w:beforeAutospacing="0" w:after="50" w:afterAutospacing="0" w:line="360" w:lineRule="auto"/>
              <w:ind w:left="0" w:right="0"/>
              <w:jc w:val="center"/>
              <w:textAlignment w:val="baseline"/>
              <w:rPr>
                <w:rFonts w:hint="eastAsia" w:ascii="宋体" w:hAnsi="宋体" w:eastAsia="宋体" w:cs="宋体"/>
                <w:color w:val="auto"/>
                <w:spacing w:val="20"/>
                <w:kern w:val="0"/>
                <w:sz w:val="24"/>
                <w:highlight w:val="none"/>
              </w:rPr>
            </w:pPr>
            <w:r>
              <w:rPr>
                <w:rFonts w:hint="eastAsia" w:ascii="宋体" w:hAnsi="宋体" w:eastAsia="宋体" w:cs="宋体"/>
                <w:color w:val="auto"/>
                <w:kern w:val="0"/>
                <w:sz w:val="24"/>
                <w:highlight w:val="none"/>
                <w:lang w:bidi="ar"/>
              </w:rPr>
              <w:t>单价（元）</w:t>
            </w:r>
          </w:p>
        </w:tc>
        <w:tc>
          <w:tcPr>
            <w:tcW w:w="1432" w:type="dxa"/>
            <w:tcBorders>
              <w:top w:val="single" w:color="auto" w:sz="4" w:space="0"/>
              <w:left w:val="nil"/>
              <w:bottom w:val="single" w:color="auto" w:sz="4" w:space="0"/>
              <w:right w:val="single" w:color="auto" w:sz="4" w:space="0"/>
            </w:tcBorders>
            <w:vAlign w:val="center"/>
          </w:tcPr>
          <w:p w14:paraId="57DCC3CF">
            <w:pPr>
              <w:keepNext w:val="0"/>
              <w:keepLines w:val="0"/>
              <w:suppressLineNumbers w:val="0"/>
              <w:snapToGrid w:val="0"/>
              <w:spacing w:before="50" w:beforeAutospacing="0" w:after="50" w:afterAutospacing="0" w:line="360" w:lineRule="auto"/>
              <w:ind w:left="0" w:right="0"/>
              <w:jc w:val="center"/>
              <w:textAlignment w:val="baseline"/>
              <w:rPr>
                <w:rFonts w:hint="eastAsia" w:ascii="宋体" w:hAnsi="宋体" w:eastAsia="宋体" w:cs="宋体"/>
                <w:color w:val="auto"/>
                <w:spacing w:val="20"/>
                <w:kern w:val="0"/>
                <w:sz w:val="24"/>
                <w:highlight w:val="none"/>
              </w:rPr>
            </w:pPr>
            <w:r>
              <w:rPr>
                <w:rFonts w:hint="eastAsia" w:ascii="宋体" w:hAnsi="宋体" w:eastAsia="宋体" w:cs="宋体"/>
                <w:color w:val="auto"/>
                <w:kern w:val="0"/>
                <w:sz w:val="24"/>
                <w:highlight w:val="none"/>
                <w:lang w:bidi="ar"/>
              </w:rPr>
              <w:t>金额（元）</w:t>
            </w:r>
          </w:p>
        </w:tc>
      </w:tr>
      <w:tr w14:paraId="6E377BD1">
        <w:tblPrEx>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tcPr>
          <w:p w14:paraId="349CFF92">
            <w:pPr>
              <w:keepNext w:val="0"/>
              <w:keepLines w:val="0"/>
              <w:suppressLineNumbers w:val="0"/>
              <w:snapToGrid w:val="0"/>
              <w:spacing w:before="50" w:beforeAutospacing="0" w:after="50" w:afterAutospacing="0" w:line="360" w:lineRule="auto"/>
              <w:ind w:left="0" w:right="0"/>
              <w:jc w:val="center"/>
              <w:textAlignment w:val="baseline"/>
              <w:rPr>
                <w:rFonts w:hint="eastAsia" w:ascii="宋体" w:hAnsi="宋体" w:eastAsia="宋体" w:cs="宋体"/>
                <w:color w:val="auto"/>
                <w:spacing w:val="20"/>
                <w:kern w:val="0"/>
                <w:sz w:val="24"/>
                <w:highlight w:val="none"/>
              </w:rPr>
            </w:pPr>
          </w:p>
        </w:tc>
        <w:tc>
          <w:tcPr>
            <w:tcW w:w="3665" w:type="dxa"/>
            <w:tcBorders>
              <w:top w:val="single" w:color="auto" w:sz="4" w:space="0"/>
              <w:left w:val="nil"/>
              <w:bottom w:val="single" w:color="auto" w:sz="4" w:space="0"/>
              <w:right w:val="single" w:color="auto" w:sz="4" w:space="0"/>
            </w:tcBorders>
          </w:tcPr>
          <w:p w14:paraId="15E96D3E">
            <w:pPr>
              <w:keepNext w:val="0"/>
              <w:keepLines w:val="0"/>
              <w:suppressLineNumbers w:val="0"/>
              <w:snapToGrid w:val="0"/>
              <w:spacing w:before="50" w:beforeAutospacing="0" w:after="50" w:afterAutospacing="0" w:line="360" w:lineRule="auto"/>
              <w:ind w:left="0" w:right="0"/>
              <w:jc w:val="center"/>
              <w:textAlignment w:val="baseline"/>
              <w:rPr>
                <w:rFonts w:hint="eastAsia" w:ascii="宋体" w:hAnsi="宋体" w:eastAsia="宋体" w:cs="宋体"/>
                <w:color w:val="auto"/>
                <w:spacing w:val="20"/>
                <w:kern w:val="0"/>
                <w:sz w:val="24"/>
                <w:highlight w:val="none"/>
              </w:rPr>
            </w:pPr>
          </w:p>
        </w:tc>
        <w:tc>
          <w:tcPr>
            <w:tcW w:w="1780" w:type="dxa"/>
            <w:tcBorders>
              <w:top w:val="single" w:color="auto" w:sz="4" w:space="0"/>
              <w:left w:val="nil"/>
              <w:bottom w:val="single" w:color="auto" w:sz="4" w:space="0"/>
              <w:right w:val="single" w:color="auto" w:sz="4" w:space="0"/>
            </w:tcBorders>
          </w:tcPr>
          <w:p w14:paraId="3DB5C385">
            <w:pPr>
              <w:keepNext w:val="0"/>
              <w:keepLines w:val="0"/>
              <w:suppressLineNumbers w:val="0"/>
              <w:snapToGrid w:val="0"/>
              <w:spacing w:before="50" w:beforeAutospacing="0" w:after="50" w:afterAutospacing="0" w:line="360" w:lineRule="auto"/>
              <w:ind w:left="0" w:right="0"/>
              <w:jc w:val="center"/>
              <w:textAlignment w:val="baseline"/>
              <w:rPr>
                <w:rFonts w:hint="eastAsia" w:ascii="宋体" w:hAnsi="宋体" w:eastAsia="宋体" w:cs="宋体"/>
                <w:color w:val="auto"/>
                <w:spacing w:val="20"/>
                <w:kern w:val="0"/>
                <w:sz w:val="24"/>
                <w:highlight w:val="none"/>
              </w:rPr>
            </w:pPr>
          </w:p>
        </w:tc>
        <w:tc>
          <w:tcPr>
            <w:tcW w:w="1253" w:type="dxa"/>
            <w:tcBorders>
              <w:top w:val="single" w:color="auto" w:sz="4" w:space="0"/>
              <w:left w:val="nil"/>
              <w:bottom w:val="single" w:color="auto" w:sz="4" w:space="0"/>
              <w:right w:val="single" w:color="auto" w:sz="4" w:space="0"/>
            </w:tcBorders>
          </w:tcPr>
          <w:p w14:paraId="763A714B">
            <w:pPr>
              <w:keepNext w:val="0"/>
              <w:keepLines w:val="0"/>
              <w:suppressLineNumbers w:val="0"/>
              <w:snapToGrid w:val="0"/>
              <w:spacing w:before="50" w:beforeAutospacing="0" w:after="50" w:afterAutospacing="0" w:line="360" w:lineRule="auto"/>
              <w:ind w:left="0" w:right="0"/>
              <w:jc w:val="center"/>
              <w:textAlignment w:val="baseline"/>
              <w:rPr>
                <w:rFonts w:hint="eastAsia" w:ascii="宋体" w:hAnsi="宋体" w:eastAsia="宋体" w:cs="宋体"/>
                <w:color w:val="auto"/>
                <w:spacing w:val="20"/>
                <w:kern w:val="0"/>
                <w:sz w:val="24"/>
                <w:highlight w:val="none"/>
              </w:rPr>
            </w:pPr>
          </w:p>
        </w:tc>
        <w:tc>
          <w:tcPr>
            <w:tcW w:w="1432" w:type="dxa"/>
            <w:tcBorders>
              <w:top w:val="single" w:color="auto" w:sz="4" w:space="0"/>
              <w:left w:val="nil"/>
              <w:bottom w:val="single" w:color="auto" w:sz="4" w:space="0"/>
              <w:right w:val="single" w:color="auto" w:sz="4" w:space="0"/>
            </w:tcBorders>
          </w:tcPr>
          <w:p w14:paraId="47B80732">
            <w:pPr>
              <w:keepNext w:val="0"/>
              <w:keepLines w:val="0"/>
              <w:suppressLineNumbers w:val="0"/>
              <w:snapToGrid w:val="0"/>
              <w:spacing w:before="50" w:beforeAutospacing="0" w:after="50" w:afterAutospacing="0" w:line="360" w:lineRule="auto"/>
              <w:ind w:left="0" w:right="0"/>
              <w:jc w:val="center"/>
              <w:textAlignment w:val="baseline"/>
              <w:rPr>
                <w:rFonts w:hint="eastAsia" w:ascii="宋体" w:hAnsi="宋体" w:eastAsia="宋体" w:cs="宋体"/>
                <w:color w:val="auto"/>
                <w:spacing w:val="20"/>
                <w:kern w:val="0"/>
                <w:sz w:val="24"/>
                <w:highlight w:val="none"/>
              </w:rPr>
            </w:pPr>
          </w:p>
        </w:tc>
      </w:tr>
      <w:tr w14:paraId="2A429051">
        <w:tblPrEx>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tcPr>
          <w:p w14:paraId="5DA9CE4D">
            <w:pPr>
              <w:keepNext w:val="0"/>
              <w:keepLines w:val="0"/>
              <w:suppressLineNumbers w:val="0"/>
              <w:snapToGrid w:val="0"/>
              <w:spacing w:before="50" w:beforeAutospacing="0" w:after="50" w:afterAutospacing="0" w:line="360" w:lineRule="auto"/>
              <w:ind w:left="0" w:right="0"/>
              <w:jc w:val="center"/>
              <w:textAlignment w:val="baseline"/>
              <w:rPr>
                <w:rFonts w:hint="eastAsia" w:ascii="宋体" w:hAnsi="宋体" w:eastAsia="宋体" w:cs="宋体"/>
                <w:color w:val="auto"/>
                <w:spacing w:val="20"/>
                <w:kern w:val="0"/>
                <w:sz w:val="24"/>
                <w:highlight w:val="none"/>
              </w:rPr>
            </w:pPr>
          </w:p>
        </w:tc>
        <w:tc>
          <w:tcPr>
            <w:tcW w:w="3665" w:type="dxa"/>
            <w:tcBorders>
              <w:top w:val="single" w:color="auto" w:sz="4" w:space="0"/>
              <w:left w:val="nil"/>
              <w:bottom w:val="single" w:color="auto" w:sz="4" w:space="0"/>
              <w:right w:val="single" w:color="auto" w:sz="4" w:space="0"/>
            </w:tcBorders>
          </w:tcPr>
          <w:p w14:paraId="76086200">
            <w:pPr>
              <w:keepNext w:val="0"/>
              <w:keepLines w:val="0"/>
              <w:suppressLineNumbers w:val="0"/>
              <w:snapToGrid w:val="0"/>
              <w:spacing w:before="50" w:beforeAutospacing="0" w:after="50" w:afterAutospacing="0" w:line="360" w:lineRule="auto"/>
              <w:ind w:left="0" w:right="0"/>
              <w:jc w:val="center"/>
              <w:textAlignment w:val="baseline"/>
              <w:rPr>
                <w:rFonts w:hint="eastAsia" w:ascii="宋体" w:hAnsi="宋体" w:eastAsia="宋体" w:cs="宋体"/>
                <w:color w:val="auto"/>
                <w:spacing w:val="20"/>
                <w:kern w:val="0"/>
                <w:sz w:val="24"/>
                <w:highlight w:val="none"/>
              </w:rPr>
            </w:pPr>
          </w:p>
        </w:tc>
        <w:tc>
          <w:tcPr>
            <w:tcW w:w="1780" w:type="dxa"/>
            <w:tcBorders>
              <w:top w:val="single" w:color="auto" w:sz="4" w:space="0"/>
              <w:left w:val="nil"/>
              <w:bottom w:val="single" w:color="auto" w:sz="4" w:space="0"/>
              <w:right w:val="single" w:color="auto" w:sz="4" w:space="0"/>
            </w:tcBorders>
          </w:tcPr>
          <w:p w14:paraId="79C05BA2">
            <w:pPr>
              <w:keepNext w:val="0"/>
              <w:keepLines w:val="0"/>
              <w:suppressLineNumbers w:val="0"/>
              <w:snapToGrid w:val="0"/>
              <w:spacing w:before="50" w:beforeAutospacing="0" w:after="50" w:afterAutospacing="0" w:line="360" w:lineRule="auto"/>
              <w:ind w:left="0" w:right="0"/>
              <w:jc w:val="center"/>
              <w:textAlignment w:val="baseline"/>
              <w:rPr>
                <w:rFonts w:hint="eastAsia" w:ascii="宋体" w:hAnsi="宋体" w:eastAsia="宋体" w:cs="宋体"/>
                <w:color w:val="auto"/>
                <w:spacing w:val="20"/>
                <w:kern w:val="0"/>
                <w:sz w:val="24"/>
                <w:highlight w:val="none"/>
              </w:rPr>
            </w:pPr>
          </w:p>
        </w:tc>
        <w:tc>
          <w:tcPr>
            <w:tcW w:w="1253" w:type="dxa"/>
            <w:tcBorders>
              <w:top w:val="single" w:color="auto" w:sz="4" w:space="0"/>
              <w:left w:val="nil"/>
              <w:bottom w:val="single" w:color="auto" w:sz="4" w:space="0"/>
              <w:right w:val="single" w:color="auto" w:sz="4" w:space="0"/>
            </w:tcBorders>
          </w:tcPr>
          <w:p w14:paraId="75541762">
            <w:pPr>
              <w:keepNext w:val="0"/>
              <w:keepLines w:val="0"/>
              <w:suppressLineNumbers w:val="0"/>
              <w:snapToGrid w:val="0"/>
              <w:spacing w:before="50" w:beforeAutospacing="0" w:after="50" w:afterAutospacing="0" w:line="360" w:lineRule="auto"/>
              <w:ind w:left="0" w:right="0"/>
              <w:jc w:val="center"/>
              <w:textAlignment w:val="baseline"/>
              <w:rPr>
                <w:rFonts w:hint="eastAsia" w:ascii="宋体" w:hAnsi="宋体" w:eastAsia="宋体" w:cs="宋体"/>
                <w:color w:val="auto"/>
                <w:spacing w:val="20"/>
                <w:kern w:val="0"/>
                <w:sz w:val="24"/>
                <w:highlight w:val="none"/>
              </w:rPr>
            </w:pPr>
          </w:p>
        </w:tc>
        <w:tc>
          <w:tcPr>
            <w:tcW w:w="1432" w:type="dxa"/>
            <w:tcBorders>
              <w:top w:val="single" w:color="auto" w:sz="4" w:space="0"/>
              <w:left w:val="nil"/>
              <w:bottom w:val="single" w:color="auto" w:sz="4" w:space="0"/>
              <w:right w:val="single" w:color="auto" w:sz="4" w:space="0"/>
            </w:tcBorders>
          </w:tcPr>
          <w:p w14:paraId="0C28EEF3">
            <w:pPr>
              <w:keepNext w:val="0"/>
              <w:keepLines w:val="0"/>
              <w:suppressLineNumbers w:val="0"/>
              <w:snapToGrid w:val="0"/>
              <w:spacing w:before="50" w:beforeAutospacing="0" w:after="50" w:afterAutospacing="0" w:line="360" w:lineRule="auto"/>
              <w:ind w:left="0" w:right="0"/>
              <w:jc w:val="center"/>
              <w:textAlignment w:val="baseline"/>
              <w:rPr>
                <w:rFonts w:hint="eastAsia" w:ascii="宋体" w:hAnsi="宋体" w:eastAsia="宋体" w:cs="宋体"/>
                <w:color w:val="auto"/>
                <w:spacing w:val="20"/>
                <w:kern w:val="0"/>
                <w:sz w:val="24"/>
                <w:highlight w:val="none"/>
              </w:rPr>
            </w:pPr>
          </w:p>
        </w:tc>
      </w:tr>
      <w:tr w14:paraId="5DDD363F">
        <w:tblPrEx>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tcPr>
          <w:p w14:paraId="64910CDE">
            <w:pPr>
              <w:keepNext w:val="0"/>
              <w:keepLines w:val="0"/>
              <w:suppressLineNumbers w:val="0"/>
              <w:snapToGrid w:val="0"/>
              <w:spacing w:before="50" w:beforeAutospacing="0" w:after="50" w:afterAutospacing="0" w:line="360" w:lineRule="auto"/>
              <w:ind w:left="0" w:right="0"/>
              <w:jc w:val="center"/>
              <w:textAlignment w:val="baseline"/>
              <w:rPr>
                <w:rFonts w:hint="eastAsia" w:ascii="宋体" w:hAnsi="宋体" w:eastAsia="宋体" w:cs="宋体"/>
                <w:color w:val="auto"/>
                <w:spacing w:val="20"/>
                <w:kern w:val="0"/>
                <w:sz w:val="24"/>
                <w:highlight w:val="none"/>
              </w:rPr>
            </w:pPr>
          </w:p>
        </w:tc>
        <w:tc>
          <w:tcPr>
            <w:tcW w:w="3665" w:type="dxa"/>
            <w:tcBorders>
              <w:top w:val="single" w:color="auto" w:sz="4" w:space="0"/>
              <w:left w:val="nil"/>
              <w:bottom w:val="single" w:color="auto" w:sz="4" w:space="0"/>
              <w:right w:val="single" w:color="auto" w:sz="4" w:space="0"/>
            </w:tcBorders>
          </w:tcPr>
          <w:p w14:paraId="2C102844">
            <w:pPr>
              <w:keepNext w:val="0"/>
              <w:keepLines w:val="0"/>
              <w:suppressLineNumbers w:val="0"/>
              <w:snapToGrid w:val="0"/>
              <w:spacing w:before="50" w:beforeAutospacing="0" w:after="50" w:afterAutospacing="0" w:line="360" w:lineRule="auto"/>
              <w:ind w:left="0" w:right="0"/>
              <w:jc w:val="center"/>
              <w:textAlignment w:val="baseline"/>
              <w:rPr>
                <w:rFonts w:hint="eastAsia" w:ascii="宋体" w:hAnsi="宋体" w:eastAsia="宋体" w:cs="宋体"/>
                <w:color w:val="auto"/>
                <w:spacing w:val="20"/>
                <w:kern w:val="0"/>
                <w:sz w:val="24"/>
                <w:highlight w:val="none"/>
              </w:rPr>
            </w:pPr>
          </w:p>
        </w:tc>
        <w:tc>
          <w:tcPr>
            <w:tcW w:w="1780" w:type="dxa"/>
            <w:tcBorders>
              <w:top w:val="single" w:color="auto" w:sz="4" w:space="0"/>
              <w:left w:val="nil"/>
              <w:bottom w:val="single" w:color="auto" w:sz="4" w:space="0"/>
              <w:right w:val="single" w:color="auto" w:sz="4" w:space="0"/>
            </w:tcBorders>
          </w:tcPr>
          <w:p w14:paraId="41CC805E">
            <w:pPr>
              <w:keepNext w:val="0"/>
              <w:keepLines w:val="0"/>
              <w:suppressLineNumbers w:val="0"/>
              <w:snapToGrid w:val="0"/>
              <w:spacing w:before="50" w:beforeAutospacing="0" w:after="50" w:afterAutospacing="0" w:line="360" w:lineRule="auto"/>
              <w:ind w:left="0" w:right="0"/>
              <w:jc w:val="center"/>
              <w:textAlignment w:val="baseline"/>
              <w:rPr>
                <w:rFonts w:hint="eastAsia" w:ascii="宋体" w:hAnsi="宋体" w:eastAsia="宋体" w:cs="宋体"/>
                <w:color w:val="auto"/>
                <w:spacing w:val="20"/>
                <w:kern w:val="0"/>
                <w:sz w:val="24"/>
                <w:highlight w:val="none"/>
              </w:rPr>
            </w:pPr>
          </w:p>
        </w:tc>
        <w:tc>
          <w:tcPr>
            <w:tcW w:w="1253" w:type="dxa"/>
            <w:tcBorders>
              <w:top w:val="single" w:color="auto" w:sz="4" w:space="0"/>
              <w:left w:val="nil"/>
              <w:bottom w:val="single" w:color="auto" w:sz="4" w:space="0"/>
              <w:right w:val="single" w:color="auto" w:sz="4" w:space="0"/>
            </w:tcBorders>
          </w:tcPr>
          <w:p w14:paraId="4DA6093D">
            <w:pPr>
              <w:keepNext w:val="0"/>
              <w:keepLines w:val="0"/>
              <w:suppressLineNumbers w:val="0"/>
              <w:snapToGrid w:val="0"/>
              <w:spacing w:before="50" w:beforeAutospacing="0" w:after="50" w:afterAutospacing="0" w:line="360" w:lineRule="auto"/>
              <w:ind w:left="0" w:right="0"/>
              <w:jc w:val="center"/>
              <w:textAlignment w:val="baseline"/>
              <w:rPr>
                <w:rFonts w:hint="eastAsia" w:ascii="宋体" w:hAnsi="宋体" w:eastAsia="宋体" w:cs="宋体"/>
                <w:color w:val="auto"/>
                <w:spacing w:val="20"/>
                <w:kern w:val="0"/>
                <w:sz w:val="24"/>
                <w:highlight w:val="none"/>
              </w:rPr>
            </w:pPr>
          </w:p>
        </w:tc>
        <w:tc>
          <w:tcPr>
            <w:tcW w:w="1432" w:type="dxa"/>
            <w:tcBorders>
              <w:top w:val="single" w:color="auto" w:sz="4" w:space="0"/>
              <w:left w:val="nil"/>
              <w:bottom w:val="single" w:color="auto" w:sz="4" w:space="0"/>
              <w:right w:val="single" w:color="auto" w:sz="4" w:space="0"/>
            </w:tcBorders>
          </w:tcPr>
          <w:p w14:paraId="493E0E0F">
            <w:pPr>
              <w:keepNext w:val="0"/>
              <w:keepLines w:val="0"/>
              <w:suppressLineNumbers w:val="0"/>
              <w:snapToGrid w:val="0"/>
              <w:spacing w:before="50" w:beforeAutospacing="0" w:after="50" w:afterAutospacing="0" w:line="360" w:lineRule="auto"/>
              <w:ind w:left="0" w:right="0"/>
              <w:jc w:val="center"/>
              <w:textAlignment w:val="baseline"/>
              <w:rPr>
                <w:rFonts w:hint="eastAsia" w:ascii="宋体" w:hAnsi="宋体" w:eastAsia="宋体" w:cs="宋体"/>
                <w:color w:val="auto"/>
                <w:spacing w:val="20"/>
                <w:kern w:val="0"/>
                <w:sz w:val="24"/>
                <w:highlight w:val="none"/>
              </w:rPr>
            </w:pPr>
          </w:p>
        </w:tc>
      </w:tr>
      <w:tr w14:paraId="589E6D8E">
        <w:tblPrEx>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tcPr>
          <w:p w14:paraId="7BFF6069">
            <w:pPr>
              <w:keepNext w:val="0"/>
              <w:keepLines w:val="0"/>
              <w:suppressLineNumbers w:val="0"/>
              <w:snapToGrid w:val="0"/>
              <w:spacing w:before="50" w:beforeAutospacing="0" w:after="50" w:afterAutospacing="0" w:line="360" w:lineRule="auto"/>
              <w:ind w:left="0" w:right="0"/>
              <w:jc w:val="center"/>
              <w:textAlignment w:val="baseline"/>
              <w:rPr>
                <w:rFonts w:hint="eastAsia" w:ascii="宋体" w:hAnsi="宋体" w:eastAsia="宋体" w:cs="宋体"/>
                <w:color w:val="auto"/>
                <w:spacing w:val="20"/>
                <w:kern w:val="0"/>
                <w:sz w:val="24"/>
                <w:highlight w:val="none"/>
              </w:rPr>
            </w:pPr>
          </w:p>
        </w:tc>
        <w:tc>
          <w:tcPr>
            <w:tcW w:w="3665" w:type="dxa"/>
            <w:tcBorders>
              <w:top w:val="single" w:color="auto" w:sz="4" w:space="0"/>
              <w:left w:val="nil"/>
              <w:bottom w:val="single" w:color="auto" w:sz="4" w:space="0"/>
              <w:right w:val="single" w:color="auto" w:sz="4" w:space="0"/>
            </w:tcBorders>
          </w:tcPr>
          <w:p w14:paraId="7FC1AB21">
            <w:pPr>
              <w:keepNext w:val="0"/>
              <w:keepLines w:val="0"/>
              <w:suppressLineNumbers w:val="0"/>
              <w:snapToGrid w:val="0"/>
              <w:spacing w:before="50" w:beforeAutospacing="0" w:after="50" w:afterAutospacing="0" w:line="360" w:lineRule="auto"/>
              <w:ind w:left="0" w:right="0"/>
              <w:jc w:val="center"/>
              <w:textAlignment w:val="baseline"/>
              <w:rPr>
                <w:rFonts w:hint="eastAsia" w:ascii="宋体" w:hAnsi="宋体" w:eastAsia="宋体" w:cs="宋体"/>
                <w:color w:val="auto"/>
                <w:spacing w:val="20"/>
                <w:kern w:val="0"/>
                <w:sz w:val="24"/>
                <w:highlight w:val="none"/>
              </w:rPr>
            </w:pPr>
          </w:p>
        </w:tc>
        <w:tc>
          <w:tcPr>
            <w:tcW w:w="1780" w:type="dxa"/>
            <w:tcBorders>
              <w:top w:val="single" w:color="auto" w:sz="4" w:space="0"/>
              <w:left w:val="nil"/>
              <w:bottom w:val="single" w:color="auto" w:sz="4" w:space="0"/>
              <w:right w:val="single" w:color="auto" w:sz="4" w:space="0"/>
            </w:tcBorders>
          </w:tcPr>
          <w:p w14:paraId="31FD5308">
            <w:pPr>
              <w:keepNext w:val="0"/>
              <w:keepLines w:val="0"/>
              <w:suppressLineNumbers w:val="0"/>
              <w:snapToGrid w:val="0"/>
              <w:spacing w:before="50" w:beforeAutospacing="0" w:after="50" w:afterAutospacing="0" w:line="360" w:lineRule="auto"/>
              <w:ind w:left="0" w:right="0"/>
              <w:jc w:val="center"/>
              <w:textAlignment w:val="baseline"/>
              <w:rPr>
                <w:rFonts w:hint="eastAsia" w:ascii="宋体" w:hAnsi="宋体" w:eastAsia="宋体" w:cs="宋体"/>
                <w:color w:val="auto"/>
                <w:spacing w:val="20"/>
                <w:kern w:val="0"/>
                <w:sz w:val="24"/>
                <w:highlight w:val="none"/>
              </w:rPr>
            </w:pPr>
          </w:p>
        </w:tc>
        <w:tc>
          <w:tcPr>
            <w:tcW w:w="1253" w:type="dxa"/>
            <w:tcBorders>
              <w:top w:val="single" w:color="auto" w:sz="4" w:space="0"/>
              <w:left w:val="nil"/>
              <w:bottom w:val="single" w:color="auto" w:sz="4" w:space="0"/>
              <w:right w:val="single" w:color="auto" w:sz="4" w:space="0"/>
            </w:tcBorders>
          </w:tcPr>
          <w:p w14:paraId="2D56CF0C">
            <w:pPr>
              <w:keepNext w:val="0"/>
              <w:keepLines w:val="0"/>
              <w:suppressLineNumbers w:val="0"/>
              <w:snapToGrid w:val="0"/>
              <w:spacing w:before="50" w:beforeAutospacing="0" w:after="50" w:afterAutospacing="0" w:line="360" w:lineRule="auto"/>
              <w:ind w:left="0" w:right="0"/>
              <w:jc w:val="center"/>
              <w:textAlignment w:val="baseline"/>
              <w:rPr>
                <w:rFonts w:hint="eastAsia" w:ascii="宋体" w:hAnsi="宋体" w:eastAsia="宋体" w:cs="宋体"/>
                <w:color w:val="auto"/>
                <w:spacing w:val="20"/>
                <w:kern w:val="0"/>
                <w:sz w:val="24"/>
                <w:highlight w:val="none"/>
              </w:rPr>
            </w:pPr>
          </w:p>
        </w:tc>
        <w:tc>
          <w:tcPr>
            <w:tcW w:w="1432" w:type="dxa"/>
            <w:tcBorders>
              <w:top w:val="single" w:color="auto" w:sz="4" w:space="0"/>
              <w:left w:val="nil"/>
              <w:bottom w:val="single" w:color="auto" w:sz="4" w:space="0"/>
              <w:right w:val="single" w:color="auto" w:sz="4" w:space="0"/>
            </w:tcBorders>
          </w:tcPr>
          <w:p w14:paraId="619C4AE3">
            <w:pPr>
              <w:keepNext w:val="0"/>
              <w:keepLines w:val="0"/>
              <w:suppressLineNumbers w:val="0"/>
              <w:snapToGrid w:val="0"/>
              <w:spacing w:before="50" w:beforeAutospacing="0" w:after="50" w:afterAutospacing="0" w:line="360" w:lineRule="auto"/>
              <w:ind w:left="0" w:right="0"/>
              <w:jc w:val="center"/>
              <w:textAlignment w:val="baseline"/>
              <w:rPr>
                <w:rFonts w:hint="eastAsia" w:ascii="宋体" w:hAnsi="宋体" w:eastAsia="宋体" w:cs="宋体"/>
                <w:color w:val="auto"/>
                <w:spacing w:val="20"/>
                <w:kern w:val="0"/>
                <w:sz w:val="24"/>
                <w:highlight w:val="none"/>
              </w:rPr>
            </w:pPr>
          </w:p>
        </w:tc>
      </w:tr>
      <w:tr w14:paraId="6B331DB0">
        <w:tblPrEx>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tcPr>
          <w:p w14:paraId="5BF1A9F7">
            <w:pPr>
              <w:keepNext w:val="0"/>
              <w:keepLines w:val="0"/>
              <w:suppressLineNumbers w:val="0"/>
              <w:snapToGrid w:val="0"/>
              <w:spacing w:before="50" w:beforeAutospacing="0" w:after="50" w:afterAutospacing="0" w:line="360" w:lineRule="auto"/>
              <w:ind w:left="0" w:right="0"/>
              <w:jc w:val="center"/>
              <w:textAlignment w:val="baseline"/>
              <w:rPr>
                <w:rFonts w:hint="eastAsia" w:ascii="宋体" w:hAnsi="宋体" w:eastAsia="宋体" w:cs="宋体"/>
                <w:color w:val="auto"/>
                <w:spacing w:val="20"/>
                <w:kern w:val="0"/>
                <w:sz w:val="24"/>
                <w:highlight w:val="none"/>
              </w:rPr>
            </w:pPr>
          </w:p>
        </w:tc>
        <w:tc>
          <w:tcPr>
            <w:tcW w:w="3665" w:type="dxa"/>
            <w:tcBorders>
              <w:top w:val="single" w:color="auto" w:sz="4" w:space="0"/>
              <w:left w:val="nil"/>
              <w:bottom w:val="single" w:color="auto" w:sz="4" w:space="0"/>
              <w:right w:val="single" w:color="auto" w:sz="4" w:space="0"/>
            </w:tcBorders>
          </w:tcPr>
          <w:p w14:paraId="6092FB04">
            <w:pPr>
              <w:keepNext w:val="0"/>
              <w:keepLines w:val="0"/>
              <w:suppressLineNumbers w:val="0"/>
              <w:snapToGrid w:val="0"/>
              <w:spacing w:before="50" w:beforeAutospacing="0" w:after="50" w:afterAutospacing="0" w:line="360" w:lineRule="auto"/>
              <w:ind w:left="0" w:right="0"/>
              <w:jc w:val="center"/>
              <w:textAlignment w:val="baseline"/>
              <w:rPr>
                <w:rFonts w:hint="eastAsia" w:ascii="宋体" w:hAnsi="宋体" w:eastAsia="宋体" w:cs="宋体"/>
                <w:color w:val="auto"/>
                <w:spacing w:val="20"/>
                <w:kern w:val="0"/>
                <w:sz w:val="24"/>
                <w:highlight w:val="none"/>
              </w:rPr>
            </w:pPr>
          </w:p>
        </w:tc>
        <w:tc>
          <w:tcPr>
            <w:tcW w:w="1780" w:type="dxa"/>
            <w:tcBorders>
              <w:top w:val="single" w:color="auto" w:sz="4" w:space="0"/>
              <w:left w:val="nil"/>
              <w:bottom w:val="single" w:color="auto" w:sz="4" w:space="0"/>
              <w:right w:val="single" w:color="auto" w:sz="4" w:space="0"/>
            </w:tcBorders>
          </w:tcPr>
          <w:p w14:paraId="2F586628">
            <w:pPr>
              <w:keepNext w:val="0"/>
              <w:keepLines w:val="0"/>
              <w:suppressLineNumbers w:val="0"/>
              <w:snapToGrid w:val="0"/>
              <w:spacing w:before="50" w:beforeAutospacing="0" w:after="50" w:afterAutospacing="0" w:line="360" w:lineRule="auto"/>
              <w:ind w:left="0" w:right="0"/>
              <w:jc w:val="center"/>
              <w:textAlignment w:val="baseline"/>
              <w:rPr>
                <w:rFonts w:hint="eastAsia" w:ascii="宋体" w:hAnsi="宋体" w:eastAsia="宋体" w:cs="宋体"/>
                <w:color w:val="auto"/>
                <w:spacing w:val="20"/>
                <w:kern w:val="0"/>
                <w:sz w:val="24"/>
                <w:highlight w:val="none"/>
              </w:rPr>
            </w:pPr>
          </w:p>
        </w:tc>
        <w:tc>
          <w:tcPr>
            <w:tcW w:w="1253" w:type="dxa"/>
            <w:tcBorders>
              <w:top w:val="single" w:color="auto" w:sz="4" w:space="0"/>
              <w:left w:val="nil"/>
              <w:bottom w:val="single" w:color="auto" w:sz="4" w:space="0"/>
              <w:right w:val="single" w:color="auto" w:sz="4" w:space="0"/>
            </w:tcBorders>
          </w:tcPr>
          <w:p w14:paraId="63E57BF6">
            <w:pPr>
              <w:keepNext w:val="0"/>
              <w:keepLines w:val="0"/>
              <w:suppressLineNumbers w:val="0"/>
              <w:snapToGrid w:val="0"/>
              <w:spacing w:before="50" w:beforeAutospacing="0" w:after="50" w:afterAutospacing="0" w:line="360" w:lineRule="auto"/>
              <w:ind w:left="0" w:right="0"/>
              <w:jc w:val="center"/>
              <w:textAlignment w:val="baseline"/>
              <w:rPr>
                <w:rFonts w:hint="eastAsia" w:ascii="宋体" w:hAnsi="宋体" w:eastAsia="宋体" w:cs="宋体"/>
                <w:color w:val="auto"/>
                <w:spacing w:val="20"/>
                <w:kern w:val="0"/>
                <w:sz w:val="24"/>
                <w:highlight w:val="none"/>
              </w:rPr>
            </w:pPr>
          </w:p>
        </w:tc>
        <w:tc>
          <w:tcPr>
            <w:tcW w:w="1432" w:type="dxa"/>
            <w:tcBorders>
              <w:top w:val="single" w:color="auto" w:sz="4" w:space="0"/>
              <w:left w:val="nil"/>
              <w:bottom w:val="single" w:color="auto" w:sz="4" w:space="0"/>
              <w:right w:val="single" w:color="auto" w:sz="4" w:space="0"/>
            </w:tcBorders>
          </w:tcPr>
          <w:p w14:paraId="78EC4613">
            <w:pPr>
              <w:keepNext w:val="0"/>
              <w:keepLines w:val="0"/>
              <w:suppressLineNumbers w:val="0"/>
              <w:snapToGrid w:val="0"/>
              <w:spacing w:before="50" w:beforeAutospacing="0" w:after="50" w:afterAutospacing="0" w:line="360" w:lineRule="auto"/>
              <w:ind w:left="0" w:right="0"/>
              <w:jc w:val="center"/>
              <w:textAlignment w:val="baseline"/>
              <w:rPr>
                <w:rFonts w:hint="eastAsia" w:ascii="宋体" w:hAnsi="宋体" w:eastAsia="宋体" w:cs="宋体"/>
                <w:color w:val="auto"/>
                <w:spacing w:val="20"/>
                <w:kern w:val="0"/>
                <w:sz w:val="24"/>
                <w:highlight w:val="none"/>
              </w:rPr>
            </w:pPr>
          </w:p>
        </w:tc>
      </w:tr>
      <w:tr w14:paraId="3BD6F9FD">
        <w:tblPrEx>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tcPr>
          <w:p w14:paraId="1D18CB08">
            <w:pPr>
              <w:keepNext w:val="0"/>
              <w:keepLines w:val="0"/>
              <w:suppressLineNumbers w:val="0"/>
              <w:snapToGrid w:val="0"/>
              <w:spacing w:before="50" w:beforeAutospacing="0" w:after="50" w:afterAutospacing="0" w:line="360" w:lineRule="auto"/>
              <w:ind w:left="0" w:right="0"/>
              <w:jc w:val="center"/>
              <w:textAlignment w:val="baseline"/>
              <w:rPr>
                <w:rFonts w:hint="eastAsia" w:ascii="宋体" w:hAnsi="宋体" w:eastAsia="宋体" w:cs="宋体"/>
                <w:color w:val="auto"/>
                <w:spacing w:val="20"/>
                <w:kern w:val="0"/>
                <w:sz w:val="24"/>
                <w:highlight w:val="none"/>
              </w:rPr>
            </w:pPr>
          </w:p>
        </w:tc>
        <w:tc>
          <w:tcPr>
            <w:tcW w:w="3665" w:type="dxa"/>
            <w:tcBorders>
              <w:top w:val="single" w:color="auto" w:sz="4" w:space="0"/>
              <w:left w:val="nil"/>
              <w:bottom w:val="single" w:color="auto" w:sz="4" w:space="0"/>
              <w:right w:val="single" w:color="auto" w:sz="4" w:space="0"/>
            </w:tcBorders>
          </w:tcPr>
          <w:p w14:paraId="67E9FEAE">
            <w:pPr>
              <w:keepNext w:val="0"/>
              <w:keepLines w:val="0"/>
              <w:suppressLineNumbers w:val="0"/>
              <w:snapToGrid w:val="0"/>
              <w:spacing w:before="50" w:beforeAutospacing="0" w:after="50" w:afterAutospacing="0" w:line="360" w:lineRule="auto"/>
              <w:ind w:left="0" w:right="0"/>
              <w:jc w:val="center"/>
              <w:textAlignment w:val="baseline"/>
              <w:rPr>
                <w:rFonts w:hint="eastAsia" w:ascii="宋体" w:hAnsi="宋体" w:eastAsia="宋体" w:cs="宋体"/>
                <w:color w:val="auto"/>
                <w:spacing w:val="20"/>
                <w:kern w:val="0"/>
                <w:sz w:val="24"/>
                <w:highlight w:val="none"/>
              </w:rPr>
            </w:pPr>
          </w:p>
        </w:tc>
        <w:tc>
          <w:tcPr>
            <w:tcW w:w="1780" w:type="dxa"/>
            <w:tcBorders>
              <w:top w:val="single" w:color="auto" w:sz="4" w:space="0"/>
              <w:left w:val="nil"/>
              <w:bottom w:val="single" w:color="auto" w:sz="4" w:space="0"/>
              <w:right w:val="single" w:color="auto" w:sz="4" w:space="0"/>
            </w:tcBorders>
          </w:tcPr>
          <w:p w14:paraId="0CCD837E">
            <w:pPr>
              <w:keepNext w:val="0"/>
              <w:keepLines w:val="0"/>
              <w:suppressLineNumbers w:val="0"/>
              <w:snapToGrid w:val="0"/>
              <w:spacing w:before="50" w:beforeAutospacing="0" w:after="50" w:afterAutospacing="0" w:line="360" w:lineRule="auto"/>
              <w:ind w:left="0" w:right="0"/>
              <w:jc w:val="center"/>
              <w:textAlignment w:val="baseline"/>
              <w:rPr>
                <w:rFonts w:hint="eastAsia" w:ascii="宋体" w:hAnsi="宋体" w:eastAsia="宋体" w:cs="宋体"/>
                <w:color w:val="auto"/>
                <w:spacing w:val="20"/>
                <w:kern w:val="0"/>
                <w:sz w:val="24"/>
                <w:highlight w:val="none"/>
              </w:rPr>
            </w:pPr>
          </w:p>
        </w:tc>
        <w:tc>
          <w:tcPr>
            <w:tcW w:w="1253" w:type="dxa"/>
            <w:tcBorders>
              <w:top w:val="single" w:color="auto" w:sz="4" w:space="0"/>
              <w:left w:val="nil"/>
              <w:bottom w:val="single" w:color="auto" w:sz="4" w:space="0"/>
              <w:right w:val="single" w:color="auto" w:sz="4" w:space="0"/>
            </w:tcBorders>
          </w:tcPr>
          <w:p w14:paraId="1453FDFB">
            <w:pPr>
              <w:keepNext w:val="0"/>
              <w:keepLines w:val="0"/>
              <w:suppressLineNumbers w:val="0"/>
              <w:snapToGrid w:val="0"/>
              <w:spacing w:before="50" w:beforeAutospacing="0" w:after="50" w:afterAutospacing="0" w:line="360" w:lineRule="auto"/>
              <w:ind w:left="0" w:right="0"/>
              <w:jc w:val="center"/>
              <w:textAlignment w:val="baseline"/>
              <w:rPr>
                <w:rFonts w:hint="eastAsia" w:ascii="宋体" w:hAnsi="宋体" w:eastAsia="宋体" w:cs="宋体"/>
                <w:color w:val="auto"/>
                <w:spacing w:val="20"/>
                <w:kern w:val="0"/>
                <w:sz w:val="24"/>
                <w:highlight w:val="none"/>
              </w:rPr>
            </w:pPr>
          </w:p>
        </w:tc>
        <w:tc>
          <w:tcPr>
            <w:tcW w:w="1432" w:type="dxa"/>
            <w:tcBorders>
              <w:top w:val="single" w:color="auto" w:sz="4" w:space="0"/>
              <w:left w:val="nil"/>
              <w:bottom w:val="single" w:color="auto" w:sz="4" w:space="0"/>
              <w:right w:val="single" w:color="auto" w:sz="4" w:space="0"/>
            </w:tcBorders>
          </w:tcPr>
          <w:p w14:paraId="166E1934">
            <w:pPr>
              <w:keepNext w:val="0"/>
              <w:keepLines w:val="0"/>
              <w:suppressLineNumbers w:val="0"/>
              <w:snapToGrid w:val="0"/>
              <w:spacing w:before="50" w:beforeAutospacing="0" w:after="50" w:afterAutospacing="0" w:line="360" w:lineRule="auto"/>
              <w:ind w:left="0" w:right="0"/>
              <w:jc w:val="center"/>
              <w:textAlignment w:val="baseline"/>
              <w:rPr>
                <w:rFonts w:hint="eastAsia" w:ascii="宋体" w:hAnsi="宋体" w:eastAsia="宋体" w:cs="宋体"/>
                <w:color w:val="auto"/>
                <w:spacing w:val="20"/>
                <w:kern w:val="0"/>
                <w:sz w:val="24"/>
                <w:highlight w:val="none"/>
              </w:rPr>
            </w:pPr>
          </w:p>
        </w:tc>
      </w:tr>
      <w:tr w14:paraId="3D3BF83F">
        <w:tblPrEx>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tcPr>
          <w:p w14:paraId="40B191E8">
            <w:pPr>
              <w:keepNext w:val="0"/>
              <w:keepLines w:val="0"/>
              <w:suppressLineNumbers w:val="0"/>
              <w:snapToGrid w:val="0"/>
              <w:spacing w:before="50" w:beforeAutospacing="0" w:after="50" w:afterAutospacing="0" w:line="360" w:lineRule="auto"/>
              <w:ind w:left="0" w:right="0"/>
              <w:jc w:val="center"/>
              <w:textAlignment w:val="baseline"/>
              <w:rPr>
                <w:rFonts w:hint="eastAsia" w:ascii="宋体" w:hAnsi="宋体" w:eastAsia="宋体" w:cs="宋体"/>
                <w:color w:val="auto"/>
                <w:spacing w:val="20"/>
                <w:kern w:val="0"/>
                <w:sz w:val="24"/>
                <w:highlight w:val="none"/>
              </w:rPr>
            </w:pPr>
          </w:p>
        </w:tc>
        <w:tc>
          <w:tcPr>
            <w:tcW w:w="3665" w:type="dxa"/>
            <w:tcBorders>
              <w:top w:val="single" w:color="auto" w:sz="4" w:space="0"/>
              <w:left w:val="nil"/>
              <w:bottom w:val="single" w:color="auto" w:sz="4" w:space="0"/>
              <w:right w:val="single" w:color="auto" w:sz="4" w:space="0"/>
            </w:tcBorders>
          </w:tcPr>
          <w:p w14:paraId="1678C87C">
            <w:pPr>
              <w:keepNext w:val="0"/>
              <w:keepLines w:val="0"/>
              <w:suppressLineNumbers w:val="0"/>
              <w:snapToGrid w:val="0"/>
              <w:spacing w:before="50" w:beforeAutospacing="0" w:after="50" w:afterAutospacing="0" w:line="360" w:lineRule="auto"/>
              <w:ind w:left="0" w:right="0"/>
              <w:jc w:val="center"/>
              <w:textAlignment w:val="baseline"/>
              <w:rPr>
                <w:rFonts w:hint="eastAsia" w:ascii="宋体" w:hAnsi="宋体" w:eastAsia="宋体" w:cs="宋体"/>
                <w:color w:val="auto"/>
                <w:spacing w:val="20"/>
                <w:kern w:val="0"/>
                <w:sz w:val="24"/>
                <w:highlight w:val="none"/>
              </w:rPr>
            </w:pPr>
          </w:p>
        </w:tc>
        <w:tc>
          <w:tcPr>
            <w:tcW w:w="1780" w:type="dxa"/>
            <w:tcBorders>
              <w:top w:val="single" w:color="auto" w:sz="4" w:space="0"/>
              <w:left w:val="nil"/>
              <w:bottom w:val="single" w:color="auto" w:sz="4" w:space="0"/>
              <w:right w:val="single" w:color="auto" w:sz="4" w:space="0"/>
            </w:tcBorders>
          </w:tcPr>
          <w:p w14:paraId="4B4CA717">
            <w:pPr>
              <w:keepNext w:val="0"/>
              <w:keepLines w:val="0"/>
              <w:suppressLineNumbers w:val="0"/>
              <w:snapToGrid w:val="0"/>
              <w:spacing w:before="50" w:beforeAutospacing="0" w:after="50" w:afterAutospacing="0" w:line="360" w:lineRule="auto"/>
              <w:ind w:left="0" w:right="0"/>
              <w:jc w:val="center"/>
              <w:textAlignment w:val="baseline"/>
              <w:rPr>
                <w:rFonts w:hint="eastAsia" w:ascii="宋体" w:hAnsi="宋体" w:eastAsia="宋体" w:cs="宋体"/>
                <w:color w:val="auto"/>
                <w:spacing w:val="20"/>
                <w:kern w:val="0"/>
                <w:sz w:val="24"/>
                <w:highlight w:val="none"/>
              </w:rPr>
            </w:pPr>
          </w:p>
        </w:tc>
        <w:tc>
          <w:tcPr>
            <w:tcW w:w="1253" w:type="dxa"/>
            <w:tcBorders>
              <w:top w:val="single" w:color="auto" w:sz="4" w:space="0"/>
              <w:left w:val="nil"/>
              <w:bottom w:val="single" w:color="auto" w:sz="4" w:space="0"/>
              <w:right w:val="single" w:color="auto" w:sz="4" w:space="0"/>
            </w:tcBorders>
          </w:tcPr>
          <w:p w14:paraId="1B4EB914">
            <w:pPr>
              <w:keepNext w:val="0"/>
              <w:keepLines w:val="0"/>
              <w:suppressLineNumbers w:val="0"/>
              <w:snapToGrid w:val="0"/>
              <w:spacing w:before="50" w:beforeAutospacing="0" w:after="50" w:afterAutospacing="0" w:line="360" w:lineRule="auto"/>
              <w:ind w:left="0" w:right="0"/>
              <w:jc w:val="center"/>
              <w:textAlignment w:val="baseline"/>
              <w:rPr>
                <w:rFonts w:hint="eastAsia" w:ascii="宋体" w:hAnsi="宋体" w:eastAsia="宋体" w:cs="宋体"/>
                <w:color w:val="auto"/>
                <w:spacing w:val="20"/>
                <w:kern w:val="0"/>
                <w:sz w:val="24"/>
                <w:highlight w:val="none"/>
              </w:rPr>
            </w:pPr>
          </w:p>
        </w:tc>
        <w:tc>
          <w:tcPr>
            <w:tcW w:w="1432" w:type="dxa"/>
            <w:tcBorders>
              <w:top w:val="single" w:color="auto" w:sz="4" w:space="0"/>
              <w:left w:val="nil"/>
              <w:bottom w:val="single" w:color="auto" w:sz="4" w:space="0"/>
              <w:right w:val="single" w:color="auto" w:sz="4" w:space="0"/>
            </w:tcBorders>
          </w:tcPr>
          <w:p w14:paraId="213018F1">
            <w:pPr>
              <w:keepNext w:val="0"/>
              <w:keepLines w:val="0"/>
              <w:suppressLineNumbers w:val="0"/>
              <w:snapToGrid w:val="0"/>
              <w:spacing w:before="50" w:beforeAutospacing="0" w:after="50" w:afterAutospacing="0" w:line="360" w:lineRule="auto"/>
              <w:ind w:left="0" w:right="0"/>
              <w:jc w:val="center"/>
              <w:textAlignment w:val="baseline"/>
              <w:rPr>
                <w:rFonts w:hint="eastAsia" w:ascii="宋体" w:hAnsi="宋体" w:eastAsia="宋体" w:cs="宋体"/>
                <w:color w:val="auto"/>
                <w:spacing w:val="20"/>
                <w:kern w:val="0"/>
                <w:sz w:val="24"/>
                <w:highlight w:val="none"/>
              </w:rPr>
            </w:pPr>
          </w:p>
        </w:tc>
      </w:tr>
      <w:tr w14:paraId="7C8FC02A">
        <w:tblPrEx>
          <w:tblCellMar>
            <w:top w:w="0" w:type="dxa"/>
            <w:left w:w="108" w:type="dxa"/>
            <w:bottom w:w="0" w:type="dxa"/>
            <w:right w:w="108" w:type="dxa"/>
          </w:tblCellMar>
        </w:tblPrEx>
        <w:trPr>
          <w:trHeight w:val="520" w:hRule="atLeast"/>
          <w:jc w:val="center"/>
        </w:trPr>
        <w:tc>
          <w:tcPr>
            <w:tcW w:w="817" w:type="dxa"/>
            <w:tcBorders>
              <w:top w:val="single" w:color="auto" w:sz="4" w:space="0"/>
              <w:left w:val="single" w:color="auto" w:sz="4" w:space="0"/>
              <w:bottom w:val="single" w:color="auto" w:sz="4" w:space="0"/>
              <w:right w:val="single" w:color="auto" w:sz="4" w:space="0"/>
            </w:tcBorders>
          </w:tcPr>
          <w:p w14:paraId="7A2CB358">
            <w:pPr>
              <w:keepNext w:val="0"/>
              <w:keepLines w:val="0"/>
              <w:suppressLineNumbers w:val="0"/>
              <w:snapToGrid w:val="0"/>
              <w:spacing w:before="50" w:beforeAutospacing="0" w:after="50" w:afterAutospacing="0" w:line="360" w:lineRule="auto"/>
              <w:ind w:left="0" w:right="0"/>
              <w:jc w:val="center"/>
              <w:textAlignment w:val="baseline"/>
              <w:rPr>
                <w:rFonts w:hint="eastAsia" w:ascii="宋体" w:hAnsi="宋体" w:eastAsia="宋体" w:cs="宋体"/>
                <w:color w:val="auto"/>
                <w:spacing w:val="20"/>
                <w:kern w:val="0"/>
                <w:sz w:val="24"/>
                <w:highlight w:val="none"/>
              </w:rPr>
            </w:pPr>
          </w:p>
        </w:tc>
        <w:tc>
          <w:tcPr>
            <w:tcW w:w="3665" w:type="dxa"/>
            <w:tcBorders>
              <w:top w:val="single" w:color="auto" w:sz="4" w:space="0"/>
              <w:left w:val="nil"/>
              <w:bottom w:val="single" w:color="auto" w:sz="4" w:space="0"/>
              <w:right w:val="single" w:color="auto" w:sz="4" w:space="0"/>
            </w:tcBorders>
          </w:tcPr>
          <w:p w14:paraId="44ED5600">
            <w:pPr>
              <w:keepNext w:val="0"/>
              <w:keepLines w:val="0"/>
              <w:suppressLineNumbers w:val="0"/>
              <w:snapToGrid w:val="0"/>
              <w:spacing w:before="50" w:beforeAutospacing="0" w:after="50" w:afterAutospacing="0" w:line="360" w:lineRule="auto"/>
              <w:ind w:left="0" w:right="0"/>
              <w:textAlignment w:val="baseline"/>
              <w:rPr>
                <w:rFonts w:hint="eastAsia" w:ascii="宋体" w:hAnsi="宋体" w:eastAsia="宋体" w:cs="宋体"/>
                <w:color w:val="auto"/>
                <w:spacing w:val="20"/>
                <w:kern w:val="0"/>
                <w:sz w:val="24"/>
                <w:highlight w:val="none"/>
              </w:rPr>
            </w:pPr>
          </w:p>
        </w:tc>
        <w:tc>
          <w:tcPr>
            <w:tcW w:w="1780" w:type="dxa"/>
            <w:tcBorders>
              <w:top w:val="single" w:color="auto" w:sz="4" w:space="0"/>
              <w:left w:val="nil"/>
              <w:bottom w:val="single" w:color="auto" w:sz="4" w:space="0"/>
              <w:right w:val="single" w:color="auto" w:sz="4" w:space="0"/>
            </w:tcBorders>
          </w:tcPr>
          <w:p w14:paraId="71E05477">
            <w:pPr>
              <w:keepNext w:val="0"/>
              <w:keepLines w:val="0"/>
              <w:suppressLineNumbers w:val="0"/>
              <w:snapToGrid w:val="0"/>
              <w:spacing w:before="50" w:beforeAutospacing="0" w:after="50" w:afterAutospacing="0" w:line="360" w:lineRule="auto"/>
              <w:ind w:left="0" w:right="0"/>
              <w:jc w:val="center"/>
              <w:textAlignment w:val="baseline"/>
              <w:rPr>
                <w:rFonts w:hint="eastAsia" w:ascii="宋体" w:hAnsi="宋体" w:eastAsia="宋体" w:cs="宋体"/>
                <w:color w:val="auto"/>
                <w:spacing w:val="20"/>
                <w:kern w:val="0"/>
                <w:sz w:val="24"/>
                <w:highlight w:val="none"/>
              </w:rPr>
            </w:pPr>
          </w:p>
        </w:tc>
        <w:tc>
          <w:tcPr>
            <w:tcW w:w="1253" w:type="dxa"/>
            <w:tcBorders>
              <w:top w:val="single" w:color="auto" w:sz="4" w:space="0"/>
              <w:left w:val="nil"/>
              <w:bottom w:val="single" w:color="auto" w:sz="4" w:space="0"/>
              <w:right w:val="single" w:color="auto" w:sz="4" w:space="0"/>
            </w:tcBorders>
          </w:tcPr>
          <w:p w14:paraId="35D70097">
            <w:pPr>
              <w:keepNext w:val="0"/>
              <w:keepLines w:val="0"/>
              <w:suppressLineNumbers w:val="0"/>
              <w:snapToGrid w:val="0"/>
              <w:spacing w:before="50" w:beforeAutospacing="0" w:after="50" w:afterAutospacing="0" w:line="360" w:lineRule="auto"/>
              <w:ind w:left="0" w:right="0"/>
              <w:jc w:val="center"/>
              <w:textAlignment w:val="baseline"/>
              <w:rPr>
                <w:rFonts w:hint="eastAsia" w:ascii="宋体" w:hAnsi="宋体" w:eastAsia="宋体" w:cs="宋体"/>
                <w:color w:val="auto"/>
                <w:spacing w:val="20"/>
                <w:kern w:val="0"/>
                <w:sz w:val="24"/>
                <w:highlight w:val="none"/>
              </w:rPr>
            </w:pPr>
          </w:p>
        </w:tc>
        <w:tc>
          <w:tcPr>
            <w:tcW w:w="1432" w:type="dxa"/>
            <w:tcBorders>
              <w:top w:val="single" w:color="auto" w:sz="4" w:space="0"/>
              <w:left w:val="nil"/>
              <w:bottom w:val="single" w:color="auto" w:sz="4" w:space="0"/>
              <w:right w:val="single" w:color="auto" w:sz="4" w:space="0"/>
            </w:tcBorders>
          </w:tcPr>
          <w:p w14:paraId="329C4987">
            <w:pPr>
              <w:keepNext w:val="0"/>
              <w:keepLines w:val="0"/>
              <w:suppressLineNumbers w:val="0"/>
              <w:snapToGrid w:val="0"/>
              <w:spacing w:before="50" w:beforeAutospacing="0" w:after="50" w:afterAutospacing="0" w:line="360" w:lineRule="auto"/>
              <w:ind w:left="0" w:right="0"/>
              <w:jc w:val="center"/>
              <w:textAlignment w:val="baseline"/>
              <w:rPr>
                <w:rFonts w:hint="eastAsia" w:ascii="宋体" w:hAnsi="宋体" w:eastAsia="宋体" w:cs="宋体"/>
                <w:color w:val="auto"/>
                <w:spacing w:val="20"/>
                <w:kern w:val="0"/>
                <w:sz w:val="24"/>
                <w:highlight w:val="none"/>
              </w:rPr>
            </w:pPr>
          </w:p>
        </w:tc>
      </w:tr>
      <w:tr w14:paraId="41E8F0A4">
        <w:tblPrEx>
          <w:tblCellMar>
            <w:top w:w="0" w:type="dxa"/>
            <w:left w:w="108" w:type="dxa"/>
            <w:bottom w:w="0" w:type="dxa"/>
            <w:right w:w="108" w:type="dxa"/>
          </w:tblCellMar>
        </w:tblPrEx>
        <w:trPr>
          <w:jc w:val="center"/>
        </w:trPr>
        <w:tc>
          <w:tcPr>
            <w:tcW w:w="7515" w:type="dxa"/>
            <w:gridSpan w:val="4"/>
            <w:tcBorders>
              <w:top w:val="single" w:color="auto" w:sz="4" w:space="0"/>
              <w:left w:val="single" w:color="auto" w:sz="4" w:space="0"/>
              <w:bottom w:val="single" w:color="auto" w:sz="4" w:space="0"/>
              <w:right w:val="single" w:color="auto" w:sz="4" w:space="0"/>
            </w:tcBorders>
          </w:tcPr>
          <w:p w14:paraId="57C79038">
            <w:pPr>
              <w:keepNext w:val="0"/>
              <w:keepLines w:val="0"/>
              <w:suppressLineNumbers w:val="0"/>
              <w:snapToGrid w:val="0"/>
              <w:spacing w:before="50" w:beforeAutospacing="0" w:after="50" w:afterAutospacing="0" w:line="360" w:lineRule="auto"/>
              <w:ind w:left="0" w:right="0"/>
              <w:jc w:val="center"/>
              <w:textAlignment w:val="baseline"/>
              <w:rPr>
                <w:rFonts w:hint="eastAsia" w:ascii="宋体" w:hAnsi="宋体" w:eastAsia="宋体" w:cs="宋体"/>
                <w:color w:val="auto"/>
                <w:spacing w:val="20"/>
                <w:kern w:val="0"/>
                <w:sz w:val="24"/>
                <w:highlight w:val="none"/>
                <w:lang w:bidi="ar"/>
              </w:rPr>
            </w:pPr>
            <w:r>
              <w:rPr>
                <w:rFonts w:hint="eastAsia" w:ascii="宋体" w:hAnsi="宋体" w:eastAsia="宋体" w:cs="宋体"/>
                <w:color w:val="auto"/>
                <w:spacing w:val="20"/>
                <w:sz w:val="24"/>
                <w:highlight w:val="none"/>
                <w:lang w:val="en-US" w:eastAsia="zh-CN" w:bidi="ar"/>
              </w:rPr>
              <w:t>报价合计</w:t>
            </w:r>
            <w:r>
              <w:rPr>
                <w:rFonts w:hint="eastAsia" w:ascii="宋体" w:hAnsi="宋体" w:eastAsia="宋体" w:cs="宋体"/>
                <w:color w:val="auto"/>
                <w:spacing w:val="20"/>
                <w:sz w:val="24"/>
                <w:highlight w:val="none"/>
                <w:lang w:bidi="ar"/>
              </w:rPr>
              <w:t>（元）</w:t>
            </w:r>
          </w:p>
        </w:tc>
        <w:tc>
          <w:tcPr>
            <w:tcW w:w="1432" w:type="dxa"/>
            <w:tcBorders>
              <w:top w:val="single" w:color="auto" w:sz="4" w:space="0"/>
              <w:left w:val="nil"/>
              <w:bottom w:val="single" w:color="auto" w:sz="4" w:space="0"/>
              <w:right w:val="single" w:color="auto" w:sz="4" w:space="0"/>
            </w:tcBorders>
          </w:tcPr>
          <w:p w14:paraId="1F246337">
            <w:pPr>
              <w:keepNext w:val="0"/>
              <w:keepLines w:val="0"/>
              <w:suppressLineNumbers w:val="0"/>
              <w:snapToGrid w:val="0"/>
              <w:spacing w:before="50" w:beforeAutospacing="0" w:after="50" w:afterAutospacing="0" w:line="360" w:lineRule="auto"/>
              <w:ind w:left="0" w:right="0"/>
              <w:jc w:val="center"/>
              <w:textAlignment w:val="baseline"/>
              <w:rPr>
                <w:rFonts w:hint="eastAsia" w:ascii="宋体" w:hAnsi="宋体" w:eastAsia="宋体" w:cs="宋体"/>
                <w:color w:val="auto"/>
                <w:spacing w:val="20"/>
                <w:kern w:val="0"/>
                <w:sz w:val="24"/>
                <w:highlight w:val="none"/>
              </w:rPr>
            </w:pPr>
          </w:p>
        </w:tc>
      </w:tr>
    </w:tbl>
    <w:p w14:paraId="4A10B725">
      <w:pPr>
        <w:snapToGrid w:val="0"/>
        <w:spacing w:line="360" w:lineRule="auto"/>
        <w:rPr>
          <w:rFonts w:hint="eastAsia" w:ascii="宋体" w:hAnsi="宋体" w:eastAsia="宋体" w:cs="宋体"/>
          <w:color w:val="auto"/>
          <w:kern w:val="0"/>
          <w:sz w:val="24"/>
          <w:highlight w:val="none"/>
          <w:lang w:val="zh-CN"/>
        </w:rPr>
      </w:pPr>
    </w:p>
    <w:p w14:paraId="265BC6EC">
      <w:pPr>
        <w:snapToGrid w:val="0"/>
        <w:spacing w:line="360" w:lineRule="auto"/>
        <w:rPr>
          <w:rFonts w:hint="eastAsia" w:ascii="宋体" w:hAnsi="宋体" w:eastAsia="宋体" w:cs="宋体"/>
          <w:color w:val="auto"/>
          <w:kern w:val="0"/>
          <w:sz w:val="24"/>
          <w:highlight w:val="none"/>
          <w:lang w:val="zh-CN"/>
        </w:rPr>
      </w:pPr>
    </w:p>
    <w:p w14:paraId="75A52B10">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 xml:space="preserve">                                     </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 xml:space="preserve">        供应商名称(电子签名)：</w:t>
      </w:r>
    </w:p>
    <w:p w14:paraId="3E34E319">
      <w:pPr>
        <w:widowControl/>
        <w:adjustRightInd/>
        <w:jc w:val="left"/>
        <w:rPr>
          <w:rFonts w:hint="eastAsia" w:ascii="宋体" w:hAnsi="宋体" w:eastAsia="宋体" w:cs="宋体"/>
          <w:b/>
          <w:color w:val="auto"/>
          <w:sz w:val="36"/>
          <w:szCs w:val="36"/>
          <w:highlight w:val="none"/>
        </w:rPr>
      </w:pPr>
      <w:r>
        <w:rPr>
          <w:rFonts w:hint="eastAsia" w:ascii="宋体" w:hAnsi="宋体" w:eastAsia="宋体" w:cs="宋体"/>
          <w:color w:val="auto"/>
          <w:kern w:val="0"/>
          <w:sz w:val="24"/>
          <w:highlight w:val="none"/>
          <w:lang w:val="zh-CN"/>
        </w:rPr>
        <w:t xml:space="preserve">                                                 签发日期：  年  月   日</w:t>
      </w:r>
    </w:p>
    <w:p w14:paraId="27E4EE10">
      <w:pPr>
        <w:kinsoku/>
        <w:wordWrap/>
        <w:overflowPunct/>
        <w:topLinePunct w:val="0"/>
        <w:bidi w:val="0"/>
        <w:outlineLvl w:val="9"/>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br w:type="page"/>
      </w:r>
    </w:p>
    <w:p w14:paraId="3A2F2673">
      <w:pPr>
        <w:widowControl/>
        <w:kinsoku/>
        <w:wordWrap/>
        <w:overflowPunct/>
        <w:topLinePunct w:val="0"/>
        <w:bidi w:val="0"/>
        <w:adjustRightInd/>
        <w:jc w:val="left"/>
        <w:outlineLvl w:val="9"/>
        <w:rPr>
          <w:rFonts w:hint="eastAsia" w:ascii="宋体" w:hAnsi="宋体" w:eastAsia="宋体" w:cs="宋体"/>
          <w:color w:val="auto"/>
          <w:kern w:val="0"/>
          <w:sz w:val="24"/>
          <w:highlight w:val="none"/>
          <w:lang w:val="zh-CN"/>
        </w:rPr>
        <w:sectPr>
          <w:headerReference r:id="rId13" w:type="first"/>
          <w:footerReference r:id="rId15" w:type="first"/>
          <w:headerReference r:id="rId12" w:type="default"/>
          <w:footerReference r:id="rId14" w:type="default"/>
          <w:pgSz w:w="11906" w:h="16838"/>
          <w:pgMar w:top="1440" w:right="1440" w:bottom="1440" w:left="1440" w:header="851" w:footer="992" w:gutter="0"/>
          <w:pgBorders>
            <w:top w:val="none" w:sz="0" w:space="0"/>
            <w:left w:val="none" w:sz="0" w:space="0"/>
            <w:bottom w:val="none" w:sz="0" w:space="0"/>
            <w:right w:val="none" w:sz="0" w:space="0"/>
          </w:pgBorders>
          <w:pgNumType w:fmt="decimal"/>
          <w:cols w:space="0" w:num="1"/>
          <w:titlePg/>
          <w:rtlGutter w:val="0"/>
          <w:docGrid w:linePitch="312" w:charSpace="0"/>
        </w:sectPr>
      </w:pPr>
    </w:p>
    <w:p w14:paraId="2DDB9307">
      <w:pPr>
        <w:widowControl/>
        <w:adjustRightInd/>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（二）中小企业声明函</w:t>
      </w:r>
      <w:bookmarkStart w:id="141" w:name="_Toc465665161"/>
      <w:r>
        <w:rPr>
          <w:rFonts w:hint="eastAsia" w:ascii="宋体" w:hAnsi="宋体" w:eastAsia="宋体" w:cs="宋体"/>
          <w:b/>
          <w:color w:val="auto"/>
          <w:sz w:val="32"/>
          <w:szCs w:val="32"/>
          <w:highlight w:val="none"/>
        </w:rPr>
        <w:t>（如果有）</w:t>
      </w:r>
    </w:p>
    <w:p w14:paraId="7517BE64">
      <w:pPr>
        <w:widowControl/>
        <w:spacing w:line="360" w:lineRule="auto"/>
        <w:ind w:firstLine="120" w:firstLineChars="50"/>
        <w:jc w:val="left"/>
        <w:rPr>
          <w:rFonts w:hint="eastAsia" w:ascii="宋体" w:hAnsi="宋体" w:eastAsia="宋体" w:cs="宋体"/>
          <w:b/>
          <w:color w:val="auto"/>
          <w:sz w:val="24"/>
          <w:highlight w:val="none"/>
        </w:rPr>
      </w:pPr>
    </w:p>
    <w:p w14:paraId="4EBD57E4">
      <w:pPr>
        <w:widowControl/>
        <w:spacing w:line="360" w:lineRule="auto"/>
        <w:ind w:firstLine="120" w:firstLineChars="5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 [</w:t>
      </w:r>
      <w:r>
        <w:rPr>
          <w:rFonts w:hint="eastAsia" w:ascii="宋体" w:hAnsi="宋体" w:eastAsia="宋体" w:cs="宋体"/>
          <w:b/>
          <w:bCs/>
          <w:color w:val="auto"/>
          <w:sz w:val="24"/>
          <w:highlight w:val="none"/>
        </w:rPr>
        <w:t>竞争性磋商</w:t>
      </w:r>
      <w:r>
        <w:rPr>
          <w:rFonts w:hint="eastAsia" w:ascii="宋体" w:hAnsi="宋体" w:eastAsia="宋体" w:cs="宋体"/>
          <w:b/>
          <w:bCs/>
          <w:color w:val="auto"/>
          <w:sz w:val="24"/>
          <w:highlight w:val="none"/>
          <w:lang w:eastAsia="zh-CN"/>
        </w:rPr>
        <w:t>采购公告</w:t>
      </w:r>
      <w:r>
        <w:rPr>
          <w:rFonts w:hint="eastAsia" w:ascii="宋体" w:hAnsi="宋体" w:eastAsia="宋体" w:cs="宋体"/>
          <w:b/>
          <w:color w:val="auto"/>
          <w:sz w:val="24"/>
          <w:highlight w:val="none"/>
        </w:rPr>
        <w:t>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hint="eastAsia" w:ascii="宋体" w:hAnsi="宋体" w:eastAsia="宋体" w:cs="宋体"/>
          <w:b/>
          <w:color w:val="auto"/>
          <w:sz w:val="24"/>
          <w:highlight w:val="none"/>
          <w:lang w:val="en-US" w:eastAsia="zh-CN"/>
        </w:rPr>
        <w:t>3</w:t>
      </w:r>
      <w:r>
        <w:rPr>
          <w:rFonts w:hint="eastAsia" w:ascii="宋体" w:hAnsi="宋体" w:eastAsia="宋体" w:cs="宋体"/>
          <w:b/>
          <w:color w:val="auto"/>
          <w:sz w:val="24"/>
          <w:highlight w:val="none"/>
        </w:rPr>
        <w:t>）。]</w:t>
      </w:r>
    </w:p>
    <w:p w14:paraId="3AC9306C">
      <w:pPr>
        <w:widowControl/>
        <w:adjustRightInd/>
        <w:jc w:val="center"/>
        <w:rPr>
          <w:rFonts w:hint="eastAsia" w:ascii="宋体" w:hAnsi="宋体" w:eastAsia="宋体" w:cs="宋体"/>
          <w:color w:val="auto"/>
          <w:sz w:val="24"/>
          <w:highlight w:val="none"/>
        </w:rPr>
      </w:pPr>
    </w:p>
    <w:p w14:paraId="2BD22879">
      <w:pPr>
        <w:widowControl/>
        <w:adjustRightInd/>
        <w:jc w:val="left"/>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br w:type="page"/>
      </w:r>
    </w:p>
    <w:p w14:paraId="38BDCED6">
      <w:pPr>
        <w:pStyle w:val="2"/>
        <w:keepNext w:val="0"/>
        <w:keepLines w:val="0"/>
        <w:pageBreakBefore/>
        <w:widowControl/>
        <w:numPr>
          <w:ilvl w:val="0"/>
          <w:numId w:val="0"/>
        </w:numPr>
        <w:adjustRightInd/>
        <w:spacing w:before="100" w:beforeAutospacing="1" w:after="100" w:afterAutospacing="1" w:line="240" w:lineRule="auto"/>
        <w:ind w:left="1290" w:firstLine="3092" w:firstLineChars="700"/>
        <w:rPr>
          <w:rFonts w:hint="eastAsia" w:ascii="宋体" w:hAnsi="宋体" w:eastAsia="宋体" w:cs="宋体"/>
          <w:color w:val="auto"/>
          <w:highlight w:val="none"/>
        </w:rPr>
      </w:pPr>
      <w:bookmarkStart w:id="142" w:name="_Toc6048"/>
      <w:bookmarkStart w:id="143" w:name="_Toc9774"/>
      <w:r>
        <w:rPr>
          <w:rFonts w:hint="eastAsia" w:ascii="宋体" w:hAnsi="宋体" w:eastAsia="宋体" w:cs="宋体"/>
          <w:color w:val="auto"/>
          <w:highlight w:val="none"/>
        </w:rPr>
        <w:t>附件</w:t>
      </w:r>
      <w:bookmarkEnd w:id="141"/>
      <w:bookmarkEnd w:id="142"/>
      <w:bookmarkEnd w:id="143"/>
    </w:p>
    <w:p w14:paraId="4FF056A7">
      <w:pPr>
        <w:spacing w:line="360" w:lineRule="auto"/>
        <w:jc w:val="left"/>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附件</w:t>
      </w:r>
      <w:r>
        <w:rPr>
          <w:rFonts w:hint="eastAsia" w:ascii="宋体" w:hAnsi="宋体" w:eastAsia="宋体" w:cs="宋体"/>
          <w:b/>
          <w:color w:val="auto"/>
          <w:sz w:val="32"/>
          <w:szCs w:val="32"/>
          <w:highlight w:val="none"/>
          <w:lang w:val="en-US" w:eastAsia="zh-CN"/>
        </w:rPr>
        <w:t>1</w:t>
      </w:r>
      <w:r>
        <w:rPr>
          <w:rFonts w:hint="eastAsia" w:ascii="宋体" w:hAnsi="宋体" w:eastAsia="宋体" w:cs="宋体"/>
          <w:b/>
          <w:color w:val="auto"/>
          <w:sz w:val="32"/>
          <w:szCs w:val="32"/>
          <w:highlight w:val="none"/>
        </w:rPr>
        <w:t>：</w:t>
      </w:r>
    </w:p>
    <w:p w14:paraId="291DF884">
      <w:pPr>
        <w:spacing w:line="360" w:lineRule="auto"/>
        <w:rPr>
          <w:rFonts w:hint="eastAsia" w:ascii="宋体" w:hAnsi="宋体" w:eastAsia="宋体" w:cs="宋体"/>
          <w:b/>
          <w:color w:val="auto"/>
          <w:spacing w:val="6"/>
          <w:sz w:val="32"/>
          <w:szCs w:val="32"/>
          <w:highlight w:val="none"/>
        </w:rPr>
      </w:pPr>
    </w:p>
    <w:p w14:paraId="0BDD294F">
      <w:pPr>
        <w:spacing w:line="360" w:lineRule="auto"/>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残疾人福利性单位声明函</w:t>
      </w:r>
    </w:p>
    <w:p w14:paraId="27832235">
      <w:pPr>
        <w:spacing w:line="360" w:lineRule="auto"/>
        <w:rPr>
          <w:rFonts w:hint="eastAsia" w:ascii="宋体" w:hAnsi="宋体" w:eastAsia="宋体" w:cs="宋体"/>
          <w:b/>
          <w:color w:val="auto"/>
          <w:spacing w:val="6"/>
          <w:sz w:val="30"/>
          <w:szCs w:val="30"/>
          <w:highlight w:val="none"/>
        </w:rPr>
      </w:pPr>
    </w:p>
    <w:p w14:paraId="63315E1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单位的</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采购活动提供本单位制造的货物（由本单位承担工程/提供服务），或者提供其他残疾人福利性单位制造的货物（不包括使用非残疾人福利性单位注册商标的货物）。</w:t>
      </w:r>
    </w:p>
    <w:p w14:paraId="3B97969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本单位对上述声明的真实性负责。如有虚假，将依法承担相应责任。</w:t>
      </w:r>
    </w:p>
    <w:p w14:paraId="126BB4D7">
      <w:pPr>
        <w:spacing w:line="360" w:lineRule="auto"/>
        <w:ind w:firstLine="480" w:firstLineChars="200"/>
        <w:rPr>
          <w:rFonts w:hint="eastAsia" w:ascii="宋体" w:hAnsi="宋体" w:eastAsia="宋体" w:cs="宋体"/>
          <w:color w:val="auto"/>
          <w:sz w:val="24"/>
          <w:highlight w:val="none"/>
        </w:rPr>
      </w:pPr>
    </w:p>
    <w:p w14:paraId="632F6193">
      <w:pPr>
        <w:spacing w:line="360" w:lineRule="auto"/>
        <w:ind w:firstLine="480" w:firstLineChars="200"/>
        <w:rPr>
          <w:rFonts w:hint="eastAsia" w:ascii="宋体" w:hAnsi="宋体" w:eastAsia="宋体" w:cs="宋体"/>
          <w:color w:val="auto"/>
          <w:sz w:val="24"/>
          <w:highlight w:val="none"/>
        </w:rPr>
      </w:pPr>
    </w:p>
    <w:p w14:paraId="15C90968">
      <w:pPr>
        <w:tabs>
          <w:tab w:val="left" w:pos="4860"/>
        </w:tabs>
        <w:spacing w:line="360" w:lineRule="auto"/>
        <w:ind w:right="1560" w:firstLine="480" w:firstLineChars="20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单位名称（</w:t>
      </w:r>
      <w:r>
        <w:rPr>
          <w:rFonts w:hint="eastAsia" w:ascii="宋体" w:hAnsi="宋体" w:eastAsia="宋体" w:cs="宋体"/>
          <w:color w:val="auto"/>
          <w:kern w:val="0"/>
          <w:sz w:val="24"/>
          <w:highlight w:val="none"/>
        </w:rPr>
        <w:t>电子签名</w:t>
      </w:r>
      <w:r>
        <w:rPr>
          <w:rFonts w:hint="eastAsia" w:ascii="宋体" w:hAnsi="宋体" w:eastAsia="宋体" w:cs="宋体"/>
          <w:color w:val="auto"/>
          <w:sz w:val="24"/>
          <w:highlight w:val="none"/>
        </w:rPr>
        <w:t>）：</w:t>
      </w:r>
    </w:p>
    <w:p w14:paraId="4C5789E8">
      <w:pPr>
        <w:tabs>
          <w:tab w:val="left" w:pos="4860"/>
        </w:tabs>
        <w:spacing w:line="360" w:lineRule="auto"/>
        <w:ind w:right="1560" w:firstLine="480" w:firstLineChars="20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  期：</w:t>
      </w:r>
    </w:p>
    <w:p w14:paraId="7C658E1D">
      <w:pPr>
        <w:spacing w:line="360" w:lineRule="auto"/>
        <w:ind w:firstLine="480" w:firstLineChars="200"/>
        <w:rPr>
          <w:rFonts w:hint="eastAsia" w:ascii="宋体" w:hAnsi="宋体" w:eastAsia="宋体" w:cs="宋体"/>
          <w:color w:val="auto"/>
          <w:sz w:val="24"/>
          <w:highlight w:val="none"/>
        </w:rPr>
      </w:pPr>
    </w:p>
    <w:p w14:paraId="5367B332">
      <w:pPr>
        <w:pStyle w:val="59"/>
        <w:ind w:firstLine="420"/>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注：享受政府采购支持政策的残疾人福利性单位应当同时满足以下条件：</w:t>
      </w:r>
    </w:p>
    <w:p w14:paraId="5EBAA588">
      <w:pPr>
        <w:pStyle w:val="59"/>
        <w:ind w:firstLine="420"/>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（一）安置的残疾人占本单位在职职工人数的比例不低于25%（含25%），并且安置的残疾人人数不少于10人（含10人）；</w:t>
      </w:r>
    </w:p>
    <w:p w14:paraId="3B765209">
      <w:pPr>
        <w:pStyle w:val="59"/>
        <w:ind w:firstLine="420"/>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（二）依法与安置的每位残疾人签订了一年以上（含一年）的劳动合同或服务协议；</w:t>
      </w:r>
    </w:p>
    <w:p w14:paraId="5DCA77E7">
      <w:pPr>
        <w:pStyle w:val="59"/>
        <w:ind w:firstLine="420"/>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（三）为安置的每位残疾人按月足额缴纳了基本养老保险、基本医疗保险、失业保险、工伤保险和生育保险等社会保险费；</w:t>
      </w:r>
    </w:p>
    <w:p w14:paraId="761EA54B">
      <w:pPr>
        <w:pStyle w:val="59"/>
        <w:ind w:firstLine="420"/>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（四）通过银行等金融机构向安置的每位残疾人，按月支付了不低于单位所在区县适用的经省级人民政府批准的月最低工资标准的工资；</w:t>
      </w:r>
    </w:p>
    <w:p w14:paraId="3C73F286">
      <w:pPr>
        <w:pStyle w:val="59"/>
        <w:ind w:firstLine="420"/>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（五）提供本单位制造的货物、承担的工程或者服务（以下简称产品），或者提供其他残疾人福利性单位制造的货物（不包括使用非残疾人福利性单位注册商标的货物）。</w:t>
      </w:r>
    </w:p>
    <w:p w14:paraId="78E3E4E6">
      <w:pPr>
        <w:pStyle w:val="59"/>
        <w:ind w:firstLine="420"/>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55068F7A">
      <w:pPr>
        <w:spacing w:line="360" w:lineRule="auto"/>
        <w:ind w:firstLine="480" w:firstLineChars="200"/>
        <w:rPr>
          <w:rFonts w:hint="eastAsia" w:ascii="宋体" w:hAnsi="宋体" w:eastAsia="宋体" w:cs="宋体"/>
          <w:color w:val="auto"/>
          <w:sz w:val="24"/>
          <w:highlight w:val="none"/>
        </w:rPr>
      </w:pPr>
    </w:p>
    <w:p w14:paraId="30A7565A">
      <w:pPr>
        <w:widowControl/>
        <w:adjustRightInd/>
        <w:jc w:val="left"/>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br w:type="page"/>
      </w:r>
    </w:p>
    <w:p w14:paraId="14C9B1B5">
      <w:pPr>
        <w:autoSpaceDE w:val="0"/>
        <w:autoSpaceDN w:val="0"/>
        <w:jc w:val="left"/>
        <w:rPr>
          <w:rFonts w:hint="eastAsia" w:ascii="宋体" w:hAnsi="宋体" w:eastAsia="宋体" w:cs="宋体"/>
          <w:b/>
          <w:color w:val="auto"/>
          <w:sz w:val="24"/>
          <w:highlight w:val="none"/>
        </w:rPr>
      </w:pPr>
      <w:r>
        <w:rPr>
          <w:rFonts w:hint="eastAsia" w:ascii="宋体" w:hAnsi="宋体" w:eastAsia="宋体" w:cs="宋体"/>
          <w:b/>
          <w:color w:val="auto"/>
          <w:sz w:val="32"/>
          <w:szCs w:val="32"/>
          <w:highlight w:val="none"/>
        </w:rPr>
        <w:t>附件</w:t>
      </w:r>
      <w:r>
        <w:rPr>
          <w:rFonts w:hint="eastAsia" w:ascii="宋体" w:hAnsi="宋体" w:eastAsia="宋体" w:cs="宋体"/>
          <w:b/>
          <w:color w:val="auto"/>
          <w:sz w:val="32"/>
          <w:szCs w:val="32"/>
          <w:highlight w:val="none"/>
          <w:lang w:val="en-US" w:eastAsia="zh-CN"/>
        </w:rPr>
        <w:t>2</w:t>
      </w:r>
      <w:r>
        <w:rPr>
          <w:rFonts w:hint="eastAsia" w:ascii="宋体" w:hAnsi="宋体" w:eastAsia="宋体" w:cs="宋体"/>
          <w:b/>
          <w:color w:val="auto"/>
          <w:sz w:val="32"/>
          <w:szCs w:val="32"/>
          <w:highlight w:val="none"/>
        </w:rPr>
        <w:t>：</w:t>
      </w:r>
    </w:p>
    <w:p w14:paraId="0E15477F">
      <w:pPr>
        <w:spacing w:line="360" w:lineRule="auto"/>
        <w:jc w:val="left"/>
        <w:rPr>
          <w:rFonts w:hint="eastAsia" w:ascii="宋体" w:hAnsi="宋体" w:eastAsia="宋体" w:cs="宋体"/>
          <w:b/>
          <w:color w:val="auto"/>
          <w:sz w:val="24"/>
          <w:highlight w:val="none"/>
        </w:rPr>
      </w:pPr>
    </w:p>
    <w:p w14:paraId="20677E9E">
      <w:pPr>
        <w:autoSpaceDE w:val="0"/>
        <w:autoSpaceDN w:val="0"/>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业务专用章使用说明函</w:t>
      </w:r>
    </w:p>
    <w:p w14:paraId="54E4F5A6">
      <w:pPr>
        <w:autoSpaceDE w:val="0"/>
        <w:autoSpaceDN w:val="0"/>
        <w:jc w:val="center"/>
        <w:rPr>
          <w:rFonts w:hint="eastAsia" w:ascii="宋体" w:hAnsi="宋体" w:eastAsia="宋体" w:cs="宋体"/>
          <w:b/>
          <w:bCs/>
          <w:color w:val="auto"/>
          <w:sz w:val="32"/>
          <w:szCs w:val="32"/>
          <w:highlight w:val="none"/>
        </w:rPr>
      </w:pPr>
    </w:p>
    <w:p w14:paraId="6D806048">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宁波市数据局</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宁波中基国际招标有限公司</w:t>
      </w:r>
      <w:r>
        <w:rPr>
          <w:rFonts w:hint="eastAsia" w:ascii="宋体" w:hAnsi="宋体" w:eastAsia="宋体" w:cs="宋体"/>
          <w:color w:val="auto"/>
          <w:sz w:val="24"/>
          <w:highlight w:val="none"/>
        </w:rPr>
        <w:t>：</w:t>
      </w:r>
    </w:p>
    <w:p w14:paraId="57B79DF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我方</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sz w:val="24"/>
          <w:highlight w:val="none"/>
        </w:rPr>
        <w:t>(供应商全称)是中华人民共和国依法登记注册的合法企业，</w:t>
      </w:r>
      <w:r>
        <w:rPr>
          <w:rFonts w:hint="eastAsia" w:ascii="宋体" w:hAnsi="宋体" w:eastAsia="宋体" w:cs="宋体"/>
          <w:bCs/>
          <w:color w:val="auto"/>
          <w:sz w:val="24"/>
          <w:highlight w:val="none"/>
        </w:rPr>
        <w:t>在参加</w:t>
      </w:r>
      <w:r>
        <w:rPr>
          <w:rFonts w:hint="eastAsia" w:ascii="宋体" w:hAnsi="宋体" w:eastAsia="宋体" w:cs="宋体"/>
          <w:color w:val="auto"/>
          <w:sz w:val="24"/>
          <w:highlight w:val="none"/>
        </w:rPr>
        <w:t>贵方组织的</w:t>
      </w:r>
      <w:r>
        <w:rPr>
          <w:rFonts w:hint="eastAsia" w:ascii="宋体" w:hAnsi="宋体" w:cs="宋体"/>
          <w:color w:val="auto"/>
          <w:sz w:val="24"/>
          <w:highlight w:val="none"/>
          <w:lang w:eastAsia="zh-CN"/>
        </w:rPr>
        <w:t>2025年市公共数据平台运维服务</w:t>
      </w:r>
      <w:r>
        <w:rPr>
          <w:rFonts w:hint="eastAsia" w:ascii="宋体" w:hAnsi="宋体" w:eastAsia="宋体" w:cs="宋体"/>
          <w:color w:val="auto"/>
          <w:sz w:val="24"/>
          <w:highlight w:val="none"/>
        </w:rPr>
        <w:t>【项目编号：</w:t>
      </w:r>
      <w:r>
        <w:rPr>
          <w:rFonts w:hint="eastAsia" w:ascii="宋体" w:hAnsi="宋体" w:eastAsia="宋体" w:cs="宋体"/>
          <w:color w:val="auto"/>
          <w:sz w:val="24"/>
          <w:highlight w:val="none"/>
          <w:lang w:eastAsia="zh-CN"/>
        </w:rPr>
        <w:t>CBNB-20252271G</w:t>
      </w:r>
      <w:r>
        <w:rPr>
          <w:rFonts w:hint="eastAsia" w:ascii="宋体" w:hAnsi="宋体" w:eastAsia="宋体" w:cs="宋体"/>
          <w:color w:val="auto"/>
          <w:sz w:val="24"/>
          <w:highlight w:val="none"/>
        </w:rPr>
        <w:t>】</w:t>
      </w:r>
      <w:r>
        <w:rPr>
          <w:rFonts w:hint="eastAsia" w:ascii="宋体" w:hAnsi="宋体" w:eastAsia="宋体" w:cs="宋体"/>
          <w:bCs/>
          <w:color w:val="auto"/>
          <w:sz w:val="24"/>
          <w:highlight w:val="none"/>
        </w:rPr>
        <w:t>采购活动中作如下说明：</w:t>
      </w:r>
      <w:r>
        <w:rPr>
          <w:rFonts w:hint="eastAsia" w:ascii="宋体" w:hAnsi="宋体" w:eastAsia="宋体" w:cs="宋体"/>
          <w:color w:val="auto"/>
          <w:sz w:val="24"/>
          <w:highlight w:val="none"/>
        </w:rPr>
        <w:t xml:space="preserve">我方所使用的“XX专用章”与法定名称章具有同等的法律效力，对使用“XX专用章”的行为予以完全承认，并愿意承担相应责任。   </w:t>
      </w:r>
    </w:p>
    <w:p w14:paraId="1441980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特此说明。</w:t>
      </w:r>
    </w:p>
    <w:p w14:paraId="4CB5051B">
      <w:pPr>
        <w:spacing w:line="360" w:lineRule="auto"/>
        <w:ind w:firstLine="494"/>
        <w:rPr>
          <w:rFonts w:hint="eastAsia" w:ascii="宋体" w:hAnsi="宋体" w:eastAsia="宋体" w:cs="宋体"/>
          <w:color w:val="auto"/>
          <w:sz w:val="24"/>
          <w:highlight w:val="none"/>
        </w:rPr>
      </w:pPr>
    </w:p>
    <w:p w14:paraId="12375D18">
      <w:pPr>
        <w:spacing w:line="360" w:lineRule="auto"/>
        <w:ind w:firstLine="494"/>
        <w:rPr>
          <w:rFonts w:hint="eastAsia" w:ascii="宋体" w:hAnsi="宋体" w:eastAsia="宋体" w:cs="宋体"/>
          <w:color w:val="auto"/>
          <w:sz w:val="24"/>
          <w:highlight w:val="none"/>
        </w:rPr>
      </w:pPr>
    </w:p>
    <w:p w14:paraId="575DEC28">
      <w:pPr>
        <w:spacing w:line="360" w:lineRule="auto"/>
        <w:ind w:firstLine="494"/>
        <w:rPr>
          <w:rFonts w:hint="eastAsia" w:ascii="宋体" w:hAnsi="宋体" w:eastAsia="宋体" w:cs="宋体"/>
          <w:color w:val="auto"/>
          <w:sz w:val="24"/>
          <w:highlight w:val="none"/>
        </w:rPr>
      </w:pPr>
    </w:p>
    <w:p w14:paraId="584A32BA">
      <w:pPr>
        <w:spacing w:line="360" w:lineRule="auto"/>
        <w:ind w:firstLine="494"/>
        <w:rPr>
          <w:rFonts w:hint="eastAsia" w:ascii="宋体" w:hAnsi="宋体" w:eastAsia="宋体" w:cs="宋体"/>
          <w:color w:val="auto"/>
          <w:sz w:val="24"/>
          <w:highlight w:val="none"/>
        </w:rPr>
      </w:pPr>
    </w:p>
    <w:p w14:paraId="18FCE8E3">
      <w:pPr>
        <w:spacing w:line="360" w:lineRule="auto"/>
        <w:ind w:right="482" w:firstLine="4080" w:firstLineChars="1700"/>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供应商（法定名称章）：</w:t>
      </w:r>
    </w:p>
    <w:p w14:paraId="3896DED0">
      <w:pPr>
        <w:spacing w:line="360" w:lineRule="auto"/>
        <w:ind w:right="482" w:firstLine="4080" w:firstLineChars="1700"/>
        <w:rPr>
          <w:rFonts w:hint="eastAsia" w:ascii="宋体" w:hAnsi="宋体" w:eastAsia="宋体" w:cs="宋体"/>
          <w:color w:val="auto"/>
          <w:sz w:val="24"/>
          <w:highlight w:val="none"/>
        </w:rPr>
      </w:pPr>
      <w:r>
        <w:rPr>
          <w:rFonts w:hint="eastAsia" w:ascii="宋体" w:hAnsi="宋体" w:eastAsia="宋体" w:cs="宋体"/>
          <w:color w:val="auto"/>
          <w:sz w:val="24"/>
          <w:highlight w:val="none"/>
        </w:rPr>
        <w:t>日期：       年     月     日</w:t>
      </w:r>
    </w:p>
    <w:p w14:paraId="78BF8826">
      <w:pPr>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附：</w:t>
      </w:r>
    </w:p>
    <w:p w14:paraId="0AD685A3">
      <w:pPr>
        <w:spacing w:line="360" w:lineRule="auto"/>
        <w:rPr>
          <w:rFonts w:hint="eastAsia" w:ascii="宋体" w:hAnsi="宋体" w:eastAsia="宋体" w:cs="宋体"/>
          <w:bCs/>
          <w:color w:val="auto"/>
          <w:sz w:val="24"/>
          <w:highlight w:val="none"/>
        </w:rPr>
      </w:pPr>
      <w:r>
        <w:rPr>
          <w:rFonts w:hint="eastAsia" w:ascii="宋体" w:hAnsi="宋体" w:eastAsia="宋体" w:cs="宋体"/>
          <w:color w:val="auto"/>
          <w:highlight w:val="none"/>
        </w:rPr>
        <mc:AlternateContent>
          <mc:Choice Requires="wps">
            <w:drawing>
              <wp:anchor distT="0" distB="0" distL="114300" distR="114300" simplePos="0" relativeHeight="251683840" behindDoc="1" locked="0" layoutInCell="1" allowOverlap="1">
                <wp:simplePos x="0" y="0"/>
                <wp:positionH relativeFrom="column">
                  <wp:posOffset>3034030</wp:posOffset>
                </wp:positionH>
                <wp:positionV relativeFrom="paragraph">
                  <wp:posOffset>356235</wp:posOffset>
                </wp:positionV>
                <wp:extent cx="2704465" cy="2253615"/>
                <wp:effectExtent l="13970" t="7620" r="5715" b="5715"/>
                <wp:wrapNone/>
                <wp:docPr id="18" name="矩形 18"/>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38.9pt;margin-top:28.05pt;height:177.45pt;width:212.95pt;z-index:-251632640;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9ZAPP9gAAAAKAQAADwAAAAAAAAABACAAAAAiAAAAZHJzL2Rvd25yZXYu&#10;eG1sUEsBAhQAFAAAAAgAh07iQLmbJiU0AgAAcgQAAA4AAAAAAAAAAQAgAAAAJwEAAGRycy9lMm9E&#10;b2MueG1sUEsFBgAAAAAGAAYAWQEAAM0FAAAAAA==&#10;">
                <v:fill on="t" focussize="0,0"/>
                <v:stroke color="#000000" miterlimit="2" joinstyle="miter"/>
                <v:imagedata o:title=""/>
                <o:lock v:ext="edit" aspectratio="f"/>
              </v:rect>
            </w:pict>
          </mc:Fallback>
        </mc:AlternateContent>
      </w:r>
      <w:r>
        <w:rPr>
          <w:rFonts w:hint="eastAsia" w:ascii="宋体" w:hAnsi="宋体" w:eastAsia="宋体" w:cs="宋体"/>
          <w:color w:val="auto"/>
          <w:highlight w:val="none"/>
        </w:rPr>
        <mc:AlternateContent>
          <mc:Choice Requires="wps">
            <w:drawing>
              <wp:anchor distT="0" distB="0" distL="114300" distR="114300" simplePos="0" relativeHeight="251682816" behindDoc="1" locked="0" layoutInCell="1" allowOverlap="1">
                <wp:simplePos x="0" y="0"/>
                <wp:positionH relativeFrom="column">
                  <wp:posOffset>-91440</wp:posOffset>
                </wp:positionH>
                <wp:positionV relativeFrom="paragraph">
                  <wp:posOffset>384810</wp:posOffset>
                </wp:positionV>
                <wp:extent cx="2647950" cy="2253615"/>
                <wp:effectExtent l="12700" t="7620" r="6350" b="5715"/>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7.2pt;margin-top:30.3pt;height:177.45pt;width:208.5pt;z-index:-251633664;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GYxHptgAAAAKAQAADwAAAAAAAAABACAAAAAiAAAAZHJzL2Rvd25yZXYueG1s&#10;UEsBAhQAFAAAAAgAh07iQGPUIbwxAgAAcAQAAA4AAAAAAAAAAQAgAAAAJwEAAGRycy9lMm9Eb2Mu&#10;eG1sUEsFBgAAAAAGAAYAWQEAAMoFAAAAAA==&#10;">
                <v:fill on="t" focussize="0,0"/>
                <v:stroke color="#000000" miterlimit="2" joinstyle="miter"/>
                <v:imagedata o:title=""/>
                <o:lock v:ext="edit" aspectratio="f"/>
              </v:rect>
            </w:pict>
          </mc:Fallback>
        </mc:AlternateContent>
      </w:r>
      <w:r>
        <w:rPr>
          <w:rFonts w:hint="eastAsia" w:ascii="宋体" w:hAnsi="宋体" w:eastAsia="宋体" w:cs="宋体"/>
          <w:color w:val="auto"/>
          <w:sz w:val="24"/>
          <w:highlight w:val="none"/>
        </w:rPr>
        <w:t>供应商法定名称章（印模）                供应商“XX专用章”（印模）</w:t>
      </w:r>
    </w:p>
    <w:p w14:paraId="58A0CC11">
      <w:pPr>
        <w:widowControl/>
        <w:spacing w:line="360" w:lineRule="auto"/>
        <w:ind w:firstLine="480" w:firstLineChars="200"/>
        <w:jc w:val="left"/>
        <w:rPr>
          <w:rFonts w:hint="eastAsia" w:ascii="宋体" w:hAnsi="宋体" w:eastAsia="宋体" w:cs="宋体"/>
          <w:color w:val="auto"/>
          <w:kern w:val="0"/>
          <w:sz w:val="24"/>
          <w:highlight w:val="none"/>
        </w:rPr>
      </w:pPr>
    </w:p>
    <w:p w14:paraId="45EA6AE2">
      <w:pPr>
        <w:snapToGrid w:val="0"/>
        <w:spacing w:line="360" w:lineRule="auto"/>
        <w:jc w:val="center"/>
        <w:rPr>
          <w:rFonts w:hint="eastAsia" w:ascii="宋体" w:hAnsi="宋体" w:eastAsia="宋体" w:cs="宋体"/>
          <w:b/>
          <w:color w:val="auto"/>
          <w:sz w:val="24"/>
          <w:highlight w:val="none"/>
        </w:rPr>
      </w:pPr>
    </w:p>
    <w:p w14:paraId="2BDD7CA0">
      <w:pPr>
        <w:widowControl/>
        <w:adjustRightInd/>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br w:type="page"/>
      </w:r>
    </w:p>
    <w:p w14:paraId="2C8CDE59">
      <w:pPr>
        <w:autoSpaceDE w:val="0"/>
        <w:autoSpaceDN w:val="0"/>
        <w:jc w:val="left"/>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附件</w:t>
      </w:r>
      <w:r>
        <w:rPr>
          <w:rFonts w:hint="eastAsia" w:ascii="宋体" w:hAnsi="宋体" w:eastAsia="宋体" w:cs="宋体"/>
          <w:b/>
          <w:color w:val="auto"/>
          <w:sz w:val="32"/>
          <w:szCs w:val="32"/>
          <w:highlight w:val="none"/>
          <w:lang w:val="en-US" w:eastAsia="zh-CN"/>
        </w:rPr>
        <w:t>3</w:t>
      </w:r>
      <w:r>
        <w:rPr>
          <w:rFonts w:hint="eastAsia" w:ascii="宋体" w:hAnsi="宋体" w:eastAsia="宋体" w:cs="宋体"/>
          <w:b/>
          <w:color w:val="auto"/>
          <w:sz w:val="32"/>
          <w:szCs w:val="32"/>
          <w:highlight w:val="none"/>
        </w:rPr>
        <w:t>：</w:t>
      </w:r>
    </w:p>
    <w:p w14:paraId="38C4D847">
      <w:pPr>
        <w:spacing w:line="360" w:lineRule="auto"/>
        <w:jc w:val="center"/>
        <w:rPr>
          <w:rFonts w:hint="eastAsia" w:ascii="宋体" w:hAnsi="宋体" w:eastAsia="宋体" w:cs="宋体"/>
          <w:b/>
          <w:color w:val="auto"/>
          <w:sz w:val="32"/>
          <w:szCs w:val="32"/>
          <w:highlight w:val="none"/>
        </w:rPr>
      </w:pPr>
    </w:p>
    <w:p w14:paraId="23AF020A">
      <w:pPr>
        <w:adjustRightInd/>
        <w:spacing w:line="360" w:lineRule="auto"/>
        <w:jc w:val="center"/>
        <w:outlineLvl w:val="0"/>
        <w:rPr>
          <w:rFonts w:hint="eastAsia" w:ascii="宋体" w:hAnsi="宋体" w:eastAsia="宋体" w:cs="宋体"/>
          <w:b/>
          <w:color w:val="auto"/>
          <w:sz w:val="36"/>
          <w:szCs w:val="36"/>
          <w:highlight w:val="none"/>
        </w:rPr>
      </w:pPr>
      <w:bookmarkStart w:id="144" w:name="_Toc20056"/>
      <w:bookmarkStart w:id="145" w:name="_Toc25649"/>
      <w:r>
        <w:rPr>
          <w:rFonts w:hint="eastAsia" w:ascii="宋体" w:hAnsi="宋体" w:eastAsia="宋体" w:cs="宋体"/>
          <w:b/>
          <w:color w:val="auto"/>
          <w:sz w:val="36"/>
          <w:szCs w:val="36"/>
          <w:highlight w:val="none"/>
        </w:rPr>
        <w:t>中小企业声明函（服务）</w:t>
      </w:r>
      <w:bookmarkEnd w:id="144"/>
      <w:bookmarkEnd w:id="145"/>
    </w:p>
    <w:p w14:paraId="29747DC2">
      <w:pPr>
        <w:spacing w:line="360" w:lineRule="auto"/>
        <w:jc w:val="center"/>
        <w:rPr>
          <w:rFonts w:hint="eastAsia" w:ascii="宋体" w:hAnsi="宋体" w:eastAsia="宋体" w:cs="宋体"/>
          <w:b/>
          <w:color w:val="auto"/>
          <w:sz w:val="32"/>
          <w:szCs w:val="32"/>
          <w:highlight w:val="none"/>
        </w:rPr>
      </w:pPr>
    </w:p>
    <w:p w14:paraId="0BE7EB8C">
      <w:pPr>
        <w:spacing w:line="360" w:lineRule="auto"/>
        <w:ind w:firstLine="360" w:firstLineChars="1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eastAsia="宋体" w:cs="宋体"/>
          <w:color w:val="auto"/>
          <w:sz w:val="24"/>
          <w:highlight w:val="none"/>
          <w:u w:val="single"/>
          <w:lang w:eastAsia="zh-CN"/>
        </w:rPr>
        <w:t>宁波市数据局</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的</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eastAsia="zh-CN"/>
        </w:rPr>
        <w:t>2025年市公共数据平台运维服务</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659EDA39">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u w:val="single"/>
          <w:lang w:val="en-US" w:eastAsia="zh-CN"/>
        </w:rPr>
        <w:t xml:space="preserve"> 2025年市公共数据平台运维服务，</w:t>
      </w:r>
      <w:r>
        <w:rPr>
          <w:rFonts w:hint="eastAsia" w:ascii="宋体" w:hAnsi="宋体" w:eastAsia="宋体" w:cs="宋体"/>
          <w:color w:val="auto"/>
          <w:sz w:val="24"/>
          <w:highlight w:val="none"/>
        </w:rPr>
        <w:t>属</w:t>
      </w:r>
      <w:r>
        <w:rPr>
          <w:rFonts w:hint="eastAsia" w:ascii="宋体" w:hAnsi="宋体" w:eastAsia="宋体" w:cs="宋体"/>
          <w:color w:val="auto"/>
          <w:sz w:val="24"/>
          <w:highlight w:val="none"/>
          <w:u w:val="none"/>
          <w:lang w:eastAsia="zh-CN"/>
        </w:rPr>
        <w:t xml:space="preserve">于 </w:t>
      </w:r>
      <w:r>
        <w:rPr>
          <w:rFonts w:hint="eastAsia" w:ascii="宋体" w:hAnsi="宋体" w:eastAsia="宋体" w:cs="宋体"/>
          <w:color w:val="auto"/>
          <w:sz w:val="24"/>
          <w:highlight w:val="none"/>
          <w:u w:val="single"/>
          <w:lang w:val="en-US" w:eastAsia="zh-CN"/>
        </w:rPr>
        <w:t>软件和信息技术服务业</w:t>
      </w:r>
      <w:r>
        <w:rPr>
          <w:rFonts w:hint="eastAsia" w:ascii="宋体" w:hAnsi="宋体" w:eastAsia="宋体" w:cs="宋体"/>
          <w:color w:val="auto"/>
          <w:sz w:val="24"/>
          <w:highlight w:val="none"/>
          <w:u w:val="single"/>
          <w:lang w:eastAsia="zh-CN"/>
        </w:rPr>
        <w:t xml:space="preserve"> </w:t>
      </w:r>
      <w:r>
        <w:rPr>
          <w:rFonts w:hint="eastAsia" w:ascii="宋体" w:hAnsi="宋体" w:eastAsia="宋体" w:cs="宋体"/>
          <w:color w:val="auto"/>
          <w:sz w:val="24"/>
          <w:highlight w:val="none"/>
        </w:rPr>
        <w:t xml:space="preserve">；承建（承接）企业为 </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 xml:space="preserve"> ，从业人员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万元属于</w:t>
      </w:r>
      <w:r>
        <w:rPr>
          <w:rFonts w:hint="eastAsia" w:ascii="宋体" w:hAnsi="宋体" w:eastAsia="宋体" w:cs="宋体"/>
          <w:color w:val="auto"/>
          <w:sz w:val="24"/>
          <w:highlight w:val="none"/>
          <w:u w:val="single"/>
        </w:rPr>
        <w:t xml:space="preserve"> （中型企业、小型企业、微型企业） </w:t>
      </w:r>
      <w:r>
        <w:rPr>
          <w:rFonts w:hint="eastAsia" w:ascii="宋体" w:hAnsi="宋体" w:eastAsia="宋体" w:cs="宋体"/>
          <w:color w:val="auto"/>
          <w:sz w:val="24"/>
          <w:highlight w:val="none"/>
        </w:rPr>
        <w:t>；</w:t>
      </w:r>
    </w:p>
    <w:p w14:paraId="33E6ED74">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以上企业，不属于大企业的分支机构，不存在控股股东为大企业的情形，也不存在与大企业的负责人为同一人的情形。</w:t>
      </w:r>
    </w:p>
    <w:p w14:paraId="694E4DAF">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本企业对上述声明内容的真实性负责。如有虚假，将依法承担相应责任。</w:t>
      </w:r>
    </w:p>
    <w:p w14:paraId="3A8882C6">
      <w:pPr>
        <w:spacing w:line="360" w:lineRule="auto"/>
        <w:ind w:right="1760"/>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供应商名称（电子签名）：</w:t>
      </w:r>
    </w:p>
    <w:p w14:paraId="33C10CDA">
      <w:pPr>
        <w:spacing w:line="360" w:lineRule="auto"/>
        <w:ind w:right="1120" w:firstLine="4680" w:firstLineChars="1950"/>
        <w:rPr>
          <w:rFonts w:hint="eastAsia" w:ascii="宋体" w:hAnsi="宋体" w:eastAsia="宋体" w:cs="宋体"/>
          <w:color w:val="auto"/>
          <w:sz w:val="24"/>
          <w:highlight w:val="none"/>
        </w:rPr>
      </w:pPr>
      <w:r>
        <w:rPr>
          <w:rFonts w:hint="eastAsia" w:ascii="宋体" w:hAnsi="宋体" w:eastAsia="宋体" w:cs="宋体"/>
          <w:color w:val="auto"/>
          <w:sz w:val="24"/>
          <w:highlight w:val="none"/>
        </w:rPr>
        <w:t>日 期：</w:t>
      </w:r>
    </w:p>
    <w:p w14:paraId="6C4AC79C">
      <w:pPr>
        <w:spacing w:line="360" w:lineRule="auto"/>
        <w:ind w:firstLine="310" w:firstLineChars="147"/>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从业人员、营业收入、资产总额填报上一年度数据，无上一年度数据的新成立企业可不填报。</w:t>
      </w:r>
    </w:p>
    <w:p w14:paraId="18A874D1">
      <w:pPr>
        <w:spacing w:line="360" w:lineRule="auto"/>
        <w:ind w:right="420"/>
        <w:rPr>
          <w:rFonts w:hint="eastAsia" w:ascii="宋体" w:hAnsi="宋体" w:eastAsia="宋体" w:cs="宋体"/>
          <w:color w:val="auto"/>
          <w:sz w:val="24"/>
          <w:highlight w:val="none"/>
        </w:rPr>
      </w:pPr>
    </w:p>
    <w:p w14:paraId="47890FDC">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注：</w:t>
      </w:r>
    </w:p>
    <w:p w14:paraId="05971557">
      <w:pPr>
        <w:spacing w:line="360" w:lineRule="auto"/>
        <w:ind w:right="42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填写要求：①“标的名称”、“采购文件中明确的所属行业”依据磋商文件第三部分供应商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14:paraId="0D3D9FA3">
      <w:pPr>
        <w:spacing w:line="360" w:lineRule="auto"/>
        <w:ind w:right="420" w:firstLine="720" w:firstLineChars="3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2、符合《关于促进残疾人就业政府采购政策的通知》（财库〔2017〕141号）规定的条件并提供《残疾人福利性单位声明函》（附件</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r>
        <w:rPr>
          <w:rFonts w:hint="eastAsia" w:ascii="宋体" w:hAnsi="宋体" w:eastAsia="宋体" w:cs="宋体"/>
          <w:color w:val="auto"/>
          <w:sz w:val="24"/>
          <w:highlight w:val="none"/>
          <w:lang w:eastAsia="zh-CN"/>
        </w:rPr>
        <w:t>。</w:t>
      </w:r>
    </w:p>
    <w:p w14:paraId="0960C940">
      <w:pPr>
        <w:spacing w:line="360" w:lineRule="auto"/>
        <w:ind w:right="420" w:firstLine="723" w:firstLineChars="300"/>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3、本采购文件中明确的所属行业为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1D127A35">
      <w:pPr>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br w:type="page"/>
      </w:r>
    </w:p>
    <w:p w14:paraId="031D5C9F">
      <w:pPr>
        <w:jc w:val="left"/>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附件</w:t>
      </w:r>
      <w:r>
        <w:rPr>
          <w:rFonts w:hint="eastAsia" w:ascii="宋体" w:hAnsi="宋体" w:eastAsia="宋体" w:cs="宋体"/>
          <w:b/>
          <w:bCs/>
          <w:color w:val="auto"/>
          <w:sz w:val="32"/>
          <w:szCs w:val="32"/>
          <w:highlight w:val="none"/>
          <w:lang w:val="en-US" w:eastAsia="zh-CN"/>
        </w:rPr>
        <w:t>4</w:t>
      </w:r>
      <w:r>
        <w:rPr>
          <w:rFonts w:hint="eastAsia" w:ascii="宋体" w:hAnsi="宋体" w:eastAsia="宋体" w:cs="宋体"/>
          <w:b/>
          <w:bCs/>
          <w:color w:val="auto"/>
          <w:sz w:val="32"/>
          <w:szCs w:val="32"/>
          <w:highlight w:val="none"/>
        </w:rPr>
        <w:t>：</w:t>
      </w:r>
    </w:p>
    <w:p w14:paraId="229D0947">
      <w:pPr>
        <w:adjustRightInd/>
        <w:spacing w:line="360" w:lineRule="auto"/>
        <w:jc w:val="center"/>
        <w:outlineLvl w:val="0"/>
        <w:rPr>
          <w:rFonts w:hint="eastAsia" w:ascii="宋体" w:hAnsi="宋体" w:eastAsia="宋体" w:cs="宋体"/>
          <w:b/>
          <w:color w:val="auto"/>
          <w:sz w:val="24"/>
          <w:highlight w:val="none"/>
        </w:rPr>
      </w:pPr>
      <w:bookmarkStart w:id="146" w:name="_Toc15975"/>
      <w:r>
        <w:rPr>
          <w:rFonts w:hint="eastAsia" w:ascii="宋体" w:hAnsi="宋体" w:eastAsia="宋体" w:cs="宋体"/>
          <w:b/>
          <w:color w:val="auto"/>
          <w:sz w:val="24"/>
          <w:highlight w:val="none"/>
        </w:rPr>
        <w:t>政府采购活动现场确认声明书</w:t>
      </w:r>
      <w:bookmarkEnd w:id="146"/>
    </w:p>
    <w:p w14:paraId="13478A08">
      <w:pPr>
        <w:adjustRightInd/>
        <w:snapToGrid w:val="0"/>
        <w:spacing w:line="360" w:lineRule="auto"/>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u w:val="single"/>
        </w:rPr>
        <w:t xml:space="preserve"> 宁波中基国际招标有限公司</w:t>
      </w:r>
      <w:r>
        <w:rPr>
          <w:rFonts w:hint="eastAsia" w:ascii="宋体" w:hAnsi="宋体" w:eastAsia="宋体" w:cs="宋体"/>
          <w:color w:val="auto"/>
          <w:spacing w:val="6"/>
          <w:szCs w:val="21"/>
          <w:highlight w:val="none"/>
        </w:rPr>
        <w:t>：</w:t>
      </w:r>
    </w:p>
    <w:p w14:paraId="062701FE">
      <w:pPr>
        <w:adjustRightInd/>
        <w:snapToGrid w:val="0"/>
        <w:spacing w:line="360" w:lineRule="auto"/>
        <w:ind w:firstLine="444" w:firstLineChars="200"/>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本人</w:t>
      </w:r>
      <w:r>
        <w:rPr>
          <w:rFonts w:hint="eastAsia" w:ascii="宋体" w:hAnsi="宋体" w:eastAsia="宋体" w:cs="宋体"/>
          <w:color w:val="auto"/>
          <w:spacing w:val="6"/>
          <w:szCs w:val="21"/>
          <w:highlight w:val="none"/>
          <w:u w:val="single"/>
        </w:rPr>
        <w:t xml:space="preserve">         </w:t>
      </w:r>
      <w:r>
        <w:rPr>
          <w:rFonts w:hint="eastAsia" w:ascii="宋体" w:hAnsi="宋体" w:eastAsia="宋体" w:cs="宋体"/>
          <w:color w:val="auto"/>
          <w:spacing w:val="6"/>
          <w:szCs w:val="21"/>
          <w:highlight w:val="none"/>
        </w:rPr>
        <w:t>（授权代表姓名），经由</w:t>
      </w:r>
      <w:r>
        <w:rPr>
          <w:rFonts w:hint="eastAsia" w:ascii="宋体" w:hAnsi="宋体" w:eastAsia="宋体" w:cs="宋体"/>
          <w:color w:val="auto"/>
          <w:spacing w:val="6"/>
          <w:szCs w:val="21"/>
          <w:highlight w:val="none"/>
          <w:u w:val="single"/>
        </w:rPr>
        <w:t xml:space="preserve">                              </w:t>
      </w:r>
      <w:r>
        <w:rPr>
          <w:rFonts w:hint="eastAsia" w:ascii="宋体" w:hAnsi="宋体" w:eastAsia="宋体" w:cs="宋体"/>
          <w:color w:val="auto"/>
          <w:spacing w:val="6"/>
          <w:szCs w:val="21"/>
          <w:highlight w:val="none"/>
        </w:rPr>
        <w:t>（单位）</w:t>
      </w:r>
      <w:r>
        <w:rPr>
          <w:rFonts w:hint="eastAsia" w:ascii="宋体" w:hAnsi="宋体" w:eastAsia="宋体" w:cs="宋体"/>
          <w:color w:val="auto"/>
          <w:spacing w:val="6"/>
          <w:szCs w:val="21"/>
          <w:highlight w:val="none"/>
          <w:u w:val="single"/>
        </w:rPr>
        <w:t xml:space="preserve">         </w:t>
      </w:r>
      <w:r>
        <w:rPr>
          <w:rFonts w:hint="eastAsia" w:ascii="宋体" w:hAnsi="宋体" w:eastAsia="宋体" w:cs="宋体"/>
          <w:color w:val="auto"/>
          <w:spacing w:val="6"/>
          <w:szCs w:val="21"/>
          <w:highlight w:val="none"/>
        </w:rPr>
        <w:t>（法定代表人姓名）合法授权参加</w:t>
      </w:r>
      <w:r>
        <w:rPr>
          <w:rFonts w:hint="eastAsia" w:ascii="宋体" w:hAnsi="宋体" w:eastAsia="宋体" w:cs="宋体"/>
          <w:color w:val="auto"/>
          <w:spacing w:val="6"/>
          <w:szCs w:val="21"/>
          <w:highlight w:val="none"/>
          <w:u w:val="single"/>
        </w:rPr>
        <w:t xml:space="preserve">                     </w:t>
      </w:r>
      <w:r>
        <w:rPr>
          <w:rFonts w:hint="eastAsia" w:ascii="宋体" w:hAnsi="宋体" w:eastAsia="宋体" w:cs="宋体"/>
          <w:color w:val="auto"/>
          <w:spacing w:val="6"/>
          <w:szCs w:val="21"/>
          <w:highlight w:val="none"/>
        </w:rPr>
        <w:t>（项目编号：</w:t>
      </w:r>
      <w:r>
        <w:rPr>
          <w:rFonts w:hint="eastAsia" w:ascii="宋体" w:hAnsi="宋体" w:eastAsia="宋体" w:cs="宋体"/>
          <w:color w:val="auto"/>
          <w:spacing w:val="6"/>
          <w:szCs w:val="21"/>
          <w:highlight w:val="none"/>
          <w:u w:val="single"/>
          <w:lang w:eastAsia="zh-CN"/>
        </w:rPr>
        <w:t>CBNB-202522</w:t>
      </w:r>
      <w:r>
        <w:rPr>
          <w:rFonts w:hint="eastAsia" w:ascii="宋体" w:hAnsi="宋体" w:eastAsia="宋体" w:cs="宋体"/>
          <w:color w:val="auto"/>
          <w:spacing w:val="6"/>
          <w:szCs w:val="21"/>
          <w:highlight w:val="none"/>
          <w:u w:val="single"/>
          <w:lang w:val="en-US" w:eastAsia="zh-CN"/>
        </w:rPr>
        <w:t>71</w:t>
      </w:r>
      <w:r>
        <w:rPr>
          <w:rFonts w:hint="eastAsia" w:ascii="宋体" w:hAnsi="宋体" w:eastAsia="宋体" w:cs="宋体"/>
          <w:color w:val="auto"/>
          <w:spacing w:val="6"/>
          <w:szCs w:val="21"/>
          <w:highlight w:val="none"/>
          <w:u w:val="single"/>
          <w:lang w:eastAsia="zh-CN"/>
        </w:rPr>
        <w:t>G</w:t>
      </w:r>
      <w:r>
        <w:rPr>
          <w:rFonts w:hint="eastAsia" w:ascii="宋体" w:hAnsi="宋体" w:eastAsia="宋体" w:cs="宋体"/>
          <w:color w:val="auto"/>
          <w:spacing w:val="6"/>
          <w:szCs w:val="21"/>
          <w:highlight w:val="none"/>
        </w:rPr>
        <w:t xml:space="preserve">）政府采购活动，经与本单位法人代表（负责人）联系确认，现就有关公平竞争事项郑重声明如下： </w:t>
      </w:r>
    </w:p>
    <w:p w14:paraId="29E1EA09">
      <w:pPr>
        <w:widowControl/>
        <w:numPr>
          <w:ilvl w:val="0"/>
          <w:numId w:val="0"/>
        </w:numPr>
        <w:adjustRightInd/>
        <w:snapToGrid w:val="0"/>
        <w:spacing w:line="360" w:lineRule="auto"/>
        <w:ind w:left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一、</w:t>
      </w:r>
      <w:r>
        <w:rPr>
          <w:rFonts w:hint="eastAsia" w:ascii="宋体" w:hAnsi="宋体" w:eastAsia="宋体" w:cs="宋体"/>
          <w:color w:val="auto"/>
          <w:kern w:val="0"/>
          <w:szCs w:val="21"/>
          <w:highlight w:val="none"/>
        </w:rPr>
        <w:t xml:space="preserve">本单位与采购人之间 </w:t>
      </w:r>
      <w:r>
        <w:rPr>
          <w:rFonts w:hint="eastAsia" w:ascii="宋体" w:hAnsi="宋体" w:eastAsia="宋体" w:cs="宋体"/>
          <w:color w:val="auto"/>
          <w:kern w:val="0"/>
          <w:szCs w:val="21"/>
          <w:highlight w:val="none"/>
        </w:rPr>
        <w:sym w:font="Wingdings 2" w:char="00A3"/>
      </w:r>
      <w:r>
        <w:rPr>
          <w:rFonts w:hint="eastAsia" w:ascii="宋体" w:hAnsi="宋体" w:eastAsia="宋体" w:cs="宋体"/>
          <w:color w:val="auto"/>
          <w:kern w:val="0"/>
          <w:szCs w:val="21"/>
          <w:highlight w:val="none"/>
        </w:rPr>
        <w:t>不存在利害关系 □存在下列利害关系</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w:t>
      </w:r>
    </w:p>
    <w:p w14:paraId="38764A68">
      <w:pPr>
        <w:widowControl/>
        <w:adjustRightInd/>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A.投资关系    B.行政隶属关系    C.业务指导关系</w:t>
      </w:r>
    </w:p>
    <w:p w14:paraId="0A15808E">
      <w:pPr>
        <w:widowControl/>
        <w:adjustRightInd/>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D.其他可能</w:t>
      </w:r>
      <w:r>
        <w:rPr>
          <w:rFonts w:hint="eastAsia" w:ascii="宋体" w:hAnsi="宋体" w:eastAsia="宋体" w:cs="宋体"/>
          <w:color w:val="auto"/>
          <w:szCs w:val="21"/>
          <w:highlight w:val="none"/>
        </w:rPr>
        <w:t>影响采购公正的</w:t>
      </w:r>
      <w:r>
        <w:rPr>
          <w:rFonts w:hint="eastAsia" w:ascii="宋体" w:hAnsi="宋体" w:eastAsia="宋体" w:cs="宋体"/>
          <w:color w:val="auto"/>
          <w:kern w:val="0"/>
          <w:szCs w:val="21"/>
          <w:highlight w:val="none"/>
        </w:rPr>
        <w:t xml:space="preserve">利害关系（如有，请如实说明） </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w:t>
      </w:r>
    </w:p>
    <w:p w14:paraId="234787E1">
      <w:pPr>
        <w:widowControl/>
        <w:numPr>
          <w:ilvl w:val="0"/>
          <w:numId w:val="0"/>
        </w:numPr>
        <w:adjustRightInd/>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二、</w:t>
      </w:r>
      <w:r>
        <w:rPr>
          <w:rFonts w:hint="eastAsia" w:ascii="宋体" w:hAnsi="宋体" w:eastAsia="宋体" w:cs="宋体"/>
          <w:color w:val="auto"/>
          <w:kern w:val="0"/>
          <w:szCs w:val="21"/>
          <w:highlight w:val="none"/>
        </w:rPr>
        <w:t xml:space="preserve">现已清楚知道参加本项目采购活动的其他所有供应商名称，本单位 □与其他所有供应商之间均不存在利害关系 □与 </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（供应商名称）之间存在下列利害关系</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w:t>
      </w:r>
    </w:p>
    <w:p w14:paraId="0E506526">
      <w:pPr>
        <w:adjustRightInd/>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A.法定代表人或负责人或实际控制人是同一人</w:t>
      </w:r>
    </w:p>
    <w:p w14:paraId="668501A4">
      <w:pPr>
        <w:adjustRightInd/>
        <w:snapToGrid w:val="0"/>
        <w:spacing w:line="360" w:lineRule="auto"/>
        <w:ind w:firstLine="420" w:firstLineChars="200"/>
        <w:rPr>
          <w:rFonts w:hint="eastAsia" w:ascii="宋体" w:hAnsi="宋体" w:eastAsia="宋体" w:cs="宋体"/>
          <w:color w:val="auto"/>
          <w:spacing w:val="6"/>
          <w:szCs w:val="21"/>
          <w:highlight w:val="none"/>
        </w:rPr>
      </w:pPr>
      <w:r>
        <w:rPr>
          <w:rFonts w:hint="eastAsia" w:ascii="宋体" w:hAnsi="宋体" w:eastAsia="宋体" w:cs="宋体"/>
          <w:color w:val="auto"/>
          <w:kern w:val="0"/>
          <w:szCs w:val="21"/>
          <w:highlight w:val="none"/>
        </w:rPr>
        <w:t>B.法定代表人或负责人或实际控制人是夫妻关系</w:t>
      </w:r>
    </w:p>
    <w:p w14:paraId="45CA6FD8">
      <w:pPr>
        <w:adjustRightInd/>
        <w:snapToGrid w:val="0"/>
        <w:spacing w:line="360" w:lineRule="auto"/>
        <w:ind w:firstLine="420" w:firstLineChars="200"/>
        <w:rPr>
          <w:rFonts w:hint="eastAsia" w:ascii="宋体" w:hAnsi="宋体" w:eastAsia="宋体" w:cs="宋体"/>
          <w:color w:val="auto"/>
          <w:spacing w:val="6"/>
          <w:szCs w:val="21"/>
          <w:highlight w:val="none"/>
        </w:rPr>
      </w:pPr>
      <w:r>
        <w:rPr>
          <w:rFonts w:hint="eastAsia" w:ascii="宋体" w:hAnsi="宋体" w:eastAsia="宋体" w:cs="宋体"/>
          <w:color w:val="auto"/>
          <w:kern w:val="0"/>
          <w:szCs w:val="21"/>
          <w:highlight w:val="none"/>
        </w:rPr>
        <w:t>C.法定代表人或负责人或实际控制人是直系血亲关系</w:t>
      </w:r>
    </w:p>
    <w:p w14:paraId="56B89564">
      <w:pPr>
        <w:adjustRightInd/>
        <w:snapToGrid w:val="0"/>
        <w:spacing w:line="360" w:lineRule="auto"/>
        <w:ind w:firstLine="420" w:firstLineChars="200"/>
        <w:rPr>
          <w:rFonts w:hint="eastAsia" w:ascii="宋体" w:hAnsi="宋体" w:eastAsia="宋体" w:cs="宋体"/>
          <w:color w:val="auto"/>
          <w:spacing w:val="6"/>
          <w:szCs w:val="21"/>
          <w:highlight w:val="none"/>
        </w:rPr>
      </w:pPr>
      <w:r>
        <w:rPr>
          <w:rFonts w:hint="eastAsia" w:ascii="宋体" w:hAnsi="宋体" w:eastAsia="宋体" w:cs="宋体"/>
          <w:color w:val="auto"/>
          <w:kern w:val="0"/>
          <w:szCs w:val="21"/>
          <w:highlight w:val="none"/>
        </w:rPr>
        <w:t>D.法定代表人或负责人或实际控制人存在三代以内旁系血亲关系</w:t>
      </w:r>
    </w:p>
    <w:p w14:paraId="16E8295B">
      <w:pPr>
        <w:adjustRightInd/>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E.法定代表人或负责人或实际控制人存在近姻亲关系</w:t>
      </w:r>
    </w:p>
    <w:p w14:paraId="2852BC92">
      <w:pPr>
        <w:adjustRightInd/>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F.法定代表人或负责人或实际控制人存在股份控制或实际控制关系</w:t>
      </w:r>
    </w:p>
    <w:p w14:paraId="3BA115BA">
      <w:pPr>
        <w:adjustRightInd/>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G.存在共同直接或间接投资设立子公司、联营企业和合营企业情况</w:t>
      </w:r>
    </w:p>
    <w:p w14:paraId="5C7A2A2B">
      <w:pPr>
        <w:adjustRightInd/>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H.存在分级代理或代销关系、同一生产制造商关系、</w:t>
      </w:r>
      <w:r>
        <w:rPr>
          <w:rFonts w:hint="eastAsia" w:ascii="宋体" w:hAnsi="宋体" w:eastAsia="宋体" w:cs="宋体"/>
          <w:color w:val="auto"/>
          <w:szCs w:val="21"/>
          <w:highlight w:val="none"/>
        </w:rPr>
        <w:t>管理关系、重要业务（占主营业务收入50%以上）或重要财务往来关系（如融资）等其他实质性控制关系</w:t>
      </w:r>
    </w:p>
    <w:p w14:paraId="61A1DEBC">
      <w:pPr>
        <w:adjustRightInd/>
        <w:snapToGrid w:val="0"/>
        <w:spacing w:line="360" w:lineRule="auto"/>
        <w:ind w:firstLine="420" w:firstLineChars="200"/>
        <w:rPr>
          <w:rFonts w:hint="eastAsia" w:ascii="宋体" w:hAnsi="宋体" w:eastAsia="宋体" w:cs="宋体"/>
          <w:color w:val="auto"/>
          <w:spacing w:val="6"/>
          <w:szCs w:val="21"/>
          <w:highlight w:val="none"/>
        </w:rPr>
      </w:pPr>
      <w:r>
        <w:rPr>
          <w:rFonts w:hint="eastAsia" w:ascii="宋体" w:hAnsi="宋体" w:eastAsia="宋体" w:cs="宋体"/>
          <w:color w:val="auto"/>
          <w:szCs w:val="21"/>
          <w:highlight w:val="none"/>
        </w:rPr>
        <w:t>I</w:t>
      </w:r>
      <w:r>
        <w:rPr>
          <w:rFonts w:hint="eastAsia" w:ascii="宋体" w:hAnsi="宋体" w:eastAsia="宋体" w:cs="宋体"/>
          <w:color w:val="auto"/>
          <w:kern w:val="0"/>
          <w:szCs w:val="21"/>
          <w:highlight w:val="none"/>
        </w:rPr>
        <w:t>.</w:t>
      </w:r>
      <w:r>
        <w:rPr>
          <w:rFonts w:hint="eastAsia" w:ascii="宋体" w:hAnsi="宋体" w:eastAsia="宋体" w:cs="宋体"/>
          <w:color w:val="auto"/>
          <w:szCs w:val="21"/>
          <w:highlight w:val="none"/>
        </w:rPr>
        <w:t>其他利害关系情况</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kern w:val="0"/>
          <w:szCs w:val="21"/>
          <w:highlight w:val="none"/>
        </w:rPr>
        <w:t>。</w:t>
      </w:r>
    </w:p>
    <w:p w14:paraId="6FFCCF15">
      <w:pPr>
        <w:widowControl/>
        <w:numPr>
          <w:ilvl w:val="0"/>
          <w:numId w:val="11"/>
        </w:numPr>
        <w:adjustRightInd/>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现已清楚知道并</w:t>
      </w:r>
      <w:r>
        <w:rPr>
          <w:rFonts w:hint="eastAsia" w:ascii="宋体" w:hAnsi="宋体" w:eastAsia="宋体" w:cs="宋体"/>
          <w:color w:val="auto"/>
          <w:kern w:val="0"/>
          <w:szCs w:val="21"/>
          <w:highlight w:val="none"/>
        </w:rPr>
        <w:t>严格遵守政府采购法律法规和现场纪律。</w:t>
      </w:r>
    </w:p>
    <w:p w14:paraId="10D19CBF">
      <w:pPr>
        <w:widowControl/>
        <w:numPr>
          <w:ilvl w:val="0"/>
          <w:numId w:val="11"/>
        </w:numPr>
        <w:adjustRightInd/>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我发现</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供应商之间存在或可能存在上述第二条第</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项利害关系。</w:t>
      </w:r>
    </w:p>
    <w:p w14:paraId="4CFD7653">
      <w:pPr>
        <w:adjustRightInd/>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（供应商代表签名）：</w:t>
      </w:r>
    </w:p>
    <w:p w14:paraId="4888A20F">
      <w:pPr>
        <w:adjustRightInd/>
        <w:spacing w:line="360" w:lineRule="auto"/>
        <w:ind w:firstLine="420" w:firstLineChars="200"/>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 xml:space="preserve">                                    2025年  月  日（请填写磋商日当天日期）</w:t>
      </w:r>
    </w:p>
    <w:p w14:paraId="48A2DE1B">
      <w:pPr>
        <w:adjustRightInd/>
        <w:spacing w:line="360" w:lineRule="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说明：（1）供应商解密响应文件及获知其他供应商信息进行如实声明并盖章或授权代表签名后，以扫描件形式通过邮件方式发送至邮箱：</w:t>
      </w:r>
      <w:r>
        <w:rPr>
          <w:rFonts w:hint="eastAsia" w:ascii="宋体" w:hAnsi="宋体" w:eastAsia="宋体" w:cs="宋体"/>
          <w:b/>
          <w:bCs/>
          <w:color w:val="auto"/>
          <w:szCs w:val="21"/>
          <w:highlight w:val="none"/>
          <w:u w:val="single"/>
        </w:rPr>
        <w:t>1061816448@qq.com</w:t>
      </w:r>
      <w:r>
        <w:rPr>
          <w:rFonts w:hint="eastAsia" w:ascii="宋体" w:hAnsi="宋体" w:eastAsia="宋体" w:cs="宋体"/>
          <w:b/>
          <w:bCs/>
          <w:color w:val="auto"/>
          <w:szCs w:val="21"/>
          <w:highlight w:val="none"/>
        </w:rPr>
        <w:t>。</w:t>
      </w:r>
    </w:p>
    <w:p w14:paraId="428F5893">
      <w:pPr>
        <w:adjustRightInd/>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（2）在电子响应文件解密后供应商可看到所参与标项的供应商名称，在确认与采购人和其他供应商无任何上述关系的情况下，请在一中的“</w:t>
      </w:r>
      <w:r>
        <w:rPr>
          <w:rFonts w:hint="eastAsia" w:ascii="宋体" w:hAnsi="宋体" w:eastAsia="宋体" w:cs="宋体"/>
          <w:b/>
          <w:bCs/>
          <w:color w:val="auto"/>
          <w:kern w:val="0"/>
          <w:szCs w:val="21"/>
          <w:highlight w:val="none"/>
        </w:rPr>
        <w:t>□不存在利害关系</w:t>
      </w:r>
      <w:r>
        <w:rPr>
          <w:rFonts w:hint="eastAsia" w:ascii="宋体" w:hAnsi="宋体" w:eastAsia="宋体" w:cs="宋体"/>
          <w:b/>
          <w:bCs/>
          <w:color w:val="auto"/>
          <w:szCs w:val="21"/>
          <w:highlight w:val="none"/>
        </w:rPr>
        <w:t>”</w:t>
      </w:r>
      <w:r>
        <w:rPr>
          <w:rFonts w:hint="eastAsia" w:ascii="宋体" w:hAnsi="宋体" w:eastAsia="宋体" w:cs="宋体"/>
          <w:b/>
          <w:bCs/>
          <w:color w:val="auto"/>
          <w:kern w:val="0"/>
          <w:szCs w:val="21"/>
          <w:highlight w:val="none"/>
        </w:rPr>
        <w:t>打钩，二中的</w:t>
      </w:r>
      <w:r>
        <w:rPr>
          <w:rFonts w:hint="eastAsia" w:ascii="宋体" w:hAnsi="宋体" w:eastAsia="宋体" w:cs="宋体"/>
          <w:b/>
          <w:bCs/>
          <w:color w:val="auto"/>
          <w:szCs w:val="21"/>
          <w:highlight w:val="none"/>
        </w:rPr>
        <w:t>“</w:t>
      </w:r>
      <w:r>
        <w:rPr>
          <w:rFonts w:hint="eastAsia" w:ascii="宋体" w:hAnsi="宋体" w:eastAsia="宋体" w:cs="宋体"/>
          <w:b/>
          <w:bCs/>
          <w:color w:val="auto"/>
          <w:kern w:val="0"/>
          <w:szCs w:val="21"/>
          <w:highlight w:val="none"/>
        </w:rPr>
        <w:t>□与其他所有供应商之间均不存在利害关系</w:t>
      </w:r>
      <w:r>
        <w:rPr>
          <w:rFonts w:hint="eastAsia" w:ascii="宋体" w:hAnsi="宋体" w:eastAsia="宋体" w:cs="宋体"/>
          <w:b/>
          <w:bCs/>
          <w:color w:val="auto"/>
          <w:szCs w:val="21"/>
          <w:highlight w:val="none"/>
        </w:rPr>
        <w:t>”</w:t>
      </w:r>
      <w:r>
        <w:rPr>
          <w:rFonts w:hint="eastAsia" w:ascii="宋体" w:hAnsi="宋体" w:eastAsia="宋体" w:cs="宋体"/>
          <w:b/>
          <w:bCs/>
          <w:color w:val="auto"/>
          <w:kern w:val="0"/>
          <w:szCs w:val="21"/>
          <w:highlight w:val="none"/>
        </w:rPr>
        <w:t>打钩</w:t>
      </w:r>
      <w:r>
        <w:rPr>
          <w:rFonts w:hint="eastAsia" w:ascii="宋体" w:hAnsi="宋体" w:eastAsia="宋体" w:cs="宋体"/>
          <w:b/>
          <w:bCs/>
          <w:color w:val="auto"/>
          <w:szCs w:val="21"/>
          <w:highlight w:val="none"/>
        </w:rPr>
        <w:t>，四中的2个下划线用斜杠“/”划掉。</w:t>
      </w:r>
    </w:p>
    <w:p w14:paraId="29D429FE">
      <w:pPr>
        <w:spacing w:line="360" w:lineRule="auto"/>
        <w:ind w:firstLine="420"/>
        <w:jc w:val="left"/>
        <w:rPr>
          <w:rFonts w:hint="eastAsia" w:ascii="宋体" w:hAnsi="宋体" w:eastAsia="宋体" w:cs="宋体"/>
          <w:bCs/>
          <w:color w:val="auto"/>
          <w:sz w:val="24"/>
          <w:highlight w:val="none"/>
        </w:rPr>
      </w:pPr>
      <w:r>
        <w:rPr>
          <w:rFonts w:hint="eastAsia" w:ascii="宋体" w:hAnsi="宋体" w:eastAsia="宋体" w:cs="宋体"/>
          <w:b/>
          <w:bCs/>
          <w:color w:val="auto"/>
          <w:szCs w:val="21"/>
          <w:highlight w:val="none"/>
        </w:rPr>
        <w:t>（3）此声明书非响应文件的组成内容，无需编入响应文件中。</w:t>
      </w:r>
    </w:p>
    <w:p w14:paraId="7036A673">
      <w:pPr>
        <w:spacing w:line="360" w:lineRule="auto"/>
        <w:ind w:right="420" w:firstLine="723" w:firstLineChars="300"/>
        <w:rPr>
          <w:rFonts w:hint="eastAsia" w:ascii="宋体" w:hAnsi="宋体" w:eastAsia="宋体" w:cs="宋体"/>
          <w:b/>
          <w:bCs/>
          <w:color w:val="auto"/>
          <w:sz w:val="24"/>
          <w:highlight w:val="none"/>
          <w:lang w:val="en-US" w:eastAsia="zh-CN"/>
        </w:rPr>
      </w:pPr>
    </w:p>
    <w:sectPr>
      <w:pgSz w:w="11906" w:h="16838"/>
      <w:pgMar w:top="1440" w:right="1440" w:bottom="1440" w:left="1440" w:header="851" w:footer="992" w:gutter="0"/>
      <w:pgBorders>
        <w:top w:val="none" w:sz="0" w:space="0"/>
        <w:left w:val="none" w:sz="0" w:space="0"/>
        <w:bottom w:val="none" w:sz="0" w:space="0"/>
        <w:right w:val="none" w:sz="0" w:space="0"/>
      </w:pgBorders>
      <w:cols w:space="0" w:num="1"/>
      <w:titlePg/>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02"/>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
    <w:altName w:val="微软雅黑"/>
    <w:panose1 w:val="00000000000000000000"/>
    <w:charset w:val="00"/>
    <w:family w:val="auto"/>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FHLHE E+ Futura Bk">
    <w:altName w:val="宋体"/>
    <w:panose1 w:val="00000000000000000000"/>
    <w:charset w:val="86"/>
    <w:family w:val="swiss"/>
    <w:pitch w:val="default"/>
    <w:sig w:usb0="00000000" w:usb1="00000000" w:usb2="00000010" w:usb3="00000000" w:csb0="00040000" w:csb1="00000000"/>
  </w:font>
  <w:font w:name="新宋体">
    <w:panose1 w:val="02010609030101010101"/>
    <w:charset w:val="86"/>
    <w:family w:val="modern"/>
    <w:pitch w:val="default"/>
    <w:sig w:usb0="00000203" w:usb1="288F0000" w:usb2="00000006" w:usb3="00000000" w:csb0="00040001" w:csb1="00000000"/>
  </w:font>
  <w:font w:name="Helvetica">
    <w:altName w:val="Arial"/>
    <w:panose1 w:val="00000000000000000000"/>
    <w:charset w:val="00"/>
    <w:family w:val="swiss"/>
    <w:pitch w:val="default"/>
    <w:sig w:usb0="00000000" w:usb1="00000000" w:usb2="00000000" w:usb3="00000000" w:csb0="2000019F" w:csb1="4F010000"/>
  </w:font>
  <w:font w:name="Arial Narrow">
    <w:panose1 w:val="020B0606020202030204"/>
    <w:charset w:val="00"/>
    <w:family w:val="swiss"/>
    <w:pitch w:val="default"/>
    <w:sig w:usb0="00000287" w:usb1="00000800" w:usb2="00000000" w:usb3="00000000" w:csb0="2000009F" w:csb1="DFD70000"/>
  </w:font>
  <w:font w:name="Lucida Sans">
    <w:panose1 w:val="020B0602030504020204"/>
    <w:charset w:val="00"/>
    <w:family w:val="swiss"/>
    <w:pitch w:val="default"/>
    <w:sig w:usb0="00000003" w:usb1="00000000" w:usb2="00000000" w:usb3="00000000" w:csb0="2000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Arial (W1)">
    <w:altName w:val="Arial"/>
    <w:panose1 w:val="00000000000000000000"/>
    <w:charset w:val="00"/>
    <w:family w:val="swiss"/>
    <w:pitch w:val="default"/>
    <w:sig w:usb0="00000000" w:usb1="00000000" w:usb2="00000008" w:usb3="00000000" w:csb0="000001FF"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Futura Hv">
    <w:altName w:val="Segoe Print"/>
    <w:panose1 w:val="00000000000000000000"/>
    <w:charset w:val="00"/>
    <w:family w:val="swiss"/>
    <w:pitch w:val="default"/>
    <w:sig w:usb0="00000000" w:usb1="00000000" w:usb2="00000000" w:usb3="00000000" w:csb0="000001FB"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幼圆">
    <w:panose1 w:val="02010509060101010101"/>
    <w:charset w:val="86"/>
    <w:family w:val="modern"/>
    <w:pitch w:val="default"/>
    <w:sig w:usb0="00000001" w:usb1="080E0000" w:usb2="00000000" w:usb3="00000000" w:csb0="00040000" w:csb1="00000000"/>
  </w:font>
  <w:font w:name="Aldine401 BT">
    <w:altName w:val="Segoe Print"/>
    <w:panose1 w:val="00000000000000000000"/>
    <w:charset w:val="00"/>
    <w:family w:val="roman"/>
    <w:pitch w:val="default"/>
    <w:sig w:usb0="00000000" w:usb1="00000000" w:usb2="00000000" w:usb3="00000000" w:csb0="00000011" w:csb1="00000000"/>
  </w:font>
  <w:font w:name="Century Gothic">
    <w:panose1 w:val="020B0502020202020204"/>
    <w:charset w:val="00"/>
    <w:family w:val="swiss"/>
    <w:pitch w:val="default"/>
    <w:sig w:usb0="00000287" w:usb1="00000000" w:usb2="00000000" w:usb3="00000000" w:csb0="2000009F" w:csb1="DFD70000"/>
  </w:font>
  <w:font w:name="ˎ̥">
    <w:altName w:val="微软雅黑"/>
    <w:panose1 w:val="00000000000000000000"/>
    <w:charset w:val="00"/>
    <w:family w:val="roman"/>
    <w:pitch w:val="default"/>
    <w:sig w:usb0="00000000" w:usb1="00000000" w:usb2="00000000" w:usb3="00000000" w:csb0="00040001" w:csb1="00000000"/>
  </w:font>
  <w:font w:name="MS Sans Serif">
    <w:altName w:val="Segoe UI Symbol"/>
    <w:panose1 w:val="020B0500000000000000"/>
    <w:charset w:val="00"/>
    <w:family w:val="swiss"/>
    <w:pitch w:val="default"/>
    <w:sig w:usb0="00000000" w:usb1="00000000" w:usb2="00000000" w:usb3="00000000" w:csb0="00000001" w:csb1="00000000"/>
  </w:font>
  <w:font w:name="Segoe UI Symbol">
    <w:panose1 w:val="020B0502040204020203"/>
    <w:charset w:val="00"/>
    <w:family w:val="auto"/>
    <w:pitch w:val="default"/>
    <w:sig w:usb0="800001E3" w:usb1="1200FFEF" w:usb2="00040000" w:usb3="04000000" w:csb0="00000001" w:csb1="40000000"/>
  </w:font>
  <w:font w:name="华文中宋">
    <w:panose1 w:val="02010600040101010101"/>
    <w:charset w:val="86"/>
    <w:family w:val="auto"/>
    <w:pitch w:val="default"/>
    <w:sig w:usb0="00000287" w:usb1="080F0000" w:usb2="00000000" w:usb3="00000000" w:csb0="0004009F" w:csb1="DFD7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98C7FF">
    <w:pPr>
      <w:pStyle w:val="37"/>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21A31E">
    <w:pPr>
      <w:pStyle w:val="37"/>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438449">
    <w:pPr>
      <w:pStyle w:val="37"/>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CC3BB9">
    <w:pPr>
      <w:pStyle w:val="37"/>
      <w:framePr w:wrap="around" w:vAnchor="text" w:hAnchor="margin" w:xAlign="right" w:y="1"/>
      <w:rPr>
        <w:rStyle w:val="64"/>
      </w:rPr>
    </w:pPr>
    <w:r>
      <w:fldChar w:fldCharType="begin"/>
    </w:r>
    <w:r>
      <w:rPr>
        <w:rStyle w:val="64"/>
      </w:rPr>
      <w:instrText xml:space="preserve">PAGE  </w:instrText>
    </w:r>
    <w:r>
      <w:fldChar w:fldCharType="end"/>
    </w:r>
  </w:p>
  <w:p w14:paraId="72C74EE1">
    <w:pPr>
      <w:pStyle w:val="37"/>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32672D">
    <w:pPr>
      <w:pStyle w:val="37"/>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82</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bookmarkStart w:id="147" w:name="_Toc164085800"/>
    <w:bookmarkStart w:id="148" w:name="_Toc36110187"/>
    <w:bookmarkStart w:id="149" w:name="_Toc131845147"/>
    <w:bookmarkStart w:id="150" w:name="_Toc91899912"/>
    <w:r>
      <w:rPr>
        <w:rFonts w:hint="eastAsia" w:ascii="仿宋_GB2312" w:eastAsia="仿宋_GB2312"/>
        <w:kern w:val="0"/>
        <w:szCs w:val="21"/>
      </w:rPr>
      <w:t xml:space="preserve"> 页</w:t>
    </w:r>
    <w:bookmarkEnd w:id="147"/>
    <w:bookmarkEnd w:id="148"/>
    <w:bookmarkEnd w:id="149"/>
    <w:bookmarkEnd w:id="150"/>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58AD54">
    <w:pPr>
      <w:widowControl w:val="0"/>
      <w:adjustRightInd w:val="0"/>
      <w:snapToGrid w:val="0"/>
      <w:jc w:val="center"/>
      <w:rPr>
        <w:rFonts w:ascii="仿宋_GB2312" w:hAnsi="Times New Roman" w:eastAsia="仿宋_GB2312" w:cs="Times New Roman"/>
        <w:kern w:val="2"/>
        <w:sz w:val="18"/>
        <w:szCs w:val="24"/>
        <w:lang w:val="en-US" w:eastAsia="zh-CN" w:bidi="ar-SA"/>
      </w:rPr>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46F8C52">
                          <w:pPr>
                            <w:widowControl w:val="0"/>
                            <w:adjustRightInd w:val="0"/>
                            <w:snapToGrid w:val="0"/>
                            <w:jc w:val="left"/>
                            <w:rPr>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w:fldChar w:fldCharType="begin"/>
                          </w:r>
                          <w:r>
                            <w:rPr>
                              <w:rFonts w:ascii="Times New Roman" w:hAnsi="Times New Roman" w:eastAsia="宋体" w:cs="Times New Roman"/>
                              <w:kern w:val="2"/>
                              <w:sz w:val="18"/>
                              <w:szCs w:val="18"/>
                              <w:lang w:val="en-US" w:eastAsia="zh-CN" w:bidi="ar-SA"/>
                            </w:rPr>
                            <w:instrText xml:space="preserve"> PAGE  \* MERGEFORMAT </w:instrText>
                          </w:r>
                          <w:r>
                            <w:rPr>
                              <w:rFonts w:ascii="Times New Roman" w:hAnsi="Times New Roman" w:eastAsia="宋体" w:cs="Times New Roman"/>
                              <w:kern w:val="2"/>
                              <w:sz w:val="18"/>
                              <w:szCs w:val="18"/>
                              <w:lang w:val="en-US" w:eastAsia="zh-CN" w:bidi="ar-SA"/>
                            </w:rPr>
                            <w:fldChar w:fldCharType="separate"/>
                          </w:r>
                          <w:r>
                            <w:rPr>
                              <w:rFonts w:ascii="Times New Roman" w:hAnsi="Times New Roman" w:eastAsia="宋体" w:cs="Times New Roman"/>
                              <w:kern w:val="2"/>
                              <w:sz w:val="18"/>
                              <w:szCs w:val="18"/>
                              <w:lang w:val="en-US" w:eastAsia="zh-CN" w:bidi="ar-SA"/>
                            </w:rPr>
                            <w:t>47</w:t>
                          </w:r>
                          <w:r>
                            <w:rPr>
                              <w:rFonts w:ascii="Times New Roman" w:hAnsi="Times New Roman" w:eastAsia="宋体" w:cs="Times New Roman"/>
                              <w:kern w:val="2"/>
                              <w:sz w:val="18"/>
                              <w:szCs w:val="18"/>
                              <w:lang w:val="en-US" w:eastAsia="zh-CN" w:bidi="ar-S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qMvz03AgAAb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PQ0br6UHUP&#10;MIWWhZ1+sDymiVJ5uz4GSJsUjwJ1qqBT8YA5TD3rdyYO+p/nFPX4P7H6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DajL89NwIAAG8EAAAOAAAAAAAAAAEAIAAAAB8BAABkcnMvZTJvRG9jLnht&#10;bFBLBQYAAAAABgAGAFkBAADIBQAAAAA=&#10;">
              <v:fill on="f" focussize="0,0"/>
              <v:stroke on="f" weight="0.5pt"/>
              <v:imagedata o:title=""/>
              <o:lock v:ext="edit" aspectratio="f"/>
              <v:textbox inset="0mm,0mm,0mm,0mm" style="mso-fit-shape-to-text:t;">
                <w:txbxContent>
                  <w:p w14:paraId="046F8C52">
                    <w:pPr>
                      <w:widowControl w:val="0"/>
                      <w:adjustRightInd w:val="0"/>
                      <w:snapToGrid w:val="0"/>
                      <w:jc w:val="left"/>
                      <w:rPr>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w:fldChar w:fldCharType="begin"/>
                    </w:r>
                    <w:r>
                      <w:rPr>
                        <w:rFonts w:ascii="Times New Roman" w:hAnsi="Times New Roman" w:eastAsia="宋体" w:cs="Times New Roman"/>
                        <w:kern w:val="2"/>
                        <w:sz w:val="18"/>
                        <w:szCs w:val="18"/>
                        <w:lang w:val="en-US" w:eastAsia="zh-CN" w:bidi="ar-SA"/>
                      </w:rPr>
                      <w:instrText xml:space="preserve"> PAGE  \* MERGEFORMAT </w:instrText>
                    </w:r>
                    <w:r>
                      <w:rPr>
                        <w:rFonts w:ascii="Times New Roman" w:hAnsi="Times New Roman" w:eastAsia="宋体" w:cs="Times New Roman"/>
                        <w:kern w:val="2"/>
                        <w:sz w:val="18"/>
                        <w:szCs w:val="18"/>
                        <w:lang w:val="en-US" w:eastAsia="zh-CN" w:bidi="ar-SA"/>
                      </w:rPr>
                      <w:fldChar w:fldCharType="separate"/>
                    </w:r>
                    <w:r>
                      <w:rPr>
                        <w:rFonts w:ascii="Times New Roman" w:hAnsi="Times New Roman" w:eastAsia="宋体" w:cs="Times New Roman"/>
                        <w:kern w:val="2"/>
                        <w:sz w:val="18"/>
                        <w:szCs w:val="18"/>
                        <w:lang w:val="en-US" w:eastAsia="zh-CN" w:bidi="ar-SA"/>
                      </w:rPr>
                      <w:t>47</w:t>
                    </w:r>
                    <w:r>
                      <w:rPr>
                        <w:rFonts w:ascii="Times New Roman" w:hAnsi="Times New Roman" w:eastAsia="宋体" w:cs="Times New Roman"/>
                        <w:kern w:val="2"/>
                        <w:sz w:val="18"/>
                        <w:szCs w:val="18"/>
                        <w:lang w:val="en-US" w:eastAsia="zh-CN" w:bidi="ar-SA"/>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4FD8D6">
    <w:pPr>
      <w:widowControl w:val="0"/>
      <w:adjustRightInd w:val="0"/>
      <w:snapToGrid w:val="0"/>
      <w:jc w:val="center"/>
      <w:rPr>
        <w:rFonts w:ascii="仿宋_GB2312" w:hAnsi="Times New Roman" w:eastAsia="仿宋_GB2312"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9B3D5AB">
                          <w:pPr>
                            <w:widowControl w:val="0"/>
                            <w:adjustRightInd w:val="0"/>
                            <w:snapToGrid w:val="0"/>
                            <w:jc w:val="left"/>
                            <w:rPr>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w:fldChar w:fldCharType="begin"/>
                          </w:r>
                          <w:r>
                            <w:rPr>
                              <w:rFonts w:ascii="Times New Roman" w:hAnsi="Times New Roman" w:eastAsia="宋体" w:cs="Times New Roman"/>
                              <w:kern w:val="2"/>
                              <w:sz w:val="18"/>
                              <w:szCs w:val="18"/>
                              <w:lang w:val="en-US" w:eastAsia="zh-CN" w:bidi="ar-SA"/>
                            </w:rPr>
                            <w:instrText xml:space="preserve"> PAGE  \* MERGEFORMAT </w:instrText>
                          </w:r>
                          <w:r>
                            <w:rPr>
                              <w:rFonts w:ascii="Times New Roman" w:hAnsi="Times New Roman" w:eastAsia="宋体" w:cs="Times New Roman"/>
                              <w:kern w:val="2"/>
                              <w:sz w:val="18"/>
                              <w:szCs w:val="18"/>
                              <w:lang w:val="en-US" w:eastAsia="zh-CN" w:bidi="ar-SA"/>
                            </w:rPr>
                            <w:fldChar w:fldCharType="separate"/>
                          </w:r>
                          <w:r>
                            <w:rPr>
                              <w:rFonts w:ascii="Times New Roman" w:hAnsi="Times New Roman" w:eastAsia="宋体" w:cs="Times New Roman"/>
                              <w:kern w:val="2"/>
                              <w:sz w:val="18"/>
                              <w:szCs w:val="18"/>
                              <w:lang w:val="en-US" w:eastAsia="zh-CN" w:bidi="ar-SA"/>
                            </w:rPr>
                            <w:t>46</w:t>
                          </w:r>
                          <w:r>
                            <w:rPr>
                              <w:rFonts w:ascii="Times New Roman" w:hAnsi="Times New Roman" w:eastAsia="宋体" w:cs="Times New Roman"/>
                              <w:kern w:val="2"/>
                              <w:sz w:val="18"/>
                              <w:szCs w:val="18"/>
                              <w:lang w:val="en-US" w:eastAsia="zh-CN" w:bidi="ar-S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pMyU4AgAAbwQAAA4AAABkcnMvZTJvRG9jLnhtbK1UzY7TMBC+I/EO&#10;lu80aRG7Vd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e6kzJTgCAABvBAAADgAAAAAAAAABACAAAAAfAQAAZHJzL2Uyb0RvYy54&#10;bWxQSwUGAAAAAAYABgBZAQAAyQUAAAAA&#10;">
              <v:fill on="f" focussize="0,0"/>
              <v:stroke on="f" weight="0.5pt"/>
              <v:imagedata o:title=""/>
              <o:lock v:ext="edit" aspectratio="f"/>
              <v:textbox inset="0mm,0mm,0mm,0mm" style="mso-fit-shape-to-text:t;">
                <w:txbxContent>
                  <w:p w14:paraId="39B3D5AB">
                    <w:pPr>
                      <w:widowControl w:val="0"/>
                      <w:adjustRightInd w:val="0"/>
                      <w:snapToGrid w:val="0"/>
                      <w:jc w:val="left"/>
                      <w:rPr>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w:fldChar w:fldCharType="begin"/>
                    </w:r>
                    <w:r>
                      <w:rPr>
                        <w:rFonts w:ascii="Times New Roman" w:hAnsi="Times New Roman" w:eastAsia="宋体" w:cs="Times New Roman"/>
                        <w:kern w:val="2"/>
                        <w:sz w:val="18"/>
                        <w:szCs w:val="18"/>
                        <w:lang w:val="en-US" w:eastAsia="zh-CN" w:bidi="ar-SA"/>
                      </w:rPr>
                      <w:instrText xml:space="preserve"> PAGE  \* MERGEFORMAT </w:instrText>
                    </w:r>
                    <w:r>
                      <w:rPr>
                        <w:rFonts w:ascii="Times New Roman" w:hAnsi="Times New Roman" w:eastAsia="宋体" w:cs="Times New Roman"/>
                        <w:kern w:val="2"/>
                        <w:sz w:val="18"/>
                        <w:szCs w:val="18"/>
                        <w:lang w:val="en-US" w:eastAsia="zh-CN" w:bidi="ar-SA"/>
                      </w:rPr>
                      <w:fldChar w:fldCharType="separate"/>
                    </w:r>
                    <w:r>
                      <w:rPr>
                        <w:rFonts w:ascii="Times New Roman" w:hAnsi="Times New Roman" w:eastAsia="宋体" w:cs="Times New Roman"/>
                        <w:kern w:val="2"/>
                        <w:sz w:val="18"/>
                        <w:szCs w:val="18"/>
                        <w:lang w:val="en-US" w:eastAsia="zh-CN" w:bidi="ar-SA"/>
                      </w:rPr>
                      <w:t>46</w:t>
                    </w:r>
                    <w:r>
                      <w:rPr>
                        <w:rFonts w:ascii="Times New Roman" w:hAnsi="Times New Roman" w:eastAsia="宋体" w:cs="Times New Roman"/>
                        <w:kern w:val="2"/>
                        <w:sz w:val="18"/>
                        <w:szCs w:val="18"/>
                        <w:lang w:val="en-US" w:eastAsia="zh-CN" w:bidi="ar-S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485F01">
    <w:pPr>
      <w:pStyle w:val="56"/>
      <w:pBdr>
        <w:bottom w:val="single" w:color="auto" w:sz="4" w:space="0"/>
      </w:pBdr>
      <w:ind w:firstLine="180" w:firstLineChars="100"/>
      <w:jc w:val="both"/>
      <w:rPr>
        <w:rFonts w:ascii="仿宋_GB2312" w:eastAsia="仿宋_GB2312"/>
        <w:b w:val="0"/>
        <w:i w:val="0"/>
        <w:iCs/>
        <w:sz w:val="18"/>
        <w:u w:val="none"/>
      </w:rPr>
    </w:pPr>
    <w:r>
      <w:rPr>
        <w:rFonts w:hint="eastAsia" w:eastAsia="仿宋_GB2312"/>
        <w:b w:val="0"/>
        <w:i/>
        <w:sz w:val="18"/>
        <w:u w:val="none"/>
      </w:rPr>
      <w:t xml:space="preserve">                                                                      </w:t>
    </w:r>
    <w:r>
      <w:rPr>
        <w:rFonts w:hint="eastAsia" w:eastAsia="仿宋_GB2312"/>
        <w:b w:val="0"/>
        <w:i w:val="0"/>
        <w:iCs/>
        <w:sz w:val="18"/>
        <w:u w:val="none"/>
      </w:rPr>
      <w:t>政府采购竞争性磋商文件</w:t>
    </w:r>
    <w:r>
      <w:rPr>
        <w:rFonts w:hint="eastAsia"/>
        <w:b w:val="0"/>
        <w:i w:val="0"/>
        <w:iCs/>
        <w:sz w:val="18"/>
        <w:u w:val="none"/>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B7E949">
    <w:pPr>
      <w:pStyle w:val="38"/>
      <w:jc w:val="right"/>
    </w:pPr>
    <w:r>
      <w:rPr>
        <w:rFonts w:hint="eastAsia" w:eastAsia="仿宋_GB2312"/>
        <w:i w:val="0"/>
        <w:iCs/>
      </w:rPr>
      <w:t>政府采购竞争性磋商文件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200CE9">
    <w:pPr>
      <w:pStyle w:val="38"/>
      <w:jc w:val="right"/>
      <w:rPr>
        <w:rFonts w:eastAsia="仿宋_GB2312"/>
      </w:rPr>
    </w:pPr>
    <w:r>
      <w:rPr>
        <w:rFonts w:hint="eastAsia" w:eastAsia="仿宋_GB2312"/>
        <w:i w:val="0"/>
        <w:iCs w:val="0"/>
        <w:lang w:val="en-US" w:eastAsia="zh-CN"/>
      </w:rPr>
      <w:t>政府</w:t>
    </w:r>
    <w:r>
      <w:rPr>
        <w:rFonts w:hint="eastAsia" w:eastAsia="仿宋_GB2312"/>
        <w:i w:val="0"/>
        <w:iCs w:val="0"/>
      </w:rPr>
      <w:t>采购竞争性磋商文件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BE9E5E">
    <w:pPr>
      <w:pStyle w:val="38"/>
      <w:jc w:val="right"/>
      <w:rPr>
        <w:rFonts w:eastAsia="仿宋_GB2312"/>
        <w:i w:val="0"/>
        <w:iCs w:val="0"/>
      </w:rPr>
    </w:pPr>
    <w:r>
      <w:rPr>
        <w:rFonts w:hint="eastAsia" w:eastAsia="仿宋_GB2312"/>
        <w:i w:val="0"/>
        <w:iCs w:val="0"/>
      </w:rPr>
      <w:t>政府采购竞争性磋商文件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BBB3E8">
    <w:pPr>
      <w:widowControl w:val="0"/>
      <w:pBdr>
        <w:bottom w:val="single" w:color="auto" w:sz="6" w:space="1"/>
      </w:pBdr>
      <w:adjustRightInd w:val="0"/>
      <w:snapToGrid w:val="0"/>
      <w:jc w:val="right"/>
      <w:rPr>
        <w:rFonts w:ascii="Times New Roman" w:hAnsi="Times New Roman" w:eastAsia="仿宋_GB2312" w:cs="Times New Roman"/>
        <w:kern w:val="2"/>
        <w:sz w:val="18"/>
        <w:szCs w:val="18"/>
        <w:lang w:val="en-US" w:eastAsia="zh-CN" w:bidi="ar-SA"/>
      </w:rPr>
    </w:pPr>
    <w:r>
      <w:rPr>
        <w:rFonts w:hint="eastAsia" w:eastAsia="仿宋_GB2312"/>
        <w:i w:val="0"/>
        <w:iCs/>
        <w:sz w:val="18"/>
        <w:szCs w:val="18"/>
      </w:rPr>
      <w:t>政府采购竞争性磋商文件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C4A826">
    <w:pPr>
      <w:widowControl w:val="0"/>
      <w:pBdr>
        <w:bottom w:val="single" w:color="auto" w:sz="6" w:space="1"/>
      </w:pBdr>
      <w:adjustRightInd w:val="0"/>
      <w:snapToGrid w:val="0"/>
      <w:jc w:val="right"/>
      <w:rPr>
        <w:rFonts w:ascii="Times New Roman" w:hAnsi="Times New Roman" w:eastAsia="仿宋_GB2312" w:cs="Times New Roman"/>
        <w:i w:val="0"/>
        <w:iCs w:val="0"/>
        <w:kern w:val="2"/>
        <w:sz w:val="18"/>
        <w:szCs w:val="18"/>
        <w:lang w:val="en-US" w:eastAsia="zh-CN" w:bidi="ar-SA"/>
      </w:rPr>
    </w:pPr>
    <w:r>
      <w:rPr>
        <w:rFonts w:hint="eastAsia" w:eastAsia="仿宋_GB2312"/>
        <w:i w:val="0"/>
        <w:iCs/>
      </w:rPr>
      <w:t>政府采购竞争性磋商文件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1"/>
    <w:multiLevelType w:val="singleLevel"/>
    <w:tmpl w:val="FFFFFF81"/>
    <w:lvl w:ilvl="0" w:tentative="0">
      <w:start w:val="1"/>
      <w:numFmt w:val="bullet"/>
      <w:pStyle w:val="13"/>
      <w:lvlText w:val=""/>
      <w:lvlJc w:val="left"/>
      <w:pPr>
        <w:tabs>
          <w:tab w:val="left" w:pos="1440"/>
        </w:tabs>
        <w:ind w:left="1440" w:hanging="360"/>
      </w:pPr>
      <w:rPr>
        <w:rFonts w:hint="default" w:ascii="Symbol" w:hAnsi="Symbol" w:eastAsia="Symbol"/>
      </w:rPr>
    </w:lvl>
  </w:abstractNum>
  <w:abstractNum w:abstractNumId="1">
    <w:nsid w:val="00000007"/>
    <w:multiLevelType w:val="multilevel"/>
    <w:tmpl w:val="00000007"/>
    <w:lvl w:ilvl="0" w:tentative="0">
      <w:start w:val="1"/>
      <w:numFmt w:val="bullet"/>
      <w:pStyle w:val="107"/>
      <w:lvlText w:val=""/>
      <w:lvlJc w:val="left"/>
      <w:pPr>
        <w:tabs>
          <w:tab w:val="left" w:pos="840"/>
        </w:tabs>
        <w:ind w:left="840" w:hanging="420"/>
      </w:pPr>
      <w:rPr>
        <w:rFonts w:hint="default" w:ascii="Wingdings" w:hAnsi="Wingdings"/>
      </w:rPr>
    </w:lvl>
    <w:lvl w:ilvl="1" w:tentative="0">
      <w:start w:val="1"/>
      <w:numFmt w:val="bullet"/>
      <w:pStyle w:val="90"/>
      <w:lvlText w:val=""/>
      <w:lvlJc w:val="left"/>
      <w:pPr>
        <w:tabs>
          <w:tab w:val="left" w:pos="1260"/>
        </w:tabs>
        <w:ind w:left="1260" w:hanging="420"/>
      </w:pPr>
      <w:rPr>
        <w:rFonts w:hint="default" w:ascii="Wingdings" w:hAnsi="Wingdings"/>
      </w:rPr>
    </w:lvl>
    <w:lvl w:ilvl="2" w:tentative="0">
      <w:start w:val="1"/>
      <w:numFmt w:val="bullet"/>
      <w:pStyle w:val="344"/>
      <w:lvlText w:val=""/>
      <w:lvlJc w:val="left"/>
      <w:pPr>
        <w:tabs>
          <w:tab w:val="left" w:pos="1680"/>
        </w:tabs>
        <w:ind w:left="1680" w:hanging="420"/>
      </w:pPr>
      <w:rPr>
        <w:rFonts w:hint="default" w:ascii="Wingdings" w:hAnsi="Wingdings"/>
      </w:rPr>
    </w:lvl>
    <w:lvl w:ilvl="3" w:tentative="0">
      <w:start w:val="1"/>
      <w:numFmt w:val="bullet"/>
      <w:pStyle w:val="179"/>
      <w:lvlText w:val=""/>
      <w:lvlJc w:val="left"/>
      <w:pPr>
        <w:tabs>
          <w:tab w:val="left" w:pos="2100"/>
        </w:tabs>
        <w:ind w:left="2100" w:hanging="420"/>
      </w:pPr>
      <w:rPr>
        <w:rFonts w:hint="default" w:ascii="Wingdings" w:hAnsi="Wingdings"/>
      </w:rPr>
    </w:lvl>
    <w:lvl w:ilvl="4" w:tentative="0">
      <w:start w:val="1"/>
      <w:numFmt w:val="bullet"/>
      <w:pStyle w:val="413"/>
      <w:lvlText w:val=""/>
      <w:lvlJc w:val="left"/>
      <w:pPr>
        <w:tabs>
          <w:tab w:val="left" w:pos="2520"/>
        </w:tabs>
        <w:ind w:left="2520" w:hanging="420"/>
      </w:pPr>
      <w:rPr>
        <w:rFonts w:hint="default" w:ascii="Wingdings" w:hAnsi="Wingdings"/>
      </w:rPr>
    </w:lvl>
    <w:lvl w:ilvl="5" w:tentative="0">
      <w:start w:val="1"/>
      <w:numFmt w:val="bullet"/>
      <w:pStyle w:val="177"/>
      <w:lvlText w:val=""/>
      <w:lvlJc w:val="left"/>
      <w:pPr>
        <w:tabs>
          <w:tab w:val="left" w:pos="2940"/>
        </w:tabs>
        <w:ind w:left="2940" w:hanging="420"/>
      </w:pPr>
      <w:rPr>
        <w:rFonts w:hint="default" w:ascii="Wingdings" w:hAnsi="Wingdings"/>
      </w:rPr>
    </w:lvl>
    <w:lvl w:ilvl="6" w:tentative="0">
      <w:start w:val="1"/>
      <w:numFmt w:val="bullet"/>
      <w:pStyle w:val="402"/>
      <w:lvlText w:val=""/>
      <w:lvlJc w:val="left"/>
      <w:pPr>
        <w:tabs>
          <w:tab w:val="left" w:pos="3360"/>
        </w:tabs>
        <w:ind w:left="3360" w:hanging="420"/>
      </w:pPr>
      <w:rPr>
        <w:rFonts w:hint="default" w:ascii="Wingdings" w:hAnsi="Wingdings"/>
      </w:rPr>
    </w:lvl>
    <w:lvl w:ilvl="7" w:tentative="0">
      <w:start w:val="1"/>
      <w:numFmt w:val="bullet"/>
      <w:pStyle w:val="283"/>
      <w:lvlText w:val=""/>
      <w:lvlJc w:val="left"/>
      <w:pPr>
        <w:tabs>
          <w:tab w:val="left" w:pos="3780"/>
        </w:tabs>
        <w:ind w:left="3780" w:hanging="420"/>
      </w:pPr>
      <w:rPr>
        <w:rFonts w:hint="default" w:ascii="Wingdings" w:hAnsi="Wingdings"/>
      </w:rPr>
    </w:lvl>
    <w:lvl w:ilvl="8" w:tentative="0">
      <w:start w:val="1"/>
      <w:numFmt w:val="bullet"/>
      <w:pStyle w:val="375"/>
      <w:lvlText w:val=""/>
      <w:lvlJc w:val="left"/>
      <w:pPr>
        <w:tabs>
          <w:tab w:val="left" w:pos="4200"/>
        </w:tabs>
        <w:ind w:left="4200" w:hanging="420"/>
      </w:pPr>
      <w:rPr>
        <w:rFonts w:hint="default" w:ascii="Wingdings" w:hAnsi="Wingdings"/>
      </w:rPr>
    </w:lvl>
  </w:abstractNum>
  <w:abstractNum w:abstractNumId="2">
    <w:nsid w:val="00000008"/>
    <w:multiLevelType w:val="singleLevel"/>
    <w:tmpl w:val="00000008"/>
    <w:lvl w:ilvl="0" w:tentative="0">
      <w:start w:val="3"/>
      <w:numFmt w:val="chineseCounting"/>
      <w:suff w:val="nothing"/>
      <w:lvlText w:val="%1、"/>
      <w:lvlJc w:val="left"/>
    </w:lvl>
  </w:abstractNum>
  <w:abstractNum w:abstractNumId="3">
    <w:nsid w:val="0000000A"/>
    <w:multiLevelType w:val="multilevel"/>
    <w:tmpl w:val="0000000A"/>
    <w:lvl w:ilvl="0" w:tentative="0">
      <w:start w:val="1"/>
      <w:numFmt w:val="decimal"/>
      <w:pStyle w:val="3"/>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4">
    <w:nsid w:val="11744E57"/>
    <w:multiLevelType w:val="multilevel"/>
    <w:tmpl w:val="11744E57"/>
    <w:lvl w:ilvl="0" w:tentative="0">
      <w:start w:val="1"/>
      <w:numFmt w:val="decimal"/>
      <w:pStyle w:val="2"/>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4"/>
      <w:lvlText w:val="%1.%2.%3"/>
      <w:lvlJc w:val="left"/>
      <w:pPr>
        <w:tabs>
          <w:tab w:val="left" w:pos="900"/>
        </w:tabs>
        <w:ind w:left="900" w:hanging="720"/>
      </w:pPr>
    </w:lvl>
    <w:lvl w:ilvl="3" w:tentative="0">
      <w:start w:val="1"/>
      <w:numFmt w:val="decimal"/>
      <w:pStyle w:val="5"/>
      <w:lvlText w:val="%1.%2.%3.%4"/>
      <w:lvlJc w:val="left"/>
      <w:pPr>
        <w:tabs>
          <w:tab w:val="left" w:pos="864"/>
        </w:tabs>
        <w:ind w:left="864" w:hanging="864"/>
      </w:pPr>
    </w:lvl>
    <w:lvl w:ilvl="4" w:tentative="0">
      <w:start w:val="1"/>
      <w:numFmt w:val="decimal"/>
      <w:pStyle w:val="6"/>
      <w:lvlText w:val="%1.%2.%3.%4.%5"/>
      <w:lvlJc w:val="left"/>
      <w:pPr>
        <w:tabs>
          <w:tab w:val="left" w:pos="1008"/>
        </w:tabs>
        <w:ind w:left="1008" w:hanging="1008"/>
      </w:pPr>
    </w:lvl>
    <w:lvl w:ilvl="5" w:tentative="0">
      <w:start w:val="1"/>
      <w:numFmt w:val="decimal"/>
      <w:pStyle w:val="7"/>
      <w:lvlText w:val="%1.%2.%3.%4.%5.%6"/>
      <w:lvlJc w:val="left"/>
      <w:pPr>
        <w:tabs>
          <w:tab w:val="left" w:pos="1152"/>
        </w:tabs>
        <w:ind w:left="1152" w:hanging="1152"/>
      </w:pPr>
    </w:lvl>
    <w:lvl w:ilvl="6" w:tentative="0">
      <w:start w:val="1"/>
      <w:numFmt w:val="decimal"/>
      <w:pStyle w:val="8"/>
      <w:lvlText w:val="%1.%2.%3.%4.%5.%6.%7"/>
      <w:lvlJc w:val="left"/>
      <w:pPr>
        <w:tabs>
          <w:tab w:val="left" w:pos="1296"/>
        </w:tabs>
        <w:ind w:left="1296" w:hanging="1296"/>
      </w:pPr>
    </w:lvl>
    <w:lvl w:ilvl="7" w:tentative="0">
      <w:start w:val="1"/>
      <w:numFmt w:val="decimal"/>
      <w:pStyle w:val="9"/>
      <w:lvlText w:val="%1.%2.%3.%4.%5.%6.%7.%8"/>
      <w:lvlJc w:val="left"/>
      <w:pPr>
        <w:tabs>
          <w:tab w:val="left" w:pos="1440"/>
        </w:tabs>
        <w:ind w:left="1440" w:hanging="1440"/>
      </w:pPr>
    </w:lvl>
    <w:lvl w:ilvl="8" w:tentative="0">
      <w:start w:val="1"/>
      <w:numFmt w:val="decimal"/>
      <w:pStyle w:val="10"/>
      <w:lvlText w:val="%1.%2.%3.%4.%5.%6.%7.%8.%9"/>
      <w:lvlJc w:val="left"/>
      <w:pPr>
        <w:tabs>
          <w:tab w:val="left" w:pos="1584"/>
        </w:tabs>
        <w:ind w:left="1584" w:hanging="1584"/>
      </w:pPr>
    </w:lvl>
  </w:abstractNum>
  <w:abstractNum w:abstractNumId="5">
    <w:nsid w:val="34A1552E"/>
    <w:multiLevelType w:val="multilevel"/>
    <w:tmpl w:val="34A1552E"/>
    <w:lvl w:ilvl="0" w:tentative="0">
      <w:start w:val="1"/>
      <w:numFmt w:val="bullet"/>
      <w:lvlText w:val=""/>
      <w:lvlJc w:val="left"/>
      <w:pPr>
        <w:ind w:left="1140" w:hanging="420"/>
      </w:pPr>
      <w:rPr>
        <w:rFonts w:hint="default" w:ascii="Wingdings" w:hAnsi="Wingdings"/>
      </w:rPr>
    </w:lvl>
    <w:lvl w:ilvl="1" w:tentative="0">
      <w:start w:val="1"/>
      <w:numFmt w:val="bullet"/>
      <w:lvlText w:val=""/>
      <w:lvlJc w:val="left"/>
      <w:pPr>
        <w:ind w:left="1560" w:hanging="420"/>
      </w:pPr>
      <w:rPr>
        <w:rFonts w:hint="default" w:ascii="Wingdings" w:hAnsi="Wingdings"/>
      </w:rPr>
    </w:lvl>
    <w:lvl w:ilvl="2" w:tentative="0">
      <w:start w:val="1"/>
      <w:numFmt w:val="bullet"/>
      <w:lvlText w:val=""/>
      <w:lvlJc w:val="left"/>
      <w:pPr>
        <w:ind w:left="1980" w:hanging="420"/>
      </w:pPr>
      <w:rPr>
        <w:rFonts w:hint="default" w:ascii="Wingdings" w:hAnsi="Wingdings"/>
      </w:rPr>
    </w:lvl>
    <w:lvl w:ilvl="3" w:tentative="0">
      <w:start w:val="1"/>
      <w:numFmt w:val="bullet"/>
      <w:lvlText w:val=""/>
      <w:lvlJc w:val="left"/>
      <w:pPr>
        <w:ind w:left="2400" w:hanging="420"/>
      </w:pPr>
      <w:rPr>
        <w:rFonts w:hint="default" w:ascii="Wingdings" w:hAnsi="Wingdings"/>
      </w:rPr>
    </w:lvl>
    <w:lvl w:ilvl="4" w:tentative="0">
      <w:start w:val="1"/>
      <w:numFmt w:val="bullet"/>
      <w:lvlText w:val=""/>
      <w:lvlJc w:val="left"/>
      <w:pPr>
        <w:ind w:left="2820" w:hanging="420"/>
      </w:pPr>
      <w:rPr>
        <w:rFonts w:hint="default" w:ascii="Wingdings" w:hAnsi="Wingdings"/>
      </w:rPr>
    </w:lvl>
    <w:lvl w:ilvl="5" w:tentative="0">
      <w:start w:val="1"/>
      <w:numFmt w:val="bullet"/>
      <w:lvlText w:val=""/>
      <w:lvlJc w:val="left"/>
      <w:pPr>
        <w:ind w:left="3240" w:hanging="420"/>
      </w:pPr>
      <w:rPr>
        <w:rFonts w:hint="default" w:ascii="Wingdings" w:hAnsi="Wingdings"/>
      </w:rPr>
    </w:lvl>
    <w:lvl w:ilvl="6" w:tentative="0">
      <w:start w:val="1"/>
      <w:numFmt w:val="bullet"/>
      <w:lvlText w:val=""/>
      <w:lvlJc w:val="left"/>
      <w:pPr>
        <w:ind w:left="3660" w:hanging="420"/>
      </w:pPr>
      <w:rPr>
        <w:rFonts w:hint="default" w:ascii="Wingdings" w:hAnsi="Wingdings"/>
      </w:rPr>
    </w:lvl>
    <w:lvl w:ilvl="7" w:tentative="0">
      <w:start w:val="1"/>
      <w:numFmt w:val="bullet"/>
      <w:lvlText w:val=""/>
      <w:lvlJc w:val="left"/>
      <w:pPr>
        <w:ind w:left="4080" w:hanging="420"/>
      </w:pPr>
      <w:rPr>
        <w:rFonts w:hint="default" w:ascii="Wingdings" w:hAnsi="Wingdings"/>
      </w:rPr>
    </w:lvl>
    <w:lvl w:ilvl="8" w:tentative="0">
      <w:start w:val="1"/>
      <w:numFmt w:val="bullet"/>
      <w:lvlText w:val=""/>
      <w:lvlJc w:val="left"/>
      <w:pPr>
        <w:ind w:left="4500" w:hanging="420"/>
      </w:pPr>
      <w:rPr>
        <w:rFonts w:hint="default" w:ascii="Wingdings" w:hAnsi="Wingdings"/>
      </w:rPr>
    </w:lvl>
  </w:abstractNum>
  <w:abstractNum w:abstractNumId="6">
    <w:nsid w:val="4E8212DA"/>
    <w:multiLevelType w:val="singleLevel"/>
    <w:tmpl w:val="4E8212DA"/>
    <w:lvl w:ilvl="0" w:tentative="0">
      <w:start w:val="1"/>
      <w:numFmt w:val="decimal"/>
      <w:lvlText w:val="%1、"/>
      <w:lvlJc w:val="left"/>
      <w:pPr>
        <w:tabs>
          <w:tab w:val="left" w:pos="840"/>
        </w:tabs>
        <w:ind w:left="840" w:hanging="360"/>
      </w:pPr>
      <w:rPr>
        <w:rFonts w:hint="default"/>
      </w:rPr>
    </w:lvl>
  </w:abstractNum>
  <w:abstractNum w:abstractNumId="7">
    <w:nsid w:val="578B3BD2"/>
    <w:multiLevelType w:val="multilevel"/>
    <w:tmpl w:val="578B3BD2"/>
    <w:lvl w:ilvl="0" w:tentative="0">
      <w:start w:val="1"/>
      <w:numFmt w:val="decimal"/>
      <w:pStyle w:val="416"/>
      <w:lvlText w:val="%1"/>
      <w:lvlJc w:val="left"/>
      <w:pPr>
        <w:tabs>
          <w:tab w:val="left" w:pos="480"/>
        </w:tabs>
        <w:ind w:left="480" w:hanging="480"/>
      </w:pPr>
      <w:rPr>
        <w:rFonts w:hint="eastAsia"/>
        <w:sz w:val="44"/>
        <w:szCs w:val="44"/>
      </w:rPr>
    </w:lvl>
    <w:lvl w:ilvl="1" w:tentative="0">
      <w:start w:val="1"/>
      <w:numFmt w:val="decimal"/>
      <w:pStyle w:val="337"/>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pStyle w:val="405"/>
      <w:lvlText w:val="%1.%2.%3.%4.%5"/>
      <w:lvlJc w:val="left"/>
      <w:pPr>
        <w:tabs>
          <w:tab w:val="left" w:pos="1080"/>
        </w:tabs>
        <w:ind w:left="1080" w:hanging="1080"/>
      </w:pPr>
      <w:rPr>
        <w:rFonts w:hint="default"/>
      </w:rPr>
    </w:lvl>
    <w:lvl w:ilvl="5" w:tentative="0">
      <w:start w:val="1"/>
      <w:numFmt w:val="decimal"/>
      <w:pStyle w:val="221"/>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8">
    <w:nsid w:val="59706EA6"/>
    <w:multiLevelType w:val="multilevel"/>
    <w:tmpl w:val="59706EA6"/>
    <w:lvl w:ilvl="0" w:tentative="0">
      <w:start w:val="1"/>
      <w:numFmt w:val="bullet"/>
      <w:lvlText w:val=""/>
      <w:lvlJc w:val="left"/>
      <w:pPr>
        <w:ind w:left="1260" w:hanging="420"/>
      </w:pPr>
      <w:rPr>
        <w:rFonts w:hint="default" w:ascii="Wingdings" w:hAnsi="Wingdings"/>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abstractNum w:abstractNumId="9">
    <w:nsid w:val="73596DCC"/>
    <w:multiLevelType w:val="multilevel"/>
    <w:tmpl w:val="73596DCC"/>
    <w:lvl w:ilvl="0" w:tentative="0">
      <w:start w:val="1"/>
      <w:numFmt w:val="bullet"/>
      <w:pStyle w:val="323"/>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0">
    <w:nsid w:val="79CA01B1"/>
    <w:multiLevelType w:val="multilevel"/>
    <w:tmpl w:val="79CA01B1"/>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4"/>
  </w:num>
  <w:num w:numId="2">
    <w:abstractNumId w:val="3"/>
  </w:num>
  <w:num w:numId="3">
    <w:abstractNumId w:val="0"/>
  </w:num>
  <w:num w:numId="4">
    <w:abstractNumId w:val="1"/>
  </w:num>
  <w:num w:numId="5">
    <w:abstractNumId w:val="7"/>
  </w:num>
  <w:num w:numId="6">
    <w:abstractNumId w:val="9"/>
  </w:num>
  <w:num w:numId="7">
    <w:abstractNumId w:val="10"/>
  </w:num>
  <w:num w:numId="8">
    <w:abstractNumId w:val="5"/>
  </w:num>
  <w:num w:numId="9">
    <w:abstractNumId w:val="8"/>
  </w:num>
  <w:num w:numId="10">
    <w:abstractNumId w:val="6"/>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BmMDU5NGYxMTI0OGI2YjA3MGJkNWJmYzJmNzNiODEifQ=="/>
    <w:docVar w:name="KSO_WPS_MARK_KEY" w:val="2db952c4-85a1-4374-8cb9-65f7091cd79f"/>
  </w:docVars>
  <w:rsids>
    <w:rsidRoot w:val="00172A27"/>
    <w:rsid w:val="0000133D"/>
    <w:rsid w:val="0000488B"/>
    <w:rsid w:val="00005CAC"/>
    <w:rsid w:val="00006109"/>
    <w:rsid w:val="00006725"/>
    <w:rsid w:val="0000675E"/>
    <w:rsid w:val="00007CAA"/>
    <w:rsid w:val="00010FE9"/>
    <w:rsid w:val="0001122F"/>
    <w:rsid w:val="00012BE8"/>
    <w:rsid w:val="00013F31"/>
    <w:rsid w:val="00015FD7"/>
    <w:rsid w:val="000170C8"/>
    <w:rsid w:val="000172A5"/>
    <w:rsid w:val="000173F4"/>
    <w:rsid w:val="000217DE"/>
    <w:rsid w:val="00022853"/>
    <w:rsid w:val="00025776"/>
    <w:rsid w:val="000270F2"/>
    <w:rsid w:val="00027540"/>
    <w:rsid w:val="00030572"/>
    <w:rsid w:val="00030CB3"/>
    <w:rsid w:val="0003206A"/>
    <w:rsid w:val="00032EA0"/>
    <w:rsid w:val="00034FA7"/>
    <w:rsid w:val="000357E4"/>
    <w:rsid w:val="00042533"/>
    <w:rsid w:val="00042E65"/>
    <w:rsid w:val="0004347C"/>
    <w:rsid w:val="00043907"/>
    <w:rsid w:val="00044F48"/>
    <w:rsid w:val="0004651A"/>
    <w:rsid w:val="00050656"/>
    <w:rsid w:val="00051B54"/>
    <w:rsid w:val="00054D39"/>
    <w:rsid w:val="0005501B"/>
    <w:rsid w:val="000554C7"/>
    <w:rsid w:val="00055A61"/>
    <w:rsid w:val="00056118"/>
    <w:rsid w:val="000578A3"/>
    <w:rsid w:val="00057FC8"/>
    <w:rsid w:val="000600BA"/>
    <w:rsid w:val="00061A3C"/>
    <w:rsid w:val="000620B0"/>
    <w:rsid w:val="000646CA"/>
    <w:rsid w:val="00064A21"/>
    <w:rsid w:val="00064D05"/>
    <w:rsid w:val="00065868"/>
    <w:rsid w:val="000665C4"/>
    <w:rsid w:val="00067821"/>
    <w:rsid w:val="0006785E"/>
    <w:rsid w:val="00067E1A"/>
    <w:rsid w:val="00070825"/>
    <w:rsid w:val="00072AED"/>
    <w:rsid w:val="00072D2B"/>
    <w:rsid w:val="000730B1"/>
    <w:rsid w:val="00073860"/>
    <w:rsid w:val="00074528"/>
    <w:rsid w:val="00074B1F"/>
    <w:rsid w:val="00075D0E"/>
    <w:rsid w:val="00075F6A"/>
    <w:rsid w:val="000763F3"/>
    <w:rsid w:val="000768B4"/>
    <w:rsid w:val="00077607"/>
    <w:rsid w:val="00077756"/>
    <w:rsid w:val="00080970"/>
    <w:rsid w:val="00083DDA"/>
    <w:rsid w:val="0008580E"/>
    <w:rsid w:val="00085A0E"/>
    <w:rsid w:val="00086F8A"/>
    <w:rsid w:val="000904F6"/>
    <w:rsid w:val="00090ED8"/>
    <w:rsid w:val="0009145F"/>
    <w:rsid w:val="00091B4E"/>
    <w:rsid w:val="00091D89"/>
    <w:rsid w:val="00092FE9"/>
    <w:rsid w:val="00094342"/>
    <w:rsid w:val="000960BA"/>
    <w:rsid w:val="0009662A"/>
    <w:rsid w:val="000A1A52"/>
    <w:rsid w:val="000A1F98"/>
    <w:rsid w:val="000A23CE"/>
    <w:rsid w:val="000A49BB"/>
    <w:rsid w:val="000A4C67"/>
    <w:rsid w:val="000A5674"/>
    <w:rsid w:val="000A5A46"/>
    <w:rsid w:val="000B0E04"/>
    <w:rsid w:val="000B4B56"/>
    <w:rsid w:val="000B53F1"/>
    <w:rsid w:val="000B54C1"/>
    <w:rsid w:val="000B62AC"/>
    <w:rsid w:val="000B6BDF"/>
    <w:rsid w:val="000C053E"/>
    <w:rsid w:val="000C0A43"/>
    <w:rsid w:val="000C1ADE"/>
    <w:rsid w:val="000C1C38"/>
    <w:rsid w:val="000C222C"/>
    <w:rsid w:val="000C2264"/>
    <w:rsid w:val="000C33C8"/>
    <w:rsid w:val="000C4727"/>
    <w:rsid w:val="000C47AE"/>
    <w:rsid w:val="000C51AD"/>
    <w:rsid w:val="000C5374"/>
    <w:rsid w:val="000C5EC0"/>
    <w:rsid w:val="000C6688"/>
    <w:rsid w:val="000C7BEB"/>
    <w:rsid w:val="000D11E5"/>
    <w:rsid w:val="000D1D28"/>
    <w:rsid w:val="000D2A10"/>
    <w:rsid w:val="000D34C8"/>
    <w:rsid w:val="000D34FD"/>
    <w:rsid w:val="000D3BB6"/>
    <w:rsid w:val="000D3BE5"/>
    <w:rsid w:val="000D3C37"/>
    <w:rsid w:val="000D5EA6"/>
    <w:rsid w:val="000D6C9F"/>
    <w:rsid w:val="000D6E3B"/>
    <w:rsid w:val="000D7902"/>
    <w:rsid w:val="000D7CE0"/>
    <w:rsid w:val="000E1DD9"/>
    <w:rsid w:val="000E2785"/>
    <w:rsid w:val="000E27BB"/>
    <w:rsid w:val="000E3153"/>
    <w:rsid w:val="000E3403"/>
    <w:rsid w:val="000E386F"/>
    <w:rsid w:val="000E4051"/>
    <w:rsid w:val="000E5B7E"/>
    <w:rsid w:val="000E5FF9"/>
    <w:rsid w:val="000E6AE1"/>
    <w:rsid w:val="000E7142"/>
    <w:rsid w:val="000E7632"/>
    <w:rsid w:val="000E7739"/>
    <w:rsid w:val="000E77EE"/>
    <w:rsid w:val="000F0789"/>
    <w:rsid w:val="000F159D"/>
    <w:rsid w:val="000F2940"/>
    <w:rsid w:val="000F3D08"/>
    <w:rsid w:val="000F505B"/>
    <w:rsid w:val="000F5837"/>
    <w:rsid w:val="000F68A0"/>
    <w:rsid w:val="0010118C"/>
    <w:rsid w:val="0010125E"/>
    <w:rsid w:val="00101967"/>
    <w:rsid w:val="00104CAD"/>
    <w:rsid w:val="00104E5B"/>
    <w:rsid w:val="00104EEC"/>
    <w:rsid w:val="001050DC"/>
    <w:rsid w:val="001052A9"/>
    <w:rsid w:val="00105482"/>
    <w:rsid w:val="001055F5"/>
    <w:rsid w:val="00105BA9"/>
    <w:rsid w:val="00106C42"/>
    <w:rsid w:val="00107BBD"/>
    <w:rsid w:val="00107E1B"/>
    <w:rsid w:val="00111C7D"/>
    <w:rsid w:val="00112038"/>
    <w:rsid w:val="00112467"/>
    <w:rsid w:val="001127FF"/>
    <w:rsid w:val="00112B0B"/>
    <w:rsid w:val="00112B42"/>
    <w:rsid w:val="00114847"/>
    <w:rsid w:val="0011585B"/>
    <w:rsid w:val="00115B1A"/>
    <w:rsid w:val="001168F8"/>
    <w:rsid w:val="001228C8"/>
    <w:rsid w:val="0012419E"/>
    <w:rsid w:val="001243E9"/>
    <w:rsid w:val="001248EF"/>
    <w:rsid w:val="00124F76"/>
    <w:rsid w:val="00124FC4"/>
    <w:rsid w:val="001259B8"/>
    <w:rsid w:val="00127DAB"/>
    <w:rsid w:val="00131C2D"/>
    <w:rsid w:val="001350F7"/>
    <w:rsid w:val="00135141"/>
    <w:rsid w:val="00135769"/>
    <w:rsid w:val="00135BE9"/>
    <w:rsid w:val="001374DC"/>
    <w:rsid w:val="0013773D"/>
    <w:rsid w:val="00140D7A"/>
    <w:rsid w:val="001430C3"/>
    <w:rsid w:val="00144649"/>
    <w:rsid w:val="001451BB"/>
    <w:rsid w:val="00145662"/>
    <w:rsid w:val="00145C6D"/>
    <w:rsid w:val="00146151"/>
    <w:rsid w:val="00147EA7"/>
    <w:rsid w:val="00151B2F"/>
    <w:rsid w:val="001524DC"/>
    <w:rsid w:val="001525E5"/>
    <w:rsid w:val="00153859"/>
    <w:rsid w:val="00153ED0"/>
    <w:rsid w:val="00157432"/>
    <w:rsid w:val="00161185"/>
    <w:rsid w:val="00161853"/>
    <w:rsid w:val="00161C7D"/>
    <w:rsid w:val="00167594"/>
    <w:rsid w:val="001702BE"/>
    <w:rsid w:val="001706E4"/>
    <w:rsid w:val="0017105C"/>
    <w:rsid w:val="00171622"/>
    <w:rsid w:val="001721CF"/>
    <w:rsid w:val="001728FD"/>
    <w:rsid w:val="00172A27"/>
    <w:rsid w:val="00172F02"/>
    <w:rsid w:val="001735D7"/>
    <w:rsid w:val="00173631"/>
    <w:rsid w:val="0017372D"/>
    <w:rsid w:val="00173E59"/>
    <w:rsid w:val="00176BC8"/>
    <w:rsid w:val="00180244"/>
    <w:rsid w:val="00180A47"/>
    <w:rsid w:val="00181272"/>
    <w:rsid w:val="001823B6"/>
    <w:rsid w:val="001827B7"/>
    <w:rsid w:val="001827EF"/>
    <w:rsid w:val="00182982"/>
    <w:rsid w:val="00182D68"/>
    <w:rsid w:val="0018397E"/>
    <w:rsid w:val="00183BA7"/>
    <w:rsid w:val="00186D20"/>
    <w:rsid w:val="00187243"/>
    <w:rsid w:val="001878FE"/>
    <w:rsid w:val="00187C29"/>
    <w:rsid w:val="00187F55"/>
    <w:rsid w:val="00190942"/>
    <w:rsid w:val="00191459"/>
    <w:rsid w:val="0019174E"/>
    <w:rsid w:val="00191EF8"/>
    <w:rsid w:val="00192690"/>
    <w:rsid w:val="00193B94"/>
    <w:rsid w:val="001940A7"/>
    <w:rsid w:val="00194BB1"/>
    <w:rsid w:val="00195070"/>
    <w:rsid w:val="00195D82"/>
    <w:rsid w:val="0019602C"/>
    <w:rsid w:val="001A07F8"/>
    <w:rsid w:val="001A1D48"/>
    <w:rsid w:val="001A1F0E"/>
    <w:rsid w:val="001A1F2D"/>
    <w:rsid w:val="001A473A"/>
    <w:rsid w:val="001A4996"/>
    <w:rsid w:val="001A5785"/>
    <w:rsid w:val="001A66A6"/>
    <w:rsid w:val="001A6BBB"/>
    <w:rsid w:val="001A79A2"/>
    <w:rsid w:val="001B13BF"/>
    <w:rsid w:val="001B16F5"/>
    <w:rsid w:val="001B1BD9"/>
    <w:rsid w:val="001B1C1F"/>
    <w:rsid w:val="001B219B"/>
    <w:rsid w:val="001B2703"/>
    <w:rsid w:val="001B2ABD"/>
    <w:rsid w:val="001B4272"/>
    <w:rsid w:val="001B46B2"/>
    <w:rsid w:val="001B4CA8"/>
    <w:rsid w:val="001B572D"/>
    <w:rsid w:val="001B738E"/>
    <w:rsid w:val="001B7B69"/>
    <w:rsid w:val="001C0616"/>
    <w:rsid w:val="001C0DD2"/>
    <w:rsid w:val="001C10BD"/>
    <w:rsid w:val="001C1F01"/>
    <w:rsid w:val="001C232F"/>
    <w:rsid w:val="001C31F5"/>
    <w:rsid w:val="001C44BC"/>
    <w:rsid w:val="001C5885"/>
    <w:rsid w:val="001C6698"/>
    <w:rsid w:val="001D1D55"/>
    <w:rsid w:val="001D21EF"/>
    <w:rsid w:val="001D330D"/>
    <w:rsid w:val="001D4AD3"/>
    <w:rsid w:val="001D5A94"/>
    <w:rsid w:val="001E1ABC"/>
    <w:rsid w:val="001E59FB"/>
    <w:rsid w:val="001E787E"/>
    <w:rsid w:val="001F087C"/>
    <w:rsid w:val="001F0DA4"/>
    <w:rsid w:val="001F0FD1"/>
    <w:rsid w:val="001F1F18"/>
    <w:rsid w:val="001F2F92"/>
    <w:rsid w:val="001F6095"/>
    <w:rsid w:val="00200E37"/>
    <w:rsid w:val="00201EE3"/>
    <w:rsid w:val="00202D33"/>
    <w:rsid w:val="00202F99"/>
    <w:rsid w:val="00203C85"/>
    <w:rsid w:val="00205298"/>
    <w:rsid w:val="002054F4"/>
    <w:rsid w:val="00210B9C"/>
    <w:rsid w:val="00212E87"/>
    <w:rsid w:val="00213FC4"/>
    <w:rsid w:val="00214028"/>
    <w:rsid w:val="002141C3"/>
    <w:rsid w:val="002141DC"/>
    <w:rsid w:val="00214479"/>
    <w:rsid w:val="002144F3"/>
    <w:rsid w:val="00215A2A"/>
    <w:rsid w:val="00216387"/>
    <w:rsid w:val="00217427"/>
    <w:rsid w:val="002204BC"/>
    <w:rsid w:val="0022234D"/>
    <w:rsid w:val="002223FA"/>
    <w:rsid w:val="00222C78"/>
    <w:rsid w:val="00224B9B"/>
    <w:rsid w:val="0022555A"/>
    <w:rsid w:val="0023114A"/>
    <w:rsid w:val="0023205A"/>
    <w:rsid w:val="0023265B"/>
    <w:rsid w:val="00233538"/>
    <w:rsid w:val="002344F5"/>
    <w:rsid w:val="0023454D"/>
    <w:rsid w:val="002345FC"/>
    <w:rsid w:val="00234679"/>
    <w:rsid w:val="00236127"/>
    <w:rsid w:val="002361A2"/>
    <w:rsid w:val="00236690"/>
    <w:rsid w:val="0023669D"/>
    <w:rsid w:val="00237755"/>
    <w:rsid w:val="00237A7C"/>
    <w:rsid w:val="00237FA2"/>
    <w:rsid w:val="00240121"/>
    <w:rsid w:val="00240F67"/>
    <w:rsid w:val="00241144"/>
    <w:rsid w:val="00242009"/>
    <w:rsid w:val="00242510"/>
    <w:rsid w:val="00243F5D"/>
    <w:rsid w:val="0024415B"/>
    <w:rsid w:val="00245269"/>
    <w:rsid w:val="00247422"/>
    <w:rsid w:val="00247BA2"/>
    <w:rsid w:val="00251CB4"/>
    <w:rsid w:val="00252862"/>
    <w:rsid w:val="002531BD"/>
    <w:rsid w:val="002533FE"/>
    <w:rsid w:val="002537FC"/>
    <w:rsid w:val="002543EF"/>
    <w:rsid w:val="00255146"/>
    <w:rsid w:val="0025631F"/>
    <w:rsid w:val="00256986"/>
    <w:rsid w:val="00257246"/>
    <w:rsid w:val="00263044"/>
    <w:rsid w:val="002630E7"/>
    <w:rsid w:val="00263759"/>
    <w:rsid w:val="0026385E"/>
    <w:rsid w:val="002645DB"/>
    <w:rsid w:val="0026470B"/>
    <w:rsid w:val="0026486D"/>
    <w:rsid w:val="00264966"/>
    <w:rsid w:val="00264CEB"/>
    <w:rsid w:val="002660C3"/>
    <w:rsid w:val="00266DE1"/>
    <w:rsid w:val="00266E08"/>
    <w:rsid w:val="00267E43"/>
    <w:rsid w:val="00273C5F"/>
    <w:rsid w:val="00274C6D"/>
    <w:rsid w:val="002751CA"/>
    <w:rsid w:val="0027544D"/>
    <w:rsid w:val="002778AB"/>
    <w:rsid w:val="002802A5"/>
    <w:rsid w:val="00281BCB"/>
    <w:rsid w:val="00282CA4"/>
    <w:rsid w:val="00283B06"/>
    <w:rsid w:val="0028583E"/>
    <w:rsid w:val="00285FF3"/>
    <w:rsid w:val="0028744E"/>
    <w:rsid w:val="0028766A"/>
    <w:rsid w:val="00287936"/>
    <w:rsid w:val="002903C5"/>
    <w:rsid w:val="00290A99"/>
    <w:rsid w:val="00290EAF"/>
    <w:rsid w:val="0029159A"/>
    <w:rsid w:val="00292AA1"/>
    <w:rsid w:val="0029499D"/>
    <w:rsid w:val="00294A13"/>
    <w:rsid w:val="00295073"/>
    <w:rsid w:val="00295DC3"/>
    <w:rsid w:val="0029704D"/>
    <w:rsid w:val="002979C5"/>
    <w:rsid w:val="00297AF5"/>
    <w:rsid w:val="002A02D6"/>
    <w:rsid w:val="002A07C4"/>
    <w:rsid w:val="002A0921"/>
    <w:rsid w:val="002A2001"/>
    <w:rsid w:val="002A30AD"/>
    <w:rsid w:val="002A4EB3"/>
    <w:rsid w:val="002A51D9"/>
    <w:rsid w:val="002A5275"/>
    <w:rsid w:val="002B2906"/>
    <w:rsid w:val="002B35C5"/>
    <w:rsid w:val="002B5AEE"/>
    <w:rsid w:val="002B5CD6"/>
    <w:rsid w:val="002B6177"/>
    <w:rsid w:val="002B68E6"/>
    <w:rsid w:val="002B6985"/>
    <w:rsid w:val="002B7242"/>
    <w:rsid w:val="002C0032"/>
    <w:rsid w:val="002C0301"/>
    <w:rsid w:val="002C0326"/>
    <w:rsid w:val="002C0A9F"/>
    <w:rsid w:val="002C1BB7"/>
    <w:rsid w:val="002C1CC2"/>
    <w:rsid w:val="002C28E1"/>
    <w:rsid w:val="002C3890"/>
    <w:rsid w:val="002C3DD5"/>
    <w:rsid w:val="002C643D"/>
    <w:rsid w:val="002C70E7"/>
    <w:rsid w:val="002C77AC"/>
    <w:rsid w:val="002D22A6"/>
    <w:rsid w:val="002D2496"/>
    <w:rsid w:val="002D2C71"/>
    <w:rsid w:val="002D2CD6"/>
    <w:rsid w:val="002D2F81"/>
    <w:rsid w:val="002D3BA3"/>
    <w:rsid w:val="002D4892"/>
    <w:rsid w:val="002D4D06"/>
    <w:rsid w:val="002D4E19"/>
    <w:rsid w:val="002D4EE7"/>
    <w:rsid w:val="002D4EED"/>
    <w:rsid w:val="002D6782"/>
    <w:rsid w:val="002D707C"/>
    <w:rsid w:val="002D7DB2"/>
    <w:rsid w:val="002D7FB2"/>
    <w:rsid w:val="002E0542"/>
    <w:rsid w:val="002E0E87"/>
    <w:rsid w:val="002E1EC1"/>
    <w:rsid w:val="002E201C"/>
    <w:rsid w:val="002E28A0"/>
    <w:rsid w:val="002E2E79"/>
    <w:rsid w:val="002E3956"/>
    <w:rsid w:val="002E672A"/>
    <w:rsid w:val="002E6853"/>
    <w:rsid w:val="002E70C9"/>
    <w:rsid w:val="002E7EE5"/>
    <w:rsid w:val="002F0323"/>
    <w:rsid w:val="002F0939"/>
    <w:rsid w:val="002F134F"/>
    <w:rsid w:val="002F1D0B"/>
    <w:rsid w:val="002F1F02"/>
    <w:rsid w:val="002F2048"/>
    <w:rsid w:val="002F2D81"/>
    <w:rsid w:val="002F44D0"/>
    <w:rsid w:val="002F47A6"/>
    <w:rsid w:val="002F541B"/>
    <w:rsid w:val="002F6EFF"/>
    <w:rsid w:val="002F7DF0"/>
    <w:rsid w:val="002F7FAF"/>
    <w:rsid w:val="00300AFA"/>
    <w:rsid w:val="00301A22"/>
    <w:rsid w:val="00303959"/>
    <w:rsid w:val="00303AB6"/>
    <w:rsid w:val="00304455"/>
    <w:rsid w:val="00304640"/>
    <w:rsid w:val="00304AC1"/>
    <w:rsid w:val="00305454"/>
    <w:rsid w:val="003066C6"/>
    <w:rsid w:val="00307DC7"/>
    <w:rsid w:val="003102E8"/>
    <w:rsid w:val="00310957"/>
    <w:rsid w:val="00310EDB"/>
    <w:rsid w:val="00312260"/>
    <w:rsid w:val="00312378"/>
    <w:rsid w:val="00312BF8"/>
    <w:rsid w:val="00312DFC"/>
    <w:rsid w:val="0031318C"/>
    <w:rsid w:val="00313C9D"/>
    <w:rsid w:val="00314C5A"/>
    <w:rsid w:val="00314D13"/>
    <w:rsid w:val="0031531A"/>
    <w:rsid w:val="00315394"/>
    <w:rsid w:val="00315A0E"/>
    <w:rsid w:val="00315D77"/>
    <w:rsid w:val="00316CDE"/>
    <w:rsid w:val="00317012"/>
    <w:rsid w:val="0032226B"/>
    <w:rsid w:val="00324B2F"/>
    <w:rsid w:val="00326106"/>
    <w:rsid w:val="003262E4"/>
    <w:rsid w:val="003269B7"/>
    <w:rsid w:val="003272E4"/>
    <w:rsid w:val="003301D9"/>
    <w:rsid w:val="00331461"/>
    <w:rsid w:val="003316A8"/>
    <w:rsid w:val="00331CC9"/>
    <w:rsid w:val="003320D7"/>
    <w:rsid w:val="00332D52"/>
    <w:rsid w:val="00333337"/>
    <w:rsid w:val="00333A28"/>
    <w:rsid w:val="0033631D"/>
    <w:rsid w:val="003365CB"/>
    <w:rsid w:val="00341225"/>
    <w:rsid w:val="00341CEB"/>
    <w:rsid w:val="0034396F"/>
    <w:rsid w:val="0034458E"/>
    <w:rsid w:val="00344BBF"/>
    <w:rsid w:val="00344F3C"/>
    <w:rsid w:val="00345644"/>
    <w:rsid w:val="00345D7A"/>
    <w:rsid w:val="00346B6D"/>
    <w:rsid w:val="00346BA3"/>
    <w:rsid w:val="00347356"/>
    <w:rsid w:val="00350896"/>
    <w:rsid w:val="00350C31"/>
    <w:rsid w:val="003519CD"/>
    <w:rsid w:val="00351A3A"/>
    <w:rsid w:val="00352A88"/>
    <w:rsid w:val="0035455F"/>
    <w:rsid w:val="00355D8F"/>
    <w:rsid w:val="00357437"/>
    <w:rsid w:val="003577EF"/>
    <w:rsid w:val="00357F65"/>
    <w:rsid w:val="00360304"/>
    <w:rsid w:val="00365427"/>
    <w:rsid w:val="003669C8"/>
    <w:rsid w:val="00366CEB"/>
    <w:rsid w:val="00366D8A"/>
    <w:rsid w:val="003679D3"/>
    <w:rsid w:val="00367A87"/>
    <w:rsid w:val="003703CE"/>
    <w:rsid w:val="00371C6D"/>
    <w:rsid w:val="00372C89"/>
    <w:rsid w:val="00372E9A"/>
    <w:rsid w:val="00374677"/>
    <w:rsid w:val="0037632F"/>
    <w:rsid w:val="00377B26"/>
    <w:rsid w:val="00381014"/>
    <w:rsid w:val="00381F60"/>
    <w:rsid w:val="00382F6C"/>
    <w:rsid w:val="00383AB0"/>
    <w:rsid w:val="00384814"/>
    <w:rsid w:val="00384C0A"/>
    <w:rsid w:val="00385B16"/>
    <w:rsid w:val="0038637D"/>
    <w:rsid w:val="00386C07"/>
    <w:rsid w:val="00386F58"/>
    <w:rsid w:val="0038700D"/>
    <w:rsid w:val="0038701B"/>
    <w:rsid w:val="00390C0D"/>
    <w:rsid w:val="00391447"/>
    <w:rsid w:val="003922DE"/>
    <w:rsid w:val="00393B84"/>
    <w:rsid w:val="00393C6A"/>
    <w:rsid w:val="003944EA"/>
    <w:rsid w:val="00394639"/>
    <w:rsid w:val="003962E6"/>
    <w:rsid w:val="00396831"/>
    <w:rsid w:val="003A03EF"/>
    <w:rsid w:val="003A12B6"/>
    <w:rsid w:val="003A20D5"/>
    <w:rsid w:val="003A24CC"/>
    <w:rsid w:val="003A2EE8"/>
    <w:rsid w:val="003A373C"/>
    <w:rsid w:val="003A3E10"/>
    <w:rsid w:val="003A5378"/>
    <w:rsid w:val="003A5567"/>
    <w:rsid w:val="003A7E2B"/>
    <w:rsid w:val="003A7E40"/>
    <w:rsid w:val="003B0336"/>
    <w:rsid w:val="003B0A3A"/>
    <w:rsid w:val="003B4810"/>
    <w:rsid w:val="003B514E"/>
    <w:rsid w:val="003B5E0A"/>
    <w:rsid w:val="003B613B"/>
    <w:rsid w:val="003B636A"/>
    <w:rsid w:val="003C011C"/>
    <w:rsid w:val="003C435B"/>
    <w:rsid w:val="003C4EBE"/>
    <w:rsid w:val="003C685A"/>
    <w:rsid w:val="003C6E9C"/>
    <w:rsid w:val="003C7F12"/>
    <w:rsid w:val="003D03D6"/>
    <w:rsid w:val="003D04C3"/>
    <w:rsid w:val="003D14C8"/>
    <w:rsid w:val="003D1517"/>
    <w:rsid w:val="003D2DA0"/>
    <w:rsid w:val="003D34C3"/>
    <w:rsid w:val="003D5681"/>
    <w:rsid w:val="003D5ADB"/>
    <w:rsid w:val="003D62A2"/>
    <w:rsid w:val="003D663E"/>
    <w:rsid w:val="003D6793"/>
    <w:rsid w:val="003D6B03"/>
    <w:rsid w:val="003D75D8"/>
    <w:rsid w:val="003E0746"/>
    <w:rsid w:val="003E0E7C"/>
    <w:rsid w:val="003E2E25"/>
    <w:rsid w:val="003E336A"/>
    <w:rsid w:val="003E35A8"/>
    <w:rsid w:val="003E60DA"/>
    <w:rsid w:val="003E61F6"/>
    <w:rsid w:val="003E6439"/>
    <w:rsid w:val="003E6E00"/>
    <w:rsid w:val="003E725A"/>
    <w:rsid w:val="003E7940"/>
    <w:rsid w:val="003F01BD"/>
    <w:rsid w:val="003F048E"/>
    <w:rsid w:val="003F0AFF"/>
    <w:rsid w:val="003F2C48"/>
    <w:rsid w:val="003F3D90"/>
    <w:rsid w:val="003F53BB"/>
    <w:rsid w:val="003F56B8"/>
    <w:rsid w:val="00400CCB"/>
    <w:rsid w:val="00401373"/>
    <w:rsid w:val="00401386"/>
    <w:rsid w:val="00401E31"/>
    <w:rsid w:val="004035D0"/>
    <w:rsid w:val="00403795"/>
    <w:rsid w:val="00405764"/>
    <w:rsid w:val="00406745"/>
    <w:rsid w:val="00406B32"/>
    <w:rsid w:val="004074FA"/>
    <w:rsid w:val="00407A56"/>
    <w:rsid w:val="00407FC3"/>
    <w:rsid w:val="00407FCC"/>
    <w:rsid w:val="004113C9"/>
    <w:rsid w:val="0041461A"/>
    <w:rsid w:val="00414909"/>
    <w:rsid w:val="00415034"/>
    <w:rsid w:val="00415B1A"/>
    <w:rsid w:val="00415F72"/>
    <w:rsid w:val="004160C1"/>
    <w:rsid w:val="0041690F"/>
    <w:rsid w:val="00416D41"/>
    <w:rsid w:val="00417264"/>
    <w:rsid w:val="004210C0"/>
    <w:rsid w:val="004211DD"/>
    <w:rsid w:val="00421442"/>
    <w:rsid w:val="00421762"/>
    <w:rsid w:val="00421D4B"/>
    <w:rsid w:val="00421ED8"/>
    <w:rsid w:val="004233AD"/>
    <w:rsid w:val="00425724"/>
    <w:rsid w:val="00426B2C"/>
    <w:rsid w:val="00427FA8"/>
    <w:rsid w:val="004306D4"/>
    <w:rsid w:val="00432ECA"/>
    <w:rsid w:val="004357B1"/>
    <w:rsid w:val="00436CCE"/>
    <w:rsid w:val="004379BB"/>
    <w:rsid w:val="00440262"/>
    <w:rsid w:val="00440814"/>
    <w:rsid w:val="00440844"/>
    <w:rsid w:val="00443EDE"/>
    <w:rsid w:val="0044739A"/>
    <w:rsid w:val="004475F7"/>
    <w:rsid w:val="00447DFB"/>
    <w:rsid w:val="00450B22"/>
    <w:rsid w:val="004533CE"/>
    <w:rsid w:val="004543AB"/>
    <w:rsid w:val="00455F71"/>
    <w:rsid w:val="00456272"/>
    <w:rsid w:val="00457CF7"/>
    <w:rsid w:val="00457D37"/>
    <w:rsid w:val="00460E68"/>
    <w:rsid w:val="00461F80"/>
    <w:rsid w:val="0046240D"/>
    <w:rsid w:val="00463576"/>
    <w:rsid w:val="0046399D"/>
    <w:rsid w:val="00465264"/>
    <w:rsid w:val="00465781"/>
    <w:rsid w:val="00465A21"/>
    <w:rsid w:val="00466ABA"/>
    <w:rsid w:val="0046775D"/>
    <w:rsid w:val="00471387"/>
    <w:rsid w:val="00471963"/>
    <w:rsid w:val="00473308"/>
    <w:rsid w:val="004749DA"/>
    <w:rsid w:val="004749DC"/>
    <w:rsid w:val="00474DEF"/>
    <w:rsid w:val="004750B9"/>
    <w:rsid w:val="004754AC"/>
    <w:rsid w:val="004758E7"/>
    <w:rsid w:val="00475F67"/>
    <w:rsid w:val="004764C6"/>
    <w:rsid w:val="00477247"/>
    <w:rsid w:val="00477529"/>
    <w:rsid w:val="004776BB"/>
    <w:rsid w:val="00480DC5"/>
    <w:rsid w:val="0048144A"/>
    <w:rsid w:val="00481886"/>
    <w:rsid w:val="00482288"/>
    <w:rsid w:val="00483984"/>
    <w:rsid w:val="00483BC7"/>
    <w:rsid w:val="00483CF0"/>
    <w:rsid w:val="00484D4D"/>
    <w:rsid w:val="004855D9"/>
    <w:rsid w:val="0048664F"/>
    <w:rsid w:val="004868AD"/>
    <w:rsid w:val="00486D00"/>
    <w:rsid w:val="00487FE1"/>
    <w:rsid w:val="00490707"/>
    <w:rsid w:val="00490815"/>
    <w:rsid w:val="004914E8"/>
    <w:rsid w:val="00492B76"/>
    <w:rsid w:val="0049333E"/>
    <w:rsid w:val="0049418F"/>
    <w:rsid w:val="00495DC6"/>
    <w:rsid w:val="00497AAD"/>
    <w:rsid w:val="00497D1A"/>
    <w:rsid w:val="004A1DBC"/>
    <w:rsid w:val="004A1EA7"/>
    <w:rsid w:val="004A2C96"/>
    <w:rsid w:val="004A4125"/>
    <w:rsid w:val="004A7364"/>
    <w:rsid w:val="004B026C"/>
    <w:rsid w:val="004B0271"/>
    <w:rsid w:val="004B0BE8"/>
    <w:rsid w:val="004B0E4A"/>
    <w:rsid w:val="004B2463"/>
    <w:rsid w:val="004B305F"/>
    <w:rsid w:val="004B34C4"/>
    <w:rsid w:val="004B3981"/>
    <w:rsid w:val="004B3AD7"/>
    <w:rsid w:val="004B419F"/>
    <w:rsid w:val="004B7317"/>
    <w:rsid w:val="004B75B2"/>
    <w:rsid w:val="004C11A9"/>
    <w:rsid w:val="004C27CF"/>
    <w:rsid w:val="004C2CA7"/>
    <w:rsid w:val="004C38E3"/>
    <w:rsid w:val="004C45C8"/>
    <w:rsid w:val="004C612E"/>
    <w:rsid w:val="004C6C0A"/>
    <w:rsid w:val="004C7180"/>
    <w:rsid w:val="004C77FF"/>
    <w:rsid w:val="004D0223"/>
    <w:rsid w:val="004D12E8"/>
    <w:rsid w:val="004D16A3"/>
    <w:rsid w:val="004D1E41"/>
    <w:rsid w:val="004D6F29"/>
    <w:rsid w:val="004D7F9C"/>
    <w:rsid w:val="004D7FF2"/>
    <w:rsid w:val="004E1D6F"/>
    <w:rsid w:val="004E1F19"/>
    <w:rsid w:val="004E3A2A"/>
    <w:rsid w:val="004E3AB1"/>
    <w:rsid w:val="004E4003"/>
    <w:rsid w:val="004E6746"/>
    <w:rsid w:val="004E75C1"/>
    <w:rsid w:val="004F045E"/>
    <w:rsid w:val="004F07F2"/>
    <w:rsid w:val="004F0E82"/>
    <w:rsid w:val="004F1847"/>
    <w:rsid w:val="004F2982"/>
    <w:rsid w:val="004F2B46"/>
    <w:rsid w:val="004F2C40"/>
    <w:rsid w:val="004F2CB6"/>
    <w:rsid w:val="004F313F"/>
    <w:rsid w:val="004F38CA"/>
    <w:rsid w:val="004F3EEF"/>
    <w:rsid w:val="004F447B"/>
    <w:rsid w:val="004F4FE8"/>
    <w:rsid w:val="004F531B"/>
    <w:rsid w:val="004F5395"/>
    <w:rsid w:val="004F560C"/>
    <w:rsid w:val="004F728A"/>
    <w:rsid w:val="004F7B47"/>
    <w:rsid w:val="005003ED"/>
    <w:rsid w:val="005010BC"/>
    <w:rsid w:val="005020F1"/>
    <w:rsid w:val="005039B8"/>
    <w:rsid w:val="00504CCC"/>
    <w:rsid w:val="0050537D"/>
    <w:rsid w:val="005079F5"/>
    <w:rsid w:val="0051037C"/>
    <w:rsid w:val="0051050F"/>
    <w:rsid w:val="00510DDC"/>
    <w:rsid w:val="00511427"/>
    <w:rsid w:val="005131A2"/>
    <w:rsid w:val="0051440E"/>
    <w:rsid w:val="00514F0B"/>
    <w:rsid w:val="005160EA"/>
    <w:rsid w:val="005173F3"/>
    <w:rsid w:val="00517AC8"/>
    <w:rsid w:val="00517C3E"/>
    <w:rsid w:val="005212F4"/>
    <w:rsid w:val="00521305"/>
    <w:rsid w:val="0052178F"/>
    <w:rsid w:val="00521908"/>
    <w:rsid w:val="00523606"/>
    <w:rsid w:val="005256D6"/>
    <w:rsid w:val="00525AD8"/>
    <w:rsid w:val="00525C01"/>
    <w:rsid w:val="00526429"/>
    <w:rsid w:val="005266C1"/>
    <w:rsid w:val="005267F4"/>
    <w:rsid w:val="00527317"/>
    <w:rsid w:val="00527ED6"/>
    <w:rsid w:val="00531064"/>
    <w:rsid w:val="005335A2"/>
    <w:rsid w:val="00533DEC"/>
    <w:rsid w:val="00536B03"/>
    <w:rsid w:val="00537917"/>
    <w:rsid w:val="00537E83"/>
    <w:rsid w:val="005405B2"/>
    <w:rsid w:val="00540EE7"/>
    <w:rsid w:val="00541A22"/>
    <w:rsid w:val="005426B2"/>
    <w:rsid w:val="00543640"/>
    <w:rsid w:val="005444C6"/>
    <w:rsid w:val="00544F05"/>
    <w:rsid w:val="005454B8"/>
    <w:rsid w:val="00545B56"/>
    <w:rsid w:val="00545DB9"/>
    <w:rsid w:val="00546BF8"/>
    <w:rsid w:val="00550B7E"/>
    <w:rsid w:val="00551B96"/>
    <w:rsid w:val="005524ED"/>
    <w:rsid w:val="00554C03"/>
    <w:rsid w:val="005550F9"/>
    <w:rsid w:val="0055525C"/>
    <w:rsid w:val="00556386"/>
    <w:rsid w:val="00556441"/>
    <w:rsid w:val="00561903"/>
    <w:rsid w:val="00561A9B"/>
    <w:rsid w:val="00562FB1"/>
    <w:rsid w:val="00563068"/>
    <w:rsid w:val="00564DA7"/>
    <w:rsid w:val="00564EFA"/>
    <w:rsid w:val="00565204"/>
    <w:rsid w:val="00565473"/>
    <w:rsid w:val="00565DAC"/>
    <w:rsid w:val="00565F0D"/>
    <w:rsid w:val="005662DC"/>
    <w:rsid w:val="00566329"/>
    <w:rsid w:val="005701C2"/>
    <w:rsid w:val="0057117C"/>
    <w:rsid w:val="00573560"/>
    <w:rsid w:val="0057438C"/>
    <w:rsid w:val="00574E7B"/>
    <w:rsid w:val="00576B5C"/>
    <w:rsid w:val="00580DFC"/>
    <w:rsid w:val="00581EC5"/>
    <w:rsid w:val="00581F85"/>
    <w:rsid w:val="00583D43"/>
    <w:rsid w:val="005846C3"/>
    <w:rsid w:val="00584F04"/>
    <w:rsid w:val="0058577D"/>
    <w:rsid w:val="005857F7"/>
    <w:rsid w:val="0058589A"/>
    <w:rsid w:val="0058767F"/>
    <w:rsid w:val="00587D7B"/>
    <w:rsid w:val="005901B7"/>
    <w:rsid w:val="005904DB"/>
    <w:rsid w:val="00592825"/>
    <w:rsid w:val="005931BD"/>
    <w:rsid w:val="00593806"/>
    <w:rsid w:val="00594437"/>
    <w:rsid w:val="005955EB"/>
    <w:rsid w:val="0059683E"/>
    <w:rsid w:val="00596CFA"/>
    <w:rsid w:val="005975CE"/>
    <w:rsid w:val="005A1A31"/>
    <w:rsid w:val="005A36C2"/>
    <w:rsid w:val="005A3719"/>
    <w:rsid w:val="005A3A4F"/>
    <w:rsid w:val="005A3DD7"/>
    <w:rsid w:val="005A418C"/>
    <w:rsid w:val="005A48B5"/>
    <w:rsid w:val="005A4F48"/>
    <w:rsid w:val="005A5036"/>
    <w:rsid w:val="005A56BB"/>
    <w:rsid w:val="005A733D"/>
    <w:rsid w:val="005A7A32"/>
    <w:rsid w:val="005A7F85"/>
    <w:rsid w:val="005B102C"/>
    <w:rsid w:val="005B1AAB"/>
    <w:rsid w:val="005B2930"/>
    <w:rsid w:val="005B2B87"/>
    <w:rsid w:val="005B387B"/>
    <w:rsid w:val="005B3B01"/>
    <w:rsid w:val="005B4333"/>
    <w:rsid w:val="005B4534"/>
    <w:rsid w:val="005B4F0B"/>
    <w:rsid w:val="005B5603"/>
    <w:rsid w:val="005B5994"/>
    <w:rsid w:val="005B61F4"/>
    <w:rsid w:val="005B667A"/>
    <w:rsid w:val="005B6FA1"/>
    <w:rsid w:val="005C0372"/>
    <w:rsid w:val="005C039B"/>
    <w:rsid w:val="005C059F"/>
    <w:rsid w:val="005C07CE"/>
    <w:rsid w:val="005C0B8F"/>
    <w:rsid w:val="005C2294"/>
    <w:rsid w:val="005C3344"/>
    <w:rsid w:val="005C4C71"/>
    <w:rsid w:val="005C4E4D"/>
    <w:rsid w:val="005C5A97"/>
    <w:rsid w:val="005C679D"/>
    <w:rsid w:val="005C6D5D"/>
    <w:rsid w:val="005D01C3"/>
    <w:rsid w:val="005D2578"/>
    <w:rsid w:val="005D266D"/>
    <w:rsid w:val="005D3327"/>
    <w:rsid w:val="005D5BCF"/>
    <w:rsid w:val="005D6D84"/>
    <w:rsid w:val="005D70A1"/>
    <w:rsid w:val="005D79F2"/>
    <w:rsid w:val="005E09CA"/>
    <w:rsid w:val="005E4543"/>
    <w:rsid w:val="005E4717"/>
    <w:rsid w:val="005E4B55"/>
    <w:rsid w:val="005E565C"/>
    <w:rsid w:val="005E56C9"/>
    <w:rsid w:val="005E5CF7"/>
    <w:rsid w:val="005E704E"/>
    <w:rsid w:val="005E721E"/>
    <w:rsid w:val="005E75E3"/>
    <w:rsid w:val="005F0857"/>
    <w:rsid w:val="005F2CD5"/>
    <w:rsid w:val="005F403D"/>
    <w:rsid w:val="005F5A0D"/>
    <w:rsid w:val="005F61DF"/>
    <w:rsid w:val="005F77F8"/>
    <w:rsid w:val="00600FF9"/>
    <w:rsid w:val="006011E3"/>
    <w:rsid w:val="0060150C"/>
    <w:rsid w:val="00601F66"/>
    <w:rsid w:val="00601F8F"/>
    <w:rsid w:val="00603373"/>
    <w:rsid w:val="006036D0"/>
    <w:rsid w:val="006042CD"/>
    <w:rsid w:val="006054A5"/>
    <w:rsid w:val="006059E4"/>
    <w:rsid w:val="006062A0"/>
    <w:rsid w:val="0061098D"/>
    <w:rsid w:val="00611367"/>
    <w:rsid w:val="00611AC8"/>
    <w:rsid w:val="00611B59"/>
    <w:rsid w:val="00611FBA"/>
    <w:rsid w:val="0061272A"/>
    <w:rsid w:val="00613AA2"/>
    <w:rsid w:val="006155F1"/>
    <w:rsid w:val="00615FAB"/>
    <w:rsid w:val="00620055"/>
    <w:rsid w:val="006212D3"/>
    <w:rsid w:val="0062213A"/>
    <w:rsid w:val="00623A5E"/>
    <w:rsid w:val="00625008"/>
    <w:rsid w:val="00626930"/>
    <w:rsid w:val="00626BAC"/>
    <w:rsid w:val="00626F04"/>
    <w:rsid w:val="006271C3"/>
    <w:rsid w:val="0063001E"/>
    <w:rsid w:val="00630D58"/>
    <w:rsid w:val="00631005"/>
    <w:rsid w:val="00632727"/>
    <w:rsid w:val="00633EF3"/>
    <w:rsid w:val="00635B73"/>
    <w:rsid w:val="006368A8"/>
    <w:rsid w:val="00636CC7"/>
    <w:rsid w:val="00637F27"/>
    <w:rsid w:val="00643F89"/>
    <w:rsid w:val="00644BED"/>
    <w:rsid w:val="00644E2E"/>
    <w:rsid w:val="00645CB4"/>
    <w:rsid w:val="00651F59"/>
    <w:rsid w:val="00652CF5"/>
    <w:rsid w:val="0065343E"/>
    <w:rsid w:val="00653C7C"/>
    <w:rsid w:val="006540B1"/>
    <w:rsid w:val="006558CD"/>
    <w:rsid w:val="00656CD4"/>
    <w:rsid w:val="00656D49"/>
    <w:rsid w:val="00656E4D"/>
    <w:rsid w:val="006576BA"/>
    <w:rsid w:val="00662401"/>
    <w:rsid w:val="00662D3D"/>
    <w:rsid w:val="00662F1F"/>
    <w:rsid w:val="00664DB5"/>
    <w:rsid w:val="006673B9"/>
    <w:rsid w:val="0066790C"/>
    <w:rsid w:val="006700F1"/>
    <w:rsid w:val="006720BC"/>
    <w:rsid w:val="00672D0F"/>
    <w:rsid w:val="00673B64"/>
    <w:rsid w:val="00673FC1"/>
    <w:rsid w:val="00675430"/>
    <w:rsid w:val="00675749"/>
    <w:rsid w:val="00677382"/>
    <w:rsid w:val="0067772D"/>
    <w:rsid w:val="00680714"/>
    <w:rsid w:val="0068071D"/>
    <w:rsid w:val="00680C6B"/>
    <w:rsid w:val="00681936"/>
    <w:rsid w:val="00683068"/>
    <w:rsid w:val="00683DAD"/>
    <w:rsid w:val="0068443C"/>
    <w:rsid w:val="00684727"/>
    <w:rsid w:val="00684963"/>
    <w:rsid w:val="00684F04"/>
    <w:rsid w:val="00685033"/>
    <w:rsid w:val="00685D65"/>
    <w:rsid w:val="00687031"/>
    <w:rsid w:val="0068790B"/>
    <w:rsid w:val="00687AF2"/>
    <w:rsid w:val="00687DA2"/>
    <w:rsid w:val="00687E87"/>
    <w:rsid w:val="006901AC"/>
    <w:rsid w:val="0069063A"/>
    <w:rsid w:val="00691890"/>
    <w:rsid w:val="006945A1"/>
    <w:rsid w:val="00694982"/>
    <w:rsid w:val="00695EAC"/>
    <w:rsid w:val="00697062"/>
    <w:rsid w:val="006971F8"/>
    <w:rsid w:val="00697D5F"/>
    <w:rsid w:val="006A060C"/>
    <w:rsid w:val="006A150D"/>
    <w:rsid w:val="006A1526"/>
    <w:rsid w:val="006A39D0"/>
    <w:rsid w:val="006A4321"/>
    <w:rsid w:val="006A61EE"/>
    <w:rsid w:val="006B0580"/>
    <w:rsid w:val="006B0F30"/>
    <w:rsid w:val="006B1D06"/>
    <w:rsid w:val="006B2823"/>
    <w:rsid w:val="006B33DB"/>
    <w:rsid w:val="006B4CF8"/>
    <w:rsid w:val="006B5FBC"/>
    <w:rsid w:val="006B6ED2"/>
    <w:rsid w:val="006C0230"/>
    <w:rsid w:val="006C09CC"/>
    <w:rsid w:val="006C09F4"/>
    <w:rsid w:val="006C3EFE"/>
    <w:rsid w:val="006C5D5D"/>
    <w:rsid w:val="006C6303"/>
    <w:rsid w:val="006C6D6B"/>
    <w:rsid w:val="006C6EBD"/>
    <w:rsid w:val="006D0681"/>
    <w:rsid w:val="006D0A80"/>
    <w:rsid w:val="006D312B"/>
    <w:rsid w:val="006D43C1"/>
    <w:rsid w:val="006D5442"/>
    <w:rsid w:val="006D6E4E"/>
    <w:rsid w:val="006E00E3"/>
    <w:rsid w:val="006E045C"/>
    <w:rsid w:val="006E065E"/>
    <w:rsid w:val="006E189B"/>
    <w:rsid w:val="006E2902"/>
    <w:rsid w:val="006E2F9D"/>
    <w:rsid w:val="006E37C6"/>
    <w:rsid w:val="006E41ED"/>
    <w:rsid w:val="006E4667"/>
    <w:rsid w:val="006F2046"/>
    <w:rsid w:val="006F41F4"/>
    <w:rsid w:val="006F5813"/>
    <w:rsid w:val="006F59A8"/>
    <w:rsid w:val="006F5A1D"/>
    <w:rsid w:val="006F71A6"/>
    <w:rsid w:val="006F7974"/>
    <w:rsid w:val="006F7C2C"/>
    <w:rsid w:val="00700D18"/>
    <w:rsid w:val="007010CB"/>
    <w:rsid w:val="0070168D"/>
    <w:rsid w:val="00701C36"/>
    <w:rsid w:val="0070283C"/>
    <w:rsid w:val="0070353F"/>
    <w:rsid w:val="0070415E"/>
    <w:rsid w:val="00704D34"/>
    <w:rsid w:val="00705060"/>
    <w:rsid w:val="00705351"/>
    <w:rsid w:val="007069AE"/>
    <w:rsid w:val="00706C89"/>
    <w:rsid w:val="00707967"/>
    <w:rsid w:val="00710257"/>
    <w:rsid w:val="007119DC"/>
    <w:rsid w:val="00711CC7"/>
    <w:rsid w:val="0071294A"/>
    <w:rsid w:val="00712BDD"/>
    <w:rsid w:val="00712E1E"/>
    <w:rsid w:val="00712F37"/>
    <w:rsid w:val="00713A6B"/>
    <w:rsid w:val="0071499C"/>
    <w:rsid w:val="00714F73"/>
    <w:rsid w:val="0071604D"/>
    <w:rsid w:val="00716186"/>
    <w:rsid w:val="00716DE6"/>
    <w:rsid w:val="0071724E"/>
    <w:rsid w:val="0071732D"/>
    <w:rsid w:val="00720AEE"/>
    <w:rsid w:val="007210F6"/>
    <w:rsid w:val="0072139F"/>
    <w:rsid w:val="00721FC3"/>
    <w:rsid w:val="00722A86"/>
    <w:rsid w:val="00722C69"/>
    <w:rsid w:val="0072388C"/>
    <w:rsid w:val="00726665"/>
    <w:rsid w:val="007266B9"/>
    <w:rsid w:val="00726B00"/>
    <w:rsid w:val="007278FE"/>
    <w:rsid w:val="00727AC5"/>
    <w:rsid w:val="00727C65"/>
    <w:rsid w:val="00731872"/>
    <w:rsid w:val="00731EA1"/>
    <w:rsid w:val="00734932"/>
    <w:rsid w:val="007364A3"/>
    <w:rsid w:val="007378FD"/>
    <w:rsid w:val="007413EB"/>
    <w:rsid w:val="00742D32"/>
    <w:rsid w:val="00742E9B"/>
    <w:rsid w:val="007444E6"/>
    <w:rsid w:val="0074592C"/>
    <w:rsid w:val="00747578"/>
    <w:rsid w:val="00751073"/>
    <w:rsid w:val="00752188"/>
    <w:rsid w:val="0075281E"/>
    <w:rsid w:val="00752CC6"/>
    <w:rsid w:val="00754580"/>
    <w:rsid w:val="00754A29"/>
    <w:rsid w:val="00755BCF"/>
    <w:rsid w:val="00756C5F"/>
    <w:rsid w:val="00756D69"/>
    <w:rsid w:val="00757029"/>
    <w:rsid w:val="0076093D"/>
    <w:rsid w:val="00760C5C"/>
    <w:rsid w:val="0076161B"/>
    <w:rsid w:val="00761CB5"/>
    <w:rsid w:val="0076228C"/>
    <w:rsid w:val="00763137"/>
    <w:rsid w:val="00763278"/>
    <w:rsid w:val="0076417E"/>
    <w:rsid w:val="007675DD"/>
    <w:rsid w:val="007705F0"/>
    <w:rsid w:val="00770A16"/>
    <w:rsid w:val="0077150D"/>
    <w:rsid w:val="00771CAC"/>
    <w:rsid w:val="00772036"/>
    <w:rsid w:val="007739A3"/>
    <w:rsid w:val="00773BD9"/>
    <w:rsid w:val="00773CB0"/>
    <w:rsid w:val="00773D71"/>
    <w:rsid w:val="007752EB"/>
    <w:rsid w:val="00775526"/>
    <w:rsid w:val="0077765A"/>
    <w:rsid w:val="00780032"/>
    <w:rsid w:val="00780E86"/>
    <w:rsid w:val="00781727"/>
    <w:rsid w:val="00781F96"/>
    <w:rsid w:val="007823F9"/>
    <w:rsid w:val="00782D32"/>
    <w:rsid w:val="007830E9"/>
    <w:rsid w:val="00783959"/>
    <w:rsid w:val="0078585F"/>
    <w:rsid w:val="00786CBB"/>
    <w:rsid w:val="0079038E"/>
    <w:rsid w:val="00792909"/>
    <w:rsid w:val="00792A00"/>
    <w:rsid w:val="00792C3F"/>
    <w:rsid w:val="00792EE2"/>
    <w:rsid w:val="00793105"/>
    <w:rsid w:val="007931E8"/>
    <w:rsid w:val="00793333"/>
    <w:rsid w:val="00794E46"/>
    <w:rsid w:val="00794FB6"/>
    <w:rsid w:val="007952DE"/>
    <w:rsid w:val="00795479"/>
    <w:rsid w:val="00796292"/>
    <w:rsid w:val="007972D5"/>
    <w:rsid w:val="007978E8"/>
    <w:rsid w:val="007A0789"/>
    <w:rsid w:val="007A130E"/>
    <w:rsid w:val="007A18B1"/>
    <w:rsid w:val="007A1BBD"/>
    <w:rsid w:val="007A1F08"/>
    <w:rsid w:val="007A25FA"/>
    <w:rsid w:val="007A3520"/>
    <w:rsid w:val="007A3878"/>
    <w:rsid w:val="007A3D85"/>
    <w:rsid w:val="007A54F6"/>
    <w:rsid w:val="007A5950"/>
    <w:rsid w:val="007A6D91"/>
    <w:rsid w:val="007B0306"/>
    <w:rsid w:val="007B2705"/>
    <w:rsid w:val="007B2E54"/>
    <w:rsid w:val="007B3A8E"/>
    <w:rsid w:val="007B3C9B"/>
    <w:rsid w:val="007B54B7"/>
    <w:rsid w:val="007B54C7"/>
    <w:rsid w:val="007B5DC5"/>
    <w:rsid w:val="007B63FC"/>
    <w:rsid w:val="007B6708"/>
    <w:rsid w:val="007B6E8D"/>
    <w:rsid w:val="007B722F"/>
    <w:rsid w:val="007B755E"/>
    <w:rsid w:val="007C029E"/>
    <w:rsid w:val="007C0636"/>
    <w:rsid w:val="007C10E4"/>
    <w:rsid w:val="007C2434"/>
    <w:rsid w:val="007C27E0"/>
    <w:rsid w:val="007C3590"/>
    <w:rsid w:val="007C387A"/>
    <w:rsid w:val="007C43D6"/>
    <w:rsid w:val="007C660F"/>
    <w:rsid w:val="007C69AE"/>
    <w:rsid w:val="007C7688"/>
    <w:rsid w:val="007C76E3"/>
    <w:rsid w:val="007C7DD9"/>
    <w:rsid w:val="007D128D"/>
    <w:rsid w:val="007D1667"/>
    <w:rsid w:val="007D2606"/>
    <w:rsid w:val="007D2836"/>
    <w:rsid w:val="007D2932"/>
    <w:rsid w:val="007D2C31"/>
    <w:rsid w:val="007D445F"/>
    <w:rsid w:val="007D4DED"/>
    <w:rsid w:val="007D5BA2"/>
    <w:rsid w:val="007D5ED3"/>
    <w:rsid w:val="007D6FB9"/>
    <w:rsid w:val="007E0A63"/>
    <w:rsid w:val="007E0C63"/>
    <w:rsid w:val="007E1DF8"/>
    <w:rsid w:val="007E404E"/>
    <w:rsid w:val="007E4EB3"/>
    <w:rsid w:val="007E50B4"/>
    <w:rsid w:val="007E54B8"/>
    <w:rsid w:val="007E54DB"/>
    <w:rsid w:val="007E6B25"/>
    <w:rsid w:val="007E6F55"/>
    <w:rsid w:val="007E7BF9"/>
    <w:rsid w:val="007F2B4B"/>
    <w:rsid w:val="007F2C38"/>
    <w:rsid w:val="007F30C6"/>
    <w:rsid w:val="007F3651"/>
    <w:rsid w:val="007F3752"/>
    <w:rsid w:val="007F4318"/>
    <w:rsid w:val="007F47DA"/>
    <w:rsid w:val="007F4E52"/>
    <w:rsid w:val="007F4F84"/>
    <w:rsid w:val="007F55A4"/>
    <w:rsid w:val="007F661E"/>
    <w:rsid w:val="007F6D6B"/>
    <w:rsid w:val="007F74DA"/>
    <w:rsid w:val="007F75BB"/>
    <w:rsid w:val="00800766"/>
    <w:rsid w:val="00801D90"/>
    <w:rsid w:val="0080348B"/>
    <w:rsid w:val="00803EB0"/>
    <w:rsid w:val="008052CE"/>
    <w:rsid w:val="008052DB"/>
    <w:rsid w:val="0080705B"/>
    <w:rsid w:val="0081000F"/>
    <w:rsid w:val="0081264E"/>
    <w:rsid w:val="00812A1A"/>
    <w:rsid w:val="00812DFF"/>
    <w:rsid w:val="0081383A"/>
    <w:rsid w:val="00814DE6"/>
    <w:rsid w:val="00814FC7"/>
    <w:rsid w:val="00816CB4"/>
    <w:rsid w:val="00816FE0"/>
    <w:rsid w:val="00817416"/>
    <w:rsid w:val="00817583"/>
    <w:rsid w:val="00817FAD"/>
    <w:rsid w:val="00821306"/>
    <w:rsid w:val="00821D85"/>
    <w:rsid w:val="0082207E"/>
    <w:rsid w:val="00823FFD"/>
    <w:rsid w:val="008241F0"/>
    <w:rsid w:val="0082427D"/>
    <w:rsid w:val="0082646C"/>
    <w:rsid w:val="00827E2A"/>
    <w:rsid w:val="00830052"/>
    <w:rsid w:val="008300D0"/>
    <w:rsid w:val="0083257C"/>
    <w:rsid w:val="00833307"/>
    <w:rsid w:val="00833583"/>
    <w:rsid w:val="00833B5B"/>
    <w:rsid w:val="00833E9A"/>
    <w:rsid w:val="00834FEF"/>
    <w:rsid w:val="00836323"/>
    <w:rsid w:val="00836492"/>
    <w:rsid w:val="008366FE"/>
    <w:rsid w:val="008404AA"/>
    <w:rsid w:val="00841F29"/>
    <w:rsid w:val="00842A0D"/>
    <w:rsid w:val="008460D2"/>
    <w:rsid w:val="00850013"/>
    <w:rsid w:val="008500DD"/>
    <w:rsid w:val="00852426"/>
    <w:rsid w:val="00852FA5"/>
    <w:rsid w:val="0085476F"/>
    <w:rsid w:val="0085562D"/>
    <w:rsid w:val="00856154"/>
    <w:rsid w:val="00856286"/>
    <w:rsid w:val="008576B0"/>
    <w:rsid w:val="00861948"/>
    <w:rsid w:val="00862011"/>
    <w:rsid w:val="0086213D"/>
    <w:rsid w:val="0086290B"/>
    <w:rsid w:val="00862A15"/>
    <w:rsid w:val="00862D8E"/>
    <w:rsid w:val="00862EF2"/>
    <w:rsid w:val="00866453"/>
    <w:rsid w:val="0086707F"/>
    <w:rsid w:val="00867501"/>
    <w:rsid w:val="0087099A"/>
    <w:rsid w:val="00871333"/>
    <w:rsid w:val="00873128"/>
    <w:rsid w:val="00873AAC"/>
    <w:rsid w:val="00873C61"/>
    <w:rsid w:val="008749BF"/>
    <w:rsid w:val="00875542"/>
    <w:rsid w:val="00875E14"/>
    <w:rsid w:val="0087677E"/>
    <w:rsid w:val="0087712C"/>
    <w:rsid w:val="00877C5D"/>
    <w:rsid w:val="00877CB6"/>
    <w:rsid w:val="0088093C"/>
    <w:rsid w:val="00882474"/>
    <w:rsid w:val="008824DF"/>
    <w:rsid w:val="00884371"/>
    <w:rsid w:val="00884D47"/>
    <w:rsid w:val="00887392"/>
    <w:rsid w:val="00890C40"/>
    <w:rsid w:val="008911F7"/>
    <w:rsid w:val="00893F41"/>
    <w:rsid w:val="00894BBD"/>
    <w:rsid w:val="00894C79"/>
    <w:rsid w:val="0089558A"/>
    <w:rsid w:val="008972B6"/>
    <w:rsid w:val="008977E1"/>
    <w:rsid w:val="008A2F5A"/>
    <w:rsid w:val="008A47CE"/>
    <w:rsid w:val="008A5CBF"/>
    <w:rsid w:val="008A6BAE"/>
    <w:rsid w:val="008A7350"/>
    <w:rsid w:val="008B16E6"/>
    <w:rsid w:val="008B2042"/>
    <w:rsid w:val="008B25F1"/>
    <w:rsid w:val="008B3737"/>
    <w:rsid w:val="008B3F4B"/>
    <w:rsid w:val="008B69B8"/>
    <w:rsid w:val="008C0335"/>
    <w:rsid w:val="008C094A"/>
    <w:rsid w:val="008C1077"/>
    <w:rsid w:val="008C1570"/>
    <w:rsid w:val="008C2059"/>
    <w:rsid w:val="008C58E7"/>
    <w:rsid w:val="008C65F4"/>
    <w:rsid w:val="008C7368"/>
    <w:rsid w:val="008D0E65"/>
    <w:rsid w:val="008D18D0"/>
    <w:rsid w:val="008D1FAF"/>
    <w:rsid w:val="008D2259"/>
    <w:rsid w:val="008D33FE"/>
    <w:rsid w:val="008D3B9F"/>
    <w:rsid w:val="008D3D02"/>
    <w:rsid w:val="008D54C0"/>
    <w:rsid w:val="008D5760"/>
    <w:rsid w:val="008D577E"/>
    <w:rsid w:val="008D5ED9"/>
    <w:rsid w:val="008D7567"/>
    <w:rsid w:val="008E1C24"/>
    <w:rsid w:val="008E2626"/>
    <w:rsid w:val="008E27A9"/>
    <w:rsid w:val="008E323C"/>
    <w:rsid w:val="008E35A6"/>
    <w:rsid w:val="008E3A5C"/>
    <w:rsid w:val="008E3A9A"/>
    <w:rsid w:val="008E429E"/>
    <w:rsid w:val="008E5452"/>
    <w:rsid w:val="008E7EAE"/>
    <w:rsid w:val="008F2F11"/>
    <w:rsid w:val="008F33A6"/>
    <w:rsid w:val="008F35EC"/>
    <w:rsid w:val="008F4FE8"/>
    <w:rsid w:val="008F4FED"/>
    <w:rsid w:val="008F6200"/>
    <w:rsid w:val="008F62F8"/>
    <w:rsid w:val="008F7292"/>
    <w:rsid w:val="008F7BE1"/>
    <w:rsid w:val="009000F2"/>
    <w:rsid w:val="0090079D"/>
    <w:rsid w:val="00900D2C"/>
    <w:rsid w:val="00901F0E"/>
    <w:rsid w:val="0090408F"/>
    <w:rsid w:val="0090446A"/>
    <w:rsid w:val="00904DC3"/>
    <w:rsid w:val="00905469"/>
    <w:rsid w:val="0090629C"/>
    <w:rsid w:val="009065C6"/>
    <w:rsid w:val="00906EA2"/>
    <w:rsid w:val="00907278"/>
    <w:rsid w:val="009128B8"/>
    <w:rsid w:val="0091328F"/>
    <w:rsid w:val="00915679"/>
    <w:rsid w:val="009159C2"/>
    <w:rsid w:val="009175AF"/>
    <w:rsid w:val="00920A06"/>
    <w:rsid w:val="009221CB"/>
    <w:rsid w:val="00922320"/>
    <w:rsid w:val="00923643"/>
    <w:rsid w:val="009261DB"/>
    <w:rsid w:val="0092623E"/>
    <w:rsid w:val="00931C63"/>
    <w:rsid w:val="00931D10"/>
    <w:rsid w:val="0093386D"/>
    <w:rsid w:val="00935194"/>
    <w:rsid w:val="0094015D"/>
    <w:rsid w:val="009441DB"/>
    <w:rsid w:val="0094424D"/>
    <w:rsid w:val="0094568E"/>
    <w:rsid w:val="0094633F"/>
    <w:rsid w:val="009468C5"/>
    <w:rsid w:val="00947BA5"/>
    <w:rsid w:val="009504B5"/>
    <w:rsid w:val="00950805"/>
    <w:rsid w:val="009518D4"/>
    <w:rsid w:val="009520BC"/>
    <w:rsid w:val="00953573"/>
    <w:rsid w:val="00957499"/>
    <w:rsid w:val="00957ED2"/>
    <w:rsid w:val="0096049C"/>
    <w:rsid w:val="00960DE4"/>
    <w:rsid w:val="00961A4F"/>
    <w:rsid w:val="00962C9E"/>
    <w:rsid w:val="00963F03"/>
    <w:rsid w:val="00964007"/>
    <w:rsid w:val="009643F4"/>
    <w:rsid w:val="00964F5A"/>
    <w:rsid w:val="00966AD2"/>
    <w:rsid w:val="00967FC5"/>
    <w:rsid w:val="009716D8"/>
    <w:rsid w:val="00971F54"/>
    <w:rsid w:val="00972057"/>
    <w:rsid w:val="0097227B"/>
    <w:rsid w:val="0097262E"/>
    <w:rsid w:val="00974022"/>
    <w:rsid w:val="0097564A"/>
    <w:rsid w:val="009772F2"/>
    <w:rsid w:val="009778CF"/>
    <w:rsid w:val="00977B97"/>
    <w:rsid w:val="009810BE"/>
    <w:rsid w:val="009819A7"/>
    <w:rsid w:val="009851F5"/>
    <w:rsid w:val="0098534B"/>
    <w:rsid w:val="0098764E"/>
    <w:rsid w:val="00987D58"/>
    <w:rsid w:val="009906D4"/>
    <w:rsid w:val="00990EB7"/>
    <w:rsid w:val="00990F5F"/>
    <w:rsid w:val="00993135"/>
    <w:rsid w:val="00993AC7"/>
    <w:rsid w:val="00997044"/>
    <w:rsid w:val="0099792B"/>
    <w:rsid w:val="009A106B"/>
    <w:rsid w:val="009A2B9F"/>
    <w:rsid w:val="009A2BF3"/>
    <w:rsid w:val="009A3C3E"/>
    <w:rsid w:val="009A7E7C"/>
    <w:rsid w:val="009B2BF1"/>
    <w:rsid w:val="009B3564"/>
    <w:rsid w:val="009B3796"/>
    <w:rsid w:val="009B3D38"/>
    <w:rsid w:val="009B7505"/>
    <w:rsid w:val="009C0020"/>
    <w:rsid w:val="009C19FC"/>
    <w:rsid w:val="009C27F7"/>
    <w:rsid w:val="009C3BC4"/>
    <w:rsid w:val="009C424E"/>
    <w:rsid w:val="009C4708"/>
    <w:rsid w:val="009C4870"/>
    <w:rsid w:val="009C4C4E"/>
    <w:rsid w:val="009C4D37"/>
    <w:rsid w:val="009C574C"/>
    <w:rsid w:val="009C5753"/>
    <w:rsid w:val="009C620F"/>
    <w:rsid w:val="009C7F2B"/>
    <w:rsid w:val="009D1654"/>
    <w:rsid w:val="009D1BDB"/>
    <w:rsid w:val="009D24D5"/>
    <w:rsid w:val="009D256A"/>
    <w:rsid w:val="009D2F9C"/>
    <w:rsid w:val="009D4E4A"/>
    <w:rsid w:val="009D5130"/>
    <w:rsid w:val="009D6081"/>
    <w:rsid w:val="009D678C"/>
    <w:rsid w:val="009D7BC7"/>
    <w:rsid w:val="009D7FAC"/>
    <w:rsid w:val="009E0342"/>
    <w:rsid w:val="009E09AB"/>
    <w:rsid w:val="009E19BB"/>
    <w:rsid w:val="009E38D1"/>
    <w:rsid w:val="009E5701"/>
    <w:rsid w:val="009E5711"/>
    <w:rsid w:val="009E6249"/>
    <w:rsid w:val="009E6D26"/>
    <w:rsid w:val="009E758E"/>
    <w:rsid w:val="009E7A4C"/>
    <w:rsid w:val="009E7D6B"/>
    <w:rsid w:val="009F1109"/>
    <w:rsid w:val="009F1DAC"/>
    <w:rsid w:val="009F2EDB"/>
    <w:rsid w:val="009F2F52"/>
    <w:rsid w:val="009F56C0"/>
    <w:rsid w:val="009F5C76"/>
    <w:rsid w:val="00A00E00"/>
    <w:rsid w:val="00A01221"/>
    <w:rsid w:val="00A012A8"/>
    <w:rsid w:val="00A016FF"/>
    <w:rsid w:val="00A0207F"/>
    <w:rsid w:val="00A04337"/>
    <w:rsid w:val="00A044AA"/>
    <w:rsid w:val="00A04D99"/>
    <w:rsid w:val="00A078F6"/>
    <w:rsid w:val="00A102F8"/>
    <w:rsid w:val="00A10A20"/>
    <w:rsid w:val="00A116AC"/>
    <w:rsid w:val="00A117D5"/>
    <w:rsid w:val="00A123D0"/>
    <w:rsid w:val="00A131F5"/>
    <w:rsid w:val="00A133C1"/>
    <w:rsid w:val="00A13F2D"/>
    <w:rsid w:val="00A14225"/>
    <w:rsid w:val="00A14F81"/>
    <w:rsid w:val="00A1535F"/>
    <w:rsid w:val="00A15CB1"/>
    <w:rsid w:val="00A15E84"/>
    <w:rsid w:val="00A16021"/>
    <w:rsid w:val="00A16F3E"/>
    <w:rsid w:val="00A22C3E"/>
    <w:rsid w:val="00A22C4D"/>
    <w:rsid w:val="00A254AB"/>
    <w:rsid w:val="00A266CC"/>
    <w:rsid w:val="00A26DB4"/>
    <w:rsid w:val="00A3023E"/>
    <w:rsid w:val="00A305C5"/>
    <w:rsid w:val="00A30919"/>
    <w:rsid w:val="00A31FD2"/>
    <w:rsid w:val="00A33A02"/>
    <w:rsid w:val="00A33BDB"/>
    <w:rsid w:val="00A341AB"/>
    <w:rsid w:val="00A355F9"/>
    <w:rsid w:val="00A35AA9"/>
    <w:rsid w:val="00A364BC"/>
    <w:rsid w:val="00A3786A"/>
    <w:rsid w:val="00A402ED"/>
    <w:rsid w:val="00A40685"/>
    <w:rsid w:val="00A41123"/>
    <w:rsid w:val="00A41819"/>
    <w:rsid w:val="00A41C9A"/>
    <w:rsid w:val="00A42F49"/>
    <w:rsid w:val="00A433DA"/>
    <w:rsid w:val="00A433E8"/>
    <w:rsid w:val="00A4424E"/>
    <w:rsid w:val="00A44A45"/>
    <w:rsid w:val="00A4534D"/>
    <w:rsid w:val="00A46BFB"/>
    <w:rsid w:val="00A46C6D"/>
    <w:rsid w:val="00A472B8"/>
    <w:rsid w:val="00A502F5"/>
    <w:rsid w:val="00A504F4"/>
    <w:rsid w:val="00A51577"/>
    <w:rsid w:val="00A51B47"/>
    <w:rsid w:val="00A526CE"/>
    <w:rsid w:val="00A54DC0"/>
    <w:rsid w:val="00A550C9"/>
    <w:rsid w:val="00A55228"/>
    <w:rsid w:val="00A5589F"/>
    <w:rsid w:val="00A55D4E"/>
    <w:rsid w:val="00A564DE"/>
    <w:rsid w:val="00A61B91"/>
    <w:rsid w:val="00A63335"/>
    <w:rsid w:val="00A63685"/>
    <w:rsid w:val="00A63DDD"/>
    <w:rsid w:val="00A66473"/>
    <w:rsid w:val="00A66E28"/>
    <w:rsid w:val="00A70590"/>
    <w:rsid w:val="00A71542"/>
    <w:rsid w:val="00A71FA0"/>
    <w:rsid w:val="00A72C1A"/>
    <w:rsid w:val="00A74021"/>
    <w:rsid w:val="00A7463E"/>
    <w:rsid w:val="00A762DA"/>
    <w:rsid w:val="00A765B1"/>
    <w:rsid w:val="00A76B41"/>
    <w:rsid w:val="00A772F2"/>
    <w:rsid w:val="00A77828"/>
    <w:rsid w:val="00A8073D"/>
    <w:rsid w:val="00A807A2"/>
    <w:rsid w:val="00A80D02"/>
    <w:rsid w:val="00A812A8"/>
    <w:rsid w:val="00A82D32"/>
    <w:rsid w:val="00A82EAE"/>
    <w:rsid w:val="00A84F27"/>
    <w:rsid w:val="00A8519C"/>
    <w:rsid w:val="00A8733A"/>
    <w:rsid w:val="00A90B66"/>
    <w:rsid w:val="00A91D4B"/>
    <w:rsid w:val="00A920B2"/>
    <w:rsid w:val="00A92A96"/>
    <w:rsid w:val="00A92AF0"/>
    <w:rsid w:val="00A930F2"/>
    <w:rsid w:val="00A937D5"/>
    <w:rsid w:val="00A93C70"/>
    <w:rsid w:val="00A94700"/>
    <w:rsid w:val="00A970CE"/>
    <w:rsid w:val="00A974A9"/>
    <w:rsid w:val="00A974ED"/>
    <w:rsid w:val="00A97718"/>
    <w:rsid w:val="00AA08F3"/>
    <w:rsid w:val="00AA0F23"/>
    <w:rsid w:val="00AA1DA8"/>
    <w:rsid w:val="00AA238E"/>
    <w:rsid w:val="00AA2EB9"/>
    <w:rsid w:val="00AA3243"/>
    <w:rsid w:val="00AA388F"/>
    <w:rsid w:val="00AA4F6D"/>
    <w:rsid w:val="00AA536B"/>
    <w:rsid w:val="00AA57D7"/>
    <w:rsid w:val="00AA5A6F"/>
    <w:rsid w:val="00AA5C40"/>
    <w:rsid w:val="00AA6BB8"/>
    <w:rsid w:val="00AA7519"/>
    <w:rsid w:val="00AB02EA"/>
    <w:rsid w:val="00AB22BF"/>
    <w:rsid w:val="00AB256E"/>
    <w:rsid w:val="00AB32AD"/>
    <w:rsid w:val="00AB3466"/>
    <w:rsid w:val="00AB3BBB"/>
    <w:rsid w:val="00AB408C"/>
    <w:rsid w:val="00AB5030"/>
    <w:rsid w:val="00AB759A"/>
    <w:rsid w:val="00AB7B06"/>
    <w:rsid w:val="00AB7EAA"/>
    <w:rsid w:val="00AC0432"/>
    <w:rsid w:val="00AC4094"/>
    <w:rsid w:val="00AC42B6"/>
    <w:rsid w:val="00AC4AB7"/>
    <w:rsid w:val="00AC60EC"/>
    <w:rsid w:val="00AC6CD9"/>
    <w:rsid w:val="00AD2679"/>
    <w:rsid w:val="00AD3F3C"/>
    <w:rsid w:val="00AD5F0A"/>
    <w:rsid w:val="00AD6741"/>
    <w:rsid w:val="00AD6B4F"/>
    <w:rsid w:val="00AD7CFA"/>
    <w:rsid w:val="00AE11C1"/>
    <w:rsid w:val="00AE163D"/>
    <w:rsid w:val="00AE1C5C"/>
    <w:rsid w:val="00AE25D1"/>
    <w:rsid w:val="00AE2918"/>
    <w:rsid w:val="00AE315E"/>
    <w:rsid w:val="00AE31D9"/>
    <w:rsid w:val="00AE3CF0"/>
    <w:rsid w:val="00AE4337"/>
    <w:rsid w:val="00AE71EE"/>
    <w:rsid w:val="00AF03CF"/>
    <w:rsid w:val="00AF06B6"/>
    <w:rsid w:val="00AF0A0A"/>
    <w:rsid w:val="00AF1ED2"/>
    <w:rsid w:val="00AF1F4E"/>
    <w:rsid w:val="00AF3557"/>
    <w:rsid w:val="00AF4CEE"/>
    <w:rsid w:val="00AF5D84"/>
    <w:rsid w:val="00AF672C"/>
    <w:rsid w:val="00AF6D69"/>
    <w:rsid w:val="00AF6F5E"/>
    <w:rsid w:val="00B00378"/>
    <w:rsid w:val="00B00E41"/>
    <w:rsid w:val="00B018BD"/>
    <w:rsid w:val="00B04678"/>
    <w:rsid w:val="00B04A04"/>
    <w:rsid w:val="00B04F00"/>
    <w:rsid w:val="00B05A66"/>
    <w:rsid w:val="00B05EFD"/>
    <w:rsid w:val="00B066FE"/>
    <w:rsid w:val="00B06912"/>
    <w:rsid w:val="00B10B04"/>
    <w:rsid w:val="00B10CC6"/>
    <w:rsid w:val="00B12082"/>
    <w:rsid w:val="00B13389"/>
    <w:rsid w:val="00B1364C"/>
    <w:rsid w:val="00B141A5"/>
    <w:rsid w:val="00B15286"/>
    <w:rsid w:val="00B1550D"/>
    <w:rsid w:val="00B1631F"/>
    <w:rsid w:val="00B163E8"/>
    <w:rsid w:val="00B1767E"/>
    <w:rsid w:val="00B203B6"/>
    <w:rsid w:val="00B203CE"/>
    <w:rsid w:val="00B21676"/>
    <w:rsid w:val="00B241D5"/>
    <w:rsid w:val="00B26677"/>
    <w:rsid w:val="00B26C57"/>
    <w:rsid w:val="00B274E3"/>
    <w:rsid w:val="00B27B92"/>
    <w:rsid w:val="00B30563"/>
    <w:rsid w:val="00B30A76"/>
    <w:rsid w:val="00B3412E"/>
    <w:rsid w:val="00B346EA"/>
    <w:rsid w:val="00B356B8"/>
    <w:rsid w:val="00B35C9C"/>
    <w:rsid w:val="00B37B8E"/>
    <w:rsid w:val="00B40222"/>
    <w:rsid w:val="00B404C3"/>
    <w:rsid w:val="00B40BA6"/>
    <w:rsid w:val="00B4280F"/>
    <w:rsid w:val="00B43381"/>
    <w:rsid w:val="00B448BF"/>
    <w:rsid w:val="00B45F9F"/>
    <w:rsid w:val="00B4627C"/>
    <w:rsid w:val="00B46793"/>
    <w:rsid w:val="00B46953"/>
    <w:rsid w:val="00B46A7F"/>
    <w:rsid w:val="00B47A59"/>
    <w:rsid w:val="00B51520"/>
    <w:rsid w:val="00B5169E"/>
    <w:rsid w:val="00B517C2"/>
    <w:rsid w:val="00B518CE"/>
    <w:rsid w:val="00B52234"/>
    <w:rsid w:val="00B53623"/>
    <w:rsid w:val="00B536F5"/>
    <w:rsid w:val="00B53E98"/>
    <w:rsid w:val="00B5634D"/>
    <w:rsid w:val="00B56ECA"/>
    <w:rsid w:val="00B57093"/>
    <w:rsid w:val="00B60613"/>
    <w:rsid w:val="00B616E6"/>
    <w:rsid w:val="00B630F2"/>
    <w:rsid w:val="00B63E7A"/>
    <w:rsid w:val="00B65582"/>
    <w:rsid w:val="00B66054"/>
    <w:rsid w:val="00B672EA"/>
    <w:rsid w:val="00B6747B"/>
    <w:rsid w:val="00B70200"/>
    <w:rsid w:val="00B72CF0"/>
    <w:rsid w:val="00B740F6"/>
    <w:rsid w:val="00B74615"/>
    <w:rsid w:val="00B75035"/>
    <w:rsid w:val="00B755B6"/>
    <w:rsid w:val="00B76B55"/>
    <w:rsid w:val="00B804F8"/>
    <w:rsid w:val="00B815D3"/>
    <w:rsid w:val="00B83E76"/>
    <w:rsid w:val="00B8506D"/>
    <w:rsid w:val="00B86289"/>
    <w:rsid w:val="00B87F1C"/>
    <w:rsid w:val="00B91B61"/>
    <w:rsid w:val="00B93849"/>
    <w:rsid w:val="00B944E9"/>
    <w:rsid w:val="00B94896"/>
    <w:rsid w:val="00B949D8"/>
    <w:rsid w:val="00B94CDD"/>
    <w:rsid w:val="00B965F4"/>
    <w:rsid w:val="00B96F52"/>
    <w:rsid w:val="00B97C76"/>
    <w:rsid w:val="00BA07F3"/>
    <w:rsid w:val="00BA15DC"/>
    <w:rsid w:val="00BA1602"/>
    <w:rsid w:val="00BA2C82"/>
    <w:rsid w:val="00BA2E8A"/>
    <w:rsid w:val="00BA583B"/>
    <w:rsid w:val="00BA5EC7"/>
    <w:rsid w:val="00BA6319"/>
    <w:rsid w:val="00BA63CE"/>
    <w:rsid w:val="00BA6551"/>
    <w:rsid w:val="00BA6791"/>
    <w:rsid w:val="00BA6E3C"/>
    <w:rsid w:val="00BA7227"/>
    <w:rsid w:val="00BA7CD7"/>
    <w:rsid w:val="00BA7D1F"/>
    <w:rsid w:val="00BB2E4E"/>
    <w:rsid w:val="00BB2E62"/>
    <w:rsid w:val="00BB36C9"/>
    <w:rsid w:val="00BB5886"/>
    <w:rsid w:val="00BB7EC0"/>
    <w:rsid w:val="00BC0A5A"/>
    <w:rsid w:val="00BC0B2F"/>
    <w:rsid w:val="00BC0E64"/>
    <w:rsid w:val="00BC0F07"/>
    <w:rsid w:val="00BC25D1"/>
    <w:rsid w:val="00BC3BCB"/>
    <w:rsid w:val="00BC427C"/>
    <w:rsid w:val="00BC428A"/>
    <w:rsid w:val="00BC4C40"/>
    <w:rsid w:val="00BC5BAD"/>
    <w:rsid w:val="00BC76C5"/>
    <w:rsid w:val="00BD138A"/>
    <w:rsid w:val="00BD1547"/>
    <w:rsid w:val="00BD164A"/>
    <w:rsid w:val="00BD2B4D"/>
    <w:rsid w:val="00BD2DAE"/>
    <w:rsid w:val="00BD2FB9"/>
    <w:rsid w:val="00BD31C2"/>
    <w:rsid w:val="00BD450A"/>
    <w:rsid w:val="00BD4717"/>
    <w:rsid w:val="00BD48BC"/>
    <w:rsid w:val="00BD48EA"/>
    <w:rsid w:val="00BD4BA8"/>
    <w:rsid w:val="00BD6B0E"/>
    <w:rsid w:val="00BD7941"/>
    <w:rsid w:val="00BD7E5F"/>
    <w:rsid w:val="00BE0C55"/>
    <w:rsid w:val="00BE11A2"/>
    <w:rsid w:val="00BE246C"/>
    <w:rsid w:val="00BE2657"/>
    <w:rsid w:val="00BE37AE"/>
    <w:rsid w:val="00BE73C3"/>
    <w:rsid w:val="00BE7B29"/>
    <w:rsid w:val="00BF03C0"/>
    <w:rsid w:val="00BF21D4"/>
    <w:rsid w:val="00BF2E46"/>
    <w:rsid w:val="00BF4A15"/>
    <w:rsid w:val="00BF4E27"/>
    <w:rsid w:val="00BF6D77"/>
    <w:rsid w:val="00C01EF2"/>
    <w:rsid w:val="00C0378E"/>
    <w:rsid w:val="00C04258"/>
    <w:rsid w:val="00C05AFD"/>
    <w:rsid w:val="00C0724C"/>
    <w:rsid w:val="00C07AEF"/>
    <w:rsid w:val="00C07C11"/>
    <w:rsid w:val="00C07CC1"/>
    <w:rsid w:val="00C10015"/>
    <w:rsid w:val="00C12ECB"/>
    <w:rsid w:val="00C14ABD"/>
    <w:rsid w:val="00C151E0"/>
    <w:rsid w:val="00C20051"/>
    <w:rsid w:val="00C20B86"/>
    <w:rsid w:val="00C21145"/>
    <w:rsid w:val="00C239A8"/>
    <w:rsid w:val="00C24381"/>
    <w:rsid w:val="00C249D9"/>
    <w:rsid w:val="00C24C2E"/>
    <w:rsid w:val="00C24C7A"/>
    <w:rsid w:val="00C24FFB"/>
    <w:rsid w:val="00C25CFF"/>
    <w:rsid w:val="00C261C1"/>
    <w:rsid w:val="00C30B0B"/>
    <w:rsid w:val="00C31339"/>
    <w:rsid w:val="00C332D4"/>
    <w:rsid w:val="00C33E51"/>
    <w:rsid w:val="00C34848"/>
    <w:rsid w:val="00C349B4"/>
    <w:rsid w:val="00C34C47"/>
    <w:rsid w:val="00C35A80"/>
    <w:rsid w:val="00C368F9"/>
    <w:rsid w:val="00C405C8"/>
    <w:rsid w:val="00C41E09"/>
    <w:rsid w:val="00C42DBE"/>
    <w:rsid w:val="00C4360C"/>
    <w:rsid w:val="00C4414C"/>
    <w:rsid w:val="00C452DC"/>
    <w:rsid w:val="00C46564"/>
    <w:rsid w:val="00C50A02"/>
    <w:rsid w:val="00C512D1"/>
    <w:rsid w:val="00C51856"/>
    <w:rsid w:val="00C51B5E"/>
    <w:rsid w:val="00C5518B"/>
    <w:rsid w:val="00C5531B"/>
    <w:rsid w:val="00C55375"/>
    <w:rsid w:val="00C57120"/>
    <w:rsid w:val="00C575D4"/>
    <w:rsid w:val="00C57873"/>
    <w:rsid w:val="00C61246"/>
    <w:rsid w:val="00C62A79"/>
    <w:rsid w:val="00C634F9"/>
    <w:rsid w:val="00C64534"/>
    <w:rsid w:val="00C64767"/>
    <w:rsid w:val="00C65200"/>
    <w:rsid w:val="00C655E0"/>
    <w:rsid w:val="00C65649"/>
    <w:rsid w:val="00C665DE"/>
    <w:rsid w:val="00C667C3"/>
    <w:rsid w:val="00C6728B"/>
    <w:rsid w:val="00C71528"/>
    <w:rsid w:val="00C71F09"/>
    <w:rsid w:val="00C72588"/>
    <w:rsid w:val="00C727B9"/>
    <w:rsid w:val="00C73670"/>
    <w:rsid w:val="00C73DE0"/>
    <w:rsid w:val="00C74609"/>
    <w:rsid w:val="00C749AB"/>
    <w:rsid w:val="00C75A8F"/>
    <w:rsid w:val="00C81716"/>
    <w:rsid w:val="00C82795"/>
    <w:rsid w:val="00C832CB"/>
    <w:rsid w:val="00C84085"/>
    <w:rsid w:val="00C8779E"/>
    <w:rsid w:val="00C87850"/>
    <w:rsid w:val="00C87BD0"/>
    <w:rsid w:val="00C90B95"/>
    <w:rsid w:val="00C90CA9"/>
    <w:rsid w:val="00C9354F"/>
    <w:rsid w:val="00C93B40"/>
    <w:rsid w:val="00C93D48"/>
    <w:rsid w:val="00C93DB5"/>
    <w:rsid w:val="00C97DD7"/>
    <w:rsid w:val="00C97EF9"/>
    <w:rsid w:val="00CA0492"/>
    <w:rsid w:val="00CA0A04"/>
    <w:rsid w:val="00CA3CAB"/>
    <w:rsid w:val="00CA6A2E"/>
    <w:rsid w:val="00CB52A4"/>
    <w:rsid w:val="00CB537C"/>
    <w:rsid w:val="00CB5778"/>
    <w:rsid w:val="00CB6675"/>
    <w:rsid w:val="00CC03A0"/>
    <w:rsid w:val="00CC0915"/>
    <w:rsid w:val="00CC1AF5"/>
    <w:rsid w:val="00CC1B74"/>
    <w:rsid w:val="00CC2EB0"/>
    <w:rsid w:val="00CC2F38"/>
    <w:rsid w:val="00CC44F5"/>
    <w:rsid w:val="00CC5F95"/>
    <w:rsid w:val="00CD1255"/>
    <w:rsid w:val="00CD1484"/>
    <w:rsid w:val="00CD1892"/>
    <w:rsid w:val="00CD1D00"/>
    <w:rsid w:val="00CD26B8"/>
    <w:rsid w:val="00CD2A82"/>
    <w:rsid w:val="00CD32C2"/>
    <w:rsid w:val="00CD347C"/>
    <w:rsid w:val="00CD3CAB"/>
    <w:rsid w:val="00CD3FF0"/>
    <w:rsid w:val="00CD4E50"/>
    <w:rsid w:val="00CD64E1"/>
    <w:rsid w:val="00CD699D"/>
    <w:rsid w:val="00CD701B"/>
    <w:rsid w:val="00CD70DB"/>
    <w:rsid w:val="00CD7466"/>
    <w:rsid w:val="00CD7C49"/>
    <w:rsid w:val="00CE2E2E"/>
    <w:rsid w:val="00CE3A51"/>
    <w:rsid w:val="00CE4074"/>
    <w:rsid w:val="00CE59F6"/>
    <w:rsid w:val="00CE71C3"/>
    <w:rsid w:val="00CE7ECB"/>
    <w:rsid w:val="00CF0AF0"/>
    <w:rsid w:val="00CF1834"/>
    <w:rsid w:val="00CF2ACF"/>
    <w:rsid w:val="00CF345B"/>
    <w:rsid w:val="00CF475F"/>
    <w:rsid w:val="00CF5069"/>
    <w:rsid w:val="00CF7082"/>
    <w:rsid w:val="00D01590"/>
    <w:rsid w:val="00D0336E"/>
    <w:rsid w:val="00D04F01"/>
    <w:rsid w:val="00D04F8B"/>
    <w:rsid w:val="00D054EF"/>
    <w:rsid w:val="00D05637"/>
    <w:rsid w:val="00D05BA9"/>
    <w:rsid w:val="00D06E71"/>
    <w:rsid w:val="00D0764E"/>
    <w:rsid w:val="00D07D82"/>
    <w:rsid w:val="00D10BE1"/>
    <w:rsid w:val="00D11FE3"/>
    <w:rsid w:val="00D132F1"/>
    <w:rsid w:val="00D13D50"/>
    <w:rsid w:val="00D14919"/>
    <w:rsid w:val="00D14E25"/>
    <w:rsid w:val="00D152D6"/>
    <w:rsid w:val="00D165D8"/>
    <w:rsid w:val="00D1724E"/>
    <w:rsid w:val="00D17C81"/>
    <w:rsid w:val="00D206F6"/>
    <w:rsid w:val="00D237E0"/>
    <w:rsid w:val="00D23FE6"/>
    <w:rsid w:val="00D25676"/>
    <w:rsid w:val="00D25F78"/>
    <w:rsid w:val="00D27129"/>
    <w:rsid w:val="00D2738C"/>
    <w:rsid w:val="00D279E7"/>
    <w:rsid w:val="00D3046D"/>
    <w:rsid w:val="00D31B07"/>
    <w:rsid w:val="00D32FA0"/>
    <w:rsid w:val="00D33112"/>
    <w:rsid w:val="00D331CB"/>
    <w:rsid w:val="00D3426E"/>
    <w:rsid w:val="00D3746F"/>
    <w:rsid w:val="00D40217"/>
    <w:rsid w:val="00D40385"/>
    <w:rsid w:val="00D404CE"/>
    <w:rsid w:val="00D417C6"/>
    <w:rsid w:val="00D43FAE"/>
    <w:rsid w:val="00D44259"/>
    <w:rsid w:val="00D44895"/>
    <w:rsid w:val="00D5064C"/>
    <w:rsid w:val="00D5098E"/>
    <w:rsid w:val="00D51B02"/>
    <w:rsid w:val="00D539DA"/>
    <w:rsid w:val="00D55C81"/>
    <w:rsid w:val="00D56B56"/>
    <w:rsid w:val="00D56BF5"/>
    <w:rsid w:val="00D56F99"/>
    <w:rsid w:val="00D5743F"/>
    <w:rsid w:val="00D605C2"/>
    <w:rsid w:val="00D60733"/>
    <w:rsid w:val="00D61E1D"/>
    <w:rsid w:val="00D62BDF"/>
    <w:rsid w:val="00D64F1C"/>
    <w:rsid w:val="00D6570C"/>
    <w:rsid w:val="00D675B0"/>
    <w:rsid w:val="00D70552"/>
    <w:rsid w:val="00D70D42"/>
    <w:rsid w:val="00D71285"/>
    <w:rsid w:val="00D71ABC"/>
    <w:rsid w:val="00D72175"/>
    <w:rsid w:val="00D72454"/>
    <w:rsid w:val="00D72A5B"/>
    <w:rsid w:val="00D73F06"/>
    <w:rsid w:val="00D74160"/>
    <w:rsid w:val="00D74247"/>
    <w:rsid w:val="00D753A9"/>
    <w:rsid w:val="00D804C5"/>
    <w:rsid w:val="00D81146"/>
    <w:rsid w:val="00D81A28"/>
    <w:rsid w:val="00D82AB8"/>
    <w:rsid w:val="00D82B00"/>
    <w:rsid w:val="00D82BE4"/>
    <w:rsid w:val="00D82E05"/>
    <w:rsid w:val="00D82F67"/>
    <w:rsid w:val="00D83A05"/>
    <w:rsid w:val="00D83C0D"/>
    <w:rsid w:val="00D869C1"/>
    <w:rsid w:val="00D86EC6"/>
    <w:rsid w:val="00D87418"/>
    <w:rsid w:val="00D87FE6"/>
    <w:rsid w:val="00D90BC3"/>
    <w:rsid w:val="00D90DB9"/>
    <w:rsid w:val="00D91337"/>
    <w:rsid w:val="00D915C9"/>
    <w:rsid w:val="00D9198F"/>
    <w:rsid w:val="00D92A87"/>
    <w:rsid w:val="00D9384E"/>
    <w:rsid w:val="00D94C8D"/>
    <w:rsid w:val="00D95AEB"/>
    <w:rsid w:val="00D96876"/>
    <w:rsid w:val="00D96B12"/>
    <w:rsid w:val="00D96F59"/>
    <w:rsid w:val="00DA061C"/>
    <w:rsid w:val="00DA099C"/>
    <w:rsid w:val="00DA2125"/>
    <w:rsid w:val="00DA24DE"/>
    <w:rsid w:val="00DA281F"/>
    <w:rsid w:val="00DA289D"/>
    <w:rsid w:val="00DA3E06"/>
    <w:rsid w:val="00DA6EE2"/>
    <w:rsid w:val="00DA78CF"/>
    <w:rsid w:val="00DA7A89"/>
    <w:rsid w:val="00DA7BF4"/>
    <w:rsid w:val="00DA7F8B"/>
    <w:rsid w:val="00DB03E8"/>
    <w:rsid w:val="00DB08F0"/>
    <w:rsid w:val="00DB0C0F"/>
    <w:rsid w:val="00DB102D"/>
    <w:rsid w:val="00DB12BA"/>
    <w:rsid w:val="00DB154B"/>
    <w:rsid w:val="00DB3490"/>
    <w:rsid w:val="00DB4F12"/>
    <w:rsid w:val="00DB5256"/>
    <w:rsid w:val="00DB53A2"/>
    <w:rsid w:val="00DB6E8E"/>
    <w:rsid w:val="00DB6F96"/>
    <w:rsid w:val="00DB71B9"/>
    <w:rsid w:val="00DC0B56"/>
    <w:rsid w:val="00DC1395"/>
    <w:rsid w:val="00DC1BCB"/>
    <w:rsid w:val="00DC32FC"/>
    <w:rsid w:val="00DC43C4"/>
    <w:rsid w:val="00DC4F47"/>
    <w:rsid w:val="00DC6747"/>
    <w:rsid w:val="00DC6AF3"/>
    <w:rsid w:val="00DC740D"/>
    <w:rsid w:val="00DC7608"/>
    <w:rsid w:val="00DC761E"/>
    <w:rsid w:val="00DC7CFC"/>
    <w:rsid w:val="00DD0090"/>
    <w:rsid w:val="00DD2C42"/>
    <w:rsid w:val="00DD2D14"/>
    <w:rsid w:val="00DD3A99"/>
    <w:rsid w:val="00DD4344"/>
    <w:rsid w:val="00DD5B8C"/>
    <w:rsid w:val="00DD5DFA"/>
    <w:rsid w:val="00DD67EC"/>
    <w:rsid w:val="00DD6F7F"/>
    <w:rsid w:val="00DE1A9D"/>
    <w:rsid w:val="00DE1CB1"/>
    <w:rsid w:val="00DE2073"/>
    <w:rsid w:val="00DE30AC"/>
    <w:rsid w:val="00DE368A"/>
    <w:rsid w:val="00DE3CF3"/>
    <w:rsid w:val="00DE4106"/>
    <w:rsid w:val="00DE5563"/>
    <w:rsid w:val="00DE6E4D"/>
    <w:rsid w:val="00DF05A0"/>
    <w:rsid w:val="00DF1BA8"/>
    <w:rsid w:val="00DF1F63"/>
    <w:rsid w:val="00DF25FE"/>
    <w:rsid w:val="00DF28F2"/>
    <w:rsid w:val="00DF2BFF"/>
    <w:rsid w:val="00DF48D9"/>
    <w:rsid w:val="00DF4FF1"/>
    <w:rsid w:val="00DF6FD2"/>
    <w:rsid w:val="00DF7724"/>
    <w:rsid w:val="00DF7C43"/>
    <w:rsid w:val="00E000B2"/>
    <w:rsid w:val="00E00C1E"/>
    <w:rsid w:val="00E00F5F"/>
    <w:rsid w:val="00E014E7"/>
    <w:rsid w:val="00E026A9"/>
    <w:rsid w:val="00E02C24"/>
    <w:rsid w:val="00E0356F"/>
    <w:rsid w:val="00E03B42"/>
    <w:rsid w:val="00E041AA"/>
    <w:rsid w:val="00E0479F"/>
    <w:rsid w:val="00E04D6A"/>
    <w:rsid w:val="00E06100"/>
    <w:rsid w:val="00E06E97"/>
    <w:rsid w:val="00E07767"/>
    <w:rsid w:val="00E10DD1"/>
    <w:rsid w:val="00E1254C"/>
    <w:rsid w:val="00E12BDF"/>
    <w:rsid w:val="00E13326"/>
    <w:rsid w:val="00E14961"/>
    <w:rsid w:val="00E14D76"/>
    <w:rsid w:val="00E20CE7"/>
    <w:rsid w:val="00E217B1"/>
    <w:rsid w:val="00E222FA"/>
    <w:rsid w:val="00E24A62"/>
    <w:rsid w:val="00E24F52"/>
    <w:rsid w:val="00E279B2"/>
    <w:rsid w:val="00E30BD5"/>
    <w:rsid w:val="00E31143"/>
    <w:rsid w:val="00E31812"/>
    <w:rsid w:val="00E3533E"/>
    <w:rsid w:val="00E35A45"/>
    <w:rsid w:val="00E37C85"/>
    <w:rsid w:val="00E43006"/>
    <w:rsid w:val="00E43551"/>
    <w:rsid w:val="00E50809"/>
    <w:rsid w:val="00E510CF"/>
    <w:rsid w:val="00E52AAB"/>
    <w:rsid w:val="00E533B0"/>
    <w:rsid w:val="00E5448E"/>
    <w:rsid w:val="00E54E0D"/>
    <w:rsid w:val="00E56795"/>
    <w:rsid w:val="00E57932"/>
    <w:rsid w:val="00E57DA3"/>
    <w:rsid w:val="00E60811"/>
    <w:rsid w:val="00E64050"/>
    <w:rsid w:val="00E6514D"/>
    <w:rsid w:val="00E65161"/>
    <w:rsid w:val="00E652C9"/>
    <w:rsid w:val="00E65700"/>
    <w:rsid w:val="00E6593B"/>
    <w:rsid w:val="00E672C6"/>
    <w:rsid w:val="00E675EE"/>
    <w:rsid w:val="00E71809"/>
    <w:rsid w:val="00E71D1E"/>
    <w:rsid w:val="00E728E2"/>
    <w:rsid w:val="00E74976"/>
    <w:rsid w:val="00E75667"/>
    <w:rsid w:val="00E756D3"/>
    <w:rsid w:val="00E769CC"/>
    <w:rsid w:val="00E80AF8"/>
    <w:rsid w:val="00E827BB"/>
    <w:rsid w:val="00E82D24"/>
    <w:rsid w:val="00E8308F"/>
    <w:rsid w:val="00E8317B"/>
    <w:rsid w:val="00E8357D"/>
    <w:rsid w:val="00E84C04"/>
    <w:rsid w:val="00E84E4F"/>
    <w:rsid w:val="00E856A2"/>
    <w:rsid w:val="00E85AD2"/>
    <w:rsid w:val="00E9036E"/>
    <w:rsid w:val="00E917B6"/>
    <w:rsid w:val="00E92292"/>
    <w:rsid w:val="00E92D0B"/>
    <w:rsid w:val="00E93195"/>
    <w:rsid w:val="00E93F21"/>
    <w:rsid w:val="00E9411C"/>
    <w:rsid w:val="00E9522C"/>
    <w:rsid w:val="00E95C2A"/>
    <w:rsid w:val="00E963BC"/>
    <w:rsid w:val="00E97F7A"/>
    <w:rsid w:val="00EA0143"/>
    <w:rsid w:val="00EA089B"/>
    <w:rsid w:val="00EA2E21"/>
    <w:rsid w:val="00EA380C"/>
    <w:rsid w:val="00EA47B5"/>
    <w:rsid w:val="00EA7308"/>
    <w:rsid w:val="00EB089C"/>
    <w:rsid w:val="00EB0BB0"/>
    <w:rsid w:val="00EB0C65"/>
    <w:rsid w:val="00EB169F"/>
    <w:rsid w:val="00EB2961"/>
    <w:rsid w:val="00EB2E1A"/>
    <w:rsid w:val="00EB3268"/>
    <w:rsid w:val="00EB3298"/>
    <w:rsid w:val="00EB3CE6"/>
    <w:rsid w:val="00EB3E92"/>
    <w:rsid w:val="00EB68E6"/>
    <w:rsid w:val="00EB69AB"/>
    <w:rsid w:val="00EB6D1C"/>
    <w:rsid w:val="00EB7B67"/>
    <w:rsid w:val="00EC328C"/>
    <w:rsid w:val="00EC3BEC"/>
    <w:rsid w:val="00EC5241"/>
    <w:rsid w:val="00EC594C"/>
    <w:rsid w:val="00EC5C7B"/>
    <w:rsid w:val="00EC66AA"/>
    <w:rsid w:val="00EC6B8F"/>
    <w:rsid w:val="00EC7B48"/>
    <w:rsid w:val="00ED0257"/>
    <w:rsid w:val="00ED1339"/>
    <w:rsid w:val="00ED3E65"/>
    <w:rsid w:val="00ED4448"/>
    <w:rsid w:val="00ED4EDF"/>
    <w:rsid w:val="00ED5981"/>
    <w:rsid w:val="00ED66B2"/>
    <w:rsid w:val="00ED71BA"/>
    <w:rsid w:val="00ED73A1"/>
    <w:rsid w:val="00ED7CA2"/>
    <w:rsid w:val="00EE13DA"/>
    <w:rsid w:val="00EE332A"/>
    <w:rsid w:val="00EE5324"/>
    <w:rsid w:val="00EE55FA"/>
    <w:rsid w:val="00EE56E2"/>
    <w:rsid w:val="00EE6D45"/>
    <w:rsid w:val="00EE6E89"/>
    <w:rsid w:val="00EF0FE6"/>
    <w:rsid w:val="00EF11AA"/>
    <w:rsid w:val="00EF1C44"/>
    <w:rsid w:val="00EF1F9B"/>
    <w:rsid w:val="00EF2B18"/>
    <w:rsid w:val="00EF3AC4"/>
    <w:rsid w:val="00EF3BB9"/>
    <w:rsid w:val="00EF4008"/>
    <w:rsid w:val="00EF547C"/>
    <w:rsid w:val="00EF55E9"/>
    <w:rsid w:val="00EF5B41"/>
    <w:rsid w:val="00EF611C"/>
    <w:rsid w:val="00EF7462"/>
    <w:rsid w:val="00EF768D"/>
    <w:rsid w:val="00F00630"/>
    <w:rsid w:val="00F00922"/>
    <w:rsid w:val="00F011FF"/>
    <w:rsid w:val="00F01BE6"/>
    <w:rsid w:val="00F0217A"/>
    <w:rsid w:val="00F0251B"/>
    <w:rsid w:val="00F03E4C"/>
    <w:rsid w:val="00F0665D"/>
    <w:rsid w:val="00F06D42"/>
    <w:rsid w:val="00F07134"/>
    <w:rsid w:val="00F07378"/>
    <w:rsid w:val="00F10B81"/>
    <w:rsid w:val="00F11353"/>
    <w:rsid w:val="00F129F4"/>
    <w:rsid w:val="00F14CD1"/>
    <w:rsid w:val="00F15115"/>
    <w:rsid w:val="00F15D8C"/>
    <w:rsid w:val="00F16E1A"/>
    <w:rsid w:val="00F20197"/>
    <w:rsid w:val="00F20607"/>
    <w:rsid w:val="00F208BB"/>
    <w:rsid w:val="00F20D7A"/>
    <w:rsid w:val="00F210BE"/>
    <w:rsid w:val="00F21A5D"/>
    <w:rsid w:val="00F21C13"/>
    <w:rsid w:val="00F21DEA"/>
    <w:rsid w:val="00F22796"/>
    <w:rsid w:val="00F238F7"/>
    <w:rsid w:val="00F23BA0"/>
    <w:rsid w:val="00F25641"/>
    <w:rsid w:val="00F26065"/>
    <w:rsid w:val="00F30313"/>
    <w:rsid w:val="00F303BC"/>
    <w:rsid w:val="00F318A1"/>
    <w:rsid w:val="00F3265C"/>
    <w:rsid w:val="00F343EE"/>
    <w:rsid w:val="00F3547E"/>
    <w:rsid w:val="00F35494"/>
    <w:rsid w:val="00F3619D"/>
    <w:rsid w:val="00F3722A"/>
    <w:rsid w:val="00F37366"/>
    <w:rsid w:val="00F419B8"/>
    <w:rsid w:val="00F41C0F"/>
    <w:rsid w:val="00F42856"/>
    <w:rsid w:val="00F43390"/>
    <w:rsid w:val="00F43EF6"/>
    <w:rsid w:val="00F4482B"/>
    <w:rsid w:val="00F44F02"/>
    <w:rsid w:val="00F4526B"/>
    <w:rsid w:val="00F462DF"/>
    <w:rsid w:val="00F4662D"/>
    <w:rsid w:val="00F468AC"/>
    <w:rsid w:val="00F471BE"/>
    <w:rsid w:val="00F47316"/>
    <w:rsid w:val="00F47507"/>
    <w:rsid w:val="00F5052D"/>
    <w:rsid w:val="00F50BF0"/>
    <w:rsid w:val="00F51A82"/>
    <w:rsid w:val="00F5254B"/>
    <w:rsid w:val="00F53A44"/>
    <w:rsid w:val="00F54431"/>
    <w:rsid w:val="00F54B29"/>
    <w:rsid w:val="00F551DB"/>
    <w:rsid w:val="00F559BE"/>
    <w:rsid w:val="00F56417"/>
    <w:rsid w:val="00F56EE7"/>
    <w:rsid w:val="00F56FEF"/>
    <w:rsid w:val="00F57521"/>
    <w:rsid w:val="00F57AC4"/>
    <w:rsid w:val="00F60938"/>
    <w:rsid w:val="00F61606"/>
    <w:rsid w:val="00F62BD1"/>
    <w:rsid w:val="00F62CA8"/>
    <w:rsid w:val="00F63BF4"/>
    <w:rsid w:val="00F63C60"/>
    <w:rsid w:val="00F64991"/>
    <w:rsid w:val="00F65BA9"/>
    <w:rsid w:val="00F6630F"/>
    <w:rsid w:val="00F67E81"/>
    <w:rsid w:val="00F719B2"/>
    <w:rsid w:val="00F71C68"/>
    <w:rsid w:val="00F724E2"/>
    <w:rsid w:val="00F72A89"/>
    <w:rsid w:val="00F73E5D"/>
    <w:rsid w:val="00F74103"/>
    <w:rsid w:val="00F7425F"/>
    <w:rsid w:val="00F75BB5"/>
    <w:rsid w:val="00F7604C"/>
    <w:rsid w:val="00F81623"/>
    <w:rsid w:val="00F81D25"/>
    <w:rsid w:val="00F83045"/>
    <w:rsid w:val="00F83615"/>
    <w:rsid w:val="00F85329"/>
    <w:rsid w:val="00F878CD"/>
    <w:rsid w:val="00F8794A"/>
    <w:rsid w:val="00F90C1F"/>
    <w:rsid w:val="00F93231"/>
    <w:rsid w:val="00F950B5"/>
    <w:rsid w:val="00F953D5"/>
    <w:rsid w:val="00F97A34"/>
    <w:rsid w:val="00F97EA1"/>
    <w:rsid w:val="00FA05C8"/>
    <w:rsid w:val="00FA0678"/>
    <w:rsid w:val="00FA107F"/>
    <w:rsid w:val="00FA23F7"/>
    <w:rsid w:val="00FA27EB"/>
    <w:rsid w:val="00FA4117"/>
    <w:rsid w:val="00FA672F"/>
    <w:rsid w:val="00FA7792"/>
    <w:rsid w:val="00FB11FA"/>
    <w:rsid w:val="00FB18F8"/>
    <w:rsid w:val="00FB2F8E"/>
    <w:rsid w:val="00FB39B0"/>
    <w:rsid w:val="00FB5183"/>
    <w:rsid w:val="00FB5A71"/>
    <w:rsid w:val="00FB6DF2"/>
    <w:rsid w:val="00FB7823"/>
    <w:rsid w:val="00FC08B3"/>
    <w:rsid w:val="00FC09D7"/>
    <w:rsid w:val="00FC1998"/>
    <w:rsid w:val="00FC391E"/>
    <w:rsid w:val="00FC3AB7"/>
    <w:rsid w:val="00FC448A"/>
    <w:rsid w:val="00FC453D"/>
    <w:rsid w:val="00FC4A89"/>
    <w:rsid w:val="00FC665F"/>
    <w:rsid w:val="00FC6D59"/>
    <w:rsid w:val="00FC78F5"/>
    <w:rsid w:val="00FD10B3"/>
    <w:rsid w:val="00FD11C3"/>
    <w:rsid w:val="00FD154E"/>
    <w:rsid w:val="00FD3742"/>
    <w:rsid w:val="00FD3A41"/>
    <w:rsid w:val="00FD3AE2"/>
    <w:rsid w:val="00FD5975"/>
    <w:rsid w:val="00FD5AE4"/>
    <w:rsid w:val="00FD5F25"/>
    <w:rsid w:val="00FD60BE"/>
    <w:rsid w:val="00FD6894"/>
    <w:rsid w:val="00FD6980"/>
    <w:rsid w:val="00FD6AF0"/>
    <w:rsid w:val="00FD79B8"/>
    <w:rsid w:val="00FE0AD1"/>
    <w:rsid w:val="00FE0BBF"/>
    <w:rsid w:val="00FE0C6C"/>
    <w:rsid w:val="00FE33DB"/>
    <w:rsid w:val="00FE37DD"/>
    <w:rsid w:val="00FE3C31"/>
    <w:rsid w:val="00FE4015"/>
    <w:rsid w:val="00FE44F5"/>
    <w:rsid w:val="00FE480D"/>
    <w:rsid w:val="00FE6227"/>
    <w:rsid w:val="00FE6A50"/>
    <w:rsid w:val="00FE705C"/>
    <w:rsid w:val="00FF0B4F"/>
    <w:rsid w:val="00FF1AD3"/>
    <w:rsid w:val="00FF49F4"/>
    <w:rsid w:val="00FF651D"/>
    <w:rsid w:val="00FF68CA"/>
    <w:rsid w:val="010651D9"/>
    <w:rsid w:val="01080A12"/>
    <w:rsid w:val="01087B5C"/>
    <w:rsid w:val="013D1B25"/>
    <w:rsid w:val="0160701B"/>
    <w:rsid w:val="01F64F82"/>
    <w:rsid w:val="02AB16AA"/>
    <w:rsid w:val="02DA0C0E"/>
    <w:rsid w:val="037036FB"/>
    <w:rsid w:val="03DB0081"/>
    <w:rsid w:val="03DD35E4"/>
    <w:rsid w:val="04204843"/>
    <w:rsid w:val="05E6567B"/>
    <w:rsid w:val="06151F4D"/>
    <w:rsid w:val="064918B1"/>
    <w:rsid w:val="065A6178"/>
    <w:rsid w:val="07161BE8"/>
    <w:rsid w:val="075562B7"/>
    <w:rsid w:val="075F4E5F"/>
    <w:rsid w:val="07932DFE"/>
    <w:rsid w:val="07E26422"/>
    <w:rsid w:val="07EE6385"/>
    <w:rsid w:val="07F6164B"/>
    <w:rsid w:val="082478D7"/>
    <w:rsid w:val="087A1B7A"/>
    <w:rsid w:val="096B2097"/>
    <w:rsid w:val="098A38B1"/>
    <w:rsid w:val="09AD4635"/>
    <w:rsid w:val="09E651CC"/>
    <w:rsid w:val="0A0F01E6"/>
    <w:rsid w:val="0A5B7E63"/>
    <w:rsid w:val="0AA74DF8"/>
    <w:rsid w:val="0B10495A"/>
    <w:rsid w:val="0B517BB5"/>
    <w:rsid w:val="0B8942F8"/>
    <w:rsid w:val="0BA9624D"/>
    <w:rsid w:val="0BB52A3A"/>
    <w:rsid w:val="0BE51BEF"/>
    <w:rsid w:val="0C394176"/>
    <w:rsid w:val="0C87121B"/>
    <w:rsid w:val="0D0A7DB0"/>
    <w:rsid w:val="0D2309E6"/>
    <w:rsid w:val="0D2326D0"/>
    <w:rsid w:val="0DD83AFD"/>
    <w:rsid w:val="0DF702FE"/>
    <w:rsid w:val="0E2A28F6"/>
    <w:rsid w:val="0E3C5C14"/>
    <w:rsid w:val="0E3F698B"/>
    <w:rsid w:val="0EB161E1"/>
    <w:rsid w:val="0EF12AE6"/>
    <w:rsid w:val="0F20786F"/>
    <w:rsid w:val="0F21508F"/>
    <w:rsid w:val="0F816ACD"/>
    <w:rsid w:val="0FB94501"/>
    <w:rsid w:val="10632827"/>
    <w:rsid w:val="10664C3E"/>
    <w:rsid w:val="10B047CF"/>
    <w:rsid w:val="10FC16EA"/>
    <w:rsid w:val="11264092"/>
    <w:rsid w:val="118963A1"/>
    <w:rsid w:val="127723A9"/>
    <w:rsid w:val="129021B5"/>
    <w:rsid w:val="12DB492A"/>
    <w:rsid w:val="12E62A97"/>
    <w:rsid w:val="13072A44"/>
    <w:rsid w:val="131524DE"/>
    <w:rsid w:val="132E15A6"/>
    <w:rsid w:val="142E658A"/>
    <w:rsid w:val="14477334"/>
    <w:rsid w:val="145044FA"/>
    <w:rsid w:val="14E45A99"/>
    <w:rsid w:val="1510091C"/>
    <w:rsid w:val="160C4CA0"/>
    <w:rsid w:val="16514474"/>
    <w:rsid w:val="170A1F57"/>
    <w:rsid w:val="172305BE"/>
    <w:rsid w:val="174329DC"/>
    <w:rsid w:val="175F637D"/>
    <w:rsid w:val="179643C8"/>
    <w:rsid w:val="17D30478"/>
    <w:rsid w:val="186742B0"/>
    <w:rsid w:val="18AB4FB0"/>
    <w:rsid w:val="192D1D19"/>
    <w:rsid w:val="1988673C"/>
    <w:rsid w:val="19903077"/>
    <w:rsid w:val="19EE2A43"/>
    <w:rsid w:val="1A3D12D5"/>
    <w:rsid w:val="1A4C07A0"/>
    <w:rsid w:val="1A6913C7"/>
    <w:rsid w:val="1AE85297"/>
    <w:rsid w:val="1B0E45B3"/>
    <w:rsid w:val="1B2A271F"/>
    <w:rsid w:val="1B797315"/>
    <w:rsid w:val="1B890139"/>
    <w:rsid w:val="1BBD3BDE"/>
    <w:rsid w:val="1BDC1933"/>
    <w:rsid w:val="1C154D93"/>
    <w:rsid w:val="1C2C33AF"/>
    <w:rsid w:val="1CE673C3"/>
    <w:rsid w:val="1D266CE1"/>
    <w:rsid w:val="1D3963AF"/>
    <w:rsid w:val="1D440BCC"/>
    <w:rsid w:val="1DAE73A2"/>
    <w:rsid w:val="1DF33058"/>
    <w:rsid w:val="1E0F7CBE"/>
    <w:rsid w:val="1E4B1135"/>
    <w:rsid w:val="1E714A66"/>
    <w:rsid w:val="1EDD5CFF"/>
    <w:rsid w:val="1FB26039"/>
    <w:rsid w:val="1FE868A9"/>
    <w:rsid w:val="202B3482"/>
    <w:rsid w:val="209C013B"/>
    <w:rsid w:val="211E26D6"/>
    <w:rsid w:val="21283D08"/>
    <w:rsid w:val="212B48C9"/>
    <w:rsid w:val="21CA2254"/>
    <w:rsid w:val="21F0335F"/>
    <w:rsid w:val="2225275D"/>
    <w:rsid w:val="225C7930"/>
    <w:rsid w:val="230518A8"/>
    <w:rsid w:val="234731C4"/>
    <w:rsid w:val="23556523"/>
    <w:rsid w:val="23CC0BC6"/>
    <w:rsid w:val="24180837"/>
    <w:rsid w:val="253F6904"/>
    <w:rsid w:val="25B440B3"/>
    <w:rsid w:val="266E28B0"/>
    <w:rsid w:val="27B32668"/>
    <w:rsid w:val="27FF5E53"/>
    <w:rsid w:val="2812173C"/>
    <w:rsid w:val="282633A8"/>
    <w:rsid w:val="28990C4F"/>
    <w:rsid w:val="289C0C5B"/>
    <w:rsid w:val="28AA3FD9"/>
    <w:rsid w:val="294040A4"/>
    <w:rsid w:val="29DB6414"/>
    <w:rsid w:val="29DF25B4"/>
    <w:rsid w:val="2A6D5FC7"/>
    <w:rsid w:val="2AA1365A"/>
    <w:rsid w:val="2AAC3315"/>
    <w:rsid w:val="2B8D05DB"/>
    <w:rsid w:val="2C05143E"/>
    <w:rsid w:val="2C5D10F4"/>
    <w:rsid w:val="2D09603F"/>
    <w:rsid w:val="2DD15014"/>
    <w:rsid w:val="2DF51B3E"/>
    <w:rsid w:val="2E20089A"/>
    <w:rsid w:val="2F126410"/>
    <w:rsid w:val="2F134B30"/>
    <w:rsid w:val="2F2A7C22"/>
    <w:rsid w:val="2F6335B9"/>
    <w:rsid w:val="2F833124"/>
    <w:rsid w:val="2FD25781"/>
    <w:rsid w:val="2FDA1240"/>
    <w:rsid w:val="304C6E97"/>
    <w:rsid w:val="3086139E"/>
    <w:rsid w:val="30C7201E"/>
    <w:rsid w:val="30C85933"/>
    <w:rsid w:val="315874A1"/>
    <w:rsid w:val="316C6E1D"/>
    <w:rsid w:val="319C6071"/>
    <w:rsid w:val="31AD7D66"/>
    <w:rsid w:val="31AF2660"/>
    <w:rsid w:val="32AB3222"/>
    <w:rsid w:val="32D031F8"/>
    <w:rsid w:val="32DB72BE"/>
    <w:rsid w:val="33A43C42"/>
    <w:rsid w:val="33B26C68"/>
    <w:rsid w:val="342E63AB"/>
    <w:rsid w:val="345D260B"/>
    <w:rsid w:val="346356F2"/>
    <w:rsid w:val="350635ED"/>
    <w:rsid w:val="35256E55"/>
    <w:rsid w:val="35440282"/>
    <w:rsid w:val="35521C81"/>
    <w:rsid w:val="355444C2"/>
    <w:rsid w:val="355A6FC7"/>
    <w:rsid w:val="35941D23"/>
    <w:rsid w:val="360D353C"/>
    <w:rsid w:val="361A491D"/>
    <w:rsid w:val="365302AE"/>
    <w:rsid w:val="365E6B89"/>
    <w:rsid w:val="36942E20"/>
    <w:rsid w:val="36C3193F"/>
    <w:rsid w:val="37165E3F"/>
    <w:rsid w:val="37BE1756"/>
    <w:rsid w:val="37F142D2"/>
    <w:rsid w:val="380A48B6"/>
    <w:rsid w:val="394B75B8"/>
    <w:rsid w:val="397F4714"/>
    <w:rsid w:val="39861BF9"/>
    <w:rsid w:val="39A13F14"/>
    <w:rsid w:val="39B92F4B"/>
    <w:rsid w:val="39C03DF1"/>
    <w:rsid w:val="3A190618"/>
    <w:rsid w:val="3AC21656"/>
    <w:rsid w:val="3C4E1A43"/>
    <w:rsid w:val="3C5F759A"/>
    <w:rsid w:val="3C790486"/>
    <w:rsid w:val="3C7C52F2"/>
    <w:rsid w:val="3CA17789"/>
    <w:rsid w:val="3D5C78D4"/>
    <w:rsid w:val="3E7C1656"/>
    <w:rsid w:val="3EB75E51"/>
    <w:rsid w:val="3EBB740F"/>
    <w:rsid w:val="3F057376"/>
    <w:rsid w:val="3F5D36FC"/>
    <w:rsid w:val="3F75493D"/>
    <w:rsid w:val="3FFB2F15"/>
    <w:rsid w:val="3FFF72A6"/>
    <w:rsid w:val="40BC123A"/>
    <w:rsid w:val="410A2FD1"/>
    <w:rsid w:val="41173D7E"/>
    <w:rsid w:val="41B62849"/>
    <w:rsid w:val="41E2613A"/>
    <w:rsid w:val="41F30347"/>
    <w:rsid w:val="42051E29"/>
    <w:rsid w:val="428D386D"/>
    <w:rsid w:val="42E1381E"/>
    <w:rsid w:val="43086584"/>
    <w:rsid w:val="43870187"/>
    <w:rsid w:val="439E72BE"/>
    <w:rsid w:val="43F42155"/>
    <w:rsid w:val="43FB717C"/>
    <w:rsid w:val="451E447A"/>
    <w:rsid w:val="45345B76"/>
    <w:rsid w:val="45477DC0"/>
    <w:rsid w:val="456450B8"/>
    <w:rsid w:val="45B637F8"/>
    <w:rsid w:val="45E83934"/>
    <w:rsid w:val="46B856BC"/>
    <w:rsid w:val="47307808"/>
    <w:rsid w:val="473C59B3"/>
    <w:rsid w:val="478A51A9"/>
    <w:rsid w:val="47B24A55"/>
    <w:rsid w:val="47CB6F01"/>
    <w:rsid w:val="481728B6"/>
    <w:rsid w:val="48593377"/>
    <w:rsid w:val="486F747C"/>
    <w:rsid w:val="488C425C"/>
    <w:rsid w:val="48D22655"/>
    <w:rsid w:val="48FF7B0A"/>
    <w:rsid w:val="494116F8"/>
    <w:rsid w:val="499445DB"/>
    <w:rsid w:val="4A53383E"/>
    <w:rsid w:val="4A6F3F9E"/>
    <w:rsid w:val="4AD131F0"/>
    <w:rsid w:val="4AFD4615"/>
    <w:rsid w:val="4BB60F2A"/>
    <w:rsid w:val="4BD25472"/>
    <w:rsid w:val="4C0F7E58"/>
    <w:rsid w:val="4CB463C0"/>
    <w:rsid w:val="4D2C3A98"/>
    <w:rsid w:val="4D42685E"/>
    <w:rsid w:val="4D861CF6"/>
    <w:rsid w:val="4DC97459"/>
    <w:rsid w:val="4EDB288F"/>
    <w:rsid w:val="4EFB02AE"/>
    <w:rsid w:val="4F157513"/>
    <w:rsid w:val="4FF93BF5"/>
    <w:rsid w:val="51A0432A"/>
    <w:rsid w:val="51BD0CF9"/>
    <w:rsid w:val="51E433EB"/>
    <w:rsid w:val="527140E5"/>
    <w:rsid w:val="5292508F"/>
    <w:rsid w:val="52A96B6F"/>
    <w:rsid w:val="52CB0D22"/>
    <w:rsid w:val="52E52FC3"/>
    <w:rsid w:val="53CB1124"/>
    <w:rsid w:val="53F37C05"/>
    <w:rsid w:val="54770E98"/>
    <w:rsid w:val="54ED6E78"/>
    <w:rsid w:val="54F304E9"/>
    <w:rsid w:val="550764A4"/>
    <w:rsid w:val="551926E0"/>
    <w:rsid w:val="55211F5F"/>
    <w:rsid w:val="555F43BC"/>
    <w:rsid w:val="55741A72"/>
    <w:rsid w:val="557C6707"/>
    <w:rsid w:val="55A01821"/>
    <w:rsid w:val="56021E2A"/>
    <w:rsid w:val="5605139E"/>
    <w:rsid w:val="561279B9"/>
    <w:rsid w:val="56515F3B"/>
    <w:rsid w:val="56A56447"/>
    <w:rsid w:val="572B71CA"/>
    <w:rsid w:val="5812316E"/>
    <w:rsid w:val="5839031C"/>
    <w:rsid w:val="58AE4F0C"/>
    <w:rsid w:val="59A1370B"/>
    <w:rsid w:val="59B85160"/>
    <w:rsid w:val="59C15534"/>
    <w:rsid w:val="59C605F1"/>
    <w:rsid w:val="5A2A7C7B"/>
    <w:rsid w:val="5AEE1838"/>
    <w:rsid w:val="5B81699B"/>
    <w:rsid w:val="5B830BC2"/>
    <w:rsid w:val="5C062C25"/>
    <w:rsid w:val="5C207B33"/>
    <w:rsid w:val="5C797C9B"/>
    <w:rsid w:val="5C80234E"/>
    <w:rsid w:val="5D12448A"/>
    <w:rsid w:val="5D1547F0"/>
    <w:rsid w:val="5D291B5D"/>
    <w:rsid w:val="5D592017"/>
    <w:rsid w:val="5DFD4C1D"/>
    <w:rsid w:val="5E261785"/>
    <w:rsid w:val="5E3211F2"/>
    <w:rsid w:val="5E526E6A"/>
    <w:rsid w:val="5E9C4EDA"/>
    <w:rsid w:val="5EB96B8B"/>
    <w:rsid w:val="5EF446F3"/>
    <w:rsid w:val="5F9F157F"/>
    <w:rsid w:val="5FC34623"/>
    <w:rsid w:val="5FCC5339"/>
    <w:rsid w:val="5FE70807"/>
    <w:rsid w:val="60076EC3"/>
    <w:rsid w:val="60600E46"/>
    <w:rsid w:val="60682DA2"/>
    <w:rsid w:val="60DF19AD"/>
    <w:rsid w:val="60E31905"/>
    <w:rsid w:val="60E53485"/>
    <w:rsid w:val="61054A27"/>
    <w:rsid w:val="611D2366"/>
    <w:rsid w:val="616E3112"/>
    <w:rsid w:val="619B4BB1"/>
    <w:rsid w:val="62885958"/>
    <w:rsid w:val="633475F5"/>
    <w:rsid w:val="63917771"/>
    <w:rsid w:val="63DE3BC3"/>
    <w:rsid w:val="64633C2C"/>
    <w:rsid w:val="64901733"/>
    <w:rsid w:val="64CE2EAA"/>
    <w:rsid w:val="6507013D"/>
    <w:rsid w:val="650738C3"/>
    <w:rsid w:val="65287A70"/>
    <w:rsid w:val="65327395"/>
    <w:rsid w:val="65BE12E9"/>
    <w:rsid w:val="65C56926"/>
    <w:rsid w:val="662E75B1"/>
    <w:rsid w:val="66342C2E"/>
    <w:rsid w:val="66375219"/>
    <w:rsid w:val="663E784C"/>
    <w:rsid w:val="666C2381"/>
    <w:rsid w:val="66A80C6F"/>
    <w:rsid w:val="675F5853"/>
    <w:rsid w:val="67852E5A"/>
    <w:rsid w:val="67874F0A"/>
    <w:rsid w:val="67BA5B91"/>
    <w:rsid w:val="67DE574C"/>
    <w:rsid w:val="68110403"/>
    <w:rsid w:val="685867EC"/>
    <w:rsid w:val="68A86CAA"/>
    <w:rsid w:val="69B27CEE"/>
    <w:rsid w:val="6AA61D14"/>
    <w:rsid w:val="6AB853DB"/>
    <w:rsid w:val="6B0E4C9D"/>
    <w:rsid w:val="6B217340"/>
    <w:rsid w:val="6BF20280"/>
    <w:rsid w:val="6C1F56BC"/>
    <w:rsid w:val="6C7E14F8"/>
    <w:rsid w:val="6CDE737B"/>
    <w:rsid w:val="6CFB5AB2"/>
    <w:rsid w:val="6D1F2E59"/>
    <w:rsid w:val="6DEC400B"/>
    <w:rsid w:val="6E245261"/>
    <w:rsid w:val="6E4B257F"/>
    <w:rsid w:val="6E8E12EF"/>
    <w:rsid w:val="6EEF55D9"/>
    <w:rsid w:val="6F000444"/>
    <w:rsid w:val="6FCC3594"/>
    <w:rsid w:val="701D4236"/>
    <w:rsid w:val="713525C0"/>
    <w:rsid w:val="71B208DC"/>
    <w:rsid w:val="71D43752"/>
    <w:rsid w:val="7249474D"/>
    <w:rsid w:val="72BA6194"/>
    <w:rsid w:val="72C70ABE"/>
    <w:rsid w:val="72CB7B55"/>
    <w:rsid w:val="7328241F"/>
    <w:rsid w:val="733B0D05"/>
    <w:rsid w:val="73B51291"/>
    <w:rsid w:val="73DD6243"/>
    <w:rsid w:val="73F05F13"/>
    <w:rsid w:val="744D5E61"/>
    <w:rsid w:val="748C0004"/>
    <w:rsid w:val="749C4185"/>
    <w:rsid w:val="75BF5C58"/>
    <w:rsid w:val="75DA2C18"/>
    <w:rsid w:val="76475088"/>
    <w:rsid w:val="765252BC"/>
    <w:rsid w:val="76E8106E"/>
    <w:rsid w:val="771F7270"/>
    <w:rsid w:val="77261652"/>
    <w:rsid w:val="775319EF"/>
    <w:rsid w:val="77F55EC0"/>
    <w:rsid w:val="78363FF7"/>
    <w:rsid w:val="784A4A22"/>
    <w:rsid w:val="78C31426"/>
    <w:rsid w:val="78EB3FA2"/>
    <w:rsid w:val="790578E3"/>
    <w:rsid w:val="79076CAA"/>
    <w:rsid w:val="790F1C77"/>
    <w:rsid w:val="79BC4EE7"/>
    <w:rsid w:val="7A2E2539"/>
    <w:rsid w:val="7A4E1320"/>
    <w:rsid w:val="7A67303B"/>
    <w:rsid w:val="7A9E78D8"/>
    <w:rsid w:val="7AAB1D04"/>
    <w:rsid w:val="7ABA4368"/>
    <w:rsid w:val="7B257FFD"/>
    <w:rsid w:val="7B2C0C6B"/>
    <w:rsid w:val="7B441E3E"/>
    <w:rsid w:val="7B6BCB61"/>
    <w:rsid w:val="7B9B13F3"/>
    <w:rsid w:val="7C030BAC"/>
    <w:rsid w:val="7C2B1DA5"/>
    <w:rsid w:val="7C3413F9"/>
    <w:rsid w:val="7C786FF2"/>
    <w:rsid w:val="7DD63EDE"/>
    <w:rsid w:val="7DF4317E"/>
    <w:rsid w:val="7E64308B"/>
    <w:rsid w:val="7EED7F09"/>
    <w:rsid w:val="7FAF4013"/>
    <w:rsid w:val="DFBBBC97"/>
    <w:rsid w:val="EFFD74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9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52"/>
    <w:qFormat/>
    <w:uiPriority w:val="0"/>
    <w:pPr>
      <w:keepNext/>
      <w:keepLines/>
      <w:numPr>
        <w:ilvl w:val="0"/>
        <w:numId w:val="1"/>
      </w:numPr>
      <w:spacing w:before="340" w:after="330" w:line="578" w:lineRule="auto"/>
      <w:outlineLvl w:val="0"/>
    </w:pPr>
    <w:rPr>
      <w:b/>
      <w:bCs/>
      <w:kern w:val="44"/>
      <w:sz w:val="44"/>
      <w:szCs w:val="44"/>
    </w:rPr>
  </w:style>
  <w:style w:type="paragraph" w:styleId="3">
    <w:name w:val="heading 2"/>
    <w:basedOn w:val="1"/>
    <w:next w:val="1"/>
    <w:qFormat/>
    <w:uiPriority w:val="9"/>
    <w:pPr>
      <w:keepNext/>
      <w:keepLines/>
      <w:numPr>
        <w:ilvl w:val="0"/>
        <w:numId w:val="2"/>
      </w:numPr>
      <w:adjustRightInd/>
      <w:spacing w:line="360" w:lineRule="auto"/>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numPr>
        <w:ilvl w:val="2"/>
        <w:numId w:val="1"/>
      </w:numPr>
      <w:spacing w:before="260" w:after="260" w:line="416" w:lineRule="auto"/>
      <w:outlineLvl w:val="2"/>
    </w:pPr>
    <w:rPr>
      <w:b/>
      <w:bCs/>
      <w:sz w:val="32"/>
      <w:szCs w:val="32"/>
    </w:rPr>
  </w:style>
  <w:style w:type="paragraph" w:styleId="5">
    <w:name w:val="heading 4"/>
    <w:basedOn w:val="1"/>
    <w:next w:val="1"/>
    <w:link w:val="602"/>
    <w:qFormat/>
    <w:uiPriority w:val="0"/>
    <w:pPr>
      <w:keepNext/>
      <w:keepLines/>
      <w:numPr>
        <w:ilvl w:val="3"/>
        <w:numId w:val="1"/>
      </w:numPr>
      <w:spacing w:before="280" w:after="290" w:line="376" w:lineRule="auto"/>
      <w:outlineLvl w:val="3"/>
    </w:pPr>
    <w:rPr>
      <w:rFonts w:ascii="Arial" w:hAnsi="Arial" w:eastAsia="黑体"/>
      <w:b/>
      <w:bCs/>
      <w:sz w:val="28"/>
      <w:szCs w:val="28"/>
      <w:lang w:val="zh-CN"/>
    </w:rPr>
  </w:style>
  <w:style w:type="paragraph" w:styleId="6">
    <w:name w:val="heading 5"/>
    <w:basedOn w:val="1"/>
    <w:next w:val="1"/>
    <w:link w:val="576"/>
    <w:qFormat/>
    <w:uiPriority w:val="0"/>
    <w:pPr>
      <w:keepNext/>
      <w:keepLines/>
      <w:numPr>
        <w:ilvl w:val="4"/>
        <w:numId w:val="1"/>
      </w:numPr>
      <w:spacing w:before="280" w:after="290" w:line="376" w:lineRule="auto"/>
      <w:outlineLvl w:val="4"/>
    </w:pPr>
    <w:rPr>
      <w:b/>
      <w:bCs/>
      <w:sz w:val="28"/>
      <w:szCs w:val="28"/>
    </w:rPr>
  </w:style>
  <w:style w:type="paragraph" w:styleId="7">
    <w:name w:val="heading 6"/>
    <w:basedOn w:val="1"/>
    <w:next w:val="1"/>
    <w:link w:val="615"/>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8">
    <w:name w:val="heading 7"/>
    <w:basedOn w:val="1"/>
    <w:next w:val="1"/>
    <w:link w:val="484"/>
    <w:qFormat/>
    <w:uiPriority w:val="0"/>
    <w:pPr>
      <w:keepNext/>
      <w:keepLines/>
      <w:numPr>
        <w:ilvl w:val="6"/>
        <w:numId w:val="1"/>
      </w:numPr>
      <w:spacing w:before="240" w:after="64" w:line="320" w:lineRule="auto"/>
      <w:outlineLvl w:val="6"/>
    </w:pPr>
    <w:rPr>
      <w:b/>
      <w:bCs/>
      <w:sz w:val="24"/>
    </w:rPr>
  </w:style>
  <w:style w:type="paragraph" w:styleId="9">
    <w:name w:val="heading 8"/>
    <w:basedOn w:val="1"/>
    <w:next w:val="1"/>
    <w:link w:val="474"/>
    <w:qFormat/>
    <w:uiPriority w:val="0"/>
    <w:pPr>
      <w:keepNext/>
      <w:keepLines/>
      <w:numPr>
        <w:ilvl w:val="7"/>
        <w:numId w:val="1"/>
      </w:numPr>
      <w:spacing w:before="240" w:after="64" w:line="320" w:lineRule="auto"/>
      <w:outlineLvl w:val="7"/>
    </w:pPr>
    <w:rPr>
      <w:rFonts w:ascii="Arial" w:hAnsi="Arial" w:eastAsia="黑体"/>
      <w:sz w:val="24"/>
    </w:rPr>
  </w:style>
  <w:style w:type="paragraph" w:styleId="10">
    <w:name w:val="heading 9"/>
    <w:basedOn w:val="1"/>
    <w:next w:val="1"/>
    <w:link w:val="522"/>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62">
    <w:name w:val="Default Paragraph Font"/>
    <w:semiHidden/>
    <w:unhideWhenUsed/>
    <w:qFormat/>
    <w:uiPriority w:val="1"/>
  </w:style>
  <w:style w:type="table" w:default="1" w:styleId="60">
    <w:name w:val="Normal Table"/>
    <w:semiHidden/>
    <w:unhideWhenUsed/>
    <w:qFormat/>
    <w:uiPriority w:val="99"/>
    <w:pPr>
      <w:keepNext w:val="0"/>
      <w:keepLines w:val="0"/>
      <w:widowControl/>
      <w:suppressLineNumbers w:val="0"/>
      <w:spacing w:before="0" w:beforeAutospacing="0" w:after="0" w:afterAutospacing="0"/>
      <w:ind w:left="0" w:right="0"/>
    </w:pPr>
    <w:rPr>
      <w:rFonts w:ascii="等线" w:hAnsi="等线" w:eastAsia="等线" w:cs="Times New Roman"/>
      <w:kern w:val="2"/>
      <w:sz w:val="21"/>
      <w:szCs w:val="22"/>
    </w:rPr>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unhideWhenUsed/>
    <w:qFormat/>
    <w:uiPriority w:val="99"/>
    <w:pPr>
      <w:widowControl/>
      <w:numPr>
        <w:ilvl w:val="0"/>
        <w:numId w:val="3"/>
      </w:numPr>
      <w:tabs>
        <w:tab w:val="left" w:pos="432"/>
        <w:tab w:val="clear" w:pos="1440"/>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next w:val="1"/>
    <w:link w:val="616"/>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semiHidden/>
    <w:qFormat/>
    <w:uiPriority w:val="0"/>
    <w:pPr>
      <w:shd w:val="clear" w:color="auto" w:fill="000080"/>
    </w:pPr>
  </w:style>
  <w:style w:type="paragraph" w:styleId="19">
    <w:name w:val="annotation text"/>
    <w:basedOn w:val="1"/>
    <w:link w:val="617"/>
    <w:qFormat/>
    <w:uiPriority w:val="99"/>
    <w:pPr>
      <w:jc w:val="left"/>
    </w:pPr>
  </w:style>
  <w:style w:type="paragraph" w:styleId="20">
    <w:name w:val="Salutation"/>
    <w:basedOn w:val="1"/>
    <w:next w:val="1"/>
    <w:link w:val="485"/>
    <w:qFormat/>
    <w:uiPriority w:val="0"/>
    <w:rPr>
      <w:rFonts w:ascii="仿宋_GB2312" w:eastAsia="仿宋_GB2312"/>
      <w:sz w:val="28"/>
      <w:szCs w:val="20"/>
    </w:rPr>
  </w:style>
  <w:style w:type="paragraph" w:styleId="21">
    <w:name w:val="Body Text 3"/>
    <w:basedOn w:val="1"/>
    <w:link w:val="584"/>
    <w:qFormat/>
    <w:uiPriority w:val="0"/>
    <w:pPr>
      <w:jc w:val="center"/>
    </w:pPr>
    <w:rPr>
      <w:szCs w:val="20"/>
    </w:rPr>
  </w:style>
  <w:style w:type="paragraph" w:styleId="22">
    <w:name w:val="Body Text"/>
    <w:basedOn w:val="1"/>
    <w:next w:val="1"/>
    <w:link w:val="515"/>
    <w:qFormat/>
    <w:uiPriority w:val="0"/>
    <w:pPr>
      <w:autoSpaceDE w:val="0"/>
      <w:autoSpaceDN w:val="0"/>
      <w:spacing w:line="360" w:lineRule="auto"/>
    </w:pPr>
    <w:rPr>
      <w:rFonts w:ascii="宋体"/>
      <w:sz w:val="24"/>
      <w:szCs w:val="21"/>
      <w:lang w:val="zh-CN"/>
    </w:rPr>
  </w:style>
  <w:style w:type="paragraph" w:styleId="23">
    <w:name w:val="Body Text Indent"/>
    <w:basedOn w:val="1"/>
    <w:next w:val="1"/>
    <w:link w:val="478"/>
    <w:qFormat/>
    <w:uiPriority w:val="0"/>
    <w:pPr>
      <w:spacing w:line="480" w:lineRule="exact"/>
      <w:ind w:firstLine="480" w:firstLineChars="200"/>
    </w:pPr>
    <w:rPr>
      <w:rFonts w:ascii="宋体" w:hAnsi="宋体"/>
      <w:sz w:val="24"/>
    </w:rPr>
  </w:style>
  <w:style w:type="paragraph" w:styleId="24">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5">
    <w:name w:val="List 2"/>
    <w:basedOn w:val="1"/>
    <w:qFormat/>
    <w:uiPriority w:val="0"/>
    <w:pPr>
      <w:adjustRightInd/>
      <w:spacing w:line="360" w:lineRule="auto"/>
      <w:ind w:left="100" w:leftChars="200" w:hanging="200" w:hangingChars="200"/>
    </w:pPr>
    <w:rPr>
      <w:rFonts w:eastAsia="微软雅黑"/>
    </w:rPr>
  </w:style>
  <w:style w:type="paragraph" w:styleId="26">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7">
    <w:name w:val="List Bullet 2"/>
    <w:basedOn w:val="1"/>
    <w:qFormat/>
    <w:uiPriority w:val="0"/>
    <w:pPr>
      <w:autoSpaceDE w:val="0"/>
      <w:autoSpaceDN w:val="0"/>
      <w:ind w:left="420"/>
      <w:jc w:val="left"/>
    </w:pPr>
    <w:rPr>
      <w:rFonts w:ascii="宋体" w:hAnsi="宋体"/>
      <w:color w:val="000000"/>
      <w:kern w:val="0"/>
      <w:sz w:val="24"/>
      <w:szCs w:val="20"/>
    </w:rPr>
  </w:style>
  <w:style w:type="paragraph" w:styleId="28">
    <w:name w:val="HTML Address"/>
    <w:basedOn w:val="1"/>
    <w:link w:val="574"/>
    <w:qFormat/>
    <w:uiPriority w:val="0"/>
    <w:pPr>
      <w:widowControl/>
      <w:adjustRightInd/>
      <w:ind w:firstLine="200" w:firstLineChars="200"/>
      <w:jc w:val="left"/>
    </w:pPr>
    <w:rPr>
      <w:rFonts w:ascii="宋体" w:hAnsi="宋体"/>
      <w:i/>
      <w:iCs/>
      <w:kern w:val="0"/>
      <w:sz w:val="24"/>
    </w:rPr>
  </w:style>
  <w:style w:type="paragraph" w:styleId="29">
    <w:name w:val="toc 5"/>
    <w:basedOn w:val="1"/>
    <w:next w:val="1"/>
    <w:qFormat/>
    <w:uiPriority w:val="0"/>
    <w:pPr>
      <w:ind w:left="1680" w:leftChars="800"/>
    </w:pPr>
  </w:style>
  <w:style w:type="paragraph" w:styleId="30">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1">
    <w:name w:val="Plain Text"/>
    <w:basedOn w:val="1"/>
    <w:link w:val="492"/>
    <w:qFormat/>
    <w:uiPriority w:val="0"/>
    <w:rPr>
      <w:rFonts w:ascii="宋体" w:hAnsi="Courier New"/>
      <w:szCs w:val="20"/>
    </w:rPr>
  </w:style>
  <w:style w:type="paragraph" w:styleId="32">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3">
    <w:name w:val="toc 8"/>
    <w:basedOn w:val="1"/>
    <w:next w:val="1"/>
    <w:qFormat/>
    <w:uiPriority w:val="0"/>
    <w:pPr>
      <w:ind w:left="2940" w:leftChars="1400"/>
    </w:pPr>
  </w:style>
  <w:style w:type="paragraph" w:styleId="34">
    <w:name w:val="Date"/>
    <w:basedOn w:val="1"/>
    <w:next w:val="1"/>
    <w:link w:val="601"/>
    <w:qFormat/>
    <w:uiPriority w:val="0"/>
    <w:pPr>
      <w:ind w:left="100" w:leftChars="2500"/>
    </w:pPr>
    <w:rPr>
      <w:rFonts w:ascii="宋体"/>
      <w:sz w:val="24"/>
      <w:szCs w:val="21"/>
      <w:lang w:val="zh-CN"/>
    </w:rPr>
  </w:style>
  <w:style w:type="paragraph" w:styleId="35">
    <w:name w:val="Body Text Indent 2"/>
    <w:basedOn w:val="1"/>
    <w:link w:val="506"/>
    <w:qFormat/>
    <w:uiPriority w:val="0"/>
    <w:pPr>
      <w:spacing w:line="360" w:lineRule="auto"/>
      <w:ind w:firstLine="601"/>
      <w:textAlignment w:val="baseline"/>
    </w:pPr>
    <w:rPr>
      <w:rFonts w:ascii="宋体"/>
      <w:kern w:val="0"/>
      <w:sz w:val="28"/>
      <w:szCs w:val="20"/>
    </w:rPr>
  </w:style>
  <w:style w:type="paragraph" w:styleId="36">
    <w:name w:val="Balloon Text"/>
    <w:basedOn w:val="1"/>
    <w:link w:val="618"/>
    <w:semiHidden/>
    <w:qFormat/>
    <w:uiPriority w:val="0"/>
    <w:rPr>
      <w:sz w:val="18"/>
      <w:szCs w:val="18"/>
    </w:rPr>
  </w:style>
  <w:style w:type="paragraph" w:styleId="37">
    <w:name w:val="footer"/>
    <w:basedOn w:val="1"/>
    <w:qFormat/>
    <w:uiPriority w:val="0"/>
    <w:pPr>
      <w:tabs>
        <w:tab w:val="center" w:pos="4153"/>
        <w:tab w:val="right" w:pos="8306"/>
      </w:tabs>
      <w:snapToGrid w:val="0"/>
      <w:jc w:val="left"/>
    </w:pPr>
    <w:rPr>
      <w:sz w:val="18"/>
      <w:szCs w:val="18"/>
    </w:rPr>
  </w:style>
  <w:style w:type="paragraph" w:styleId="3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39">
    <w:name w:val="Signature"/>
    <w:basedOn w:val="1"/>
    <w:link w:val="438"/>
    <w:qFormat/>
    <w:uiPriority w:val="0"/>
    <w:pPr>
      <w:spacing w:after="600" w:line="312" w:lineRule="atLeast"/>
      <w:jc w:val="center"/>
      <w:textAlignment w:val="baseline"/>
    </w:pPr>
    <w:rPr>
      <w:rFonts w:eastAsia="仿宋_GB2312"/>
      <w:kern w:val="0"/>
      <w:sz w:val="24"/>
      <w:szCs w:val="20"/>
    </w:rPr>
  </w:style>
  <w:style w:type="paragraph" w:styleId="40">
    <w:name w:val="toc 1"/>
    <w:basedOn w:val="1"/>
    <w:next w:val="1"/>
    <w:qFormat/>
    <w:uiPriority w:val="0"/>
  </w:style>
  <w:style w:type="paragraph" w:styleId="41">
    <w:name w:val="toc 4"/>
    <w:basedOn w:val="1"/>
    <w:next w:val="1"/>
    <w:qFormat/>
    <w:uiPriority w:val="0"/>
    <w:pPr>
      <w:ind w:left="1260" w:leftChars="600"/>
    </w:pPr>
  </w:style>
  <w:style w:type="paragraph" w:styleId="42">
    <w:name w:val="index heading"/>
    <w:basedOn w:val="1"/>
    <w:next w:val="43"/>
    <w:qFormat/>
    <w:uiPriority w:val="0"/>
    <w:pPr>
      <w:adjustRightInd/>
      <w:ind w:firstLine="200" w:firstLineChars="200"/>
    </w:pPr>
  </w:style>
  <w:style w:type="paragraph" w:styleId="43">
    <w:name w:val="index 1"/>
    <w:basedOn w:val="1"/>
    <w:next w:val="1"/>
    <w:qFormat/>
    <w:uiPriority w:val="0"/>
    <w:pPr>
      <w:adjustRightInd/>
      <w:spacing w:line="360" w:lineRule="auto"/>
      <w:ind w:firstLine="200" w:firstLineChars="200"/>
      <w:jc w:val="center"/>
    </w:pPr>
    <w:rPr>
      <w:sz w:val="24"/>
      <w:szCs w:val="20"/>
    </w:rPr>
  </w:style>
  <w:style w:type="paragraph" w:styleId="44">
    <w:name w:val="Subtitle"/>
    <w:link w:val="491"/>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5">
    <w:name w:val="List Number 5"/>
    <w:basedOn w:val="1"/>
    <w:qFormat/>
    <w:uiPriority w:val="0"/>
    <w:pPr>
      <w:tabs>
        <w:tab w:val="left" w:pos="902"/>
      </w:tabs>
      <w:adjustRightInd/>
      <w:spacing w:line="400" w:lineRule="exact"/>
      <w:ind w:left="902" w:hanging="420"/>
    </w:pPr>
    <w:rPr>
      <w:sz w:val="24"/>
      <w:szCs w:val="20"/>
    </w:rPr>
  </w:style>
  <w:style w:type="paragraph" w:styleId="46">
    <w:name w:val="List"/>
    <w:basedOn w:val="1"/>
    <w:qFormat/>
    <w:uiPriority w:val="0"/>
    <w:pPr>
      <w:ind w:left="200" w:hanging="200" w:hangingChars="200"/>
    </w:pPr>
  </w:style>
  <w:style w:type="paragraph" w:styleId="47">
    <w:name w:val="footnote text"/>
    <w:basedOn w:val="15"/>
    <w:link w:val="476"/>
    <w:qFormat/>
    <w:uiPriority w:val="0"/>
    <w:pPr>
      <w:adjustRightInd/>
      <w:snapToGrid/>
      <w:spacing w:before="60" w:after="60" w:line="300" w:lineRule="exact"/>
      <w:ind w:firstLine="0"/>
    </w:pPr>
    <w:rPr>
      <w:rFonts w:ascii="Times New Roman"/>
      <w:snapToGrid/>
      <w:color w:val="0000FF"/>
      <w:kern w:val="0"/>
      <w:sz w:val="21"/>
    </w:rPr>
  </w:style>
  <w:style w:type="paragraph" w:styleId="48">
    <w:name w:val="toc 6"/>
    <w:basedOn w:val="1"/>
    <w:next w:val="1"/>
    <w:qFormat/>
    <w:uiPriority w:val="0"/>
    <w:pPr>
      <w:ind w:left="2100" w:leftChars="1000"/>
    </w:pPr>
  </w:style>
  <w:style w:type="paragraph" w:styleId="49">
    <w:name w:val="List 5"/>
    <w:basedOn w:val="1"/>
    <w:qFormat/>
    <w:uiPriority w:val="0"/>
    <w:pPr>
      <w:adjustRightInd/>
      <w:ind w:left="100" w:leftChars="800" w:hanging="200" w:hangingChars="200"/>
    </w:pPr>
  </w:style>
  <w:style w:type="paragraph" w:styleId="50">
    <w:name w:val="Body Text Indent 3"/>
    <w:basedOn w:val="1"/>
    <w:link w:val="591"/>
    <w:qFormat/>
    <w:uiPriority w:val="0"/>
    <w:pPr>
      <w:spacing w:line="360" w:lineRule="auto"/>
      <w:ind w:firstLine="420"/>
    </w:pPr>
    <w:rPr>
      <w:sz w:val="24"/>
      <w:szCs w:val="20"/>
    </w:rPr>
  </w:style>
  <w:style w:type="paragraph" w:styleId="51">
    <w:name w:val="toc 2"/>
    <w:basedOn w:val="1"/>
    <w:next w:val="1"/>
    <w:qFormat/>
    <w:uiPriority w:val="0"/>
    <w:pPr>
      <w:ind w:left="420" w:leftChars="200"/>
    </w:pPr>
  </w:style>
  <w:style w:type="paragraph" w:styleId="52">
    <w:name w:val="toc 9"/>
    <w:basedOn w:val="1"/>
    <w:next w:val="1"/>
    <w:qFormat/>
    <w:uiPriority w:val="0"/>
    <w:pPr>
      <w:ind w:left="3360" w:leftChars="1600"/>
    </w:pPr>
  </w:style>
  <w:style w:type="paragraph" w:styleId="53">
    <w:name w:val="Body Text 2"/>
    <w:basedOn w:val="1"/>
    <w:qFormat/>
    <w:uiPriority w:val="0"/>
    <w:pPr>
      <w:spacing w:after="120" w:line="480" w:lineRule="auto"/>
    </w:pPr>
  </w:style>
  <w:style w:type="paragraph" w:styleId="54">
    <w:name w:val="HTML Preformatted"/>
    <w:basedOn w:val="1"/>
    <w:link w:val="546"/>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5">
    <w:name w:val="Normal (Web)"/>
    <w:basedOn w:val="1"/>
    <w:qFormat/>
    <w:uiPriority w:val="99"/>
    <w:pPr>
      <w:widowControl/>
      <w:spacing w:before="100" w:beforeAutospacing="1" w:after="100" w:afterAutospacing="1"/>
      <w:jc w:val="left"/>
    </w:pPr>
    <w:rPr>
      <w:rFonts w:ascii="宋体" w:hAnsi="宋体"/>
      <w:kern w:val="0"/>
      <w:sz w:val="24"/>
    </w:rPr>
  </w:style>
  <w:style w:type="paragraph" w:styleId="56">
    <w:name w:val="Title"/>
    <w:basedOn w:val="1"/>
    <w:qFormat/>
    <w:uiPriority w:val="0"/>
    <w:pPr>
      <w:widowControl/>
      <w:overflowPunct w:val="0"/>
      <w:autoSpaceDE w:val="0"/>
      <w:autoSpaceDN w:val="0"/>
      <w:jc w:val="center"/>
      <w:textAlignment w:val="baseline"/>
    </w:pPr>
    <w:rPr>
      <w:b/>
      <w:kern w:val="0"/>
      <w:sz w:val="24"/>
      <w:szCs w:val="20"/>
      <w:lang w:val="en-GB"/>
    </w:rPr>
  </w:style>
  <w:style w:type="paragraph" w:styleId="57">
    <w:name w:val="annotation subject"/>
    <w:basedOn w:val="19"/>
    <w:next w:val="19"/>
    <w:semiHidden/>
    <w:qFormat/>
    <w:uiPriority w:val="0"/>
    <w:rPr>
      <w:b/>
      <w:bCs/>
    </w:rPr>
  </w:style>
  <w:style w:type="paragraph" w:styleId="58">
    <w:name w:val="Body Text First Indent"/>
    <w:basedOn w:val="22"/>
    <w:next w:val="48"/>
    <w:link w:val="548"/>
    <w:qFormat/>
    <w:uiPriority w:val="0"/>
    <w:pPr>
      <w:ind w:firstLine="420"/>
    </w:pPr>
    <w:rPr>
      <w:szCs w:val="20"/>
    </w:rPr>
  </w:style>
  <w:style w:type="paragraph" w:styleId="59">
    <w:name w:val="Body Text First Indent 2"/>
    <w:basedOn w:val="23"/>
    <w:next w:val="1"/>
    <w:link w:val="505"/>
    <w:qFormat/>
    <w:uiPriority w:val="0"/>
    <w:pPr>
      <w:adjustRightInd/>
      <w:spacing w:after="120" w:line="240" w:lineRule="auto"/>
      <w:ind w:left="420" w:leftChars="200" w:firstLine="210"/>
    </w:pPr>
    <w:rPr>
      <w:sz w:val="21"/>
    </w:rPr>
  </w:style>
  <w:style w:type="table" w:styleId="61">
    <w:name w:val="Table Grid"/>
    <w:basedOn w:val="60"/>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3">
    <w:name w:val="Strong"/>
    <w:qFormat/>
    <w:uiPriority w:val="22"/>
    <w:rPr>
      <w:b/>
      <w:bCs/>
    </w:rPr>
  </w:style>
  <w:style w:type="character" w:styleId="64">
    <w:name w:val="page number"/>
    <w:basedOn w:val="62"/>
    <w:qFormat/>
    <w:uiPriority w:val="0"/>
  </w:style>
  <w:style w:type="character" w:styleId="65">
    <w:name w:val="FollowedHyperlink"/>
    <w:qFormat/>
    <w:uiPriority w:val="0"/>
    <w:rPr>
      <w:rFonts w:ascii="Arial" w:hAnsi="Arial" w:eastAsia="黑体" w:cs="Arial"/>
      <w:snapToGrid w:val="0"/>
      <w:color w:val="000000"/>
      <w:kern w:val="0"/>
      <w:sz w:val="18"/>
      <w:szCs w:val="18"/>
      <w:u w:val="none"/>
    </w:rPr>
  </w:style>
  <w:style w:type="character" w:styleId="66">
    <w:name w:val="Emphasis"/>
    <w:qFormat/>
    <w:uiPriority w:val="0"/>
    <w:rPr>
      <w:color w:val="CC0033"/>
    </w:rPr>
  </w:style>
  <w:style w:type="character" w:styleId="67">
    <w:name w:val="line number"/>
    <w:basedOn w:val="62"/>
    <w:qFormat/>
    <w:uiPriority w:val="0"/>
  </w:style>
  <w:style w:type="character" w:styleId="68">
    <w:name w:val="Hyperlink"/>
    <w:qFormat/>
    <w:uiPriority w:val="0"/>
    <w:rPr>
      <w:rFonts w:ascii="Arial" w:hAnsi="Arial" w:eastAsia="黑体" w:cs="Arial"/>
      <w:snapToGrid w:val="0"/>
      <w:color w:val="000000"/>
      <w:kern w:val="0"/>
      <w:sz w:val="18"/>
      <w:szCs w:val="18"/>
      <w:u w:val="none"/>
    </w:rPr>
  </w:style>
  <w:style w:type="character" w:styleId="69">
    <w:name w:val="HTML Code"/>
    <w:qFormat/>
    <w:uiPriority w:val="0"/>
    <w:rPr>
      <w:rFonts w:ascii="黑体" w:hAnsi="Courier New" w:eastAsia="黑体" w:cs="楷体_GB2312"/>
      <w:sz w:val="20"/>
      <w:szCs w:val="20"/>
    </w:rPr>
  </w:style>
  <w:style w:type="character" w:styleId="70">
    <w:name w:val="annotation reference"/>
    <w:qFormat/>
    <w:uiPriority w:val="99"/>
    <w:rPr>
      <w:sz w:val="21"/>
      <w:szCs w:val="21"/>
    </w:rPr>
  </w:style>
  <w:style w:type="paragraph" w:customStyle="1" w:styleId="71">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72">
    <w:name w:val="正文1"/>
    <w:basedOn w:val="30"/>
    <w:qFormat/>
    <w:uiPriority w:val="0"/>
    <w:pPr>
      <w:ind w:left="0" w:leftChars="0" w:firstLine="480" w:firstLineChars="200"/>
    </w:pPr>
    <w:rPr>
      <w:rFonts w:ascii="仿宋_GB2312" w:hAnsi="Courier New" w:eastAsia="仿宋_GB2312"/>
      <w:kern w:val="28"/>
      <w:sz w:val="24"/>
    </w:rPr>
  </w:style>
  <w:style w:type="paragraph" w:customStyle="1" w:styleId="73">
    <w:name w:val="正文文本首行缩进 2"/>
    <w:basedOn w:val="74"/>
    <w:qFormat/>
    <w:uiPriority w:val="99"/>
    <w:pPr>
      <w:tabs>
        <w:tab w:val="right" w:leader="dot" w:pos="8268"/>
      </w:tabs>
      <w:spacing w:line="200" w:lineRule="atLeast"/>
      <w:ind w:firstLine="420"/>
    </w:pPr>
    <w:rPr>
      <w:rFonts w:ascii="宋体"/>
      <w:spacing w:val="-4"/>
      <w:sz w:val="18"/>
    </w:rPr>
  </w:style>
  <w:style w:type="paragraph" w:customStyle="1" w:styleId="74">
    <w:name w:val="正文缩进1"/>
    <w:basedOn w:val="72"/>
    <w:next w:val="7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5">
    <w:name w:val="正文文本首行缩进 21"/>
    <w:basedOn w:val="23"/>
    <w:qFormat/>
    <w:uiPriority w:val="99"/>
    <w:pPr>
      <w:tabs>
        <w:tab w:val="right" w:leader="dot" w:pos="8268"/>
      </w:tabs>
      <w:spacing w:line="200" w:lineRule="atLeast"/>
      <w:ind w:firstLine="420"/>
    </w:pPr>
    <w:rPr>
      <w:rFonts w:hAnsi="Courier New"/>
      <w:spacing w:val="-4"/>
      <w:sz w:val="18"/>
    </w:rPr>
  </w:style>
  <w:style w:type="paragraph" w:customStyle="1" w:styleId="76">
    <w:name w:val="标题 21"/>
    <w:basedOn w:val="72"/>
    <w:next w:val="72"/>
    <w:qFormat/>
    <w:uiPriority w:val="0"/>
    <w:pPr>
      <w:keepNext/>
      <w:keepLines/>
      <w:tabs>
        <w:tab w:val="left" w:pos="706"/>
        <w:tab w:val="clear" w:pos="8268"/>
      </w:tabs>
      <w:ind w:left="106" w:firstLine="454"/>
      <w:outlineLvl w:val="1"/>
    </w:pPr>
    <w:rPr>
      <w:rFonts w:ascii="Arial" w:hAnsi="Arial" w:eastAsia="??"/>
      <w:b/>
      <w:bCs/>
      <w:szCs w:val="32"/>
    </w:rPr>
  </w:style>
  <w:style w:type="paragraph" w:customStyle="1" w:styleId="77">
    <w:name w:val="自动更正"/>
    <w:unhideWhenUsed/>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78">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79">
    <w:name w:val="冯"/>
    <w:basedOn w:val="1"/>
    <w:link w:val="519"/>
    <w:qFormat/>
    <w:uiPriority w:val="0"/>
    <w:pPr>
      <w:widowControl/>
      <w:adjustRightInd/>
      <w:spacing w:line="360" w:lineRule="auto"/>
      <w:ind w:firstLine="480" w:firstLineChars="200"/>
    </w:pPr>
    <w:rPr>
      <w:rFonts w:ascii="宋体" w:hAnsi="宋体"/>
      <w:color w:val="000000"/>
      <w:kern w:val="0"/>
      <w:sz w:val="24"/>
    </w:rPr>
  </w:style>
  <w:style w:type="paragraph" w:customStyle="1" w:styleId="80">
    <w:name w:val="样式3"/>
    <w:basedOn w:val="81"/>
    <w:qFormat/>
    <w:uiPriority w:val="0"/>
    <w:pPr>
      <w:tabs>
        <w:tab w:val="left" w:pos="2790"/>
        <w:tab w:val="left" w:pos="4230"/>
      </w:tabs>
      <w:spacing w:before="312" w:beforeLines="100"/>
      <w:jc w:val="left"/>
    </w:pPr>
  </w:style>
  <w:style w:type="paragraph" w:customStyle="1" w:styleId="81">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82">
    <w:name w:val="P1"/>
    <w:basedOn w:val="1"/>
    <w:qFormat/>
    <w:uiPriority w:val="0"/>
    <w:pPr>
      <w:adjustRightInd/>
      <w:spacing w:line="288" w:lineRule="auto"/>
      <w:ind w:firstLine="425" w:firstLineChars="200"/>
    </w:pPr>
  </w:style>
  <w:style w:type="paragraph" w:customStyle="1" w:styleId="83">
    <w:name w:val="Char1 Char Char Char"/>
    <w:basedOn w:val="1"/>
    <w:qFormat/>
    <w:uiPriority w:val="0"/>
    <w:rPr>
      <w:rFonts w:ascii="Tahoma" w:hAnsi="Tahoma"/>
      <w:sz w:val="24"/>
      <w:szCs w:val="20"/>
    </w:rPr>
  </w:style>
  <w:style w:type="paragraph" w:customStyle="1" w:styleId="84">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85">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86">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87">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8">
    <w:name w:val="样式7"/>
    <w:basedOn w:val="89"/>
    <w:next w:val="1"/>
    <w:qFormat/>
    <w:uiPriority w:val="0"/>
    <w:pPr>
      <w:spacing w:after="156" w:afterLines="50"/>
      <w:jc w:val="left"/>
      <w:outlineLvl w:val="3"/>
    </w:pPr>
    <w:rPr>
      <w:sz w:val="24"/>
      <w:szCs w:val="24"/>
    </w:rPr>
  </w:style>
  <w:style w:type="paragraph" w:customStyle="1" w:styleId="89">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90">
    <w:name w:val="Bulleted List"/>
    <w:basedOn w:val="1"/>
    <w:qFormat/>
    <w:uiPriority w:val="0"/>
    <w:pPr>
      <w:numPr>
        <w:ilvl w:val="1"/>
        <w:numId w:val="4"/>
      </w:numPr>
      <w:adjustRightInd/>
    </w:pPr>
  </w:style>
  <w:style w:type="paragraph" w:customStyle="1" w:styleId="91">
    <w:name w:val="Char3"/>
    <w:basedOn w:val="1"/>
    <w:qFormat/>
    <w:uiPriority w:val="0"/>
    <w:pPr>
      <w:adjustRightInd/>
    </w:pPr>
    <w:rPr>
      <w:rFonts w:ascii="仿宋_GB2312" w:eastAsia="仿宋_GB2312"/>
      <w:b/>
      <w:sz w:val="32"/>
      <w:szCs w:val="32"/>
    </w:rPr>
  </w:style>
  <w:style w:type="paragraph" w:customStyle="1" w:styleId="92">
    <w:name w:val="Char Char1 Char Char Char Char Char Char"/>
    <w:basedOn w:val="1"/>
    <w:qFormat/>
    <w:uiPriority w:val="0"/>
    <w:rPr>
      <w:rFonts w:ascii="仿宋_GB2312" w:eastAsia="仿宋_GB2312"/>
      <w:b/>
      <w:sz w:val="32"/>
      <w:szCs w:val="20"/>
    </w:rPr>
  </w:style>
  <w:style w:type="paragraph" w:customStyle="1" w:styleId="93">
    <w:name w:val="文本正文 Char"/>
    <w:basedOn w:val="1"/>
    <w:qFormat/>
    <w:uiPriority w:val="0"/>
    <w:pPr>
      <w:spacing w:line="360" w:lineRule="auto"/>
      <w:ind w:firstLine="200" w:firstLineChars="200"/>
    </w:pPr>
    <w:rPr>
      <w:kern w:val="0"/>
      <w:sz w:val="24"/>
      <w:szCs w:val="20"/>
    </w:rPr>
  </w:style>
  <w:style w:type="paragraph" w:customStyle="1" w:styleId="94">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95">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96">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97">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98">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99">
    <w:name w:val="样式 标题 22h2L1 Heading 2H2sect 1.2H21sect 1.21H22sect 1.2..."/>
    <w:basedOn w:val="3"/>
    <w:next w:val="1"/>
    <w:qFormat/>
    <w:uiPriority w:val="0"/>
    <w:pPr>
      <w:numPr>
        <w:numId w:val="0"/>
      </w:num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100">
    <w:name w:val="正文首行缩进1"/>
    <w:basedOn w:val="22"/>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101">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102">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103">
    <w:name w:val="Char1"/>
    <w:basedOn w:val="1"/>
    <w:qFormat/>
    <w:uiPriority w:val="0"/>
    <w:rPr>
      <w:rFonts w:ascii="仿宋_GB2312" w:eastAsia="仿宋_GB2312"/>
      <w:b/>
      <w:sz w:val="32"/>
      <w:szCs w:val="32"/>
    </w:rPr>
  </w:style>
  <w:style w:type="paragraph" w:customStyle="1" w:styleId="104">
    <w:name w:val="CM14"/>
    <w:basedOn w:val="105"/>
    <w:next w:val="105"/>
    <w:qFormat/>
    <w:uiPriority w:val="0"/>
    <w:pPr>
      <w:spacing w:after="68"/>
    </w:pPr>
    <w:rPr>
      <w:rFonts w:ascii="FHLHE E+ Futura Bk" w:eastAsia="FHLHE E+ Futura Bk" w:cs="Times New Roman"/>
      <w:color w:val="auto"/>
    </w:rPr>
  </w:style>
  <w:style w:type="paragraph" w:customStyle="1" w:styleId="105">
    <w:name w:val="Default"/>
    <w:link w:val="630"/>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06">
    <w:name w:val="正文文字缩进2字"/>
    <w:basedOn w:val="22"/>
    <w:qFormat/>
    <w:uiPriority w:val="0"/>
    <w:pPr>
      <w:autoSpaceDE/>
      <w:autoSpaceDN/>
      <w:adjustRightInd/>
      <w:spacing w:before="60" w:after="60"/>
      <w:ind w:firstLine="200" w:firstLineChars="200"/>
    </w:pPr>
    <w:rPr>
      <w:rFonts w:ascii="Times New Roman"/>
      <w:szCs w:val="20"/>
      <w:lang w:val="en-US"/>
    </w:rPr>
  </w:style>
  <w:style w:type="paragraph" w:customStyle="1" w:styleId="107">
    <w:name w:val="正文 编号"/>
    <w:basedOn w:val="1"/>
    <w:qFormat/>
    <w:uiPriority w:val="0"/>
    <w:pPr>
      <w:widowControl/>
      <w:numPr>
        <w:ilvl w:val="0"/>
        <w:numId w:val="4"/>
      </w:numPr>
      <w:spacing w:after="120" w:line="440" w:lineRule="exact"/>
      <w:jc w:val="left"/>
    </w:pPr>
    <w:rPr>
      <w:rFonts w:ascii="仿宋_GB2312" w:hAnsi="仿宋_GB2312" w:eastAsia="仿宋_GB2312"/>
      <w:sz w:val="24"/>
      <w:szCs w:val="20"/>
    </w:rPr>
  </w:style>
  <w:style w:type="paragraph" w:customStyle="1" w:styleId="108">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109">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110">
    <w:name w:val="标书标题4"/>
    <w:basedOn w:val="5"/>
    <w:qFormat/>
    <w:uiPriority w:val="0"/>
    <w:pPr>
      <w:keepLines w:val="0"/>
      <w:numPr>
        <w:numId w:val="0"/>
      </w:numPr>
      <w:snapToGrid w:val="0"/>
      <w:spacing w:before="0" w:after="0" w:line="300" w:lineRule="auto"/>
    </w:pPr>
    <w:rPr>
      <w:rFonts w:ascii="Arial Narrow" w:hAnsi="Arial Narrow" w:eastAsia="仿宋_GB2312"/>
      <w:bCs w:val="0"/>
      <w:color w:val="000000"/>
      <w:kern w:val="0"/>
      <w:szCs w:val="32"/>
      <w:lang w:val="en-US"/>
    </w:rPr>
  </w:style>
  <w:style w:type="paragraph" w:styleId="111">
    <w:name w:val="List Paragraph"/>
    <w:basedOn w:val="1"/>
    <w:qFormat/>
    <w:uiPriority w:val="0"/>
    <w:pPr>
      <w:spacing w:line="360" w:lineRule="auto"/>
      <w:ind w:firstLine="200" w:firstLineChars="200"/>
    </w:pPr>
    <w:rPr>
      <w:rFonts w:eastAsia="楷体_GB2312" w:cs="Lucida Sans"/>
      <w:sz w:val="24"/>
    </w:rPr>
  </w:style>
  <w:style w:type="paragraph" w:customStyle="1" w:styleId="112">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113">
    <w:name w:val="Char2 Char Char Char"/>
    <w:basedOn w:val="1"/>
    <w:qFormat/>
    <w:uiPriority w:val="0"/>
    <w:rPr>
      <w:rFonts w:ascii="仿宋_GB2312" w:eastAsia="仿宋_GB2312"/>
      <w:b/>
      <w:sz w:val="32"/>
      <w:szCs w:val="32"/>
    </w:rPr>
  </w:style>
  <w:style w:type="paragraph" w:customStyle="1" w:styleId="114">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15">
    <w:name w:val="样式 正文文本缩进 + 左侧:  2 字符 首行缩进:  2 字符"/>
    <w:basedOn w:val="23"/>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16">
    <w:name w:val="Char Char Char"/>
    <w:basedOn w:val="1"/>
    <w:qFormat/>
    <w:uiPriority w:val="0"/>
    <w:rPr>
      <w:rFonts w:ascii="Tahoma" w:hAnsi="Tahoma"/>
      <w:sz w:val="24"/>
      <w:szCs w:val="20"/>
    </w:rPr>
  </w:style>
  <w:style w:type="paragraph" w:customStyle="1" w:styleId="117">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118">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119">
    <w:name w:val="样式 正文缩进 + 首行缩进:  2 字符"/>
    <w:basedOn w:val="15"/>
    <w:qFormat/>
    <w:uiPriority w:val="0"/>
    <w:pPr>
      <w:widowControl w:val="0"/>
      <w:adjustRightInd/>
      <w:snapToGrid/>
      <w:spacing w:line="360" w:lineRule="auto"/>
      <w:ind w:firstLine="200" w:firstLineChars="200"/>
    </w:pPr>
    <w:rPr>
      <w:rFonts w:ascii="Times New Roman" w:cs="宋体"/>
      <w:snapToGrid/>
      <w:color w:val="auto"/>
      <w:kern w:val="2"/>
      <w:sz w:val="24"/>
    </w:rPr>
  </w:style>
  <w:style w:type="paragraph" w:customStyle="1" w:styleId="120">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121">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122">
    <w:name w:val="浅色底纹 - 强调文字颜色 51"/>
    <w:semiHidden/>
    <w:qFormat/>
    <w:uiPriority w:val="0"/>
    <w:rPr>
      <w:rFonts w:ascii="Times New Roman" w:hAnsi="Times New Roman" w:eastAsia="宋体" w:cs="Times New Roman"/>
      <w:kern w:val="2"/>
      <w:sz w:val="21"/>
      <w:szCs w:val="24"/>
      <w:lang w:val="en-US" w:eastAsia="zh-CN" w:bidi="ar-SA"/>
    </w:rPr>
  </w:style>
  <w:style w:type="paragraph" w:customStyle="1" w:styleId="123">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124">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125">
    <w:name w:val="FA正文"/>
    <w:basedOn w:val="1"/>
    <w:qFormat/>
    <w:uiPriority w:val="0"/>
    <w:pPr>
      <w:spacing w:line="360" w:lineRule="auto"/>
      <w:ind w:firstLine="480" w:firstLineChars="200"/>
    </w:pPr>
    <w:rPr>
      <w:rFonts w:hAnsi="宋体"/>
      <w:sz w:val="24"/>
      <w:szCs w:val="20"/>
    </w:rPr>
  </w:style>
  <w:style w:type="paragraph" w:customStyle="1" w:styleId="126">
    <w:name w:val="MM Topic 4"/>
    <w:basedOn w:val="5"/>
    <w:qFormat/>
    <w:uiPriority w:val="0"/>
    <w:pPr>
      <w:numPr>
        <w:ilvl w:val="0"/>
        <w:numId w:val="0"/>
      </w:numPr>
      <w:tabs>
        <w:tab w:val="left" w:pos="2100"/>
        <w:tab w:val="clear" w:pos="864"/>
      </w:tabs>
      <w:adjustRightInd/>
      <w:ind w:left="2100" w:hanging="420"/>
    </w:pPr>
    <w:rPr>
      <w:lang w:val="en-US"/>
    </w:rPr>
  </w:style>
  <w:style w:type="paragraph" w:customStyle="1" w:styleId="127">
    <w:name w:val="Char Char1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128">
    <w:name w:val="有符号正文"/>
    <w:basedOn w:val="1"/>
    <w:qFormat/>
    <w:uiPriority w:val="0"/>
    <w:pPr>
      <w:adjustRightInd/>
      <w:spacing w:line="400" w:lineRule="exact"/>
      <w:ind w:firstLine="200" w:firstLineChars="200"/>
    </w:pPr>
    <w:rPr>
      <w:rFonts w:ascii="Arial" w:hAnsi="Arial"/>
    </w:rPr>
  </w:style>
  <w:style w:type="paragraph" w:customStyle="1" w:styleId="129">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130">
    <w:name w:val="默认段落字体 Para Char"/>
    <w:basedOn w:val="1"/>
    <w:qFormat/>
    <w:uiPriority w:val="0"/>
    <w:rPr>
      <w:rFonts w:ascii="Tahoma" w:hAnsi="Tahoma"/>
      <w:sz w:val="24"/>
      <w:szCs w:val="20"/>
    </w:rPr>
  </w:style>
  <w:style w:type="paragraph" w:customStyle="1" w:styleId="131">
    <w:name w:val="Char1 Char Char Char2"/>
    <w:basedOn w:val="1"/>
    <w:qFormat/>
    <w:uiPriority w:val="0"/>
    <w:pPr>
      <w:adjustRightInd/>
      <w:ind w:firstLine="200" w:firstLineChars="200"/>
    </w:pPr>
    <w:rPr>
      <w:rFonts w:ascii="Tahoma" w:hAnsi="Tahoma"/>
      <w:sz w:val="24"/>
      <w:szCs w:val="20"/>
    </w:rPr>
  </w:style>
  <w:style w:type="paragraph" w:customStyle="1" w:styleId="132">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33">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134">
    <w:name w:val="注释"/>
    <w:basedOn w:val="1"/>
    <w:qFormat/>
    <w:uiPriority w:val="0"/>
    <w:pPr>
      <w:adjustRightInd/>
      <w:spacing w:line="360" w:lineRule="auto"/>
      <w:ind w:firstLine="480"/>
    </w:pPr>
    <w:rPr>
      <w:sz w:val="24"/>
    </w:rPr>
  </w:style>
  <w:style w:type="paragraph" w:customStyle="1" w:styleId="135">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136">
    <w:name w:val="Char1 Char Char Char Char Char Char Char Char Char"/>
    <w:basedOn w:val="1"/>
    <w:semiHidden/>
    <w:qFormat/>
    <w:uiPriority w:val="0"/>
    <w:pPr>
      <w:adjustRightInd/>
      <w:spacing w:before="240" w:after="120" w:line="288" w:lineRule="auto"/>
      <w:ind w:firstLine="200" w:firstLineChars="200"/>
      <w:jc w:val="left"/>
    </w:pPr>
    <w:rPr>
      <w:rFonts w:ascii="Tahoma" w:hAnsi="Tahoma"/>
      <w:sz w:val="24"/>
    </w:rPr>
  </w:style>
  <w:style w:type="paragraph" w:customStyle="1" w:styleId="137">
    <w:name w:val="trademark"/>
    <w:qFormat/>
    <w:uiPriority w:val="0"/>
    <w:pPr>
      <w:spacing w:after="60"/>
    </w:pPr>
    <w:rPr>
      <w:rFonts w:ascii="Futura Bk" w:hAnsi="Futura Bk" w:eastAsia="宋体" w:cs="Times New Roman"/>
      <w:sz w:val="15"/>
      <w:lang w:val="en-US" w:eastAsia="en-US" w:bidi="ar-SA"/>
    </w:rPr>
  </w:style>
  <w:style w:type="paragraph" w:customStyle="1" w:styleId="138">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139">
    <w:name w:val="EB_表格"/>
    <w:basedOn w:val="1"/>
    <w:qFormat/>
    <w:uiPriority w:val="0"/>
    <w:pPr>
      <w:adjustRightInd/>
      <w:spacing w:line="300" w:lineRule="auto"/>
      <w:jc w:val="center"/>
    </w:pPr>
  </w:style>
  <w:style w:type="paragraph" w:customStyle="1" w:styleId="140">
    <w:name w:val="Char Char Char1 Char"/>
    <w:basedOn w:val="1"/>
    <w:qFormat/>
    <w:uiPriority w:val="0"/>
    <w:rPr>
      <w:szCs w:val="20"/>
    </w:rPr>
  </w:style>
  <w:style w:type="paragraph" w:customStyle="1" w:styleId="141">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142">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143">
    <w:name w:val="章标题"/>
    <w:next w:val="144"/>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144">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45">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146">
    <w:name w:val="标准有序列表（L1）"/>
    <w:basedOn w:val="1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147">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148">
    <w:name w:val="表文字"/>
    <w:qFormat/>
    <w:uiPriority w:val="0"/>
    <w:rPr>
      <w:rFonts w:ascii="宋体" w:hAnsi="Times New Roman" w:eastAsia="宋体" w:cs="Times New Roman"/>
      <w:kern w:val="2"/>
      <w:lang w:val="en-US" w:eastAsia="zh-CN" w:bidi="ar-SA"/>
    </w:rPr>
  </w:style>
  <w:style w:type="paragraph" w:customStyle="1" w:styleId="149">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15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51">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52">
    <w:name w:val="列表内容"/>
    <w:basedOn w:val="1"/>
    <w:next w:val="1"/>
    <w:qFormat/>
    <w:uiPriority w:val="0"/>
    <w:pPr>
      <w:widowControl/>
      <w:tabs>
        <w:tab w:val="left" w:pos="840"/>
      </w:tabs>
      <w:ind w:left="840" w:hanging="420"/>
      <w:jc w:val="left"/>
    </w:pPr>
    <w:rPr>
      <w:kern w:val="0"/>
      <w:sz w:val="18"/>
    </w:rPr>
  </w:style>
  <w:style w:type="paragraph" w:customStyle="1" w:styleId="153">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154">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55">
    <w:name w:val="body text bold"/>
    <w:basedOn w:val="22"/>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156">
    <w:name w:val="Char2 Char Char"/>
    <w:basedOn w:val="1"/>
    <w:qFormat/>
    <w:uiPriority w:val="0"/>
    <w:pPr>
      <w:adjustRightInd/>
    </w:pPr>
    <w:rPr>
      <w:rFonts w:ascii="Tahoma" w:hAnsi="Tahoma"/>
      <w:sz w:val="24"/>
      <w:szCs w:val="20"/>
    </w:rPr>
  </w:style>
  <w:style w:type="paragraph" w:customStyle="1" w:styleId="157">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158">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159">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160">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161">
    <w:name w:val="Char Char1 Char Char Char"/>
    <w:basedOn w:val="1"/>
    <w:qFormat/>
    <w:uiPriority w:val="0"/>
    <w:rPr>
      <w:rFonts w:ascii="仿宋_GB2312" w:eastAsia="仿宋_GB2312"/>
      <w:b/>
      <w:sz w:val="32"/>
      <w:szCs w:val="20"/>
    </w:rPr>
  </w:style>
  <w:style w:type="paragraph" w:customStyle="1" w:styleId="162">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163">
    <w:name w:val="WW-正文文字缩进 2"/>
    <w:basedOn w:val="1"/>
    <w:qFormat/>
    <w:uiPriority w:val="0"/>
    <w:pPr>
      <w:suppressAutoHyphens/>
      <w:adjustRightInd/>
      <w:ind w:firstLine="420"/>
    </w:pPr>
    <w:rPr>
      <w:kern w:val="1"/>
      <w:szCs w:val="20"/>
    </w:rPr>
  </w:style>
  <w:style w:type="paragraph" w:customStyle="1" w:styleId="164">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165">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166">
    <w:name w:val="默认段落字体 Para Char Char Char Char"/>
    <w:basedOn w:val="1"/>
    <w:qFormat/>
    <w:uiPriority w:val="0"/>
    <w:pPr>
      <w:spacing w:line="360" w:lineRule="auto"/>
    </w:pPr>
    <w:rPr>
      <w:szCs w:val="20"/>
    </w:rPr>
  </w:style>
  <w:style w:type="paragraph" w:customStyle="1" w:styleId="167">
    <w:name w:val="Char Char11 Char Char Char"/>
    <w:basedOn w:val="1"/>
    <w:qFormat/>
    <w:uiPriority w:val="0"/>
    <w:pPr>
      <w:spacing w:line="360" w:lineRule="auto"/>
    </w:pPr>
    <w:rPr>
      <w:szCs w:val="20"/>
    </w:rPr>
  </w:style>
  <w:style w:type="paragraph" w:customStyle="1" w:styleId="168">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169">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170">
    <w:name w:val="左对齐表格文字"/>
    <w:basedOn w:val="1"/>
    <w:qFormat/>
    <w:uiPriority w:val="0"/>
    <w:pPr>
      <w:adjustRightInd/>
      <w:ind w:firstLine="200" w:firstLineChars="200"/>
      <w:jc w:val="right"/>
    </w:pPr>
  </w:style>
  <w:style w:type="paragraph" w:customStyle="1" w:styleId="171">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172">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173">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174">
    <w:name w:val="无间隔1"/>
    <w:link w:val="534"/>
    <w:qFormat/>
    <w:uiPriority w:val="1"/>
    <w:rPr>
      <w:rFonts w:ascii="Calibri" w:hAnsi="Calibri" w:eastAsia="宋体" w:cs="Times New Roman"/>
      <w:sz w:val="22"/>
      <w:szCs w:val="22"/>
      <w:lang w:val="en-US" w:eastAsia="zh-CN" w:bidi="ar-SA"/>
    </w:rPr>
  </w:style>
  <w:style w:type="paragraph" w:customStyle="1" w:styleId="175">
    <w:name w:val="样式 样式 标题 4h4H4Fab-4T5Ref Heading 1rh1Heading sqlsect 1.2.3.... +..."/>
    <w:basedOn w:val="176"/>
    <w:link w:val="612"/>
    <w:qFormat/>
    <w:uiPriority w:val="0"/>
    <w:pPr>
      <w:tabs>
        <w:tab w:val="left" w:pos="2356"/>
      </w:tabs>
    </w:pPr>
  </w:style>
  <w:style w:type="paragraph" w:customStyle="1" w:styleId="176">
    <w:name w:val="样式 标题 4h4H4Fab-4T5Ref Heading 1rh1Heading sqlsect 1.2.3...."/>
    <w:basedOn w:val="5"/>
    <w:link w:val="562"/>
    <w:qFormat/>
    <w:uiPriority w:val="0"/>
    <w:pPr>
      <w:numPr>
        <w:numId w:val="0"/>
      </w:num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77">
    <w:name w:val="四级条标题"/>
    <w:basedOn w:val="178"/>
    <w:next w:val="144"/>
    <w:qFormat/>
    <w:uiPriority w:val="0"/>
    <w:pPr>
      <w:numPr>
        <w:ilvl w:val="5"/>
        <w:numId w:val="4"/>
      </w:numPr>
      <w:tabs>
        <w:tab w:val="left" w:pos="1680"/>
        <w:tab w:val="left" w:pos="2100"/>
        <w:tab w:val="left" w:pos="2520"/>
      </w:tabs>
      <w:outlineLvl w:val="5"/>
    </w:pPr>
  </w:style>
  <w:style w:type="paragraph" w:customStyle="1" w:styleId="178">
    <w:name w:val="三级条标题"/>
    <w:basedOn w:val="179"/>
    <w:next w:val="144"/>
    <w:qFormat/>
    <w:uiPriority w:val="0"/>
    <w:pPr>
      <w:numPr>
        <w:ilvl w:val="0"/>
        <w:numId w:val="0"/>
      </w:numPr>
      <w:tabs>
        <w:tab w:val="left" w:pos="1680"/>
        <w:tab w:val="left" w:pos="2100"/>
        <w:tab w:val="left" w:pos="2520"/>
      </w:tabs>
      <w:ind w:left="2520" w:hanging="420"/>
      <w:outlineLvl w:val="4"/>
    </w:pPr>
  </w:style>
  <w:style w:type="paragraph" w:customStyle="1" w:styleId="179">
    <w:name w:val="二级条标题"/>
    <w:basedOn w:val="180"/>
    <w:next w:val="144"/>
    <w:qFormat/>
    <w:uiPriority w:val="0"/>
    <w:pPr>
      <w:numPr>
        <w:ilvl w:val="3"/>
        <w:numId w:val="4"/>
      </w:numPr>
      <w:tabs>
        <w:tab w:val="left" w:pos="1680"/>
      </w:tabs>
      <w:ind w:left="0"/>
      <w:outlineLvl w:val="3"/>
    </w:pPr>
  </w:style>
  <w:style w:type="paragraph" w:customStyle="1" w:styleId="180">
    <w:name w:val="一级条标题"/>
    <w:basedOn w:val="143"/>
    <w:next w:val="144"/>
    <w:qFormat/>
    <w:uiPriority w:val="0"/>
    <w:pPr>
      <w:tabs>
        <w:tab w:val="left" w:pos="1680"/>
        <w:tab w:val="clear" w:pos="1260"/>
      </w:tabs>
      <w:spacing w:before="0" w:beforeLines="0" w:after="0" w:afterLines="0"/>
      <w:ind w:left="1680"/>
      <w:outlineLvl w:val="2"/>
    </w:pPr>
  </w:style>
  <w:style w:type="paragraph" w:customStyle="1" w:styleId="181">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182">
    <w:name w:val="标准小四"/>
    <w:basedOn w:val="1"/>
    <w:qFormat/>
    <w:uiPriority w:val="0"/>
    <w:pPr>
      <w:spacing w:line="360" w:lineRule="auto"/>
      <w:ind w:firstLine="480" w:firstLineChars="200"/>
    </w:pPr>
    <w:rPr>
      <w:rFonts w:ascii="Arial" w:hAnsi="Arial"/>
      <w:sz w:val="24"/>
      <w:szCs w:val="21"/>
    </w:rPr>
  </w:style>
  <w:style w:type="paragraph" w:customStyle="1" w:styleId="183">
    <w:name w:val="表格"/>
    <w:basedOn w:val="1"/>
    <w:qFormat/>
    <w:uiPriority w:val="0"/>
    <w:pPr>
      <w:snapToGrid w:val="0"/>
      <w:ind w:firstLine="42" w:firstLineChars="21"/>
    </w:pPr>
    <w:rPr>
      <w:rFonts w:ascii="宋体" w:hAnsi="宋体"/>
      <w:kern w:val="0"/>
      <w:sz w:val="20"/>
      <w:szCs w:val="20"/>
    </w:rPr>
  </w:style>
  <w:style w:type="paragraph" w:customStyle="1" w:styleId="184">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85">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186">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187">
    <w:name w:val="封面公司名"/>
    <w:qFormat/>
    <w:uiPriority w:val="0"/>
    <w:pPr>
      <w:jc w:val="center"/>
    </w:pPr>
    <w:rPr>
      <w:rFonts w:ascii="Arial" w:hAnsi="Arial" w:eastAsia="楷体_GB2312" w:cs="宋体"/>
      <w:bCs/>
      <w:kern w:val="2"/>
      <w:sz w:val="28"/>
      <w:lang w:val="en-US" w:eastAsia="zh-CN" w:bidi="ar-SA"/>
    </w:rPr>
  </w:style>
  <w:style w:type="paragraph" w:customStyle="1" w:styleId="188">
    <w:name w:val="Char2 Char Char Char1"/>
    <w:basedOn w:val="1"/>
    <w:qFormat/>
    <w:uiPriority w:val="0"/>
    <w:rPr>
      <w:rFonts w:ascii="仿宋_GB2312" w:eastAsia="仿宋_GB2312"/>
      <w:b/>
      <w:sz w:val="32"/>
      <w:szCs w:val="32"/>
    </w:rPr>
  </w:style>
  <w:style w:type="paragraph" w:customStyle="1" w:styleId="189">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190">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191">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192">
    <w:name w:val="Char2"/>
    <w:basedOn w:val="1"/>
    <w:qFormat/>
    <w:uiPriority w:val="0"/>
    <w:rPr>
      <w:rFonts w:ascii="仿宋_GB2312" w:eastAsia="仿宋_GB2312"/>
      <w:b/>
      <w:sz w:val="32"/>
      <w:szCs w:val="32"/>
    </w:rPr>
  </w:style>
  <w:style w:type="paragraph" w:customStyle="1" w:styleId="193">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194">
    <w:name w:val="小节"/>
    <w:basedOn w:val="4"/>
    <w:qFormat/>
    <w:uiPriority w:val="0"/>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195">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96">
    <w:name w:val="Char Char Char Char Char Char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197">
    <w:name w:val="!大节"/>
    <w:basedOn w:val="3"/>
    <w:qFormat/>
    <w:uiPriority w:val="0"/>
    <w:pPr>
      <w:numPr>
        <w:numId w:val="0"/>
      </w:numPr>
      <w:spacing w:before="260" w:after="260" w:line="415" w:lineRule="auto"/>
      <w:ind w:left="420" w:hanging="420"/>
    </w:pPr>
    <w:rPr>
      <w:rFonts w:ascii="Arial" w:hAnsi="Arial" w:eastAsia="微软雅黑"/>
      <w:lang w:val="en-US"/>
    </w:rPr>
  </w:style>
  <w:style w:type="paragraph" w:customStyle="1" w:styleId="198">
    <w:name w:val="Char Char4 Char Char"/>
    <w:basedOn w:val="1"/>
    <w:qFormat/>
    <w:uiPriority w:val="0"/>
    <w:pPr>
      <w:widowControl/>
      <w:adjustRightInd/>
      <w:spacing w:after="160" w:line="240" w:lineRule="exact"/>
      <w:jc w:val="left"/>
    </w:pPr>
  </w:style>
  <w:style w:type="paragraph" w:customStyle="1" w:styleId="199">
    <w:name w:val="Char2 Char Char1"/>
    <w:basedOn w:val="1"/>
    <w:qFormat/>
    <w:uiPriority w:val="0"/>
    <w:pPr>
      <w:adjustRightInd/>
    </w:pPr>
    <w:rPr>
      <w:rFonts w:ascii="Tahoma" w:hAnsi="Tahoma"/>
      <w:sz w:val="24"/>
      <w:szCs w:val="20"/>
    </w:rPr>
  </w:style>
  <w:style w:type="paragraph" w:customStyle="1" w:styleId="200">
    <w:name w:val="默认段落字体 Para Char Char Char Char Char Char Char"/>
    <w:basedOn w:val="1"/>
    <w:qFormat/>
    <w:uiPriority w:val="0"/>
    <w:rPr>
      <w:rFonts w:eastAsia="仿宋_GB2312"/>
      <w:sz w:val="28"/>
      <w:szCs w:val="20"/>
    </w:rPr>
  </w:style>
  <w:style w:type="paragraph" w:customStyle="1" w:styleId="201">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202">
    <w:name w:val="正文21"/>
    <w:basedOn w:val="1"/>
    <w:qFormat/>
    <w:uiPriority w:val="0"/>
    <w:pPr>
      <w:adjustRightInd/>
      <w:spacing w:before="156" w:line="360" w:lineRule="auto"/>
      <w:ind w:firstLine="510" w:firstLineChars="200"/>
    </w:pPr>
    <w:rPr>
      <w:sz w:val="24"/>
      <w:szCs w:val="20"/>
    </w:rPr>
  </w:style>
  <w:style w:type="paragraph" w:customStyle="1" w:styleId="203">
    <w:name w:val="标题4_自定义"/>
    <w:basedOn w:val="5"/>
    <w:qFormat/>
    <w:uiPriority w:val="0"/>
    <w:pPr>
      <w:numPr>
        <w:numId w:val="0"/>
      </w:numPr>
      <w:adjustRightInd/>
      <w:spacing w:before="0" w:after="0" w:line="360" w:lineRule="auto"/>
    </w:pPr>
    <w:rPr>
      <w:rFonts w:ascii="Verdana" w:eastAsia="Verdana"/>
      <w:sz w:val="21"/>
      <w:lang w:val="en-US"/>
    </w:rPr>
  </w:style>
  <w:style w:type="paragraph" w:customStyle="1" w:styleId="204">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205">
    <w:name w:val="标题五"/>
    <w:basedOn w:val="1"/>
    <w:qFormat/>
    <w:uiPriority w:val="0"/>
    <w:pPr>
      <w:adjustRightInd/>
      <w:spacing w:before="156" w:beforeLines="50" w:line="360" w:lineRule="auto"/>
    </w:pPr>
    <w:rPr>
      <w:b/>
      <w:sz w:val="24"/>
    </w:rPr>
  </w:style>
  <w:style w:type="paragraph" w:customStyle="1" w:styleId="206">
    <w:name w:val="样式 标题 3H3 + 两端对齐"/>
    <w:basedOn w:val="4"/>
    <w:qFormat/>
    <w:uiPriority w:val="0"/>
    <w:pPr>
      <w:keepLines w:val="0"/>
      <w:numPr>
        <w:numId w:val="0"/>
      </w:numPr>
      <w:spacing w:before="0" w:after="0" w:line="240" w:lineRule="auto"/>
      <w:jc w:val="left"/>
    </w:pPr>
    <w:rPr>
      <w:rFonts w:cs="宋体"/>
      <w:sz w:val="21"/>
      <w:szCs w:val="20"/>
    </w:rPr>
  </w:style>
  <w:style w:type="paragraph" w:customStyle="1" w:styleId="207">
    <w:name w:val="Char Char11"/>
    <w:basedOn w:val="1"/>
    <w:qFormat/>
    <w:uiPriority w:val="0"/>
    <w:pPr>
      <w:spacing w:line="360" w:lineRule="auto"/>
    </w:pPr>
    <w:rPr>
      <w:szCs w:val="20"/>
    </w:rPr>
  </w:style>
  <w:style w:type="paragraph" w:customStyle="1" w:styleId="208">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09">
    <w:name w:val="样式6"/>
    <w:basedOn w:val="31"/>
    <w:qFormat/>
    <w:uiPriority w:val="0"/>
    <w:pPr>
      <w:spacing w:line="460" w:lineRule="exact"/>
      <w:outlineLvl w:val="2"/>
    </w:pPr>
    <w:rPr>
      <w:rFonts w:ascii="仿宋_GB2312" w:hAnsi="宋体" w:eastAsia="仿宋_GB2312"/>
      <w:b/>
      <w:bCs/>
      <w:sz w:val="24"/>
      <w:szCs w:val="24"/>
    </w:rPr>
  </w:style>
  <w:style w:type="paragraph" w:customStyle="1" w:styleId="210">
    <w:name w:val="样式 标题 1章节第一层h1H"/>
    <w:basedOn w:val="2"/>
    <w:qFormat/>
    <w:uiPriority w:val="0"/>
    <w:pPr>
      <w:keepNext w:val="0"/>
      <w:keepLines w:val="0"/>
      <w:numPr>
        <w:numId w:val="0"/>
      </w:numPr>
      <w:autoSpaceDE w:val="0"/>
      <w:autoSpaceDN w:val="0"/>
      <w:spacing w:before="0" w:after="0" w:line="240" w:lineRule="auto"/>
      <w:jc w:val="left"/>
      <w:outlineLvl w:val="9"/>
    </w:pPr>
    <w:rPr>
      <w:kern w:val="0"/>
      <w:sz w:val="52"/>
      <w:szCs w:val="52"/>
      <w:lang w:val="zh-CN"/>
    </w:rPr>
  </w:style>
  <w:style w:type="paragraph" w:customStyle="1" w:styleId="211">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212">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213">
    <w:name w:val="Char Char11 Char Char Char Char Char Char Char Char Char"/>
    <w:basedOn w:val="1"/>
    <w:qFormat/>
    <w:uiPriority w:val="0"/>
    <w:pPr>
      <w:spacing w:line="360" w:lineRule="auto"/>
    </w:pPr>
    <w:rPr>
      <w:szCs w:val="20"/>
    </w:rPr>
  </w:style>
  <w:style w:type="paragraph" w:customStyle="1" w:styleId="214">
    <w:name w:val="Char Char1 Char Char Char1"/>
    <w:basedOn w:val="1"/>
    <w:qFormat/>
    <w:uiPriority w:val="0"/>
    <w:rPr>
      <w:rFonts w:ascii="仿宋_GB2312" w:eastAsia="仿宋_GB2312"/>
      <w:b/>
      <w:sz w:val="32"/>
      <w:szCs w:val="32"/>
    </w:rPr>
  </w:style>
  <w:style w:type="paragraph" w:customStyle="1" w:styleId="215">
    <w:name w:val="样式 标题 4PIM 4H4h4bulletblbbH41H42H43H44H45H46H47H48...1"/>
    <w:basedOn w:val="5"/>
    <w:qFormat/>
    <w:uiPriority w:val="0"/>
    <w:pPr>
      <w:widowControl/>
      <w:jc w:val="left"/>
    </w:pPr>
    <w:rPr>
      <w:rFonts w:cs="宋体"/>
      <w:sz w:val="24"/>
      <w:szCs w:val="20"/>
    </w:rPr>
  </w:style>
  <w:style w:type="paragraph" w:customStyle="1" w:styleId="216">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217">
    <w:name w:val="表格标题2"/>
    <w:basedOn w:val="218"/>
    <w:qFormat/>
    <w:uiPriority w:val="0"/>
    <w:rPr>
      <w:b/>
    </w:rPr>
  </w:style>
  <w:style w:type="paragraph" w:customStyle="1" w:styleId="218">
    <w:name w:val="表格内文"/>
    <w:basedOn w:val="1"/>
    <w:qFormat/>
    <w:uiPriority w:val="0"/>
    <w:pPr>
      <w:adjustRightInd/>
      <w:spacing w:line="360" w:lineRule="auto"/>
    </w:pPr>
    <w:rPr>
      <w:rFonts w:ascii="宋体" w:hAnsi="宋体" w:cs="宋体"/>
      <w:color w:val="000000"/>
      <w:szCs w:val="20"/>
    </w:rPr>
  </w:style>
  <w:style w:type="paragraph" w:customStyle="1" w:styleId="219">
    <w:name w:val="Char Char Char Char Char Char Char"/>
    <w:basedOn w:val="1"/>
    <w:qFormat/>
    <w:uiPriority w:val="0"/>
    <w:rPr>
      <w:rFonts w:ascii="仿宋_GB2312" w:eastAsia="仿宋_GB2312"/>
      <w:b/>
      <w:sz w:val="32"/>
      <w:szCs w:val="32"/>
    </w:rPr>
  </w:style>
  <w:style w:type="paragraph" w:customStyle="1" w:styleId="220">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221">
    <w:name w:val="数字标题6"/>
    <w:basedOn w:val="7"/>
    <w:next w:val="1"/>
    <w:qFormat/>
    <w:uiPriority w:val="0"/>
    <w:pPr>
      <w:numPr>
        <w:numId w:val="5"/>
      </w:numPr>
      <w:tabs>
        <w:tab w:val="left" w:pos="480"/>
        <w:tab w:val="left" w:pos="1080"/>
        <w:tab w:val="clear" w:pos="1152"/>
      </w:tabs>
    </w:pPr>
    <w:rPr>
      <w:rFonts w:ascii="Times New Roman" w:hAnsi="Times New Roman" w:eastAsia="宋体"/>
      <w:i/>
    </w:rPr>
  </w:style>
  <w:style w:type="paragraph" w:customStyle="1" w:styleId="222">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23">
    <w:name w:val="列出段落2"/>
    <w:basedOn w:val="1"/>
    <w:qFormat/>
    <w:uiPriority w:val="0"/>
    <w:pPr>
      <w:adjustRightInd/>
      <w:ind w:firstLine="420" w:firstLineChars="200"/>
    </w:pPr>
    <w:rPr>
      <w:rFonts w:ascii="宋体" w:hAnsi="宋体"/>
      <w:sz w:val="24"/>
    </w:rPr>
  </w:style>
  <w:style w:type="paragraph" w:customStyle="1" w:styleId="224">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225">
    <w:name w:val="TOC 标题1"/>
    <w:basedOn w:val="2"/>
    <w:next w:val="1"/>
    <w:unhideWhenUsed/>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26">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227">
    <w:name w:val="正文 首行缩进:  2 字符 Char"/>
    <w:basedOn w:val="1"/>
    <w:qFormat/>
    <w:uiPriority w:val="0"/>
    <w:pPr>
      <w:adjustRightInd/>
      <w:spacing w:line="360" w:lineRule="auto"/>
      <w:ind w:firstLine="480"/>
    </w:pPr>
    <w:rPr>
      <w:rFonts w:cs="宋体"/>
      <w:sz w:val="24"/>
      <w:szCs w:val="20"/>
    </w:rPr>
  </w:style>
  <w:style w:type="paragraph" w:customStyle="1" w:styleId="228">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229">
    <w:name w:val="Table Text"/>
    <w:basedOn w:val="1"/>
    <w:qFormat/>
    <w:uiPriority w:val="0"/>
    <w:pPr>
      <w:widowControl/>
      <w:spacing w:before="60" w:after="60"/>
      <w:jc w:val="left"/>
    </w:pPr>
    <w:rPr>
      <w:kern w:val="0"/>
      <w:sz w:val="24"/>
    </w:rPr>
  </w:style>
  <w:style w:type="paragraph" w:customStyle="1" w:styleId="230">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231">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32">
    <w:name w:val="Char Char Char Char Char Char Char Char Char Char"/>
    <w:basedOn w:val="1"/>
    <w:qFormat/>
    <w:uiPriority w:val="0"/>
    <w:rPr>
      <w:rFonts w:ascii="仿宋_GB2312" w:eastAsia="仿宋_GB2312"/>
      <w:b/>
      <w:sz w:val="32"/>
      <w:szCs w:val="32"/>
    </w:rPr>
  </w:style>
  <w:style w:type="paragraph" w:customStyle="1" w:styleId="233">
    <w:name w:val="MM Title"/>
    <w:basedOn w:val="56"/>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234">
    <w:name w:val="正文文字表格居中"/>
    <w:basedOn w:val="1"/>
    <w:next w:val="53"/>
    <w:qFormat/>
    <w:uiPriority w:val="0"/>
    <w:pPr>
      <w:snapToGrid w:val="0"/>
      <w:spacing w:line="360" w:lineRule="auto"/>
    </w:pPr>
    <w:rPr>
      <w:rFonts w:ascii="宋体"/>
      <w:b/>
      <w:sz w:val="24"/>
      <w:szCs w:val="20"/>
    </w:rPr>
  </w:style>
  <w:style w:type="paragraph" w:customStyle="1" w:styleId="235">
    <w:name w:val="模板普通正文"/>
    <w:basedOn w:val="23"/>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236">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237">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238">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39">
    <w:name w:val="Char"/>
    <w:basedOn w:val="1"/>
    <w:qFormat/>
    <w:uiPriority w:val="0"/>
    <w:rPr>
      <w:rFonts w:ascii="仿宋_GB2312" w:eastAsia="仿宋_GB2312"/>
      <w:b/>
      <w:sz w:val="32"/>
      <w:szCs w:val="32"/>
    </w:rPr>
  </w:style>
  <w:style w:type="paragraph" w:customStyle="1" w:styleId="240">
    <w:name w:val="冯广丽"/>
    <w:basedOn w:val="1"/>
    <w:link w:val="475"/>
    <w:qFormat/>
    <w:uiPriority w:val="0"/>
    <w:pPr>
      <w:adjustRightInd/>
      <w:spacing w:line="360" w:lineRule="auto"/>
      <w:ind w:firstLine="480" w:firstLineChars="200"/>
    </w:pPr>
    <w:rPr>
      <w:rFonts w:ascii="宋体" w:hAnsi="宋体"/>
      <w:sz w:val="24"/>
      <w:szCs w:val="22"/>
    </w:rPr>
  </w:style>
  <w:style w:type="paragraph" w:customStyle="1" w:styleId="241">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242">
    <w:name w:val="Char31"/>
    <w:basedOn w:val="1"/>
    <w:qFormat/>
    <w:uiPriority w:val="0"/>
    <w:pPr>
      <w:adjustRightInd/>
      <w:ind w:firstLine="200" w:firstLineChars="200"/>
    </w:pPr>
    <w:rPr>
      <w:rFonts w:ascii="Tahoma" w:hAnsi="Tahoma"/>
      <w:sz w:val="24"/>
      <w:szCs w:val="20"/>
    </w:rPr>
  </w:style>
  <w:style w:type="paragraph" w:customStyle="1" w:styleId="243">
    <w:name w:val="Char Char11 Char Char Char1"/>
    <w:basedOn w:val="1"/>
    <w:qFormat/>
    <w:uiPriority w:val="0"/>
    <w:pPr>
      <w:spacing w:line="360" w:lineRule="auto"/>
    </w:pPr>
    <w:rPr>
      <w:szCs w:val="20"/>
    </w:rPr>
  </w:style>
  <w:style w:type="paragraph" w:customStyle="1" w:styleId="244">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245">
    <w:name w:val="_Style 236"/>
    <w:qFormat/>
    <w:uiPriority w:val="0"/>
    <w:rPr>
      <w:rFonts w:ascii="Times New Roman" w:hAnsi="Times New Roman" w:eastAsia="宋体" w:cs="Times New Roman"/>
      <w:kern w:val="2"/>
      <w:sz w:val="21"/>
      <w:lang w:val="en-US" w:eastAsia="zh-CN" w:bidi="ar-SA"/>
    </w:rPr>
  </w:style>
  <w:style w:type="paragraph" w:customStyle="1" w:styleId="246">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247">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48">
    <w:name w:val="正文文字缩进项目"/>
    <w:basedOn w:val="23"/>
    <w:qFormat/>
    <w:uiPriority w:val="0"/>
    <w:pPr>
      <w:tabs>
        <w:tab w:val="left" w:pos="840"/>
      </w:tabs>
      <w:adjustRightInd/>
      <w:spacing w:after="120" w:line="240" w:lineRule="auto"/>
      <w:ind w:firstLine="0" w:firstLineChars="0"/>
    </w:pPr>
    <w:rPr>
      <w:rFonts w:ascii="Tahoma" w:hAnsi="Tahoma"/>
      <w:sz w:val="22"/>
      <w:szCs w:val="20"/>
    </w:rPr>
  </w:style>
  <w:style w:type="paragraph" w:customStyle="1" w:styleId="249">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50">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251">
    <w:name w:val="文章标题"/>
    <w:next w:val="187"/>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252">
    <w:name w:val="4"/>
    <w:basedOn w:val="1"/>
    <w:next w:val="35"/>
    <w:qFormat/>
    <w:uiPriority w:val="0"/>
    <w:pPr>
      <w:spacing w:after="120" w:line="480" w:lineRule="auto"/>
      <w:ind w:left="420" w:leftChars="200"/>
    </w:pPr>
    <w:rPr>
      <w:sz w:val="24"/>
      <w:szCs w:val="20"/>
    </w:rPr>
  </w:style>
  <w:style w:type="paragraph" w:customStyle="1" w:styleId="253">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254">
    <w:name w:val="Char Char Char Char Char Char Char Char Char Char Char1 Char"/>
    <w:basedOn w:val="1"/>
    <w:qFormat/>
    <w:uiPriority w:val="0"/>
    <w:pPr>
      <w:adjustRightInd/>
    </w:pPr>
    <w:rPr>
      <w:rFonts w:ascii="Tahoma" w:hAnsi="Tahoma"/>
      <w:sz w:val="24"/>
    </w:rPr>
  </w:style>
  <w:style w:type="paragraph" w:customStyle="1" w:styleId="255">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256">
    <w:name w:val="标书表格字体格式"/>
    <w:next w:val="160"/>
    <w:qFormat/>
    <w:uiPriority w:val="0"/>
    <w:rPr>
      <w:rFonts w:ascii="Times New Roman" w:hAnsi="Times New Roman" w:eastAsia="宋体" w:cs="Times New Roman"/>
      <w:kern w:val="2"/>
      <w:sz w:val="21"/>
      <w:szCs w:val="24"/>
      <w:lang w:val="en-US" w:eastAsia="zh-CN" w:bidi="ar-SA"/>
    </w:rPr>
  </w:style>
  <w:style w:type="paragraph" w:customStyle="1" w:styleId="257">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258">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259">
    <w:name w:val="带编号样式"/>
    <w:basedOn w:val="93"/>
    <w:qFormat/>
    <w:uiPriority w:val="0"/>
    <w:pPr>
      <w:tabs>
        <w:tab w:val="left" w:pos="840"/>
      </w:tabs>
      <w:snapToGrid w:val="0"/>
      <w:ind w:left="840" w:firstLine="0" w:firstLineChars="0"/>
    </w:pPr>
    <w:rPr>
      <w:rFonts w:ascii="仿宋_GB2312" w:eastAsia="仿宋_GB2312"/>
      <w:color w:val="000000"/>
    </w:rPr>
  </w:style>
  <w:style w:type="paragraph" w:customStyle="1" w:styleId="260">
    <w:name w:val="正文文字 2"/>
    <w:basedOn w:val="105"/>
    <w:next w:val="105"/>
    <w:qFormat/>
    <w:uiPriority w:val="0"/>
    <w:rPr>
      <w:rFonts w:ascii="宋体" w:eastAsia="宋体" w:cs="Times New Roman"/>
      <w:color w:val="auto"/>
    </w:rPr>
  </w:style>
  <w:style w:type="paragraph" w:customStyle="1" w:styleId="261">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262">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263">
    <w:name w:val="Char5"/>
    <w:basedOn w:val="1"/>
    <w:qFormat/>
    <w:uiPriority w:val="0"/>
    <w:rPr>
      <w:rFonts w:ascii="仿宋_GB2312" w:eastAsia="仿宋_GB2312"/>
      <w:b/>
      <w:sz w:val="32"/>
      <w:szCs w:val="32"/>
    </w:rPr>
  </w:style>
  <w:style w:type="paragraph" w:customStyle="1" w:styleId="264">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65">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66">
    <w:name w:val="Item List"/>
    <w:link w:val="480"/>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267">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68">
    <w:name w:val="样式 正文文本缩进 2 + 仿宋_GB2312 黑色 行距: 1.5 倍行距"/>
    <w:basedOn w:val="35"/>
    <w:qFormat/>
    <w:uiPriority w:val="0"/>
    <w:pPr>
      <w:adjustRightInd/>
      <w:ind w:firstLine="560" w:firstLineChars="200"/>
      <w:textAlignment w:val="auto"/>
    </w:pPr>
    <w:rPr>
      <w:rFonts w:hAnsi="宋体" w:cs="宋体"/>
      <w:color w:val="000000"/>
      <w:kern w:val="2"/>
      <w:sz w:val="24"/>
    </w:rPr>
  </w:style>
  <w:style w:type="paragraph" w:customStyle="1" w:styleId="269">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70">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271">
    <w:name w:val="Char Char1 Char Char Char Char Char Char1"/>
    <w:basedOn w:val="1"/>
    <w:qFormat/>
    <w:uiPriority w:val="0"/>
    <w:rPr>
      <w:rFonts w:ascii="仿宋_GB2312" w:eastAsia="仿宋_GB2312"/>
      <w:b/>
      <w:sz w:val="32"/>
      <w:szCs w:val="20"/>
    </w:rPr>
  </w:style>
  <w:style w:type="paragraph" w:customStyle="1" w:styleId="272">
    <w:name w:val="Char Char Char Char Char Char Char Char Char Char Char Char1 Char"/>
    <w:basedOn w:val="1"/>
    <w:qFormat/>
    <w:uiPriority w:val="0"/>
    <w:rPr>
      <w:rFonts w:ascii="Tahoma" w:hAnsi="Tahoma" w:cs="仿宋_GB2312"/>
      <w:sz w:val="24"/>
      <w:szCs w:val="20"/>
    </w:rPr>
  </w:style>
  <w:style w:type="paragraph" w:customStyle="1" w:styleId="273">
    <w:name w:val="表格项目符号 2"/>
    <w:basedOn w:val="27"/>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274">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275">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276">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277">
    <w:name w:val="样式 正文文本缩进 + 段前: 2 字符"/>
    <w:basedOn w:val="1"/>
    <w:qFormat/>
    <w:uiPriority w:val="0"/>
    <w:pPr>
      <w:adjustRightInd/>
      <w:ind w:left="420" w:leftChars="200"/>
      <w:jc w:val="left"/>
    </w:pPr>
    <w:rPr>
      <w:sz w:val="28"/>
      <w:szCs w:val="20"/>
      <w:lang w:eastAsia="zh-TW"/>
    </w:rPr>
  </w:style>
  <w:style w:type="paragraph" w:customStyle="1" w:styleId="278">
    <w:name w:val="Char1 Char Char Char3"/>
    <w:basedOn w:val="1"/>
    <w:qFormat/>
    <w:uiPriority w:val="0"/>
    <w:pPr>
      <w:adjustRightInd/>
      <w:ind w:firstLine="200" w:firstLineChars="200"/>
    </w:pPr>
    <w:rPr>
      <w:rFonts w:ascii="Tahoma" w:hAnsi="Tahoma"/>
      <w:sz w:val="24"/>
      <w:szCs w:val="20"/>
    </w:rPr>
  </w:style>
  <w:style w:type="paragraph" w:customStyle="1" w:styleId="279">
    <w:name w:val="_Style 271"/>
    <w:basedOn w:val="2"/>
    <w:next w:val="1"/>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80">
    <w:name w:val="Char Char Char Char Char Char Char Char Char Char Char Char1 Char1"/>
    <w:basedOn w:val="1"/>
    <w:qFormat/>
    <w:uiPriority w:val="0"/>
    <w:rPr>
      <w:rFonts w:ascii="Tahoma" w:hAnsi="Tahoma" w:cs="仿宋_GB2312"/>
      <w:sz w:val="24"/>
      <w:szCs w:val="20"/>
    </w:rPr>
  </w:style>
  <w:style w:type="paragraph" w:customStyle="1" w:styleId="281">
    <w:name w:val="Char Char1 Char1"/>
    <w:basedOn w:val="1"/>
    <w:qFormat/>
    <w:uiPriority w:val="0"/>
    <w:rPr>
      <w:rFonts w:ascii="仿宋_GB2312" w:eastAsia="仿宋_GB2312"/>
      <w:b/>
      <w:sz w:val="32"/>
      <w:szCs w:val="32"/>
    </w:rPr>
  </w:style>
  <w:style w:type="paragraph" w:customStyle="1" w:styleId="282">
    <w:name w:val="List Paragraph11"/>
    <w:basedOn w:val="1"/>
    <w:qFormat/>
    <w:uiPriority w:val="0"/>
    <w:pPr>
      <w:adjustRightInd/>
      <w:spacing w:line="360" w:lineRule="auto"/>
      <w:ind w:firstLine="420" w:firstLineChars="200"/>
    </w:pPr>
    <w:rPr>
      <w:rFonts w:ascii="Calibri" w:hAnsi="Calibri"/>
      <w:sz w:val="24"/>
      <w:szCs w:val="22"/>
    </w:rPr>
  </w:style>
  <w:style w:type="paragraph" w:customStyle="1" w:styleId="283">
    <w:name w:val="插图题注"/>
    <w:next w:val="1"/>
    <w:qFormat/>
    <w:uiPriority w:val="0"/>
    <w:pPr>
      <w:numPr>
        <w:ilvl w:val="7"/>
        <w:numId w:val="4"/>
      </w:numPr>
      <w:spacing w:after="312" w:afterLines="100"/>
      <w:ind w:left="1089" w:hanging="369"/>
      <w:jc w:val="center"/>
    </w:pPr>
    <w:rPr>
      <w:rFonts w:ascii="Arial" w:hAnsi="Arial" w:eastAsia="宋体" w:cs="Times New Roman"/>
      <w:sz w:val="18"/>
      <w:szCs w:val="18"/>
      <w:lang w:val="en-US" w:eastAsia="zh-CN" w:bidi="ar-SA"/>
    </w:rPr>
  </w:style>
  <w:style w:type="paragraph" w:customStyle="1" w:styleId="284">
    <w:name w:val="Bulleting First Indent 1"/>
    <w:basedOn w:val="58"/>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285">
    <w:name w:val="Char Char1"/>
    <w:basedOn w:val="1"/>
    <w:qFormat/>
    <w:uiPriority w:val="0"/>
    <w:pPr>
      <w:widowControl/>
      <w:spacing w:after="160" w:line="240" w:lineRule="exact"/>
      <w:jc w:val="left"/>
    </w:pPr>
    <w:rPr>
      <w:rFonts w:eastAsia="仿宋_GB2312"/>
      <w:sz w:val="28"/>
    </w:rPr>
  </w:style>
  <w:style w:type="paragraph" w:customStyle="1" w:styleId="286">
    <w:name w:val="单元格居中"/>
    <w:basedOn w:val="1"/>
    <w:qFormat/>
    <w:uiPriority w:val="0"/>
    <w:pPr>
      <w:adjustRightInd/>
      <w:spacing w:line="360" w:lineRule="auto"/>
      <w:jc w:val="center"/>
    </w:pPr>
    <w:rPr>
      <w:sz w:val="24"/>
    </w:rPr>
  </w:style>
  <w:style w:type="paragraph" w:customStyle="1" w:styleId="287">
    <w:name w:val="样式 标题 1Level 1 HeadPIM 1Section Headh1l11Heading 0Datash..."/>
    <w:basedOn w:val="2"/>
    <w:qFormat/>
    <w:uiPriority w:val="0"/>
    <w:pPr>
      <w:keepNext w:val="0"/>
      <w:keepLines w:val="0"/>
      <w:widowControl/>
      <w:numPr>
        <w:numId w:val="0"/>
      </w:numPr>
      <w:overflowPunct w:val="0"/>
      <w:autoSpaceDE w:val="0"/>
      <w:autoSpaceDN w:val="0"/>
      <w:spacing w:before="0" w:after="100" w:line="360" w:lineRule="auto"/>
      <w:jc w:val="left"/>
      <w:textAlignment w:val="baseline"/>
    </w:pPr>
    <w:rPr>
      <w:rFonts w:ascii="宋体" w:hAnsi="宋体"/>
      <w:kern w:val="2"/>
      <w:sz w:val="24"/>
      <w:szCs w:val="20"/>
    </w:rPr>
  </w:style>
  <w:style w:type="paragraph" w:customStyle="1" w:styleId="288">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289">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90">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291">
    <w:name w:val="MM Empty"/>
    <w:basedOn w:val="1"/>
    <w:qFormat/>
    <w:uiPriority w:val="0"/>
    <w:pPr>
      <w:adjustRightInd/>
    </w:pPr>
  </w:style>
  <w:style w:type="paragraph" w:customStyle="1" w:styleId="292">
    <w:name w:val="文档正文"/>
    <w:basedOn w:val="1"/>
    <w:qFormat/>
    <w:uiPriority w:val="0"/>
    <w:pPr>
      <w:spacing w:line="480" w:lineRule="atLeast"/>
      <w:ind w:firstLine="567"/>
      <w:textAlignment w:val="baseline"/>
    </w:pPr>
    <w:rPr>
      <w:kern w:val="0"/>
      <w:sz w:val="24"/>
      <w:szCs w:val="20"/>
    </w:rPr>
  </w:style>
  <w:style w:type="paragraph" w:customStyle="1" w:styleId="293">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94">
    <w:name w:val="Char Char1 Char Char1 Char Char1"/>
    <w:basedOn w:val="1"/>
    <w:qFormat/>
    <w:uiPriority w:val="0"/>
    <w:pPr>
      <w:tabs>
        <w:tab w:val="left" w:pos="840"/>
      </w:tabs>
      <w:ind w:left="840" w:hanging="420"/>
    </w:pPr>
    <w:rPr>
      <w:rFonts w:ascii="Tahoma" w:hAnsi="Tahoma"/>
      <w:sz w:val="24"/>
    </w:rPr>
  </w:style>
  <w:style w:type="paragraph" w:customStyle="1" w:styleId="295">
    <w:name w:val="样式 标题 2H2h2Underrubrik1prop2l2Chapter Titlesect 1.2DO NO..."/>
    <w:basedOn w:val="3"/>
    <w:qFormat/>
    <w:uiPriority w:val="0"/>
    <w:pPr>
      <w:numPr>
        <w:numId w:val="0"/>
      </w:numPr>
      <w:spacing w:before="120" w:after="120"/>
      <w:ind w:left="425" w:hanging="425"/>
    </w:pPr>
    <w:rPr>
      <w:rFonts w:ascii="微软雅黑" w:hAnsi="微软雅黑" w:eastAsia="微软雅黑" w:cs="宋体"/>
      <w:szCs w:val="20"/>
      <w:lang w:val="en-US"/>
    </w:rPr>
  </w:style>
  <w:style w:type="paragraph" w:customStyle="1" w:styleId="296">
    <w:name w:val="Char Char Char Char Char Char Char Char Char Char1"/>
    <w:basedOn w:val="1"/>
    <w:qFormat/>
    <w:uiPriority w:val="0"/>
    <w:rPr>
      <w:rFonts w:ascii="仿宋_GB2312" w:eastAsia="仿宋_GB2312"/>
      <w:b/>
      <w:sz w:val="32"/>
      <w:szCs w:val="32"/>
    </w:rPr>
  </w:style>
  <w:style w:type="paragraph" w:customStyle="1" w:styleId="297">
    <w:name w:val="gf正文1"/>
    <w:basedOn w:val="1"/>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298">
    <w:name w:val="默认段落字体 Para Char Char Char1 Char"/>
    <w:basedOn w:val="1"/>
    <w:qFormat/>
    <w:uiPriority w:val="0"/>
    <w:pPr>
      <w:spacing w:line="240" w:lineRule="atLeast"/>
      <w:ind w:left="420" w:firstLine="420"/>
    </w:pPr>
    <w:rPr>
      <w:sz w:val="24"/>
    </w:rPr>
  </w:style>
  <w:style w:type="paragraph" w:styleId="299">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300">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01">
    <w:name w:val="Char1 Char Char Char5"/>
    <w:basedOn w:val="1"/>
    <w:qFormat/>
    <w:uiPriority w:val="0"/>
    <w:pPr>
      <w:adjustRightInd/>
      <w:ind w:firstLine="200" w:firstLineChars="200"/>
    </w:pPr>
    <w:rPr>
      <w:rFonts w:ascii="Tahoma" w:hAnsi="Tahoma"/>
      <w:sz w:val="24"/>
      <w:szCs w:val="20"/>
    </w:rPr>
  </w:style>
  <w:style w:type="paragraph" w:customStyle="1" w:styleId="302">
    <w:name w:val="Char Char Char Char Char Char Char1"/>
    <w:basedOn w:val="1"/>
    <w:qFormat/>
    <w:uiPriority w:val="0"/>
    <w:rPr>
      <w:rFonts w:ascii="仿宋_GB2312" w:eastAsia="仿宋_GB2312"/>
      <w:b/>
      <w:sz w:val="32"/>
      <w:szCs w:val="32"/>
    </w:rPr>
  </w:style>
  <w:style w:type="paragraph" w:customStyle="1" w:styleId="303">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304">
    <w:name w:val="正文表标题"/>
    <w:next w:val="144"/>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05">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306">
    <w:name w:val="四号　首行缩进"/>
    <w:basedOn w:val="1"/>
    <w:qFormat/>
    <w:uiPriority w:val="0"/>
    <w:pPr>
      <w:adjustRightInd/>
      <w:spacing w:line="360" w:lineRule="auto"/>
    </w:pPr>
    <w:rPr>
      <w:rFonts w:ascii="宋体" w:hAnsi="宋体"/>
      <w:szCs w:val="20"/>
    </w:rPr>
  </w:style>
  <w:style w:type="paragraph" w:customStyle="1" w:styleId="307">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308">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09">
    <w:name w:val="首行缩进"/>
    <w:basedOn w:val="1"/>
    <w:qFormat/>
    <w:uiPriority w:val="0"/>
    <w:pPr>
      <w:spacing w:line="360" w:lineRule="auto"/>
      <w:ind w:firstLine="480" w:firstLineChars="200"/>
    </w:pPr>
    <w:rPr>
      <w:rFonts w:ascii="宋体"/>
      <w:sz w:val="24"/>
      <w:szCs w:val="20"/>
    </w:rPr>
  </w:style>
  <w:style w:type="paragraph" w:customStyle="1" w:styleId="310">
    <w:name w:val="Char1 Char Char Char1"/>
    <w:basedOn w:val="1"/>
    <w:qFormat/>
    <w:uiPriority w:val="0"/>
    <w:pPr>
      <w:adjustRightInd/>
      <w:ind w:firstLine="200" w:firstLineChars="200"/>
    </w:pPr>
    <w:rPr>
      <w:rFonts w:ascii="Tahoma" w:hAnsi="Tahoma"/>
      <w:sz w:val="24"/>
      <w:szCs w:val="20"/>
    </w:rPr>
  </w:style>
  <w:style w:type="paragraph" w:customStyle="1" w:styleId="311">
    <w:name w:val="MM Topic 2"/>
    <w:basedOn w:val="3"/>
    <w:qFormat/>
    <w:uiPriority w:val="0"/>
    <w:pPr>
      <w:numPr>
        <w:numId w:val="0"/>
      </w:numPr>
      <w:tabs>
        <w:tab w:val="left" w:pos="860"/>
        <w:tab w:val="left" w:pos="1260"/>
        <w:tab w:val="clear" w:pos="432"/>
      </w:tabs>
      <w:ind w:left="1260" w:hanging="420"/>
    </w:pPr>
    <w:rPr>
      <w:rFonts w:ascii="Arial" w:hAnsi="Arial" w:eastAsia="黑体"/>
      <w:lang w:val="en-US"/>
    </w:rPr>
  </w:style>
  <w:style w:type="paragraph" w:customStyle="1" w:styleId="312">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13">
    <w:name w:val="样式 样式2 + 左侧:  1 字符 右侧:  1 字符"/>
    <w:basedOn w:val="81"/>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14">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315">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316">
    <w:name w:val="哈哈正文"/>
    <w:basedOn w:val="1"/>
    <w:link w:val="500"/>
    <w:qFormat/>
    <w:uiPriority w:val="0"/>
    <w:pPr>
      <w:adjustRightInd/>
      <w:spacing w:line="360" w:lineRule="auto"/>
      <w:ind w:firstLine="200" w:firstLineChars="200"/>
    </w:pPr>
    <w:rPr>
      <w:rFonts w:ascii="宋体" w:hAnsi="宋体"/>
      <w:sz w:val="24"/>
      <w:szCs w:val="20"/>
    </w:rPr>
  </w:style>
  <w:style w:type="paragraph" w:customStyle="1" w:styleId="317">
    <w:name w:val="List Paragraph1"/>
    <w:basedOn w:val="1"/>
    <w:qFormat/>
    <w:uiPriority w:val="34"/>
    <w:pPr>
      <w:spacing w:line="360" w:lineRule="auto"/>
      <w:ind w:firstLine="200" w:firstLineChars="200"/>
    </w:pPr>
    <w:rPr>
      <w:rFonts w:eastAsia="楷体_GB2312" w:cs="Lucida Sans"/>
      <w:sz w:val="24"/>
    </w:rPr>
  </w:style>
  <w:style w:type="paragraph" w:customStyle="1" w:styleId="318">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319">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320">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321">
    <w:name w:val="Char Char11 Char Char Char Char Char Char Char Char Char1"/>
    <w:basedOn w:val="1"/>
    <w:qFormat/>
    <w:uiPriority w:val="0"/>
    <w:pPr>
      <w:spacing w:line="360" w:lineRule="auto"/>
    </w:pPr>
    <w:rPr>
      <w:szCs w:val="20"/>
    </w:rPr>
  </w:style>
  <w:style w:type="paragraph" w:customStyle="1" w:styleId="322">
    <w:name w:val="Char Char11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23">
    <w:name w:val="正文 项目2"/>
    <w:basedOn w:val="324"/>
    <w:qFormat/>
    <w:uiPriority w:val="0"/>
    <w:pPr>
      <w:numPr>
        <w:ilvl w:val="0"/>
        <w:numId w:val="6"/>
      </w:numPr>
      <w:tabs>
        <w:tab w:val="left" w:pos="840"/>
      </w:tabs>
      <w:spacing w:after="0"/>
    </w:pPr>
  </w:style>
  <w:style w:type="paragraph" w:customStyle="1" w:styleId="324">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25">
    <w:name w:val="Char Char Char1 Char1"/>
    <w:basedOn w:val="1"/>
    <w:qFormat/>
    <w:uiPriority w:val="0"/>
    <w:rPr>
      <w:szCs w:val="20"/>
    </w:rPr>
  </w:style>
  <w:style w:type="paragraph" w:customStyle="1" w:styleId="326">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327">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328">
    <w:name w:val="封面"/>
    <w:basedOn w:val="1"/>
    <w:qFormat/>
    <w:uiPriority w:val="0"/>
    <w:pPr>
      <w:spacing w:line="360" w:lineRule="atLeast"/>
      <w:jc w:val="right"/>
      <w:textAlignment w:val="baseline"/>
    </w:pPr>
    <w:rPr>
      <w:rFonts w:ascii="Symbol" w:hAnsi="Symbol"/>
      <w:kern w:val="0"/>
      <w:szCs w:val="20"/>
    </w:rPr>
  </w:style>
  <w:style w:type="paragraph" w:customStyle="1" w:styleId="329">
    <w:name w:val="正文（缩进2汉字）"/>
    <w:basedOn w:val="1"/>
    <w:link w:val="589"/>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330">
    <w:name w:val="数字标题3"/>
    <w:basedOn w:val="4"/>
    <w:next w:val="1"/>
    <w:qFormat/>
    <w:uiPriority w:val="0"/>
    <w:pPr>
      <w:numPr>
        <w:numId w:val="0"/>
      </w:numPr>
      <w:spacing w:line="240" w:lineRule="auto"/>
    </w:pPr>
    <w:rPr>
      <w:sz w:val="28"/>
      <w:szCs w:val="28"/>
    </w:rPr>
  </w:style>
  <w:style w:type="paragraph" w:customStyle="1" w:styleId="331">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32">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333">
    <w:name w:val="正文（首行缩进2字符）"/>
    <w:basedOn w:val="1"/>
    <w:qFormat/>
    <w:uiPriority w:val="0"/>
    <w:pPr>
      <w:adjustRightInd/>
      <w:spacing w:line="360" w:lineRule="auto"/>
      <w:ind w:firstLine="480" w:firstLineChars="200"/>
    </w:pPr>
    <w:rPr>
      <w:sz w:val="24"/>
      <w:szCs w:val="20"/>
    </w:rPr>
  </w:style>
  <w:style w:type="paragraph" w:customStyle="1" w:styleId="334">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35">
    <w:name w:val="正文段"/>
    <w:basedOn w:val="1"/>
    <w:qFormat/>
    <w:uiPriority w:val="0"/>
    <w:pPr>
      <w:widowControl/>
      <w:snapToGrid w:val="0"/>
      <w:spacing w:after="156" w:afterLines="50"/>
      <w:ind w:firstLine="200" w:firstLineChars="200"/>
    </w:pPr>
    <w:rPr>
      <w:kern w:val="0"/>
      <w:sz w:val="24"/>
      <w:szCs w:val="20"/>
    </w:rPr>
  </w:style>
  <w:style w:type="paragraph" w:customStyle="1" w:styleId="336">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37">
    <w:name w:val="数字标题2"/>
    <w:basedOn w:val="3"/>
    <w:next w:val="1"/>
    <w:qFormat/>
    <w:uiPriority w:val="0"/>
    <w:pPr>
      <w:numPr>
        <w:ilvl w:val="1"/>
        <w:numId w:val="5"/>
      </w:numPr>
      <w:tabs>
        <w:tab w:val="clear" w:pos="432"/>
      </w:tabs>
    </w:pPr>
    <w:rPr>
      <w:rFonts w:ascii="Times New Roman" w:eastAsia="宋体"/>
      <w:i/>
      <w:sz w:val="36"/>
      <w:szCs w:val="36"/>
      <w:lang w:val="en-US"/>
    </w:rPr>
  </w:style>
  <w:style w:type="paragraph" w:customStyle="1" w:styleId="338">
    <w:name w:val="彩色列表 - 强调文字颜色 11"/>
    <w:basedOn w:val="1"/>
    <w:qFormat/>
    <w:uiPriority w:val="0"/>
    <w:pPr>
      <w:adjustRightInd/>
      <w:ind w:firstLine="420" w:firstLineChars="200"/>
    </w:pPr>
    <w:rPr>
      <w:rFonts w:ascii="Calibri" w:hAnsi="Calibri"/>
      <w:szCs w:val="22"/>
    </w:rPr>
  </w:style>
  <w:style w:type="paragraph" w:customStyle="1" w:styleId="339">
    <w:name w:val="数字标题4"/>
    <w:basedOn w:val="5"/>
    <w:qFormat/>
    <w:uiPriority w:val="0"/>
    <w:pPr>
      <w:numPr>
        <w:numId w:val="0"/>
      </w:num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340">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341">
    <w:name w:val="样式1 + (中宋体"/>
    <w:basedOn w:val="165"/>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342">
    <w:name w:val="仿宋正文"/>
    <w:basedOn w:val="1"/>
    <w:link w:val="465"/>
    <w:qFormat/>
    <w:uiPriority w:val="0"/>
    <w:pPr>
      <w:adjustRightInd/>
      <w:spacing w:line="360" w:lineRule="auto"/>
      <w:ind w:firstLine="480" w:firstLineChars="200"/>
    </w:pPr>
    <w:rPr>
      <w:rFonts w:ascii="仿宋_GB2312" w:eastAsia="仿宋_GB2312"/>
      <w:sz w:val="24"/>
      <w:szCs w:val="20"/>
    </w:rPr>
  </w:style>
  <w:style w:type="paragraph" w:customStyle="1" w:styleId="343">
    <w:name w:val="正文（标题三）"/>
    <w:basedOn w:val="1"/>
    <w:qFormat/>
    <w:uiPriority w:val="0"/>
    <w:pPr>
      <w:spacing w:line="360" w:lineRule="auto"/>
      <w:ind w:firstLine="200" w:firstLineChars="200"/>
    </w:pPr>
    <w:rPr>
      <w:sz w:val="24"/>
    </w:rPr>
  </w:style>
  <w:style w:type="paragraph" w:customStyle="1" w:styleId="344">
    <w:name w:val="MM Topic 3"/>
    <w:basedOn w:val="4"/>
    <w:qFormat/>
    <w:uiPriority w:val="0"/>
    <w:pPr>
      <w:numPr>
        <w:numId w:val="4"/>
      </w:numPr>
      <w:tabs>
        <w:tab w:val="left" w:pos="840"/>
        <w:tab w:val="left" w:pos="1680"/>
        <w:tab w:val="clear" w:pos="900"/>
      </w:tabs>
      <w:adjustRightInd/>
    </w:pPr>
  </w:style>
  <w:style w:type="paragraph" w:customStyle="1" w:styleId="345">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346">
    <w:name w:val="图中文字"/>
    <w:basedOn w:val="1"/>
    <w:qFormat/>
    <w:uiPriority w:val="0"/>
    <w:pPr>
      <w:snapToGrid w:val="0"/>
      <w:spacing w:line="0" w:lineRule="atLeast"/>
      <w:ind w:firstLine="200" w:firstLineChars="200"/>
      <w:jc w:val="center"/>
    </w:pPr>
    <w:rPr>
      <w:sz w:val="24"/>
      <w:szCs w:val="20"/>
    </w:rPr>
  </w:style>
  <w:style w:type="paragraph" w:customStyle="1" w:styleId="347">
    <w:name w:val="正文－恩普"/>
    <w:basedOn w:val="1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348">
    <w:name w:val="Char21"/>
    <w:basedOn w:val="1"/>
    <w:qFormat/>
    <w:uiPriority w:val="0"/>
    <w:pPr>
      <w:adjustRightInd/>
      <w:ind w:firstLine="200" w:firstLineChars="200"/>
    </w:pPr>
    <w:rPr>
      <w:rFonts w:ascii="仿宋_GB2312" w:eastAsia="仿宋_GB2312"/>
      <w:b/>
      <w:sz w:val="32"/>
      <w:szCs w:val="32"/>
    </w:rPr>
  </w:style>
  <w:style w:type="paragraph" w:customStyle="1" w:styleId="349">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50">
    <w:name w:val="标题4-dyf"/>
    <w:basedOn w:val="5"/>
    <w:link w:val="555"/>
    <w:qFormat/>
    <w:uiPriority w:val="0"/>
    <w:pPr>
      <w:numPr>
        <w:numId w:val="0"/>
      </w:num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351">
    <w:name w:val="Char1 Char Char Char4"/>
    <w:basedOn w:val="1"/>
    <w:qFormat/>
    <w:uiPriority w:val="0"/>
    <w:pPr>
      <w:adjustRightInd/>
      <w:ind w:firstLine="200" w:firstLineChars="200"/>
    </w:pPr>
    <w:rPr>
      <w:rFonts w:ascii="Tahoma" w:hAnsi="Tahoma"/>
      <w:sz w:val="24"/>
      <w:szCs w:val="20"/>
    </w:rPr>
  </w:style>
  <w:style w:type="paragraph" w:customStyle="1" w:styleId="352">
    <w:name w:val="Char Char11 Char Char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353">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354">
    <w:name w:val="Char23"/>
    <w:basedOn w:val="1"/>
    <w:qFormat/>
    <w:uiPriority w:val="0"/>
    <w:rPr>
      <w:rFonts w:ascii="仿宋_GB2312" w:eastAsia="仿宋_GB2312"/>
      <w:b/>
      <w:sz w:val="32"/>
      <w:szCs w:val="32"/>
    </w:rPr>
  </w:style>
  <w:style w:type="paragraph" w:customStyle="1" w:styleId="355">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356">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57">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58">
    <w:name w:val="此正文"/>
    <w:basedOn w:val="1"/>
    <w:link w:val="443"/>
    <w:qFormat/>
    <w:uiPriority w:val="0"/>
    <w:pPr>
      <w:adjustRightInd/>
      <w:spacing w:line="360" w:lineRule="auto"/>
      <w:ind w:firstLine="200" w:firstLineChars="200"/>
    </w:pPr>
    <w:rPr>
      <w:sz w:val="24"/>
    </w:rPr>
  </w:style>
  <w:style w:type="paragraph" w:customStyle="1" w:styleId="359">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60">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361">
    <w:name w:val="Char3 Char Char Char"/>
    <w:basedOn w:val="1"/>
    <w:qFormat/>
    <w:uiPriority w:val="0"/>
    <w:pPr>
      <w:widowControl/>
      <w:adjustRightInd/>
      <w:spacing w:after="160" w:line="240" w:lineRule="exact"/>
      <w:jc w:val="left"/>
    </w:pPr>
    <w:rPr>
      <w:szCs w:val="20"/>
    </w:rPr>
  </w:style>
  <w:style w:type="paragraph" w:customStyle="1" w:styleId="362">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363">
    <w:name w:val="Normal0"/>
    <w:qFormat/>
    <w:uiPriority w:val="0"/>
    <w:rPr>
      <w:rFonts w:ascii="Times New Roman" w:hAnsi="Times New Roman" w:eastAsia="宋体" w:cs="Times New Roman"/>
      <w:lang w:val="en-US" w:eastAsia="en-US" w:bidi="ar-SA"/>
    </w:rPr>
  </w:style>
  <w:style w:type="paragraph" w:customStyle="1" w:styleId="364">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65">
    <w:name w:val="a1"/>
    <w:basedOn w:val="1"/>
    <w:qFormat/>
    <w:uiPriority w:val="0"/>
    <w:pPr>
      <w:widowControl/>
      <w:spacing w:line="300" w:lineRule="atLeast"/>
      <w:jc w:val="left"/>
    </w:pPr>
    <w:rPr>
      <w:rFonts w:ascii="宋体" w:hAnsi="宋体"/>
      <w:kern w:val="0"/>
      <w:sz w:val="18"/>
      <w:szCs w:val="20"/>
    </w:rPr>
  </w:style>
  <w:style w:type="paragraph" w:customStyle="1" w:styleId="366">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367">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368">
    <w:name w:val="正文 A"/>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customStyle="1" w:styleId="369">
    <w:name w:val="Thf"/>
    <w:basedOn w:val="96"/>
    <w:qFormat/>
    <w:uiPriority w:val="0"/>
    <w:pPr>
      <w:ind w:left="0"/>
    </w:pPr>
  </w:style>
  <w:style w:type="paragraph" w:customStyle="1" w:styleId="370">
    <w:name w:val="Char3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71">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372">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373">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74">
    <w:name w:val="_Style 12"/>
    <w:basedOn w:val="18"/>
    <w:qFormat/>
    <w:uiPriority w:val="0"/>
    <w:pPr>
      <w:snapToGrid w:val="0"/>
      <w:spacing w:line="360" w:lineRule="auto"/>
    </w:pPr>
  </w:style>
  <w:style w:type="paragraph" w:customStyle="1" w:styleId="375">
    <w:name w:val="表格题注"/>
    <w:next w:val="1"/>
    <w:qFormat/>
    <w:uiPriority w:val="0"/>
    <w:pPr>
      <w:keepLines/>
      <w:numPr>
        <w:ilvl w:val="8"/>
        <w:numId w:val="4"/>
      </w:numPr>
      <w:spacing w:before="312" w:beforeLines="100"/>
      <w:ind w:left="1089" w:hanging="369"/>
      <w:jc w:val="center"/>
    </w:pPr>
    <w:rPr>
      <w:rFonts w:ascii="Arial" w:hAnsi="Arial" w:eastAsia="宋体" w:cs="Times New Roman"/>
      <w:sz w:val="18"/>
      <w:szCs w:val="18"/>
      <w:lang w:val="en-US" w:eastAsia="zh-CN" w:bidi="ar-SA"/>
    </w:rPr>
  </w:style>
  <w:style w:type="paragraph" w:customStyle="1" w:styleId="376">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377">
    <w:name w:val="标书标题2"/>
    <w:basedOn w:val="3"/>
    <w:qFormat/>
    <w:uiPriority w:val="0"/>
    <w:pPr>
      <w:keepLines w:val="0"/>
      <w:widowControl/>
      <w:numPr>
        <w:numId w:val="0"/>
      </w:numPr>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378">
    <w:name w:val="Char Char"/>
    <w:basedOn w:val="1"/>
    <w:qFormat/>
    <w:uiPriority w:val="0"/>
    <w:pPr>
      <w:spacing w:line="360" w:lineRule="auto"/>
    </w:pPr>
    <w:rPr>
      <w:rFonts w:ascii="Tahoma" w:hAnsi="Tahoma"/>
      <w:sz w:val="24"/>
      <w:szCs w:val="20"/>
    </w:rPr>
  </w:style>
  <w:style w:type="paragraph" w:customStyle="1" w:styleId="379">
    <w:name w:val="列出段落1"/>
    <w:basedOn w:val="1"/>
    <w:qFormat/>
    <w:uiPriority w:val="34"/>
    <w:pPr>
      <w:adjustRightInd/>
      <w:spacing w:line="360" w:lineRule="auto"/>
      <w:ind w:firstLine="420" w:firstLineChars="200"/>
    </w:pPr>
    <w:rPr>
      <w:rFonts w:ascii="Calibri" w:hAnsi="Calibri"/>
      <w:sz w:val="24"/>
      <w:szCs w:val="22"/>
    </w:rPr>
  </w:style>
  <w:style w:type="paragraph" w:customStyle="1" w:styleId="380">
    <w:name w:val="样式 标题 1 + 黑色 段前: 0.5 行 段后: 0.5 行1"/>
    <w:basedOn w:val="2"/>
    <w:qFormat/>
    <w:uiPriority w:val="0"/>
    <w:pPr>
      <w:keepLines w:val="0"/>
      <w:pageBreakBefore/>
      <w:numPr>
        <w:numId w:val="0"/>
      </w:numPr>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381">
    <w:name w:val="彩色列表 - 强调文字颜色 12"/>
    <w:basedOn w:val="1"/>
    <w:qFormat/>
    <w:uiPriority w:val="0"/>
    <w:pPr>
      <w:adjustRightInd/>
      <w:ind w:firstLine="420" w:firstLineChars="200"/>
    </w:pPr>
    <w:rPr>
      <w:rFonts w:ascii="Calibri" w:hAnsi="Calibri"/>
      <w:szCs w:val="22"/>
    </w:rPr>
  </w:style>
  <w:style w:type="paragraph" w:customStyle="1" w:styleId="382">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383">
    <w:name w:val="Char19"/>
    <w:basedOn w:val="1"/>
    <w:qFormat/>
    <w:uiPriority w:val="0"/>
    <w:pPr>
      <w:adjustRightInd/>
    </w:pPr>
    <w:rPr>
      <w:szCs w:val="20"/>
    </w:rPr>
  </w:style>
  <w:style w:type="paragraph" w:customStyle="1" w:styleId="384">
    <w:name w:val="CSS1级正文 Char"/>
    <w:basedOn w:val="22"/>
    <w:qFormat/>
    <w:uiPriority w:val="0"/>
    <w:pPr>
      <w:autoSpaceDE/>
      <w:autoSpaceDN/>
      <w:snapToGrid w:val="0"/>
      <w:ind w:firstLine="480" w:firstLineChars="200"/>
    </w:pPr>
    <w:rPr>
      <w:rFonts w:ascii="Times New Roman"/>
      <w:szCs w:val="24"/>
      <w:lang w:val="en-US"/>
    </w:rPr>
  </w:style>
  <w:style w:type="paragraph" w:customStyle="1" w:styleId="385">
    <w:name w:val="正文（首行缩进）"/>
    <w:basedOn w:val="23"/>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86">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87">
    <w:name w:val="表格（小）"/>
    <w:basedOn w:val="1"/>
    <w:qFormat/>
    <w:uiPriority w:val="0"/>
    <w:pPr>
      <w:adjustRightInd/>
      <w:snapToGrid w:val="0"/>
      <w:spacing w:line="300" w:lineRule="auto"/>
    </w:pPr>
    <w:rPr>
      <w:rFonts w:eastAsia="仿宋"/>
      <w:szCs w:val="21"/>
    </w:rPr>
  </w:style>
  <w:style w:type="paragraph" w:customStyle="1" w:styleId="388">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9">
    <w:name w:val="Char3 Char Char1"/>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90">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91">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92">
    <w:name w:val="Char Char Char Char2"/>
    <w:basedOn w:val="1"/>
    <w:qFormat/>
    <w:uiPriority w:val="0"/>
    <w:rPr>
      <w:rFonts w:ascii="Tahoma" w:hAnsi="Tahoma"/>
      <w:sz w:val="24"/>
      <w:szCs w:val="20"/>
    </w:rPr>
  </w:style>
  <w:style w:type="paragraph" w:customStyle="1" w:styleId="393">
    <w:name w:val="p0"/>
    <w:basedOn w:val="1"/>
    <w:qFormat/>
    <w:uiPriority w:val="0"/>
    <w:pPr>
      <w:widowControl/>
      <w:adjustRightInd/>
    </w:pPr>
    <w:rPr>
      <w:kern w:val="0"/>
      <w:szCs w:val="21"/>
    </w:rPr>
  </w:style>
  <w:style w:type="paragraph" w:customStyle="1" w:styleId="394">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395">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396">
    <w:name w:val="默认段落样式"/>
    <w:basedOn w:val="397"/>
    <w:qFormat/>
    <w:uiPriority w:val="0"/>
    <w:pPr>
      <w:spacing w:before="0"/>
      <w:ind w:firstLine="480"/>
      <w:outlineLvl w:val="2"/>
    </w:pPr>
    <w:rPr>
      <w:rFonts w:ascii="仿宋_GB2312" w:hAnsi="宋体" w:eastAsia="仿宋_GB2312"/>
      <w:color w:val="000000"/>
      <w:szCs w:val="24"/>
    </w:rPr>
  </w:style>
  <w:style w:type="paragraph" w:customStyle="1" w:styleId="397">
    <w:name w:val="正文2"/>
    <w:basedOn w:val="1"/>
    <w:link w:val="450"/>
    <w:qFormat/>
    <w:uiPriority w:val="0"/>
    <w:pPr>
      <w:spacing w:before="156" w:line="360" w:lineRule="auto"/>
      <w:ind w:firstLine="510" w:firstLineChars="200"/>
    </w:pPr>
    <w:rPr>
      <w:sz w:val="24"/>
      <w:szCs w:val="20"/>
    </w:rPr>
  </w:style>
  <w:style w:type="paragraph" w:customStyle="1" w:styleId="398">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399">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400">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01">
    <w:name w:val="bullet"/>
    <w:basedOn w:val="1"/>
    <w:qFormat/>
    <w:uiPriority w:val="0"/>
    <w:pPr>
      <w:tabs>
        <w:tab w:val="left" w:pos="840"/>
      </w:tabs>
      <w:adjustRightInd/>
      <w:ind w:left="840" w:hanging="420"/>
    </w:pPr>
  </w:style>
  <w:style w:type="paragraph" w:customStyle="1" w:styleId="402">
    <w:name w:val="五级条标题"/>
    <w:basedOn w:val="177"/>
    <w:next w:val="144"/>
    <w:qFormat/>
    <w:uiPriority w:val="0"/>
    <w:pPr>
      <w:numPr>
        <w:ilvl w:val="6"/>
      </w:numPr>
      <w:tabs>
        <w:tab w:val="clear" w:pos="2940"/>
      </w:tabs>
      <w:outlineLvl w:val="6"/>
    </w:pPr>
  </w:style>
  <w:style w:type="paragraph" w:customStyle="1" w:styleId="403">
    <w:name w:val="Char Char Char Char Char Char Char Char"/>
    <w:basedOn w:val="1"/>
    <w:qFormat/>
    <w:uiPriority w:val="0"/>
    <w:pPr>
      <w:tabs>
        <w:tab w:val="left" w:pos="360"/>
      </w:tabs>
    </w:pPr>
    <w:rPr>
      <w:sz w:val="24"/>
      <w:szCs w:val="20"/>
    </w:rPr>
  </w:style>
  <w:style w:type="paragraph" w:customStyle="1" w:styleId="404">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405">
    <w:name w:val="数字标题5"/>
    <w:basedOn w:val="6"/>
    <w:next w:val="1"/>
    <w:qFormat/>
    <w:uiPriority w:val="0"/>
    <w:pPr>
      <w:numPr>
        <w:numId w:val="5"/>
      </w:numPr>
      <w:tabs>
        <w:tab w:val="left" w:pos="480"/>
        <w:tab w:val="left" w:pos="1080"/>
        <w:tab w:val="clear" w:pos="1008"/>
      </w:tabs>
    </w:pPr>
  </w:style>
  <w:style w:type="paragraph" w:customStyle="1" w:styleId="406">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407">
    <w:name w:val="公文正文"/>
    <w:basedOn w:val="1"/>
    <w:qFormat/>
    <w:uiPriority w:val="0"/>
    <w:pPr>
      <w:adjustRightInd/>
      <w:spacing w:before="156" w:line="360" w:lineRule="auto"/>
      <w:ind w:firstLine="360" w:firstLineChars="200"/>
    </w:pPr>
    <w:rPr>
      <w:rFonts w:ascii="仿宋_GB2312" w:eastAsia="仿宋_GB2312"/>
      <w:sz w:val="24"/>
    </w:rPr>
  </w:style>
  <w:style w:type="paragraph" w:customStyle="1" w:styleId="408">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09">
    <w:name w:val="表格文字"/>
    <w:basedOn w:val="1"/>
    <w:next w:val="15"/>
    <w:qFormat/>
    <w:uiPriority w:val="0"/>
    <w:pPr>
      <w:adjustRightInd/>
      <w:ind w:firstLine="200" w:firstLineChars="200"/>
    </w:pPr>
    <w:rPr>
      <w:rFonts w:ascii="Arial" w:hAnsi="Arial"/>
      <w:spacing w:val="-5"/>
      <w:kern w:val="0"/>
      <w:sz w:val="24"/>
      <w:szCs w:val="20"/>
    </w:rPr>
  </w:style>
  <w:style w:type="paragraph" w:customStyle="1" w:styleId="410">
    <w:name w:val="0"/>
    <w:basedOn w:val="1"/>
    <w:qFormat/>
    <w:uiPriority w:val="0"/>
    <w:pPr>
      <w:widowControl/>
    </w:pPr>
    <w:rPr>
      <w:kern w:val="0"/>
      <w:sz w:val="24"/>
      <w:szCs w:val="20"/>
    </w:rPr>
  </w:style>
  <w:style w:type="paragraph" w:customStyle="1" w:styleId="411">
    <w:name w:val="Char1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12">
    <w:name w:val="b11_01b"/>
    <w:basedOn w:val="1"/>
    <w:next w:val="1"/>
    <w:link w:val="554"/>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413">
    <w:name w:val="MM Topic 5"/>
    <w:basedOn w:val="6"/>
    <w:qFormat/>
    <w:uiPriority w:val="0"/>
    <w:pPr>
      <w:numPr>
        <w:numId w:val="4"/>
      </w:numPr>
      <w:tabs>
        <w:tab w:val="left" w:pos="840"/>
        <w:tab w:val="left" w:pos="2520"/>
        <w:tab w:val="clear" w:pos="1008"/>
      </w:tabs>
      <w:adjustRightInd/>
    </w:pPr>
  </w:style>
  <w:style w:type="paragraph" w:customStyle="1" w:styleId="414">
    <w:name w:val="样式 标题 3标题 3 Char第二层条h33Bold Headbh章标题1小标题level_3PIM 3..."/>
    <w:basedOn w:val="4"/>
    <w:qFormat/>
    <w:uiPriority w:val="0"/>
    <w:pPr>
      <w:numPr>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415">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416">
    <w:name w:val="数字标题1"/>
    <w:basedOn w:val="2"/>
    <w:next w:val="1"/>
    <w:qFormat/>
    <w:uiPriority w:val="0"/>
    <w:pPr>
      <w:numPr>
        <w:numId w:val="5"/>
      </w:numPr>
      <w:tabs>
        <w:tab w:val="left" w:pos="480"/>
        <w:tab w:val="clear" w:pos="432"/>
      </w:tabs>
    </w:pPr>
  </w:style>
  <w:style w:type="paragraph" w:customStyle="1" w:styleId="417">
    <w:name w:val="Char1 Char Char Char6"/>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418">
    <w:name w:val="标书标题3"/>
    <w:basedOn w:val="4"/>
    <w:qFormat/>
    <w:uiPriority w:val="0"/>
    <w:pPr>
      <w:keepLines w:val="0"/>
      <w:widowControl/>
      <w:numPr>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419">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20">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21">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22">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423">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424">
    <w:name w:val="MM Topic 1"/>
    <w:basedOn w:val="2"/>
    <w:qFormat/>
    <w:uiPriority w:val="0"/>
    <w:pPr>
      <w:numPr>
        <w:numId w:val="0"/>
      </w:numPr>
      <w:tabs>
        <w:tab w:val="left" w:pos="840"/>
        <w:tab w:val="clear" w:pos="432"/>
      </w:tabs>
      <w:adjustRightInd/>
      <w:ind w:left="840" w:hanging="420"/>
    </w:pPr>
  </w:style>
  <w:style w:type="paragraph" w:customStyle="1" w:styleId="425">
    <w:name w:val="Char Char Char Char Char Char Char Char1"/>
    <w:basedOn w:val="1"/>
    <w:qFormat/>
    <w:uiPriority w:val="0"/>
    <w:pPr>
      <w:tabs>
        <w:tab w:val="left" w:pos="360"/>
      </w:tabs>
    </w:pPr>
    <w:rPr>
      <w:sz w:val="24"/>
      <w:szCs w:val="20"/>
    </w:rPr>
  </w:style>
  <w:style w:type="paragraph" w:customStyle="1" w:styleId="426">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427">
    <w:name w:val="Char3 Char Char Char1"/>
    <w:basedOn w:val="1"/>
    <w:qFormat/>
    <w:uiPriority w:val="0"/>
    <w:pPr>
      <w:widowControl/>
      <w:adjustRightInd/>
      <w:spacing w:after="160" w:line="240" w:lineRule="exact"/>
      <w:jc w:val="left"/>
    </w:pPr>
    <w:rPr>
      <w:szCs w:val="20"/>
    </w:rPr>
  </w:style>
  <w:style w:type="paragraph" w:customStyle="1" w:styleId="428">
    <w:name w:val="Char Char12"/>
    <w:basedOn w:val="1"/>
    <w:qFormat/>
    <w:uiPriority w:val="0"/>
    <w:pPr>
      <w:widowControl/>
      <w:spacing w:after="160" w:line="240" w:lineRule="exact"/>
      <w:jc w:val="left"/>
    </w:pPr>
    <w:rPr>
      <w:rFonts w:eastAsia="仿宋_GB2312"/>
      <w:sz w:val="28"/>
    </w:rPr>
  </w:style>
  <w:style w:type="paragraph" w:customStyle="1" w:styleId="429">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30">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431">
    <w:name w:val="正文文本 21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2">
    <w:name w:val="单元格左对齐"/>
    <w:basedOn w:val="1"/>
    <w:qFormat/>
    <w:uiPriority w:val="0"/>
    <w:pPr>
      <w:adjustRightInd/>
      <w:spacing w:line="360" w:lineRule="auto"/>
    </w:pPr>
    <w:rPr>
      <w:sz w:val="24"/>
    </w:rPr>
  </w:style>
  <w:style w:type="paragraph" w:customStyle="1" w:styleId="433">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434">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character" w:customStyle="1" w:styleId="435">
    <w:name w:val="正文文本 Char"/>
    <w:qFormat/>
    <w:uiPriority w:val="0"/>
    <w:rPr>
      <w:rFonts w:eastAsia="宋体"/>
      <w:kern w:val="2"/>
      <w:sz w:val="24"/>
      <w:szCs w:val="24"/>
      <w:lang w:val="en-US" w:eastAsia="zh-CN" w:bidi="ar-SA"/>
    </w:rPr>
  </w:style>
  <w:style w:type="character" w:customStyle="1" w:styleId="436">
    <w:name w:val="myp1111"/>
    <w:qFormat/>
    <w:uiPriority w:val="0"/>
    <w:rPr>
      <w:rFonts w:hint="default" w:ascii="ˎ̥" w:hAnsi="ˎ̥"/>
      <w:color w:val="000000"/>
      <w:sz w:val="20"/>
      <w:szCs w:val="20"/>
      <w:u w:val="none"/>
    </w:rPr>
  </w:style>
  <w:style w:type="character" w:customStyle="1" w:styleId="437">
    <w:name w:val="mdeck"/>
    <w:qFormat/>
    <w:uiPriority w:val="0"/>
    <w:rPr>
      <w:rFonts w:ascii="仿宋_GB2312" w:eastAsia="微软雅黑"/>
      <w:b/>
      <w:kern w:val="2"/>
      <w:sz w:val="32"/>
      <w:szCs w:val="32"/>
      <w:lang w:val="en-US" w:eastAsia="zh-CN" w:bidi="ar-SA"/>
    </w:rPr>
  </w:style>
  <w:style w:type="character" w:customStyle="1" w:styleId="438">
    <w:name w:val="签名 Char"/>
    <w:link w:val="39"/>
    <w:qFormat/>
    <w:uiPriority w:val="0"/>
    <w:rPr>
      <w:rFonts w:eastAsia="仿宋_GB2312"/>
      <w:sz w:val="24"/>
    </w:rPr>
  </w:style>
  <w:style w:type="character" w:customStyle="1" w:styleId="439">
    <w:name w:val="tw4winMark"/>
    <w:qFormat/>
    <w:uiPriority w:val="0"/>
    <w:rPr>
      <w:rFonts w:ascii="Courier New" w:hAnsi="Courier New" w:cs="Courier New"/>
      <w:vanish/>
      <w:color w:val="800080"/>
      <w:sz w:val="24"/>
      <w:szCs w:val="24"/>
      <w:vertAlign w:val="subscript"/>
    </w:rPr>
  </w:style>
  <w:style w:type="character" w:customStyle="1" w:styleId="440">
    <w:name w:val="Char Char9"/>
    <w:qFormat/>
    <w:uiPriority w:val="0"/>
    <w:rPr>
      <w:rFonts w:ascii="Times New Roman" w:hAnsi="Times New Roman" w:eastAsia="宋体" w:cs="Times New Roman"/>
      <w:b/>
      <w:bCs/>
      <w:kern w:val="2"/>
      <w:sz w:val="32"/>
      <w:szCs w:val="32"/>
      <w:lang w:val="en-US" w:eastAsia="zh-CN" w:bidi="ar-SA"/>
    </w:rPr>
  </w:style>
  <w:style w:type="character" w:customStyle="1" w:styleId="441">
    <w:name w:val="Balloon Text Char"/>
    <w:semiHidden/>
    <w:qFormat/>
    <w:locked/>
    <w:uiPriority w:val="0"/>
    <w:rPr>
      <w:rFonts w:eastAsia="宋体"/>
      <w:kern w:val="2"/>
      <w:sz w:val="18"/>
      <w:szCs w:val="18"/>
      <w:lang w:val="en-US" w:eastAsia="zh-CN" w:bidi="ar-SA"/>
    </w:rPr>
  </w:style>
  <w:style w:type="character" w:customStyle="1" w:styleId="442">
    <w:name w:val="正文非缩进 Char"/>
    <w:qFormat/>
    <w:uiPriority w:val="0"/>
    <w:rPr>
      <w:rFonts w:ascii="宋体" w:eastAsia="宋体"/>
      <w:snapToGrid w:val="0"/>
      <w:color w:val="000000"/>
      <w:kern w:val="28"/>
      <w:sz w:val="28"/>
      <w:lang w:val="en-US" w:eastAsia="zh-CN" w:bidi="ar-SA"/>
    </w:rPr>
  </w:style>
  <w:style w:type="character" w:customStyle="1" w:styleId="443">
    <w:name w:val="此正文 Char"/>
    <w:link w:val="358"/>
    <w:qFormat/>
    <w:uiPriority w:val="0"/>
    <w:rPr>
      <w:kern w:val="2"/>
      <w:sz w:val="24"/>
      <w:szCs w:val="24"/>
    </w:rPr>
  </w:style>
  <w:style w:type="character" w:customStyle="1" w:styleId="444">
    <w:name w:val="Ò³Ã¼ Char Char"/>
    <w:qFormat/>
    <w:uiPriority w:val="0"/>
    <w:rPr>
      <w:rFonts w:eastAsia="宋体"/>
      <w:kern w:val="2"/>
      <w:sz w:val="18"/>
      <w:lang w:val="en-US" w:eastAsia="zh-CN" w:bidi="ar-SA"/>
    </w:rPr>
  </w:style>
  <w:style w:type="character" w:customStyle="1" w:styleId="445">
    <w:name w:val="style91"/>
    <w:qFormat/>
    <w:uiPriority w:val="0"/>
    <w:rPr>
      <w:color w:val="333333"/>
    </w:rPr>
  </w:style>
  <w:style w:type="character" w:customStyle="1" w:styleId="446">
    <w:name w:val="标书1 Char"/>
    <w:qFormat/>
    <w:uiPriority w:val="0"/>
    <w:rPr>
      <w:rFonts w:eastAsia="宋体"/>
      <w:b/>
      <w:bCs/>
      <w:kern w:val="44"/>
      <w:sz w:val="44"/>
      <w:szCs w:val="44"/>
      <w:lang w:val="en-US" w:eastAsia="zh-CN" w:bidi="ar-SA"/>
    </w:rPr>
  </w:style>
  <w:style w:type="character" w:customStyle="1" w:styleId="447">
    <w:name w:val="ca-131"/>
    <w:qFormat/>
    <w:uiPriority w:val="0"/>
    <w:rPr>
      <w:rFonts w:hint="eastAsia" w:ascii="仿宋_GB2312" w:eastAsia="仿宋_GB2312"/>
      <w:b/>
      <w:bCs/>
      <w:color w:val="000000"/>
      <w:spacing w:val="-20"/>
      <w:sz w:val="24"/>
      <w:szCs w:val="24"/>
    </w:rPr>
  </w:style>
  <w:style w:type="character" w:customStyle="1" w:styleId="448">
    <w:name w:val="标书正文格式 Char"/>
    <w:qFormat/>
    <w:uiPriority w:val="0"/>
    <w:rPr>
      <w:rFonts w:eastAsia="楷体_GB2312"/>
      <w:kern w:val="2"/>
      <w:sz w:val="24"/>
      <w:szCs w:val="24"/>
      <w:lang w:bidi="ar-SA"/>
    </w:rPr>
  </w:style>
  <w:style w:type="character" w:customStyle="1" w:styleId="449">
    <w:name w:val="Char Char6"/>
    <w:qFormat/>
    <w:uiPriority w:val="0"/>
    <w:rPr>
      <w:rFonts w:eastAsia="宋体"/>
      <w:kern w:val="2"/>
      <w:sz w:val="21"/>
      <w:szCs w:val="24"/>
      <w:lang w:val="en-US" w:eastAsia="zh-CN" w:bidi="ar-SA"/>
    </w:rPr>
  </w:style>
  <w:style w:type="character" w:customStyle="1" w:styleId="450">
    <w:name w:val="正文2 Char Char"/>
    <w:link w:val="397"/>
    <w:qFormat/>
    <w:uiPriority w:val="0"/>
    <w:rPr>
      <w:rFonts w:eastAsia="宋体"/>
      <w:kern w:val="2"/>
      <w:sz w:val="24"/>
      <w:lang w:val="en-US" w:eastAsia="zh-CN" w:bidi="ar-SA"/>
    </w:rPr>
  </w:style>
  <w:style w:type="character" w:customStyle="1" w:styleId="451">
    <w:name w:val="content"/>
    <w:qFormat/>
    <w:uiPriority w:val="0"/>
  </w:style>
  <w:style w:type="character" w:customStyle="1" w:styleId="452">
    <w:name w:val="正文文本 2 Char"/>
    <w:qFormat/>
    <w:uiPriority w:val="0"/>
    <w:rPr>
      <w:rFonts w:eastAsia="宋体"/>
      <w:kern w:val="2"/>
      <w:sz w:val="21"/>
      <w:szCs w:val="24"/>
      <w:lang w:val="en-US" w:eastAsia="zh-CN" w:bidi="ar-SA"/>
    </w:rPr>
  </w:style>
  <w:style w:type="character" w:customStyle="1" w:styleId="453">
    <w:name w:val="Heading 2 Hidden Char"/>
    <w:qFormat/>
    <w:uiPriority w:val="0"/>
    <w:rPr>
      <w:rFonts w:ascii="仿宋_GB2312" w:eastAsia="仿宋_GB2312"/>
      <w:b/>
      <w:bCs/>
      <w:kern w:val="2"/>
      <w:sz w:val="24"/>
      <w:szCs w:val="24"/>
      <w:lang w:val="zh-CN" w:eastAsia="zh-CN" w:bidi="ar-SA"/>
    </w:rPr>
  </w:style>
  <w:style w:type="character" w:customStyle="1" w:styleId="454">
    <w:name w:val="首行缩进 Char"/>
    <w:qFormat/>
    <w:uiPriority w:val="0"/>
    <w:rPr>
      <w:rFonts w:ascii="宋体" w:eastAsia="宋体"/>
      <w:kern w:val="2"/>
      <w:sz w:val="24"/>
      <w:lang w:val="en-US" w:eastAsia="zh-CN" w:bidi="ar-SA"/>
    </w:rPr>
  </w:style>
  <w:style w:type="character" w:customStyle="1" w:styleId="455">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456">
    <w:name w:val="普通文字 Char Char1"/>
    <w:qFormat/>
    <w:uiPriority w:val="0"/>
    <w:rPr>
      <w:rFonts w:ascii="宋体" w:hAnsi="Courier New"/>
      <w:kern w:val="2"/>
      <w:sz w:val="21"/>
    </w:rPr>
  </w:style>
  <w:style w:type="character" w:customStyle="1" w:styleId="457">
    <w:name w:val="Footer-Even Char"/>
    <w:qFormat/>
    <w:uiPriority w:val="0"/>
    <w:rPr>
      <w:rFonts w:eastAsia="宋体"/>
      <w:kern w:val="2"/>
      <w:sz w:val="18"/>
      <w:lang w:val="en-US" w:eastAsia="zh-CN" w:bidi="ar-SA"/>
    </w:rPr>
  </w:style>
  <w:style w:type="character" w:customStyle="1" w:styleId="458">
    <w:name w:val="dandyren_title1"/>
    <w:qFormat/>
    <w:uiPriority w:val="0"/>
    <w:rPr>
      <w:b/>
      <w:bCs/>
      <w:color w:val="FF6633"/>
      <w:sz w:val="18"/>
      <w:szCs w:val="18"/>
    </w:rPr>
  </w:style>
  <w:style w:type="character" w:customStyle="1" w:styleId="459">
    <w:name w:val="标题 3 Char2"/>
    <w:qFormat/>
    <w:uiPriority w:val="0"/>
    <w:rPr>
      <w:rFonts w:eastAsia="宋体"/>
      <w:b/>
      <w:bCs/>
      <w:kern w:val="2"/>
      <w:sz w:val="32"/>
      <w:szCs w:val="32"/>
      <w:lang w:val="en-US" w:eastAsia="zh-CN" w:bidi="ar-SA"/>
    </w:rPr>
  </w:style>
  <w:style w:type="character" w:customStyle="1" w:styleId="460">
    <w:name w:val="gray6"/>
    <w:basedOn w:val="62"/>
    <w:qFormat/>
    <w:uiPriority w:val="0"/>
  </w:style>
  <w:style w:type="character" w:customStyle="1" w:styleId="461">
    <w:name w:val="标准正文格式 Char"/>
    <w:qFormat/>
    <w:uiPriority w:val="0"/>
    <w:rPr>
      <w:rFonts w:ascii="宋体" w:eastAsia="仿宋_GB2312" w:cs="宋体"/>
      <w:color w:val="000000"/>
      <w:sz w:val="24"/>
      <w:lang w:val="en-US" w:eastAsia="zh-CN" w:bidi="ar-SA"/>
    </w:rPr>
  </w:style>
  <w:style w:type="character" w:customStyle="1" w:styleId="462">
    <w:name w:val="Char Char3"/>
    <w:qFormat/>
    <w:uiPriority w:val="0"/>
    <w:rPr>
      <w:rFonts w:eastAsia="宋体"/>
      <w:kern w:val="2"/>
      <w:sz w:val="21"/>
      <w:szCs w:val="24"/>
      <w:lang w:val="en-US" w:eastAsia="zh-CN" w:bidi="ar-SA"/>
    </w:rPr>
  </w:style>
  <w:style w:type="character" w:customStyle="1" w:styleId="463">
    <w:name w:val="px14"/>
    <w:qFormat/>
    <w:uiPriority w:val="0"/>
    <w:rPr>
      <w:rFonts w:ascii="仿宋_GB2312" w:eastAsia="微软雅黑" w:cs="Times New Roman"/>
      <w:b/>
      <w:kern w:val="2"/>
      <w:sz w:val="32"/>
      <w:szCs w:val="32"/>
      <w:lang w:val="en-US" w:eastAsia="zh-CN" w:bidi="ar-SA"/>
    </w:rPr>
  </w:style>
  <w:style w:type="character" w:customStyle="1" w:styleId="464">
    <w:name w:val="txt"/>
    <w:qFormat/>
    <w:uiPriority w:val="0"/>
    <w:rPr>
      <w:rFonts w:ascii="仿宋_GB2312" w:eastAsia="微软雅黑"/>
      <w:b/>
      <w:kern w:val="2"/>
      <w:sz w:val="32"/>
      <w:szCs w:val="32"/>
      <w:lang w:val="en-US" w:eastAsia="zh-CN" w:bidi="ar-SA"/>
    </w:rPr>
  </w:style>
  <w:style w:type="character" w:customStyle="1" w:styleId="465">
    <w:name w:val="仿宋正文 Char"/>
    <w:link w:val="342"/>
    <w:qFormat/>
    <w:uiPriority w:val="0"/>
    <w:rPr>
      <w:rFonts w:ascii="仿宋_GB2312" w:eastAsia="仿宋_GB2312"/>
      <w:kern w:val="2"/>
      <w:sz w:val="24"/>
      <w:lang w:val="en-US" w:eastAsia="zh-CN" w:bidi="ar-SA"/>
    </w:rPr>
  </w:style>
  <w:style w:type="character" w:customStyle="1" w:styleId="466">
    <w:name w:val="Comment Text Char"/>
    <w:semiHidden/>
    <w:qFormat/>
    <w:locked/>
    <w:uiPriority w:val="0"/>
    <w:rPr>
      <w:rFonts w:ascii="宋体" w:hAnsi="宋体" w:eastAsia="宋体"/>
      <w:kern w:val="2"/>
      <w:sz w:val="24"/>
      <w:lang w:val="en-US" w:eastAsia="zh-CN" w:bidi="ar-SA"/>
    </w:rPr>
  </w:style>
  <w:style w:type="character" w:customStyle="1" w:styleId="467">
    <w:name w:val="tw4winExternal"/>
    <w:qFormat/>
    <w:uiPriority w:val="0"/>
    <w:rPr>
      <w:rFonts w:ascii="Courier New" w:hAnsi="Courier New" w:cs="Courier New"/>
      <w:color w:val="808080"/>
    </w:rPr>
  </w:style>
  <w:style w:type="character" w:customStyle="1" w:styleId="468">
    <w:name w:val="Char Char10"/>
    <w:semiHidden/>
    <w:qFormat/>
    <w:uiPriority w:val="0"/>
    <w:rPr>
      <w:rFonts w:ascii="宋体" w:hAnsi="宋体"/>
      <w:kern w:val="2"/>
      <w:sz w:val="21"/>
      <w:szCs w:val="24"/>
    </w:rPr>
  </w:style>
  <w:style w:type="character" w:customStyle="1" w:styleId="469">
    <w:name w:val="Bold"/>
    <w:qFormat/>
    <w:uiPriority w:val="0"/>
    <w:rPr>
      <w:rFonts w:ascii="Arial" w:hAnsi="Arial" w:eastAsia="黑体" w:cs="Times New Roman"/>
      <w:b/>
      <w:kern w:val="2"/>
      <w:sz w:val="32"/>
      <w:szCs w:val="32"/>
      <w:lang w:val="en-US" w:eastAsia="zh-CN" w:bidi="ar-SA"/>
    </w:rPr>
  </w:style>
  <w:style w:type="character" w:customStyle="1" w:styleId="470">
    <w:name w:val="Font Style82"/>
    <w:qFormat/>
    <w:uiPriority w:val="99"/>
    <w:rPr>
      <w:rFonts w:ascii="宋体" w:eastAsia="宋体" w:cs="宋体"/>
      <w:color w:val="000000"/>
      <w:sz w:val="14"/>
      <w:szCs w:val="14"/>
    </w:rPr>
  </w:style>
  <w:style w:type="character" w:customStyle="1" w:styleId="471">
    <w:name w:val="标题 2 Char"/>
    <w:qFormat/>
    <w:uiPriority w:val="0"/>
    <w:rPr>
      <w:rFonts w:ascii="Arial" w:hAnsi="Arial" w:eastAsia="黑体"/>
      <w:b/>
      <w:kern w:val="2"/>
      <w:sz w:val="32"/>
      <w:lang w:val="en-US" w:eastAsia="zh-CN"/>
    </w:rPr>
  </w:style>
  <w:style w:type="character" w:customStyle="1" w:styleId="472">
    <w:name w:val="h3 Char"/>
    <w:qFormat/>
    <w:uiPriority w:val="0"/>
    <w:rPr>
      <w:rFonts w:eastAsia="宋体"/>
      <w:b/>
      <w:kern w:val="2"/>
      <w:sz w:val="32"/>
      <w:lang w:val="en-US" w:eastAsia="zh-CN" w:bidi="ar-SA"/>
    </w:rPr>
  </w:style>
  <w:style w:type="character" w:customStyle="1" w:styleId="473">
    <w:name w:val="页眉 Char1"/>
    <w:qFormat/>
    <w:uiPriority w:val="0"/>
    <w:rPr>
      <w:rFonts w:eastAsia="宋体"/>
      <w:kern w:val="2"/>
      <w:sz w:val="18"/>
      <w:szCs w:val="18"/>
      <w:lang w:val="en-US" w:eastAsia="zh-CN" w:bidi="ar-SA"/>
    </w:rPr>
  </w:style>
  <w:style w:type="character" w:customStyle="1" w:styleId="474">
    <w:name w:val="标题 8 Char"/>
    <w:link w:val="9"/>
    <w:qFormat/>
    <w:uiPriority w:val="0"/>
    <w:rPr>
      <w:rFonts w:ascii="Arial" w:hAnsi="Arial" w:eastAsia="黑体"/>
      <w:kern w:val="2"/>
      <w:sz w:val="24"/>
      <w:szCs w:val="24"/>
    </w:rPr>
  </w:style>
  <w:style w:type="character" w:customStyle="1" w:styleId="475">
    <w:name w:val="冯广丽 Char"/>
    <w:link w:val="240"/>
    <w:qFormat/>
    <w:uiPriority w:val="0"/>
    <w:rPr>
      <w:rFonts w:ascii="宋体" w:hAnsi="宋体"/>
      <w:kern w:val="2"/>
      <w:sz w:val="24"/>
      <w:szCs w:val="22"/>
    </w:rPr>
  </w:style>
  <w:style w:type="character" w:customStyle="1" w:styleId="476">
    <w:name w:val="脚注文本 Char"/>
    <w:link w:val="47"/>
    <w:qFormat/>
    <w:uiPriority w:val="0"/>
    <w:rPr>
      <w:color w:val="0000FF"/>
      <w:sz w:val="21"/>
    </w:rPr>
  </w:style>
  <w:style w:type="character" w:customStyle="1" w:styleId="477">
    <w:name w:val="font12gray1"/>
    <w:qFormat/>
    <w:uiPriority w:val="0"/>
    <w:rPr>
      <w:rFonts w:ascii="仿宋_GB2312" w:eastAsia="微软雅黑"/>
      <w:b/>
      <w:spacing w:val="300"/>
      <w:kern w:val="2"/>
      <w:sz w:val="18"/>
      <w:szCs w:val="18"/>
      <w:lang w:val="en-US" w:eastAsia="zh-CN" w:bidi="ar-SA"/>
    </w:rPr>
  </w:style>
  <w:style w:type="character" w:customStyle="1" w:styleId="478">
    <w:name w:val="正文文本缩进 Char1"/>
    <w:link w:val="23"/>
    <w:qFormat/>
    <w:uiPriority w:val="0"/>
    <w:rPr>
      <w:rFonts w:ascii="宋体" w:hAnsi="宋体"/>
      <w:kern w:val="2"/>
      <w:sz w:val="24"/>
      <w:szCs w:val="24"/>
    </w:rPr>
  </w:style>
  <w:style w:type="character" w:customStyle="1" w:styleId="479">
    <w:name w:val="方案正文 Char"/>
    <w:qFormat/>
    <w:uiPriority w:val="0"/>
    <w:rPr>
      <w:rFonts w:ascii="仿宋_GB2312" w:eastAsia="仿宋_GB2312"/>
      <w:b/>
      <w:color w:val="000000"/>
      <w:kern w:val="2"/>
      <w:sz w:val="24"/>
      <w:lang w:val="en-US" w:eastAsia="zh-CN" w:bidi="ar-SA"/>
    </w:rPr>
  </w:style>
  <w:style w:type="character" w:customStyle="1" w:styleId="480">
    <w:name w:val="Item List Char"/>
    <w:link w:val="266"/>
    <w:qFormat/>
    <w:uiPriority w:val="0"/>
    <w:rPr>
      <w:rFonts w:ascii="Arial"/>
      <w:bCs/>
      <w:sz w:val="21"/>
      <w:szCs w:val="21"/>
      <w:lang w:val="en-US" w:eastAsia="zh-CN" w:bidi="ar-SA"/>
    </w:rPr>
  </w:style>
  <w:style w:type="character" w:customStyle="1" w:styleId="481">
    <w:name w:val="Normal Indent Char Char"/>
    <w:qFormat/>
    <w:uiPriority w:val="0"/>
    <w:rPr>
      <w:rFonts w:eastAsia="宋体"/>
      <w:kern w:val="2"/>
      <w:sz w:val="21"/>
      <w:lang w:val="en-US" w:eastAsia="zh-CN" w:bidi="ar-SA"/>
    </w:rPr>
  </w:style>
  <w:style w:type="character" w:customStyle="1" w:styleId="482">
    <w:name w:val="t21"/>
    <w:qFormat/>
    <w:uiPriority w:val="0"/>
    <w:rPr>
      <w:rFonts w:ascii="仿宋_GB2312" w:eastAsia="微软雅黑"/>
      <w:b/>
      <w:kern w:val="2"/>
      <w:sz w:val="23"/>
      <w:szCs w:val="23"/>
      <w:lang w:val="en-US" w:eastAsia="zh-CN" w:bidi="ar-SA"/>
    </w:rPr>
  </w:style>
  <w:style w:type="character" w:customStyle="1" w:styleId="483">
    <w:name w:val="Char Char121"/>
    <w:qFormat/>
    <w:uiPriority w:val="0"/>
    <w:rPr>
      <w:rFonts w:ascii="仿宋_GB2312" w:eastAsia="仿宋_GB2312"/>
      <w:b/>
      <w:bCs/>
      <w:kern w:val="2"/>
      <w:sz w:val="24"/>
      <w:szCs w:val="24"/>
      <w:lang w:val="zh-CN" w:eastAsia="zh-CN" w:bidi="ar-SA"/>
    </w:rPr>
  </w:style>
  <w:style w:type="character" w:customStyle="1" w:styleId="484">
    <w:name w:val="标题 7 Char"/>
    <w:link w:val="8"/>
    <w:qFormat/>
    <w:uiPriority w:val="0"/>
    <w:rPr>
      <w:b/>
      <w:bCs/>
      <w:kern w:val="2"/>
      <w:sz w:val="24"/>
      <w:szCs w:val="24"/>
    </w:rPr>
  </w:style>
  <w:style w:type="character" w:customStyle="1" w:styleId="485">
    <w:name w:val="称呼 Char"/>
    <w:link w:val="20"/>
    <w:qFormat/>
    <w:uiPriority w:val="0"/>
    <w:rPr>
      <w:rFonts w:ascii="仿宋_GB2312" w:eastAsia="仿宋_GB2312"/>
      <w:kern w:val="2"/>
      <w:sz w:val="28"/>
    </w:rPr>
  </w:style>
  <w:style w:type="character" w:customStyle="1" w:styleId="486">
    <w:name w:val="正文 项目 Char"/>
    <w:qFormat/>
    <w:uiPriority w:val="0"/>
    <w:rPr>
      <w:rFonts w:ascii="仿宋_GB2312" w:hAnsi="仿宋_GB2312" w:eastAsia="仿宋_GB2312"/>
      <w:kern w:val="2"/>
      <w:sz w:val="24"/>
      <w:lang w:bidi="ar-SA"/>
    </w:rPr>
  </w:style>
  <w:style w:type="character" w:customStyle="1" w:styleId="487">
    <w:name w:val="普通文字 Char1"/>
    <w:qFormat/>
    <w:uiPriority w:val="0"/>
    <w:rPr>
      <w:rFonts w:ascii="宋体" w:hAnsi="Courier New" w:eastAsia="宋体"/>
      <w:kern w:val="2"/>
      <w:sz w:val="21"/>
      <w:lang w:val="en-US" w:eastAsia="zh-CN"/>
    </w:rPr>
  </w:style>
  <w:style w:type="character" w:customStyle="1" w:styleId="488">
    <w:name w:val="正文1 Char1"/>
    <w:qFormat/>
    <w:uiPriority w:val="0"/>
    <w:rPr>
      <w:rFonts w:ascii="仿宋_GB2312" w:hAnsi="Courier New" w:eastAsia="仿宋_GB2312"/>
      <w:kern w:val="28"/>
      <w:sz w:val="24"/>
      <w:szCs w:val="24"/>
    </w:rPr>
  </w:style>
  <w:style w:type="character" w:customStyle="1" w:styleId="489">
    <w:name w:val="hei16b1"/>
    <w:qFormat/>
    <w:uiPriority w:val="0"/>
    <w:rPr>
      <w:rFonts w:hint="default" w:ascii="Arial" w:hAnsi="Arial" w:cs="Arial"/>
      <w:b/>
      <w:bCs/>
      <w:color w:val="000000"/>
      <w:sz w:val="24"/>
      <w:szCs w:val="24"/>
    </w:rPr>
  </w:style>
  <w:style w:type="character" w:customStyle="1" w:styleId="490">
    <w:name w:val="c7 style3"/>
    <w:qFormat/>
    <w:uiPriority w:val="0"/>
  </w:style>
  <w:style w:type="character" w:customStyle="1" w:styleId="491">
    <w:name w:val="副标题 Char"/>
    <w:link w:val="44"/>
    <w:qFormat/>
    <w:uiPriority w:val="0"/>
    <w:rPr>
      <w:rFonts w:ascii="Arial" w:hAnsi="Arial" w:eastAsia="隶书"/>
      <w:b/>
      <w:bCs/>
      <w:kern w:val="28"/>
      <w:sz w:val="44"/>
      <w:szCs w:val="32"/>
      <w:lang w:val="en-US" w:eastAsia="zh-CN" w:bidi="ar-SA"/>
    </w:rPr>
  </w:style>
  <w:style w:type="character" w:customStyle="1" w:styleId="492">
    <w:name w:val="纯文本 Char"/>
    <w:link w:val="31"/>
    <w:qFormat/>
    <w:uiPriority w:val="0"/>
    <w:rPr>
      <w:rFonts w:ascii="宋体" w:hAnsi="Courier New" w:eastAsia="宋体" w:cs="Arial"/>
      <w:snapToGrid w:val="0"/>
      <w:kern w:val="2"/>
      <w:sz w:val="21"/>
      <w:szCs w:val="21"/>
      <w:lang w:val="en-US" w:eastAsia="zh-CN" w:bidi="ar-SA"/>
    </w:rPr>
  </w:style>
  <w:style w:type="character" w:customStyle="1" w:styleId="493">
    <w:name w:val="表正文 Char1"/>
    <w:qFormat/>
    <w:uiPriority w:val="0"/>
    <w:rPr>
      <w:rFonts w:ascii="宋体" w:eastAsia="宋体"/>
      <w:snapToGrid w:val="0"/>
      <w:color w:val="000000"/>
      <w:kern w:val="28"/>
      <w:sz w:val="28"/>
    </w:rPr>
  </w:style>
  <w:style w:type="character" w:customStyle="1" w:styleId="494">
    <w:name w:val="Char Char5"/>
    <w:qFormat/>
    <w:uiPriority w:val="0"/>
    <w:rPr>
      <w:rFonts w:ascii="宋体" w:hAnsi="Courier New" w:eastAsia="宋体"/>
      <w:kern w:val="2"/>
      <w:sz w:val="21"/>
      <w:lang w:val="en-US" w:eastAsia="zh-CN"/>
    </w:rPr>
  </w:style>
  <w:style w:type="character" w:customStyle="1" w:styleId="495">
    <w:name w:val="标题 1 Char Char"/>
    <w:qFormat/>
    <w:uiPriority w:val="0"/>
    <w:rPr>
      <w:rFonts w:hint="eastAsia" w:ascii="宋体" w:hAnsi="宋体" w:eastAsia="宋体"/>
      <w:b/>
      <w:spacing w:val="-2"/>
      <w:sz w:val="24"/>
      <w:lang w:val="en-US" w:eastAsia="zh-CN" w:bidi="ar-SA"/>
    </w:rPr>
  </w:style>
  <w:style w:type="character" w:customStyle="1" w:styleId="496">
    <w:name w:val="Char Char4"/>
    <w:qFormat/>
    <w:uiPriority w:val="0"/>
    <w:rPr>
      <w:rFonts w:eastAsia="宋体"/>
      <w:b/>
      <w:sz w:val="24"/>
      <w:lang w:val="en-GB" w:eastAsia="zh-CN" w:bidi="ar-SA"/>
    </w:rPr>
  </w:style>
  <w:style w:type="character" w:customStyle="1" w:styleId="497">
    <w:name w:val="zbggmain style9"/>
    <w:qFormat/>
    <w:uiPriority w:val="0"/>
  </w:style>
  <w:style w:type="character" w:customStyle="1" w:styleId="498">
    <w:name w:val="Header Char"/>
    <w:semiHidden/>
    <w:qFormat/>
    <w:locked/>
    <w:uiPriority w:val="0"/>
    <w:rPr>
      <w:rFonts w:eastAsia="宋体"/>
      <w:kern w:val="2"/>
      <w:sz w:val="18"/>
      <w:szCs w:val="18"/>
      <w:lang w:val="en-US" w:eastAsia="zh-CN" w:bidi="ar-SA"/>
    </w:rPr>
  </w:style>
  <w:style w:type="character" w:customStyle="1" w:styleId="499">
    <w:name w:val="样式 宋体"/>
    <w:qFormat/>
    <w:uiPriority w:val="0"/>
    <w:rPr>
      <w:rFonts w:ascii="宋体" w:hAnsi="宋体"/>
      <w:sz w:val="24"/>
    </w:rPr>
  </w:style>
  <w:style w:type="character" w:customStyle="1" w:styleId="500">
    <w:name w:val="哈哈正文 Char"/>
    <w:link w:val="316"/>
    <w:qFormat/>
    <w:uiPriority w:val="0"/>
    <w:rPr>
      <w:rFonts w:ascii="宋体" w:hAnsi="宋体" w:eastAsia="宋体"/>
      <w:kern w:val="2"/>
      <w:sz w:val="24"/>
      <w:lang w:bidi="ar-SA"/>
    </w:rPr>
  </w:style>
  <w:style w:type="character" w:customStyle="1" w:styleId="501">
    <w:name w:val="标题 Char"/>
    <w:qFormat/>
    <w:uiPriority w:val="0"/>
    <w:rPr>
      <w:rFonts w:eastAsia="宋体"/>
      <w:b/>
      <w:sz w:val="24"/>
      <w:lang w:val="en-GB" w:eastAsia="zh-CN" w:bidi="ar-SA"/>
    </w:rPr>
  </w:style>
  <w:style w:type="character" w:customStyle="1" w:styleId="502">
    <w:name w:val="纯文本 Char Char Char"/>
    <w:qFormat/>
    <w:uiPriority w:val="0"/>
    <w:rPr>
      <w:rFonts w:ascii="宋体" w:hAnsi="Courier New" w:eastAsia="宋体"/>
      <w:kern w:val="2"/>
      <w:sz w:val="21"/>
      <w:lang w:val="en-US" w:eastAsia="zh-CN" w:bidi="ar-SA"/>
    </w:rPr>
  </w:style>
  <w:style w:type="character" w:customStyle="1" w:styleId="503">
    <w:name w:val="正文 编号 Char"/>
    <w:qFormat/>
    <w:uiPriority w:val="0"/>
    <w:rPr>
      <w:rFonts w:ascii="仿宋_GB2312" w:hAnsi="仿宋_GB2312" w:eastAsia="仿宋_GB2312"/>
      <w:kern w:val="2"/>
      <w:sz w:val="24"/>
      <w:lang w:bidi="ar-SA"/>
    </w:rPr>
  </w:style>
  <w:style w:type="character" w:customStyle="1" w:styleId="504">
    <w:name w:val="插图说明 Char"/>
    <w:qFormat/>
    <w:uiPriority w:val="0"/>
    <w:rPr>
      <w:rFonts w:eastAsia="黑体"/>
      <w:sz w:val="24"/>
      <w:lang w:val="en-US" w:eastAsia="zh-CN"/>
    </w:rPr>
  </w:style>
  <w:style w:type="character" w:customStyle="1" w:styleId="505">
    <w:name w:val="正文首行缩进 2 Char"/>
    <w:link w:val="59"/>
    <w:qFormat/>
    <w:uiPriority w:val="0"/>
    <w:rPr>
      <w:rFonts w:ascii="宋体" w:hAnsi="宋体"/>
      <w:kern w:val="2"/>
      <w:sz w:val="21"/>
      <w:szCs w:val="24"/>
    </w:rPr>
  </w:style>
  <w:style w:type="character" w:customStyle="1" w:styleId="506">
    <w:name w:val="正文文本缩进 2 Char"/>
    <w:link w:val="35"/>
    <w:qFormat/>
    <w:uiPriority w:val="0"/>
    <w:rPr>
      <w:rFonts w:ascii="宋体"/>
      <w:sz w:val="28"/>
    </w:rPr>
  </w:style>
  <w:style w:type="character" w:customStyle="1" w:styleId="507">
    <w:name w:val="公文正文 Char"/>
    <w:qFormat/>
    <w:uiPriority w:val="0"/>
    <w:rPr>
      <w:rFonts w:ascii="仿宋_GB2312" w:eastAsia="仿宋_GB2312"/>
      <w:kern w:val="2"/>
      <w:sz w:val="24"/>
      <w:szCs w:val="24"/>
      <w:lang w:val="en-US" w:eastAsia="zh-CN" w:bidi="ar-SA"/>
    </w:rPr>
  </w:style>
  <w:style w:type="character" w:customStyle="1" w:styleId="508">
    <w:name w:val="Char Char41"/>
    <w:qFormat/>
    <w:uiPriority w:val="0"/>
    <w:rPr>
      <w:rFonts w:eastAsia="宋体"/>
      <w:b/>
      <w:sz w:val="24"/>
      <w:lang w:val="en-GB" w:eastAsia="zh-CN" w:bidi="ar-SA"/>
    </w:rPr>
  </w:style>
  <w:style w:type="character" w:customStyle="1" w:styleId="509">
    <w:name w:val="unnamed31"/>
    <w:qFormat/>
    <w:uiPriority w:val="0"/>
    <w:rPr>
      <w:rFonts w:ascii="Tahoma" w:hAnsi="Tahoma" w:eastAsia="宋体"/>
      <w:b/>
      <w:kern w:val="2"/>
      <w:sz w:val="24"/>
      <w:szCs w:val="32"/>
      <w:u w:val="none"/>
      <w:lang w:val="en-US" w:eastAsia="zh-CN" w:bidi="ar-SA"/>
    </w:rPr>
  </w:style>
  <w:style w:type="character" w:customStyle="1" w:styleId="510">
    <w:name w:val="Char Char91"/>
    <w:qFormat/>
    <w:uiPriority w:val="0"/>
    <w:rPr>
      <w:rFonts w:eastAsia="宋体"/>
      <w:kern w:val="2"/>
      <w:sz w:val="18"/>
      <w:szCs w:val="18"/>
      <w:lang w:val="en-US" w:eastAsia="zh-CN" w:bidi="ar-SA"/>
    </w:rPr>
  </w:style>
  <w:style w:type="character" w:customStyle="1" w:styleId="511">
    <w:name w:val="Footer-Even Char1"/>
    <w:qFormat/>
    <w:uiPriority w:val="0"/>
    <w:rPr>
      <w:rFonts w:eastAsia="宋体"/>
      <w:kern w:val="2"/>
      <w:sz w:val="18"/>
      <w:szCs w:val="18"/>
      <w:lang w:val="en-US" w:eastAsia="zh-CN" w:bidi="ar-SA"/>
    </w:rPr>
  </w:style>
  <w:style w:type="character" w:customStyle="1" w:styleId="512">
    <w:name w:val="gf正文1 Char"/>
    <w:qFormat/>
    <w:uiPriority w:val="0"/>
    <w:rPr>
      <w:rFonts w:ascii="宋体" w:hAnsi="宋体" w:eastAsia="宋体" w:cs="宋体"/>
      <w:kern w:val="2"/>
      <w:sz w:val="24"/>
      <w:szCs w:val="24"/>
      <w:lang w:val="en-US" w:eastAsia="zh-CN" w:bidi="ar-SA"/>
    </w:rPr>
  </w:style>
  <w:style w:type="character" w:customStyle="1" w:styleId="513">
    <w:name w:val="javascript"/>
    <w:qFormat/>
    <w:uiPriority w:val="0"/>
  </w:style>
  <w:style w:type="character" w:customStyle="1" w:styleId="514">
    <w:name w:val="列出段落 Char"/>
    <w:qFormat/>
    <w:uiPriority w:val="34"/>
    <w:rPr>
      <w:rFonts w:eastAsia="楷体_GB2312" w:cs="Lucida Sans"/>
      <w:kern w:val="2"/>
      <w:sz w:val="24"/>
      <w:szCs w:val="24"/>
      <w:lang w:val="en-US" w:eastAsia="zh-CN" w:bidi="ar-SA"/>
    </w:rPr>
  </w:style>
  <w:style w:type="character" w:customStyle="1" w:styleId="515">
    <w:name w:val="正文文本 Char1"/>
    <w:link w:val="22"/>
    <w:qFormat/>
    <w:uiPriority w:val="0"/>
    <w:rPr>
      <w:rFonts w:ascii="宋体" w:hAnsi="Arial" w:eastAsia="宋体" w:cs="Arial"/>
      <w:snapToGrid w:val="0"/>
      <w:kern w:val="2"/>
      <w:sz w:val="24"/>
      <w:szCs w:val="21"/>
      <w:lang w:val="zh-CN" w:eastAsia="zh-CN" w:bidi="ar-SA"/>
    </w:rPr>
  </w:style>
  <w:style w:type="character" w:customStyle="1" w:styleId="516">
    <w:name w:val="标书表格字体格式 Char"/>
    <w:qFormat/>
    <w:uiPriority w:val="0"/>
    <w:rPr>
      <w:kern w:val="2"/>
      <w:sz w:val="21"/>
      <w:szCs w:val="24"/>
      <w:lang w:bidi="ar-SA"/>
    </w:rPr>
  </w:style>
  <w:style w:type="character" w:customStyle="1" w:styleId="517">
    <w:name w:val="普通文字 Char3"/>
    <w:qFormat/>
    <w:uiPriority w:val="0"/>
    <w:rPr>
      <w:rFonts w:ascii="宋体" w:hAnsi="Courier New" w:eastAsia="宋体"/>
      <w:kern w:val="2"/>
      <w:sz w:val="21"/>
      <w:lang w:val="en-US" w:eastAsia="zh-CN" w:bidi="ar-SA"/>
    </w:rPr>
  </w:style>
  <w:style w:type="character" w:customStyle="1" w:styleId="518">
    <w:name w:val="h Char Char1"/>
    <w:qFormat/>
    <w:uiPriority w:val="0"/>
    <w:rPr>
      <w:rFonts w:eastAsia="宋体"/>
      <w:kern w:val="2"/>
      <w:sz w:val="18"/>
      <w:szCs w:val="18"/>
      <w:lang w:val="en-US" w:eastAsia="zh-CN" w:bidi="ar-SA"/>
    </w:rPr>
  </w:style>
  <w:style w:type="character" w:customStyle="1" w:styleId="519">
    <w:name w:val="冯 Char"/>
    <w:link w:val="79"/>
    <w:qFormat/>
    <w:uiPriority w:val="0"/>
    <w:rPr>
      <w:rFonts w:ascii="宋体" w:hAnsi="宋体"/>
      <w:color w:val="000000"/>
      <w:sz w:val="24"/>
      <w:szCs w:val="24"/>
    </w:rPr>
  </w:style>
  <w:style w:type="character" w:customStyle="1" w:styleId="520">
    <w:name w:val="highlight1"/>
    <w:qFormat/>
    <w:uiPriority w:val="0"/>
    <w:rPr>
      <w:rFonts w:ascii="仿宋_GB2312" w:eastAsia="微软雅黑"/>
      <w:b/>
      <w:kern w:val="2"/>
      <w:sz w:val="23"/>
      <w:szCs w:val="23"/>
      <w:lang w:val="en-US" w:eastAsia="zh-CN" w:bidi="ar-SA"/>
    </w:rPr>
  </w:style>
  <w:style w:type="character" w:customStyle="1" w:styleId="521">
    <w:name w:val="样式6 Char"/>
    <w:qFormat/>
    <w:uiPriority w:val="0"/>
    <w:rPr>
      <w:rFonts w:ascii="仿宋_GB2312" w:hAnsi="宋体" w:eastAsia="仿宋_GB2312"/>
      <w:b/>
      <w:bCs/>
      <w:kern w:val="2"/>
      <w:sz w:val="24"/>
      <w:szCs w:val="24"/>
      <w:lang w:val="en-US" w:eastAsia="zh-CN" w:bidi="ar-SA"/>
    </w:rPr>
  </w:style>
  <w:style w:type="character" w:customStyle="1" w:styleId="522">
    <w:name w:val="标题 9 Char"/>
    <w:link w:val="10"/>
    <w:qFormat/>
    <w:uiPriority w:val="0"/>
    <w:rPr>
      <w:rFonts w:ascii="Arial" w:hAnsi="Arial" w:eastAsia="黑体"/>
      <w:kern w:val="2"/>
      <w:sz w:val="21"/>
      <w:szCs w:val="21"/>
    </w:rPr>
  </w:style>
  <w:style w:type="character" w:customStyle="1" w:styleId="523">
    <w:name w:val="md"/>
    <w:basedOn w:val="62"/>
    <w:qFormat/>
    <w:uiPriority w:val="0"/>
  </w:style>
  <w:style w:type="character" w:customStyle="1" w:styleId="524">
    <w:name w:val="myp11"/>
    <w:qFormat/>
    <w:uiPriority w:val="0"/>
    <w:rPr>
      <w:rFonts w:ascii="仿宋_GB2312" w:eastAsia="微软雅黑"/>
      <w:b/>
      <w:kern w:val="2"/>
      <w:sz w:val="32"/>
      <w:szCs w:val="32"/>
      <w:lang w:val="en-US" w:eastAsia="zh-CN" w:bidi="ar-SA"/>
    </w:rPr>
  </w:style>
  <w:style w:type="character" w:customStyle="1" w:styleId="525">
    <w:name w:val="Ò³Ã¼ Char Char1"/>
    <w:qFormat/>
    <w:uiPriority w:val="0"/>
    <w:rPr>
      <w:rFonts w:eastAsia="宋体"/>
      <w:kern w:val="2"/>
      <w:sz w:val="18"/>
      <w:szCs w:val="18"/>
      <w:lang w:val="en-US" w:eastAsia="zh-CN" w:bidi="ar-SA"/>
    </w:rPr>
  </w:style>
  <w:style w:type="character" w:customStyle="1" w:styleId="526">
    <w:name w:val="tw4winTerm"/>
    <w:qFormat/>
    <w:uiPriority w:val="0"/>
    <w:rPr>
      <w:color w:val="0000FF"/>
    </w:rPr>
  </w:style>
  <w:style w:type="character" w:customStyle="1" w:styleId="527">
    <w:name w:val="表格 Char Char"/>
    <w:qFormat/>
    <w:uiPriority w:val="0"/>
    <w:rPr>
      <w:rFonts w:ascii="宋体" w:hAnsi="宋体" w:eastAsia="宋体"/>
      <w:lang w:bidi="ar-SA"/>
    </w:rPr>
  </w:style>
  <w:style w:type="character" w:customStyle="1" w:styleId="528">
    <w:name w:val="样式8 Char"/>
    <w:qFormat/>
    <w:uiPriority w:val="0"/>
    <w:rPr>
      <w:rFonts w:ascii="仿宋_GB2312" w:hAnsi="宋体" w:eastAsia="仿宋_GB2312"/>
      <w:b/>
      <w:bCs/>
      <w:kern w:val="2"/>
      <w:sz w:val="24"/>
      <w:szCs w:val="24"/>
    </w:rPr>
  </w:style>
  <w:style w:type="character" w:customStyle="1" w:styleId="529">
    <w:name w:val="样式5 Char"/>
    <w:qFormat/>
    <w:uiPriority w:val="0"/>
    <w:rPr>
      <w:rFonts w:ascii="仿宋_GB2312" w:hAnsi="仿宋" w:eastAsia="仿宋_GB2312"/>
      <w:kern w:val="2"/>
      <w:sz w:val="24"/>
      <w:szCs w:val="24"/>
    </w:rPr>
  </w:style>
  <w:style w:type="character" w:customStyle="1" w:styleId="530">
    <w:name w:val="页脚 Char1"/>
    <w:qFormat/>
    <w:uiPriority w:val="0"/>
    <w:rPr>
      <w:rFonts w:eastAsia="宋体"/>
      <w:kern w:val="2"/>
      <w:sz w:val="18"/>
      <w:szCs w:val="18"/>
      <w:lang w:val="en-US" w:eastAsia="zh-CN" w:bidi="ar-SA"/>
    </w:rPr>
  </w:style>
  <w:style w:type="character" w:customStyle="1" w:styleId="531">
    <w:name w:val="tw4winJump"/>
    <w:qFormat/>
    <w:uiPriority w:val="0"/>
    <w:rPr>
      <w:rFonts w:ascii="Courier New" w:hAnsi="Courier New" w:cs="Courier New"/>
      <w:color w:val="008080"/>
    </w:rPr>
  </w:style>
  <w:style w:type="character" w:customStyle="1" w:styleId="532">
    <w:name w:val="批注文字 Char"/>
    <w:qFormat/>
    <w:uiPriority w:val="99"/>
    <w:rPr>
      <w:kern w:val="2"/>
      <w:sz w:val="21"/>
      <w:szCs w:val="24"/>
    </w:rPr>
  </w:style>
  <w:style w:type="character" w:customStyle="1" w:styleId="533">
    <w:name w:val="Char Char122"/>
    <w:qFormat/>
    <w:uiPriority w:val="0"/>
    <w:rPr>
      <w:rFonts w:ascii="仿宋_GB2312" w:eastAsia="仿宋_GB2312"/>
      <w:b/>
      <w:bCs/>
      <w:kern w:val="2"/>
      <w:sz w:val="24"/>
      <w:szCs w:val="24"/>
      <w:lang w:val="zh-CN" w:eastAsia="zh-CN" w:bidi="ar-SA"/>
    </w:rPr>
  </w:style>
  <w:style w:type="character" w:customStyle="1" w:styleId="534">
    <w:name w:val="No Spacing Char"/>
    <w:link w:val="174"/>
    <w:qFormat/>
    <w:uiPriority w:val="1"/>
    <w:rPr>
      <w:rFonts w:ascii="Calibri" w:hAnsi="Calibri"/>
      <w:sz w:val="22"/>
      <w:szCs w:val="22"/>
      <w:lang w:val="en-US" w:eastAsia="zh-CN" w:bidi="ar-SA"/>
    </w:rPr>
  </w:style>
  <w:style w:type="character" w:customStyle="1" w:styleId="535">
    <w:name w:val="Char Char21"/>
    <w:qFormat/>
    <w:uiPriority w:val="0"/>
    <w:rPr>
      <w:rFonts w:ascii="宋体" w:hAnsi="Courier New" w:eastAsia="宋体"/>
      <w:kern w:val="2"/>
      <w:sz w:val="21"/>
      <w:lang w:val="en-US" w:eastAsia="zh-CN" w:bidi="ar-SA"/>
    </w:rPr>
  </w:style>
  <w:style w:type="character" w:customStyle="1" w:styleId="536">
    <w:name w:val="Char Char8"/>
    <w:qFormat/>
    <w:uiPriority w:val="0"/>
    <w:rPr>
      <w:rFonts w:eastAsia="宋体"/>
      <w:b/>
      <w:sz w:val="24"/>
      <w:lang w:val="en-GB" w:eastAsia="zh-CN"/>
    </w:rPr>
  </w:style>
  <w:style w:type="character" w:customStyle="1" w:styleId="537">
    <w:name w:val="font21"/>
    <w:qFormat/>
    <w:uiPriority w:val="0"/>
    <w:rPr>
      <w:rFonts w:hint="eastAsia" w:ascii="宋体" w:hAnsi="宋体" w:eastAsia="宋体"/>
      <w:kern w:val="2"/>
      <w:sz w:val="28"/>
      <w:szCs w:val="28"/>
      <w:lang w:val="en-US" w:eastAsia="zh-CN" w:bidi="ar-SA"/>
    </w:rPr>
  </w:style>
  <w:style w:type="character" w:customStyle="1" w:styleId="538">
    <w:name w:val="正文2 Char"/>
    <w:qFormat/>
    <w:uiPriority w:val="0"/>
    <w:rPr>
      <w:rFonts w:eastAsia="宋体"/>
      <w:kern w:val="2"/>
      <w:sz w:val="24"/>
      <w:lang w:val="en-US" w:eastAsia="zh-CN" w:bidi="ar-SA"/>
    </w:rPr>
  </w:style>
  <w:style w:type="character" w:customStyle="1" w:styleId="539">
    <w:name w:val="big1"/>
    <w:qFormat/>
    <w:uiPriority w:val="0"/>
    <w:rPr>
      <w:rFonts w:hint="eastAsia" w:ascii="宋体" w:hAnsi="宋体" w:eastAsia="宋体"/>
      <w:color w:val="333333"/>
      <w:sz w:val="22"/>
      <w:szCs w:val="22"/>
    </w:rPr>
  </w:style>
  <w:style w:type="character" w:customStyle="1" w:styleId="540">
    <w:name w:val="Body Text(ch) Char Char"/>
    <w:qFormat/>
    <w:uiPriority w:val="0"/>
    <w:rPr>
      <w:rFonts w:ascii="宋体"/>
      <w:kern w:val="2"/>
      <w:sz w:val="24"/>
      <w:szCs w:val="21"/>
      <w:lang w:val="zh-CN"/>
    </w:rPr>
  </w:style>
  <w:style w:type="character" w:customStyle="1" w:styleId="541">
    <w:name w:val="blue1"/>
    <w:basedOn w:val="62"/>
    <w:qFormat/>
    <w:uiPriority w:val="0"/>
  </w:style>
  <w:style w:type="character" w:customStyle="1" w:styleId="542">
    <w:name w:val="正文 项目2 Char"/>
    <w:basedOn w:val="486"/>
    <w:qFormat/>
    <w:uiPriority w:val="0"/>
    <w:rPr>
      <w:rFonts w:ascii="仿宋_GB2312" w:hAnsi="仿宋_GB2312" w:eastAsia="仿宋_GB2312"/>
      <w:kern w:val="2"/>
      <w:sz w:val="24"/>
      <w:lang w:bidi="ar-SA"/>
    </w:rPr>
  </w:style>
  <w:style w:type="character" w:customStyle="1" w:styleId="543">
    <w:name w:val="solutionfonts"/>
    <w:qFormat/>
    <w:uiPriority w:val="0"/>
  </w:style>
  <w:style w:type="character" w:customStyle="1" w:styleId="544">
    <w:name w:val="Char Char81"/>
    <w:qFormat/>
    <w:uiPriority w:val="0"/>
    <w:rPr>
      <w:rFonts w:eastAsia="宋体"/>
      <w:b/>
      <w:sz w:val="24"/>
      <w:lang w:val="en-GB" w:eastAsia="zh-CN"/>
    </w:rPr>
  </w:style>
  <w:style w:type="character" w:customStyle="1" w:styleId="545">
    <w:name w:val="Char Char2"/>
    <w:qFormat/>
    <w:uiPriority w:val="0"/>
    <w:rPr>
      <w:rFonts w:eastAsia="宋体"/>
      <w:b/>
      <w:bCs/>
      <w:kern w:val="2"/>
      <w:sz w:val="21"/>
      <w:szCs w:val="24"/>
      <w:lang w:val="en-US" w:eastAsia="zh-CN" w:bidi="ar-SA"/>
    </w:rPr>
  </w:style>
  <w:style w:type="character" w:customStyle="1" w:styleId="546">
    <w:name w:val="HTML 预设格式 Char"/>
    <w:link w:val="54"/>
    <w:qFormat/>
    <w:uiPriority w:val="0"/>
    <w:rPr>
      <w:rFonts w:ascii="黑体" w:hAnsi="Courier New" w:eastAsia="黑体"/>
    </w:rPr>
  </w:style>
  <w:style w:type="character" w:customStyle="1" w:styleId="547">
    <w:name w:val="Heading 7 Char"/>
    <w:qFormat/>
    <w:locked/>
    <w:uiPriority w:val="0"/>
    <w:rPr>
      <w:rFonts w:ascii="宋体" w:hAnsi="宋体" w:eastAsia="宋体"/>
      <w:b/>
      <w:bCs/>
      <w:kern w:val="2"/>
      <w:sz w:val="24"/>
      <w:szCs w:val="24"/>
      <w:lang w:val="en-US" w:eastAsia="zh-CN" w:bidi="ar-SA"/>
    </w:rPr>
  </w:style>
  <w:style w:type="character" w:customStyle="1" w:styleId="548">
    <w:name w:val="正文首行缩进 Char"/>
    <w:link w:val="58"/>
    <w:qFormat/>
    <w:uiPriority w:val="0"/>
    <w:rPr>
      <w:rFonts w:ascii="宋体"/>
      <w:kern w:val="2"/>
      <w:sz w:val="24"/>
      <w:lang w:val="zh-CN"/>
    </w:rPr>
  </w:style>
  <w:style w:type="character" w:customStyle="1" w:styleId="549">
    <w:name w:val="标题 2 Char Char"/>
    <w:qFormat/>
    <w:uiPriority w:val="0"/>
    <w:rPr>
      <w:rFonts w:ascii="楷体_GB2312" w:hAnsi="Arial" w:eastAsia="楷体_GB2312"/>
      <w:b/>
      <w:bCs/>
      <w:kern w:val="2"/>
      <w:sz w:val="24"/>
      <w:szCs w:val="32"/>
      <w:lang w:val="en-US" w:eastAsia="zh-CN" w:bidi="ar-SA"/>
    </w:rPr>
  </w:style>
  <w:style w:type="character" w:customStyle="1" w:styleId="550">
    <w:name w:val="pt141"/>
    <w:qFormat/>
    <w:uiPriority w:val="0"/>
    <w:rPr>
      <w:color w:val="330066"/>
      <w:sz w:val="22"/>
      <w:szCs w:val="22"/>
    </w:rPr>
  </w:style>
  <w:style w:type="character" w:customStyle="1" w:styleId="551">
    <w:name w:val="h Char Char"/>
    <w:qFormat/>
    <w:uiPriority w:val="0"/>
    <w:rPr>
      <w:rFonts w:eastAsia="宋体"/>
      <w:kern w:val="2"/>
      <w:sz w:val="18"/>
      <w:lang w:val="en-US" w:eastAsia="zh-CN" w:bidi="ar-SA"/>
    </w:rPr>
  </w:style>
  <w:style w:type="character" w:customStyle="1" w:styleId="552">
    <w:name w:val="标题 1 Char"/>
    <w:link w:val="2"/>
    <w:qFormat/>
    <w:uiPriority w:val="0"/>
    <w:rPr>
      <w:b/>
      <w:bCs/>
      <w:kern w:val="44"/>
      <w:sz w:val="44"/>
      <w:szCs w:val="44"/>
    </w:rPr>
  </w:style>
  <w:style w:type="character" w:customStyle="1" w:styleId="553">
    <w:name w:val="页眉 Char"/>
    <w:qFormat/>
    <w:uiPriority w:val="0"/>
    <w:rPr>
      <w:rFonts w:eastAsia="仿宋_GB2312"/>
      <w:kern w:val="2"/>
      <w:sz w:val="18"/>
      <w:lang w:val="en-US" w:eastAsia="zh-CN"/>
    </w:rPr>
  </w:style>
  <w:style w:type="character" w:customStyle="1" w:styleId="554">
    <w:name w:val="b11_01b Char"/>
    <w:link w:val="412"/>
    <w:qFormat/>
    <w:uiPriority w:val="0"/>
    <w:rPr>
      <w:rFonts w:ascii="Verdana" w:hAnsi="Verdana"/>
      <w:b/>
      <w:bCs/>
      <w:color w:val="4A82CA"/>
      <w:sz w:val="17"/>
      <w:szCs w:val="17"/>
    </w:rPr>
  </w:style>
  <w:style w:type="character" w:customStyle="1" w:styleId="555">
    <w:name w:val="标题4-dyf Char"/>
    <w:link w:val="350"/>
    <w:qFormat/>
    <w:uiPriority w:val="0"/>
    <w:rPr>
      <w:rFonts w:ascii="Cambria" w:hAnsi="Cambria"/>
      <w:b/>
      <w:bCs/>
      <w:color w:val="000000"/>
      <w:kern w:val="2"/>
      <w:sz w:val="21"/>
      <w:szCs w:val="21"/>
    </w:rPr>
  </w:style>
  <w:style w:type="character" w:customStyle="1" w:styleId="556">
    <w:name w:val="批注主题 Char"/>
    <w:qFormat/>
    <w:uiPriority w:val="0"/>
    <w:rPr>
      <w:rFonts w:eastAsia="宋体"/>
      <w:b/>
      <w:bCs/>
      <w:kern w:val="2"/>
      <w:sz w:val="21"/>
      <w:szCs w:val="24"/>
      <w:lang w:val="en-US" w:eastAsia="zh-CN" w:bidi="ar-SA"/>
    </w:rPr>
  </w:style>
  <w:style w:type="character" w:customStyle="1" w:styleId="557">
    <w:name w:val="标题 3 Char1"/>
    <w:qFormat/>
    <w:uiPriority w:val="0"/>
    <w:rPr>
      <w:rFonts w:hint="eastAsia" w:ascii="华文中宋" w:hAnsi="华文中宋" w:eastAsia="华文中宋"/>
      <w:b/>
      <w:bCs/>
      <w:kern w:val="2"/>
      <w:sz w:val="32"/>
      <w:szCs w:val="32"/>
      <w:lang w:val="en-US" w:eastAsia="zh-CN" w:bidi="ar-SA"/>
    </w:rPr>
  </w:style>
  <w:style w:type="character" w:customStyle="1" w:styleId="558">
    <w:name w:val="正文首行缩进两字 Char"/>
    <w:qFormat/>
    <w:uiPriority w:val="0"/>
    <w:rPr>
      <w:sz w:val="24"/>
      <w:szCs w:val="24"/>
      <w:lang w:val="en-US" w:eastAsia="zh-CN" w:bidi="ar-SA"/>
    </w:rPr>
  </w:style>
  <w:style w:type="character" w:customStyle="1" w:styleId="559">
    <w:name w:val="Char Char51"/>
    <w:qFormat/>
    <w:uiPriority w:val="0"/>
    <w:rPr>
      <w:rFonts w:ascii="宋体" w:hAnsi="Courier New" w:eastAsia="宋体"/>
      <w:kern w:val="2"/>
      <w:sz w:val="21"/>
      <w:lang w:val="en-US" w:eastAsia="zh-CN"/>
    </w:rPr>
  </w:style>
  <w:style w:type="character" w:customStyle="1" w:styleId="560">
    <w:name w:val="带编号样式 Char"/>
    <w:qFormat/>
    <w:uiPriority w:val="0"/>
    <w:rPr>
      <w:rFonts w:ascii="仿宋_GB2312" w:eastAsia="仿宋_GB2312"/>
      <w:color w:val="000000"/>
      <w:sz w:val="24"/>
      <w:lang w:bidi="ar-SA"/>
    </w:rPr>
  </w:style>
  <w:style w:type="character" w:customStyle="1" w:styleId="561">
    <w:name w:val="样式4 Char"/>
    <w:qFormat/>
    <w:uiPriority w:val="0"/>
    <w:rPr>
      <w:rFonts w:ascii="仿宋_GB2312" w:hAnsi="仿宋" w:eastAsia="仿宋_GB2312"/>
      <w:b/>
      <w:kern w:val="2"/>
      <w:sz w:val="32"/>
      <w:szCs w:val="32"/>
      <w:lang w:bidi="ar-SA"/>
    </w:rPr>
  </w:style>
  <w:style w:type="character" w:customStyle="1" w:styleId="562">
    <w:name w:val="样式 标题 4h4H4Fab-4T5Ref Heading 1rh1Heading sqlsect 1.2.3.... Char"/>
    <w:link w:val="176"/>
    <w:qFormat/>
    <w:uiPriority w:val="0"/>
    <w:rPr>
      <w:rFonts w:ascii="微软雅黑" w:hAnsi="微软雅黑" w:eastAsia="微软雅黑"/>
      <w:b/>
      <w:bCs/>
      <w:kern w:val="2"/>
      <w:sz w:val="24"/>
      <w:szCs w:val="28"/>
    </w:rPr>
  </w:style>
  <w:style w:type="character" w:customStyle="1" w:styleId="563">
    <w:name w:val="PI Char"/>
    <w:qFormat/>
    <w:uiPriority w:val="0"/>
    <w:rPr>
      <w:rFonts w:ascii="宋体" w:hAnsi="宋体" w:eastAsia="宋体"/>
      <w:kern w:val="2"/>
      <w:sz w:val="24"/>
      <w:szCs w:val="24"/>
      <w:lang w:val="en-US" w:eastAsia="zh-CN" w:bidi="ar-SA"/>
    </w:rPr>
  </w:style>
  <w:style w:type="character" w:customStyle="1" w:styleId="564">
    <w:name w:val="Char Char111"/>
    <w:qFormat/>
    <w:locked/>
    <w:uiPriority w:val="0"/>
    <w:rPr>
      <w:rFonts w:ascii="宋体" w:hAnsi="宋体" w:eastAsia="宋体"/>
      <w:b/>
      <w:kern w:val="2"/>
      <w:sz w:val="24"/>
      <w:szCs w:val="24"/>
      <w:lang w:val="en-US" w:eastAsia="zh-CN" w:bidi="ar-SA"/>
    </w:rPr>
  </w:style>
  <w:style w:type="character" w:customStyle="1" w:styleId="565">
    <w:name w:val="Document Map Char"/>
    <w:semiHidden/>
    <w:qFormat/>
    <w:locked/>
    <w:uiPriority w:val="0"/>
    <w:rPr>
      <w:rFonts w:eastAsia="宋体"/>
      <w:kern w:val="2"/>
      <w:sz w:val="21"/>
      <w:szCs w:val="24"/>
      <w:lang w:val="en-US" w:eastAsia="zh-CN" w:bidi="ar-SA"/>
    </w:rPr>
  </w:style>
  <w:style w:type="character" w:customStyle="1" w:styleId="566">
    <w:name w:val="正文文本缩进 Char"/>
    <w:qFormat/>
    <w:uiPriority w:val="0"/>
    <w:rPr>
      <w:rFonts w:ascii="宋体" w:hAnsi="宋体"/>
      <w:kern w:val="2"/>
      <w:sz w:val="24"/>
      <w:szCs w:val="24"/>
    </w:rPr>
  </w:style>
  <w:style w:type="character" w:customStyle="1" w:styleId="567">
    <w:name w:val="文本正文 Char Char"/>
    <w:qFormat/>
    <w:locked/>
    <w:uiPriority w:val="0"/>
    <w:rPr>
      <w:sz w:val="24"/>
      <w:lang w:bidi="ar-SA"/>
    </w:rPr>
  </w:style>
  <w:style w:type="character" w:customStyle="1" w:styleId="568">
    <w:name w:val="样式7 Char"/>
    <w:qFormat/>
    <w:uiPriority w:val="0"/>
    <w:rPr>
      <w:rFonts w:ascii="仿宋_GB2312" w:hAnsi="仿宋" w:eastAsia="仿宋_GB2312"/>
      <w:b/>
      <w:kern w:val="2"/>
      <w:sz w:val="24"/>
      <w:szCs w:val="24"/>
    </w:rPr>
  </w:style>
  <w:style w:type="character" w:customStyle="1" w:styleId="569">
    <w:name w:val="样式3 Char"/>
    <w:basedOn w:val="570"/>
    <w:qFormat/>
    <w:uiPriority w:val="0"/>
    <w:rPr>
      <w:rFonts w:ascii="仿宋_GB2312" w:hAnsi="仿宋" w:eastAsia="仿宋_GB2312" w:cs="仿宋_GB2312"/>
      <w:sz w:val="32"/>
      <w:szCs w:val="30"/>
      <w:lang w:val="zh-CN"/>
    </w:rPr>
  </w:style>
  <w:style w:type="character" w:customStyle="1" w:styleId="570">
    <w:name w:val="样式2 Char"/>
    <w:qFormat/>
    <w:uiPriority w:val="0"/>
    <w:rPr>
      <w:rFonts w:ascii="仿宋_GB2312" w:hAnsi="仿宋" w:eastAsia="仿宋_GB2312" w:cs="仿宋_GB2312"/>
      <w:b/>
      <w:bCs/>
      <w:sz w:val="32"/>
      <w:szCs w:val="30"/>
      <w:lang w:val="zh-CN"/>
    </w:rPr>
  </w:style>
  <w:style w:type="character" w:customStyle="1" w:styleId="571">
    <w:name w:val="二级标题 Char Char"/>
    <w:qFormat/>
    <w:uiPriority w:val="0"/>
    <w:rPr>
      <w:rFonts w:ascii="宋体" w:hAnsi="宋体" w:eastAsia="宋体"/>
      <w:b/>
      <w:snapToGrid w:val="0"/>
      <w:kern w:val="2"/>
      <w:sz w:val="24"/>
      <w:szCs w:val="24"/>
      <w:lang w:val="en-US" w:eastAsia="zh-CN" w:bidi="ar-SA"/>
    </w:rPr>
  </w:style>
  <w:style w:type="character" w:customStyle="1" w:styleId="572">
    <w:name w:val="Table Text Char1"/>
    <w:qFormat/>
    <w:uiPriority w:val="0"/>
    <w:rPr>
      <w:rFonts w:eastAsia="宋体"/>
      <w:sz w:val="24"/>
      <w:szCs w:val="24"/>
      <w:lang w:val="en-US" w:eastAsia="zh-CN" w:bidi="ar-SA"/>
    </w:rPr>
  </w:style>
  <w:style w:type="character" w:customStyle="1" w:styleId="573">
    <w:name w:val="shadow11"/>
    <w:qFormat/>
    <w:uiPriority w:val="0"/>
    <w:rPr>
      <w:color w:val="000000"/>
      <w:sz w:val="21"/>
    </w:rPr>
  </w:style>
  <w:style w:type="character" w:customStyle="1" w:styleId="574">
    <w:name w:val="HTML 地址 Char"/>
    <w:link w:val="28"/>
    <w:qFormat/>
    <w:uiPriority w:val="0"/>
    <w:rPr>
      <w:rFonts w:ascii="宋体" w:hAnsi="宋体"/>
      <w:i/>
      <w:iCs/>
      <w:sz w:val="24"/>
      <w:szCs w:val="24"/>
    </w:rPr>
  </w:style>
  <w:style w:type="character" w:customStyle="1" w:styleId="575">
    <w:name w:val="Char Char22"/>
    <w:qFormat/>
    <w:uiPriority w:val="0"/>
    <w:rPr>
      <w:rFonts w:eastAsia="宋体"/>
      <w:b/>
      <w:bCs/>
      <w:kern w:val="2"/>
      <w:sz w:val="21"/>
      <w:szCs w:val="24"/>
      <w:lang w:val="en-US" w:eastAsia="zh-CN" w:bidi="ar-SA"/>
    </w:rPr>
  </w:style>
  <w:style w:type="character" w:customStyle="1" w:styleId="576">
    <w:name w:val="标题 5 Char"/>
    <w:link w:val="6"/>
    <w:qFormat/>
    <w:uiPriority w:val="0"/>
    <w:rPr>
      <w:b/>
      <w:bCs/>
      <w:kern w:val="2"/>
      <w:sz w:val="28"/>
      <w:szCs w:val="28"/>
    </w:rPr>
  </w:style>
  <w:style w:type="character" w:customStyle="1" w:styleId="577">
    <w:name w:val="h3 Char1"/>
    <w:qFormat/>
    <w:uiPriority w:val="0"/>
    <w:rPr>
      <w:rFonts w:eastAsia="宋体"/>
      <w:b/>
      <w:bCs/>
      <w:kern w:val="2"/>
      <w:sz w:val="32"/>
      <w:szCs w:val="32"/>
      <w:lang w:bidi="ar-SA"/>
    </w:rPr>
  </w:style>
  <w:style w:type="character" w:customStyle="1" w:styleId="578">
    <w:name w:val="FA正文 Char Char"/>
    <w:qFormat/>
    <w:uiPriority w:val="0"/>
    <w:rPr>
      <w:rFonts w:hAnsi="宋体"/>
      <w:kern w:val="2"/>
      <w:sz w:val="24"/>
      <w:lang w:bidi="ar-SA"/>
    </w:rPr>
  </w:style>
  <w:style w:type="character" w:customStyle="1" w:styleId="579">
    <w:name w:val="Char Char7"/>
    <w:semiHidden/>
    <w:qFormat/>
    <w:uiPriority w:val="0"/>
    <w:rPr>
      <w:rFonts w:eastAsia="宋体"/>
      <w:kern w:val="2"/>
      <w:sz w:val="21"/>
      <w:szCs w:val="24"/>
      <w:lang w:val="en-US" w:eastAsia="zh-CN" w:bidi="ar-SA"/>
    </w:rPr>
  </w:style>
  <w:style w:type="character" w:customStyle="1" w:styleId="580">
    <w:name w:val="hui"/>
    <w:basedOn w:val="62"/>
    <w:qFormat/>
    <w:uiPriority w:val="0"/>
  </w:style>
  <w:style w:type="character" w:customStyle="1" w:styleId="581">
    <w:name w:val="正文缩进 Char"/>
    <w:qFormat/>
    <w:uiPriority w:val="0"/>
    <w:rPr>
      <w:rFonts w:eastAsia="宋体"/>
      <w:kern w:val="2"/>
      <w:sz w:val="21"/>
      <w:lang w:val="en-US" w:eastAsia="zh-CN"/>
    </w:rPr>
  </w:style>
  <w:style w:type="character" w:customStyle="1" w:styleId="582">
    <w:name w:val="正文1 Char"/>
    <w:qFormat/>
    <w:uiPriority w:val="0"/>
    <w:rPr>
      <w:rFonts w:ascii="宋体" w:eastAsia="宋体"/>
      <w:snapToGrid w:val="0"/>
      <w:color w:val="000000"/>
      <w:kern w:val="28"/>
      <w:sz w:val="28"/>
      <w:lang w:val="en-US" w:eastAsia="zh-CN" w:bidi="ar-SA"/>
    </w:rPr>
  </w:style>
  <w:style w:type="character" w:customStyle="1" w:styleId="583">
    <w:name w:val="Char Char61"/>
    <w:qFormat/>
    <w:uiPriority w:val="0"/>
    <w:rPr>
      <w:rFonts w:eastAsia="宋体"/>
      <w:kern w:val="2"/>
      <w:sz w:val="21"/>
      <w:szCs w:val="24"/>
      <w:lang w:val="en-US" w:eastAsia="zh-CN" w:bidi="ar-SA"/>
    </w:rPr>
  </w:style>
  <w:style w:type="character" w:customStyle="1" w:styleId="584">
    <w:name w:val="正文文本 3 Char"/>
    <w:link w:val="21"/>
    <w:qFormat/>
    <w:uiPriority w:val="0"/>
    <w:rPr>
      <w:kern w:val="2"/>
      <w:sz w:val="21"/>
    </w:rPr>
  </w:style>
  <w:style w:type="character" w:customStyle="1" w:styleId="585">
    <w:name w:val="message1"/>
    <w:qFormat/>
    <w:uiPriority w:val="0"/>
    <w:rPr>
      <w:rFonts w:hint="default" w:ascii="Tahoma" w:hAnsi="Tahoma" w:cs="Tahoma"/>
      <w:sz w:val="18"/>
      <w:szCs w:val="18"/>
    </w:rPr>
  </w:style>
  <w:style w:type="character" w:customStyle="1" w:styleId="586">
    <w:name w:val="DO_NOT_TRANSLATE"/>
    <w:qFormat/>
    <w:uiPriority w:val="0"/>
    <w:rPr>
      <w:rFonts w:ascii="Courier New" w:hAnsi="Courier New" w:cs="Courier New"/>
      <w:color w:val="800000"/>
    </w:rPr>
  </w:style>
  <w:style w:type="character" w:customStyle="1" w:styleId="587">
    <w:name w:val="unnamed11"/>
    <w:qFormat/>
    <w:uiPriority w:val="0"/>
    <w:rPr>
      <w:sz w:val="20"/>
      <w:szCs w:val="20"/>
    </w:rPr>
  </w:style>
  <w:style w:type="character" w:customStyle="1" w:styleId="588">
    <w:name w:val="tw4winInternal"/>
    <w:qFormat/>
    <w:uiPriority w:val="0"/>
    <w:rPr>
      <w:rFonts w:ascii="Courier New" w:hAnsi="Courier New" w:cs="Courier New"/>
      <w:color w:val="FF0000"/>
    </w:rPr>
  </w:style>
  <w:style w:type="character" w:customStyle="1" w:styleId="589">
    <w:name w:val="正文（缩进2汉字） Char"/>
    <w:link w:val="329"/>
    <w:qFormat/>
    <w:uiPriority w:val="0"/>
    <w:rPr>
      <w:rFonts w:ascii="宋体"/>
    </w:rPr>
  </w:style>
  <w:style w:type="character" w:customStyle="1" w:styleId="590">
    <w:name w:val="页脚 Char"/>
    <w:qFormat/>
    <w:uiPriority w:val="0"/>
    <w:rPr>
      <w:rFonts w:eastAsia="仿宋_GB2312"/>
      <w:kern w:val="2"/>
      <w:sz w:val="18"/>
      <w:lang w:val="en-US" w:eastAsia="zh-CN"/>
    </w:rPr>
  </w:style>
  <w:style w:type="character" w:customStyle="1" w:styleId="591">
    <w:name w:val="正文文本缩进 3 Char"/>
    <w:link w:val="50"/>
    <w:qFormat/>
    <w:uiPriority w:val="0"/>
    <w:rPr>
      <w:kern w:val="2"/>
      <w:sz w:val="24"/>
    </w:rPr>
  </w:style>
  <w:style w:type="character" w:customStyle="1" w:styleId="592">
    <w:name w:val="正文缩进 Char1"/>
    <w:qFormat/>
    <w:uiPriority w:val="0"/>
    <w:rPr>
      <w:rFonts w:ascii="宋体" w:eastAsia="宋体"/>
      <w:snapToGrid w:val="0"/>
      <w:color w:val="000000"/>
      <w:kern w:val="28"/>
      <w:sz w:val="28"/>
      <w:lang w:val="en-US" w:eastAsia="zh-CN" w:bidi="ar-SA"/>
    </w:rPr>
  </w:style>
  <w:style w:type="character" w:customStyle="1" w:styleId="593">
    <w:name w:val="style36"/>
    <w:basedOn w:val="62"/>
    <w:qFormat/>
    <w:uiPriority w:val="0"/>
  </w:style>
  <w:style w:type="character" w:customStyle="1" w:styleId="594">
    <w:name w:val="hui3"/>
    <w:qFormat/>
    <w:uiPriority w:val="0"/>
    <w:rPr>
      <w:color w:val="333333"/>
    </w:rPr>
  </w:style>
  <w:style w:type="character" w:customStyle="1" w:styleId="595">
    <w:name w:val="apple-converted-space"/>
    <w:qFormat/>
    <w:uiPriority w:val="0"/>
  </w:style>
  <w:style w:type="character" w:customStyle="1" w:styleId="596">
    <w:name w:val="文档结构图 Char"/>
    <w:qFormat/>
    <w:uiPriority w:val="0"/>
    <w:rPr>
      <w:rFonts w:eastAsia="宋体"/>
      <w:kern w:val="2"/>
      <w:sz w:val="21"/>
      <w:szCs w:val="24"/>
      <w:lang w:val="en-US" w:eastAsia="zh-CN" w:bidi="ar-SA"/>
    </w:rPr>
  </w:style>
  <w:style w:type="character" w:customStyle="1" w:styleId="597">
    <w:name w:val="正文非缩进 Char3"/>
    <w:qFormat/>
    <w:uiPriority w:val="0"/>
    <w:rPr>
      <w:rFonts w:ascii="宋体" w:eastAsia="宋体"/>
      <w:snapToGrid w:val="0"/>
      <w:color w:val="000000"/>
      <w:kern w:val="28"/>
      <w:sz w:val="28"/>
      <w:lang w:val="en-US" w:eastAsia="zh-CN" w:bidi="ar-SA"/>
    </w:rPr>
  </w:style>
  <w:style w:type="character" w:customStyle="1" w:styleId="598">
    <w:name w:val="dectext1"/>
    <w:qFormat/>
    <w:uiPriority w:val="0"/>
    <w:rPr>
      <w:rFonts w:ascii="宋体" w:hAnsi="宋体" w:eastAsia="宋体"/>
      <w:color w:val="333333"/>
      <w:sz w:val="21"/>
      <w:szCs w:val="21"/>
      <w:u w:val="none"/>
    </w:rPr>
  </w:style>
  <w:style w:type="character" w:customStyle="1" w:styleId="599">
    <w:name w:val="副标题 Char1"/>
    <w:qFormat/>
    <w:uiPriority w:val="0"/>
    <w:rPr>
      <w:rFonts w:ascii="Cambria" w:hAnsi="Cambria" w:eastAsia="宋体" w:cs="Times New Roman"/>
      <w:b/>
      <w:bCs/>
      <w:snapToGrid w:val="0"/>
      <w:kern w:val="28"/>
      <w:sz w:val="32"/>
      <w:szCs w:val="32"/>
    </w:rPr>
  </w:style>
  <w:style w:type="character" w:customStyle="1" w:styleId="600">
    <w:name w:val="f141"/>
    <w:qFormat/>
    <w:uiPriority w:val="0"/>
    <w:rPr>
      <w:rFonts w:ascii="Tahoma" w:hAnsi="Tahoma" w:eastAsia="宋体"/>
      <w:b/>
      <w:kern w:val="2"/>
      <w:sz w:val="21"/>
      <w:szCs w:val="21"/>
      <w:lang w:val="en-US" w:eastAsia="zh-CN" w:bidi="ar-SA"/>
    </w:rPr>
  </w:style>
  <w:style w:type="character" w:customStyle="1" w:styleId="601">
    <w:name w:val="日期 Char"/>
    <w:link w:val="34"/>
    <w:qFormat/>
    <w:uiPriority w:val="0"/>
    <w:rPr>
      <w:rFonts w:ascii="宋体"/>
      <w:kern w:val="2"/>
      <w:sz w:val="24"/>
      <w:szCs w:val="21"/>
      <w:lang w:val="zh-CN"/>
    </w:rPr>
  </w:style>
  <w:style w:type="character" w:customStyle="1" w:styleId="602">
    <w:name w:val="标题 4 Char"/>
    <w:link w:val="5"/>
    <w:qFormat/>
    <w:uiPriority w:val="0"/>
    <w:rPr>
      <w:rFonts w:ascii="Arial" w:hAnsi="Arial" w:eastAsia="黑体"/>
      <w:b/>
      <w:bCs/>
      <w:kern w:val="2"/>
      <w:sz w:val="28"/>
      <w:szCs w:val="28"/>
      <w:lang w:val="zh-CN"/>
    </w:rPr>
  </w:style>
  <w:style w:type="character" w:customStyle="1" w:styleId="603">
    <w:name w:val="链接"/>
    <w:qFormat/>
    <w:uiPriority w:val="0"/>
    <w:rPr>
      <w:color w:val="0000FF"/>
      <w:sz w:val="21"/>
      <w:szCs w:val="21"/>
      <w:u w:val="single"/>
    </w:rPr>
  </w:style>
  <w:style w:type="character" w:customStyle="1" w:styleId="604">
    <w:name w:val="正文首行缩进 Char Char Char Char Char Char"/>
    <w:qFormat/>
    <w:uiPriority w:val="0"/>
    <w:rPr>
      <w:rFonts w:ascii="宋体" w:eastAsia="宋体"/>
      <w:kern w:val="2"/>
      <w:sz w:val="24"/>
      <w:lang w:val="zh-CN" w:bidi="ar-SA"/>
    </w:rPr>
  </w:style>
  <w:style w:type="character" w:customStyle="1" w:styleId="605">
    <w:name w:val="tw4winError"/>
    <w:qFormat/>
    <w:uiPriority w:val="0"/>
    <w:rPr>
      <w:rFonts w:ascii="Courier New" w:hAnsi="Courier New" w:cs="Courier New"/>
      <w:color w:val="00FF00"/>
      <w:sz w:val="40"/>
      <w:szCs w:val="40"/>
    </w:rPr>
  </w:style>
  <w:style w:type="character" w:customStyle="1" w:styleId="606">
    <w:name w:val="Used by Word for text of Help footnotes Char Char"/>
    <w:semiHidden/>
    <w:qFormat/>
    <w:uiPriority w:val="0"/>
    <w:rPr>
      <w:rFonts w:ascii="Times New Roman" w:hAnsi="Times New Roman" w:eastAsia="宋体" w:cs="Times New Roman"/>
      <w:sz w:val="20"/>
      <w:szCs w:val="20"/>
    </w:rPr>
  </w:style>
  <w:style w:type="character" w:customStyle="1" w:styleId="607">
    <w:name w:val="Char Char31"/>
    <w:semiHidden/>
    <w:qFormat/>
    <w:uiPriority w:val="0"/>
    <w:rPr>
      <w:rFonts w:ascii="Times New Roman" w:hAnsi="Times New Roman" w:eastAsia="宋体" w:cs="Times New Roman"/>
      <w:b/>
      <w:kern w:val="2"/>
      <w:sz w:val="32"/>
      <w:szCs w:val="24"/>
      <w:lang w:val="en-US" w:eastAsia="zh-CN" w:bidi="ar-SA"/>
    </w:rPr>
  </w:style>
  <w:style w:type="character" w:customStyle="1" w:styleId="608">
    <w:name w:val="表正文 Char"/>
    <w:qFormat/>
    <w:uiPriority w:val="0"/>
    <w:rPr>
      <w:rFonts w:ascii="宋体" w:eastAsia="宋体"/>
      <w:snapToGrid w:val="0"/>
      <w:color w:val="000000"/>
      <w:kern w:val="28"/>
      <w:sz w:val="28"/>
      <w:lang w:val="en-US" w:eastAsia="zh-CN" w:bidi="ar-SA"/>
    </w:rPr>
  </w:style>
  <w:style w:type="character" w:customStyle="1" w:styleId="609">
    <w:name w:val="普通文字 Char1 Char"/>
    <w:qFormat/>
    <w:uiPriority w:val="0"/>
    <w:rPr>
      <w:rFonts w:ascii="宋体" w:hAnsi="Courier New" w:eastAsia="宋体"/>
      <w:kern w:val="2"/>
      <w:sz w:val="21"/>
      <w:szCs w:val="24"/>
      <w:lang w:val="en-US" w:eastAsia="zh-CN" w:bidi="ar-SA"/>
    </w:rPr>
  </w:style>
  <w:style w:type="character" w:customStyle="1" w:styleId="610">
    <w:name w:val="pt9"/>
    <w:qFormat/>
    <w:uiPriority w:val="0"/>
    <w:rPr>
      <w:rFonts w:ascii="仿宋_GB2312" w:eastAsia="微软雅黑"/>
      <w:b/>
      <w:kern w:val="2"/>
      <w:sz w:val="32"/>
      <w:szCs w:val="32"/>
      <w:lang w:val="en-US" w:eastAsia="zh-CN" w:bidi="ar-SA"/>
    </w:rPr>
  </w:style>
  <w:style w:type="character" w:customStyle="1" w:styleId="611">
    <w:name w:val="large1"/>
    <w:qFormat/>
    <w:uiPriority w:val="0"/>
    <w:rPr>
      <w:rFonts w:hint="eastAsia" w:ascii="宋体" w:hAnsi="宋体" w:eastAsia="宋体"/>
      <w:sz w:val="21"/>
      <w:szCs w:val="21"/>
    </w:rPr>
  </w:style>
  <w:style w:type="character" w:customStyle="1" w:styleId="612">
    <w:name w:val="样式 样式 标题 4h4H4Fab-4T5Ref Heading 1rh1Heading sqlsect 1.2.3.... +... Char"/>
    <w:link w:val="175"/>
    <w:qFormat/>
    <w:uiPriority w:val="0"/>
    <w:rPr>
      <w:rFonts w:ascii="微软雅黑" w:hAnsi="微软雅黑" w:eastAsia="微软雅黑"/>
      <w:b/>
      <w:bCs/>
      <w:kern w:val="2"/>
      <w:sz w:val="24"/>
      <w:szCs w:val="28"/>
    </w:rPr>
  </w:style>
  <w:style w:type="character" w:customStyle="1" w:styleId="613">
    <w:name w:val="标题 4 Char1"/>
    <w:semiHidden/>
    <w:qFormat/>
    <w:uiPriority w:val="9"/>
    <w:rPr>
      <w:rFonts w:ascii="Cambria" w:hAnsi="Cambria" w:eastAsia="宋体" w:cs="Times New Roman"/>
      <w:b/>
      <w:bCs/>
      <w:kern w:val="2"/>
      <w:sz w:val="28"/>
      <w:szCs w:val="28"/>
    </w:rPr>
  </w:style>
  <w:style w:type="character" w:customStyle="1" w:styleId="614">
    <w:name w:val="tw4winPopup"/>
    <w:qFormat/>
    <w:uiPriority w:val="0"/>
    <w:rPr>
      <w:rFonts w:ascii="Courier New" w:hAnsi="Courier New" w:cs="Courier New"/>
      <w:color w:val="008000"/>
    </w:rPr>
  </w:style>
  <w:style w:type="character" w:customStyle="1" w:styleId="615">
    <w:name w:val="标题 6 Char"/>
    <w:link w:val="7"/>
    <w:qFormat/>
    <w:uiPriority w:val="0"/>
    <w:rPr>
      <w:rFonts w:ascii="Arial" w:hAnsi="Arial" w:eastAsia="黑体"/>
      <w:b/>
      <w:bCs/>
      <w:kern w:val="2"/>
      <w:sz w:val="24"/>
      <w:szCs w:val="24"/>
    </w:rPr>
  </w:style>
  <w:style w:type="character" w:customStyle="1" w:styleId="616">
    <w:name w:val="正文缩进 Char2"/>
    <w:link w:val="15"/>
    <w:qFormat/>
    <w:uiPriority w:val="0"/>
    <w:rPr>
      <w:rFonts w:ascii="宋体" w:eastAsia="宋体"/>
      <w:snapToGrid w:val="0"/>
      <w:color w:val="000000"/>
      <w:kern w:val="28"/>
      <w:sz w:val="28"/>
      <w:lang w:val="en-US" w:eastAsia="zh-CN" w:bidi="ar-SA"/>
    </w:rPr>
  </w:style>
  <w:style w:type="character" w:customStyle="1" w:styleId="617">
    <w:name w:val="批注文字 Char1"/>
    <w:link w:val="19"/>
    <w:qFormat/>
    <w:uiPriority w:val="99"/>
    <w:rPr>
      <w:kern w:val="2"/>
      <w:sz w:val="21"/>
      <w:szCs w:val="24"/>
    </w:rPr>
  </w:style>
  <w:style w:type="character" w:customStyle="1" w:styleId="618">
    <w:name w:val="批注框文本 Char"/>
    <w:link w:val="36"/>
    <w:semiHidden/>
    <w:qFormat/>
    <w:uiPriority w:val="0"/>
    <w:rPr>
      <w:kern w:val="2"/>
      <w:sz w:val="18"/>
      <w:szCs w:val="18"/>
    </w:rPr>
  </w:style>
  <w:style w:type="character" w:customStyle="1" w:styleId="619">
    <w:name w:val="Footer Char"/>
    <w:qFormat/>
    <w:locked/>
    <w:uiPriority w:val="0"/>
    <w:rPr>
      <w:rFonts w:eastAsia="宋体"/>
      <w:kern w:val="2"/>
      <w:sz w:val="18"/>
      <w:lang w:val="en-US" w:eastAsia="zh-CN" w:bidi="ar-SA"/>
    </w:rPr>
  </w:style>
  <w:style w:type="paragraph" w:customStyle="1" w:styleId="620">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21">
    <w:name w:val="索引 11"/>
    <w:basedOn w:val="1"/>
    <w:next w:val="1"/>
    <w:qFormat/>
    <w:uiPriority w:val="0"/>
    <w:pPr>
      <w:adjustRightInd/>
      <w:spacing w:line="360" w:lineRule="auto"/>
    </w:pPr>
    <w:rPr>
      <w:rFonts w:ascii="仿宋_GB2312" w:eastAsia="仿宋_GB2312"/>
      <w:sz w:val="24"/>
      <w:szCs w:val="20"/>
    </w:rPr>
  </w:style>
  <w:style w:type="paragraph" w:customStyle="1" w:styleId="622">
    <w:name w:val="Char Char28"/>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623">
    <w:name w:val="纯文本_0_0"/>
    <w:basedOn w:val="1"/>
    <w:link w:val="624"/>
    <w:qFormat/>
    <w:uiPriority w:val="0"/>
    <w:pPr>
      <w:adjustRightInd/>
    </w:pPr>
    <w:rPr>
      <w:rFonts w:ascii="宋体" w:hAnsi="Courier New"/>
      <w:szCs w:val="21"/>
    </w:rPr>
  </w:style>
  <w:style w:type="character" w:customStyle="1" w:styleId="624">
    <w:name w:val="纯文本 Char_0"/>
    <w:link w:val="623"/>
    <w:qFormat/>
    <w:uiPriority w:val="0"/>
    <w:rPr>
      <w:rFonts w:ascii="宋体" w:hAnsi="Courier New"/>
      <w:kern w:val="2"/>
      <w:sz w:val="21"/>
      <w:szCs w:val="21"/>
      <w:lang w:val="en-US" w:eastAsia="zh-CN"/>
    </w:rPr>
  </w:style>
  <w:style w:type="character" w:customStyle="1" w:styleId="625">
    <w:name w:val="纯文本 Char1"/>
    <w:link w:val="626"/>
    <w:qFormat/>
    <w:uiPriority w:val="0"/>
    <w:rPr>
      <w:rFonts w:ascii="宋体" w:hAnsi="Courier New"/>
    </w:rPr>
  </w:style>
  <w:style w:type="paragraph" w:customStyle="1" w:styleId="626">
    <w:name w:val="纯文本1"/>
    <w:basedOn w:val="1"/>
    <w:link w:val="625"/>
    <w:qFormat/>
    <w:uiPriority w:val="0"/>
    <w:pPr>
      <w:adjustRightInd/>
    </w:pPr>
    <w:rPr>
      <w:rFonts w:ascii="宋体" w:hAnsi="Courier New"/>
      <w:kern w:val="0"/>
      <w:sz w:val="20"/>
      <w:szCs w:val="20"/>
    </w:rPr>
  </w:style>
  <w:style w:type="paragraph" w:customStyle="1" w:styleId="627">
    <w:name w:val="Char Char Char Char Char Char Char2"/>
    <w:basedOn w:val="1"/>
    <w:qFormat/>
    <w:uiPriority w:val="0"/>
    <w:rPr>
      <w:rFonts w:ascii="仿宋_GB2312" w:eastAsia="仿宋_GB2312"/>
      <w:b/>
      <w:sz w:val="32"/>
      <w:szCs w:val="32"/>
    </w:rPr>
  </w:style>
  <w:style w:type="paragraph" w:customStyle="1" w:styleId="628">
    <w:name w:val="Char Char1 Char Char Char Char Char Char2"/>
    <w:basedOn w:val="1"/>
    <w:qFormat/>
    <w:uiPriority w:val="0"/>
    <w:rPr>
      <w:rFonts w:ascii="仿宋_GB2312" w:eastAsia="仿宋_GB2312"/>
      <w:b/>
      <w:sz w:val="32"/>
      <w:szCs w:val="20"/>
    </w:rPr>
  </w:style>
  <w:style w:type="paragraph" w:customStyle="1" w:styleId="629">
    <w:name w:val="修订1"/>
    <w:hidden/>
    <w:unhideWhenUsed/>
    <w:qFormat/>
    <w:uiPriority w:val="99"/>
    <w:rPr>
      <w:rFonts w:ascii="Times New Roman" w:hAnsi="Times New Roman" w:eastAsia="宋体" w:cs="Times New Roman"/>
      <w:kern w:val="2"/>
      <w:sz w:val="21"/>
      <w:szCs w:val="24"/>
      <w:lang w:val="en-US" w:eastAsia="zh-CN" w:bidi="ar-SA"/>
    </w:rPr>
  </w:style>
  <w:style w:type="character" w:customStyle="1" w:styleId="630">
    <w:name w:val="Default Char"/>
    <w:link w:val="105"/>
    <w:qFormat/>
    <w:uiPriority w:val="0"/>
    <w:rPr>
      <w:rFonts w:ascii="仿宋_GB2312" w:eastAsia="仿宋_GB2312" w:cs="仿宋_GB2312"/>
      <w:color w:val="000000"/>
      <w:sz w:val="24"/>
      <w:szCs w:val="24"/>
    </w:rPr>
  </w:style>
  <w:style w:type="paragraph" w:customStyle="1" w:styleId="631">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632">
    <w:name w:val="font61"/>
    <w:basedOn w:val="62"/>
    <w:qFormat/>
    <w:uiPriority w:val="0"/>
    <w:rPr>
      <w:rFonts w:hint="eastAsia" w:ascii="仿宋" w:hAnsi="仿宋" w:eastAsia="仿宋" w:cs="仿宋"/>
      <w:snapToGrid w:val="0"/>
      <w:color w:val="000000"/>
      <w:kern w:val="0"/>
      <w:sz w:val="20"/>
      <w:szCs w:val="20"/>
      <w:u w:val="none"/>
    </w:rPr>
  </w:style>
  <w:style w:type="character" w:customStyle="1" w:styleId="633">
    <w:name w:val="font11"/>
    <w:basedOn w:val="62"/>
    <w:qFormat/>
    <w:uiPriority w:val="0"/>
    <w:rPr>
      <w:rFonts w:hint="default" w:ascii="Times New Roman" w:hAnsi="Times New Roman" w:eastAsia="黑体" w:cs="Times New Roman"/>
      <w:snapToGrid w:val="0"/>
      <w:color w:val="000000"/>
      <w:kern w:val="0"/>
      <w:sz w:val="22"/>
      <w:szCs w:val="22"/>
      <w:u w:val="none"/>
    </w:rPr>
  </w:style>
  <w:style w:type="paragraph" w:customStyle="1" w:styleId="634">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635">
    <w:name w:val="15"/>
    <w:basedOn w:val="62"/>
    <w:qFormat/>
    <w:uiPriority w:val="0"/>
    <w:rPr>
      <w:rFonts w:hint="default" w:ascii="Times New Roman" w:hAnsi="Times New Roman" w:cs="Times New Roman"/>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75</Pages>
  <Words>38077</Words>
  <Characters>39786</Characters>
  <Lines>1</Lines>
  <Paragraphs>1</Paragraphs>
  <TotalTime>41</TotalTime>
  <ScaleCrop>false</ScaleCrop>
  <LinksUpToDate>false</LinksUpToDate>
  <CharactersWithSpaces>41062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2015-04-27T17:52:00Z</dcterms:created>
  <dc:creator>玥</dc:creator>
  <cp:lastModifiedBy>中基招标公司</cp:lastModifiedBy>
  <cp:lastPrinted>2025-01-27T08:57:00Z</cp:lastPrinted>
  <dcterms:modified xsi:type="dcterms:W3CDTF">2025-06-18T03:39:01Z</dcterms:modified>
  <dc:title>杭州市市民卡扩大发卡工程</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3D1A409AD2B94FF3BC3C0AE2616D0717_13</vt:lpwstr>
  </property>
  <property fmtid="{D5CDD505-2E9C-101B-9397-08002B2CF9AE}" pid="4" name="KSOTemplateDocerSaveRecord">
    <vt:lpwstr>eyJoZGlkIjoiNzRhYTZlY2Q2MjVkNTA4M2ZkOWZiYmRjMDhmY2JjOGMiLCJ1c2VySWQiOiIyNTI2NTEzMjYifQ==</vt:lpwstr>
  </property>
</Properties>
</file>