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ascii="宋体" w:hAnsi="宋体"/>
          <w:b/>
          <w:color w:val="auto"/>
          <w:sz w:val="44"/>
          <w:szCs w:val="50"/>
          <w:highlight w:val="none"/>
        </w:rPr>
      </w:pPr>
      <w:bookmarkStart w:id="0" w:name="_Toc46014244"/>
      <w:bookmarkStart w:id="1" w:name="_Hlk41852686"/>
      <w:bookmarkStart w:id="2" w:name="_Toc216662965"/>
    </w:p>
    <w:p>
      <w:pPr>
        <w:spacing w:after="120" w:line="900" w:lineRule="exact"/>
        <w:jc w:val="center"/>
        <w:rPr>
          <w:rFonts w:ascii="宋体" w:hAnsi="宋体"/>
          <w:b/>
          <w:color w:val="auto"/>
          <w:sz w:val="48"/>
          <w:szCs w:val="50"/>
          <w:highlight w:val="none"/>
        </w:rPr>
      </w:pPr>
      <w:r>
        <w:rPr>
          <w:rFonts w:hint="eastAsia" w:ascii="宋体" w:hAnsi="宋体"/>
          <w:b/>
          <w:color w:val="auto"/>
          <w:sz w:val="48"/>
          <w:szCs w:val="50"/>
          <w:highlight w:val="none"/>
        </w:rPr>
        <w:t>观海卫镇智慧安全监管服务平台</w:t>
      </w:r>
    </w:p>
    <w:p>
      <w:pPr>
        <w:spacing w:after="120" w:line="900" w:lineRule="exact"/>
        <w:jc w:val="center"/>
        <w:rPr>
          <w:rFonts w:ascii="宋体" w:hAnsi="宋体"/>
          <w:b/>
          <w:color w:val="auto"/>
          <w:sz w:val="48"/>
          <w:szCs w:val="50"/>
          <w:highlight w:val="none"/>
        </w:rPr>
      </w:pPr>
      <w:r>
        <w:rPr>
          <w:rFonts w:hint="eastAsia" w:ascii="宋体" w:hAnsi="宋体"/>
          <w:b/>
          <w:color w:val="auto"/>
          <w:sz w:val="48"/>
          <w:szCs w:val="50"/>
          <w:highlight w:val="none"/>
        </w:rPr>
        <w:t>一期项目</w:t>
      </w:r>
    </w:p>
    <w:p>
      <w:pPr>
        <w:spacing w:after="120" w:line="9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pPr>
        <w:spacing w:after="120" w:line="400" w:lineRule="exact"/>
        <w:jc w:val="center"/>
        <w:rPr>
          <w:rFonts w:ascii="宋体" w:hAnsi="宋体"/>
          <w:b/>
          <w:color w:val="auto"/>
          <w:sz w:val="32"/>
          <w:szCs w:val="32"/>
          <w:highlight w:val="none"/>
        </w:rPr>
      </w:pP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pPr>
        <w:spacing w:line="600" w:lineRule="exact"/>
        <w:rPr>
          <w:rFonts w:ascii="宋体" w:hAnsi="宋体"/>
          <w:b/>
          <w:color w:val="auto"/>
          <w:sz w:val="28"/>
          <w:szCs w:val="28"/>
          <w:highlight w:val="none"/>
        </w:rPr>
      </w:pPr>
    </w:p>
    <w:p>
      <w:pPr>
        <w:spacing w:line="600" w:lineRule="exact"/>
        <w:ind w:firstLine="562" w:firstLineChars="2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CXZFCG[2022]993号</w:t>
      </w:r>
    </w:p>
    <w:p>
      <w:pPr>
        <w:spacing w:line="600" w:lineRule="exact"/>
        <w:ind w:left="1406" w:leftChars="268" w:hanging="843" w:hangingChars="300"/>
        <w:rPr>
          <w:rFonts w:ascii="宋体" w:hAnsi="宋体"/>
          <w:b/>
          <w:color w:val="auto"/>
          <w:sz w:val="28"/>
          <w:szCs w:val="28"/>
          <w:highlight w:val="none"/>
        </w:rPr>
      </w:pPr>
      <w:r>
        <w:rPr>
          <w:rFonts w:hint="eastAsia" w:ascii="宋体" w:hAnsi="宋体"/>
          <w:b/>
          <w:color w:val="auto"/>
          <w:sz w:val="28"/>
          <w:szCs w:val="28"/>
          <w:highlight w:val="none"/>
        </w:rPr>
        <w:t>采 购 人：慈溪市观海卫镇人民政府</w:t>
      </w:r>
    </w:p>
    <w:p>
      <w:pPr>
        <w:spacing w:line="60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代理机构：</w:t>
      </w:r>
      <w:r>
        <w:rPr>
          <w:rFonts w:ascii="宋体" w:hAnsi="宋体"/>
          <w:b/>
          <w:color w:val="auto"/>
          <w:sz w:val="28"/>
          <w:szCs w:val="28"/>
          <w:highlight w:val="none"/>
        </w:rPr>
        <w:t xml:space="preserve"> </w:t>
      </w:r>
      <w:r>
        <w:rPr>
          <w:rFonts w:hint="eastAsia" w:ascii="宋体" w:hAnsi="宋体" w:cs="宋体"/>
          <w:b/>
          <w:color w:val="auto"/>
          <w:sz w:val="30"/>
          <w:szCs w:val="30"/>
          <w:highlight w:val="none"/>
        </w:rPr>
        <w:t>宁波国咨工程造价咨询有限公司</w:t>
      </w:r>
    </w:p>
    <w:p>
      <w:pPr>
        <w:spacing w:line="60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编制日期：2022</w:t>
      </w:r>
      <w:r>
        <w:rPr>
          <w:rFonts w:ascii="宋体" w:hAnsi="宋体"/>
          <w:b/>
          <w:color w:val="auto"/>
          <w:sz w:val="28"/>
          <w:szCs w:val="28"/>
          <w:highlight w:val="none"/>
        </w:rPr>
        <w:t>年</w:t>
      </w:r>
      <w:r>
        <w:rPr>
          <w:rFonts w:hint="eastAsia" w:ascii="宋体" w:hAnsi="宋体"/>
          <w:b/>
          <w:color w:val="auto"/>
          <w:sz w:val="28"/>
          <w:szCs w:val="28"/>
          <w:highlight w:val="none"/>
        </w:rPr>
        <w:t>5月</w:t>
      </w:r>
    </w:p>
    <w:p>
      <w:pPr>
        <w:spacing w:line="600" w:lineRule="exact"/>
        <w:rPr>
          <w:rFonts w:ascii="宋体" w:hAnsi="宋体"/>
          <w:b/>
          <w:color w:val="auto"/>
          <w:sz w:val="28"/>
          <w:szCs w:val="28"/>
          <w:highlight w:val="none"/>
        </w:rPr>
      </w:pPr>
    </w:p>
    <w:p>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pgSz w:w="11907" w:h="16840"/>
          <w:pgMar w:top="993" w:right="1701" w:bottom="1440" w:left="1701" w:header="720" w:footer="0" w:gutter="0"/>
          <w:pgNumType w:start="1"/>
          <w:cols w:space="720" w:num="1"/>
          <w:docGrid w:type="lines" w:linePitch="285" w:charSpace="0"/>
        </w:sectPr>
      </w:pPr>
    </w:p>
    <w:p>
      <w:pPr>
        <w:spacing w:line="480" w:lineRule="auto"/>
        <w:jc w:val="center"/>
        <w:rPr>
          <w:rFonts w:ascii="宋体" w:hAnsi="宋体"/>
          <w:b/>
          <w:color w:val="auto"/>
          <w:sz w:val="52"/>
          <w:szCs w:val="52"/>
          <w:highlight w:val="none"/>
        </w:rPr>
      </w:pPr>
    </w:p>
    <w:p>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spacing w:line="1200" w:lineRule="exact"/>
        <w:jc w:val="center"/>
        <w:rPr>
          <w:rFonts w:ascii="宋体" w:hAnsi="宋体"/>
          <w:b/>
          <w:color w:val="auto"/>
          <w:sz w:val="52"/>
          <w:szCs w:val="52"/>
          <w:highlight w:val="none"/>
        </w:rPr>
      </w:pP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、“商务和技术文件”中不得出现涉及投标价格的内容，否则作无效标处理。</w:t>
      </w:r>
    </w:p>
    <w:p>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ascii="宋体" w:hAnsi="宋体"/>
          <w:b/>
          <w:color w:val="auto"/>
          <w:sz w:val="48"/>
          <w:szCs w:val="52"/>
          <w:highlight w:val="none"/>
        </w:rPr>
      </w:pP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 xml:space="preserve">目 </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258"/>
        <w:spacing w:line="720" w:lineRule="auto"/>
        <w:rPr>
          <w:rFonts w:ascii="等线" w:hAnsi="等线" w:eastAsia="等线"/>
          <w:i w:val="0"/>
          <w:color w:val="auto"/>
          <w:sz w:val="21"/>
          <w:szCs w:val="22"/>
          <w:highlight w:val="none"/>
        </w:rPr>
      </w:pPr>
      <w:r>
        <w:rPr>
          <w:i w:val="0"/>
          <w:color w:val="auto"/>
          <w:highlight w:val="none"/>
        </w:rPr>
        <w:fldChar w:fldCharType="begin"/>
      </w:r>
      <w:r>
        <w:rPr>
          <w:i w:val="0"/>
          <w:color w:val="auto"/>
          <w:highlight w:val="none"/>
        </w:rPr>
        <w:instrText xml:space="preserve"> TOC \o "1-3" \h \z \u </w:instrText>
      </w:r>
      <w:r>
        <w:rPr>
          <w:i w:val="0"/>
          <w:color w:val="auto"/>
          <w:highlight w:val="none"/>
        </w:rPr>
        <w:fldChar w:fldCharType="separate"/>
      </w:r>
      <w:r>
        <w:rPr>
          <w:color w:val="auto"/>
          <w:highlight w:val="none"/>
        </w:rPr>
        <w:fldChar w:fldCharType="begin"/>
      </w:r>
      <w:r>
        <w:rPr>
          <w:color w:val="auto"/>
          <w:highlight w:val="none"/>
        </w:rPr>
        <w:instrText xml:space="preserve"> HYPERLINK \l "_Toc46014228" </w:instrText>
      </w:r>
      <w:r>
        <w:rPr>
          <w:color w:val="auto"/>
          <w:highlight w:val="none"/>
        </w:rPr>
        <w:fldChar w:fldCharType="separate"/>
      </w:r>
      <w:r>
        <w:rPr>
          <w:rStyle w:val="56"/>
          <w:i w:val="0"/>
          <w:color w:val="auto"/>
          <w:highlight w:val="none"/>
        </w:rPr>
        <w:t>第一章</w:t>
      </w:r>
      <w:r>
        <w:rPr>
          <w:rStyle w:val="56"/>
          <w:rFonts w:hint="eastAsia"/>
          <w:i w:val="0"/>
          <w:color w:val="auto"/>
          <w:highlight w:val="none"/>
        </w:rPr>
        <w:t xml:space="preserve"> </w:t>
      </w:r>
      <w:r>
        <w:rPr>
          <w:rStyle w:val="56"/>
          <w:i w:val="0"/>
          <w:color w:val="auto"/>
          <w:highlight w:val="none"/>
        </w:rPr>
        <w:t xml:space="preserve"> 招标公告</w:t>
      </w:r>
      <w:r>
        <w:rPr>
          <w:i w:val="0"/>
          <w:color w:val="auto"/>
          <w:highlight w:val="none"/>
        </w:rPr>
        <w:tab/>
      </w:r>
      <w:r>
        <w:rPr>
          <w:rFonts w:hint="eastAsia"/>
          <w:i w:val="0"/>
          <w:color w:val="auto"/>
          <w:highlight w:val="none"/>
          <w:lang w:val="en-US" w:eastAsia="zh-CN"/>
        </w:rPr>
        <w:t>4</w:t>
      </w:r>
      <w:r>
        <w:rPr>
          <w:i w:val="0"/>
          <w:color w:val="auto"/>
          <w:highlight w:val="none"/>
        </w:rPr>
        <w:fldChar w:fldCharType="end"/>
      </w:r>
    </w:p>
    <w:p>
      <w:pPr>
        <w:pStyle w:val="258"/>
        <w:spacing w:line="720" w:lineRule="auto"/>
        <w:rPr>
          <w:rFonts w:ascii="等线" w:hAnsi="等线" w:eastAsia="等线"/>
          <w:i w:val="0"/>
          <w:color w:val="auto"/>
          <w:sz w:val="21"/>
          <w:szCs w:val="22"/>
          <w:highlight w:val="none"/>
        </w:rPr>
      </w:pPr>
      <w:r>
        <w:rPr>
          <w:color w:val="auto"/>
          <w:highlight w:val="none"/>
        </w:rPr>
        <w:fldChar w:fldCharType="begin"/>
      </w:r>
      <w:r>
        <w:rPr>
          <w:color w:val="auto"/>
          <w:highlight w:val="none"/>
        </w:rPr>
        <w:instrText xml:space="preserve"> HYPERLINK \l "_Toc46014229" </w:instrText>
      </w:r>
      <w:r>
        <w:rPr>
          <w:color w:val="auto"/>
          <w:highlight w:val="none"/>
        </w:rPr>
        <w:fldChar w:fldCharType="separate"/>
      </w:r>
      <w:r>
        <w:rPr>
          <w:rStyle w:val="56"/>
          <w:i w:val="0"/>
          <w:color w:val="auto"/>
          <w:highlight w:val="none"/>
        </w:rPr>
        <w:t>第二章</w:t>
      </w:r>
      <w:r>
        <w:rPr>
          <w:rStyle w:val="56"/>
          <w:rFonts w:hint="eastAsia"/>
          <w:i w:val="0"/>
          <w:color w:val="auto"/>
          <w:highlight w:val="none"/>
        </w:rPr>
        <w:t xml:space="preserve"> </w:t>
      </w:r>
      <w:r>
        <w:rPr>
          <w:rStyle w:val="56"/>
          <w:i w:val="0"/>
          <w:color w:val="auto"/>
          <w:highlight w:val="none"/>
        </w:rPr>
        <w:t xml:space="preserve"> 投标须知</w:t>
      </w:r>
      <w:r>
        <w:rPr>
          <w:i w:val="0"/>
          <w:color w:val="auto"/>
          <w:highlight w:val="none"/>
        </w:rPr>
        <w:tab/>
      </w:r>
      <w:r>
        <w:rPr>
          <w:rFonts w:hint="eastAsia"/>
          <w:i w:val="0"/>
          <w:color w:val="auto"/>
          <w:highlight w:val="none"/>
          <w:lang w:val="en-US" w:eastAsia="zh-CN"/>
        </w:rPr>
        <w:t>8</w:t>
      </w:r>
      <w:r>
        <w:rPr>
          <w:i w:val="0"/>
          <w:color w:val="auto"/>
          <w:highlight w:val="none"/>
        </w:rPr>
        <w:fldChar w:fldCharType="end"/>
      </w:r>
    </w:p>
    <w:p>
      <w:pPr>
        <w:pStyle w:val="258"/>
        <w:spacing w:line="720" w:lineRule="auto"/>
        <w:rPr>
          <w:rFonts w:ascii="等线" w:hAnsi="等线" w:eastAsia="等线"/>
          <w:i w:val="0"/>
          <w:color w:val="auto"/>
          <w:sz w:val="21"/>
          <w:szCs w:val="22"/>
          <w:highlight w:val="none"/>
        </w:rPr>
      </w:pPr>
      <w:r>
        <w:rPr>
          <w:color w:val="auto"/>
          <w:highlight w:val="none"/>
        </w:rPr>
        <w:fldChar w:fldCharType="begin"/>
      </w:r>
      <w:r>
        <w:rPr>
          <w:color w:val="auto"/>
          <w:highlight w:val="none"/>
        </w:rPr>
        <w:instrText xml:space="preserve"> HYPERLINK \l "_Toc46014242" </w:instrText>
      </w:r>
      <w:r>
        <w:rPr>
          <w:color w:val="auto"/>
          <w:highlight w:val="none"/>
        </w:rPr>
        <w:fldChar w:fldCharType="separate"/>
      </w:r>
      <w:r>
        <w:rPr>
          <w:rStyle w:val="56"/>
          <w:i w:val="0"/>
          <w:color w:val="auto"/>
          <w:highlight w:val="none"/>
        </w:rPr>
        <w:t>第三章</w:t>
      </w:r>
      <w:r>
        <w:rPr>
          <w:rStyle w:val="56"/>
          <w:rFonts w:hint="eastAsia"/>
          <w:i w:val="0"/>
          <w:color w:val="auto"/>
          <w:highlight w:val="none"/>
        </w:rPr>
        <w:t xml:space="preserve"> </w:t>
      </w:r>
      <w:r>
        <w:rPr>
          <w:rStyle w:val="56"/>
          <w:i w:val="0"/>
          <w:color w:val="auto"/>
          <w:highlight w:val="none"/>
        </w:rPr>
        <w:t xml:space="preserve"> 评标办法及标准</w:t>
      </w:r>
      <w:r>
        <w:rPr>
          <w:i w:val="0"/>
          <w:color w:val="auto"/>
          <w:highlight w:val="none"/>
        </w:rPr>
        <w:tab/>
      </w:r>
      <w:r>
        <w:rPr>
          <w:i w:val="0"/>
          <w:color w:val="auto"/>
          <w:highlight w:val="none"/>
        </w:rPr>
        <w:fldChar w:fldCharType="begin"/>
      </w:r>
      <w:r>
        <w:rPr>
          <w:i w:val="0"/>
          <w:color w:val="auto"/>
          <w:highlight w:val="none"/>
        </w:rPr>
        <w:instrText xml:space="preserve"> PAGEREF _Toc46014242 \h </w:instrText>
      </w:r>
      <w:r>
        <w:rPr>
          <w:i w:val="0"/>
          <w:color w:val="auto"/>
          <w:highlight w:val="none"/>
        </w:rPr>
        <w:fldChar w:fldCharType="separate"/>
      </w:r>
      <w:r>
        <w:rPr>
          <w:i w:val="0"/>
          <w:color w:val="auto"/>
          <w:highlight w:val="none"/>
        </w:rPr>
        <w:t>1</w:t>
      </w:r>
      <w:r>
        <w:rPr>
          <w:rFonts w:hint="eastAsia"/>
          <w:i w:val="0"/>
          <w:color w:val="auto"/>
          <w:highlight w:val="none"/>
          <w:lang w:val="en-US" w:eastAsia="zh-CN"/>
        </w:rPr>
        <w:t>6</w:t>
      </w:r>
      <w:r>
        <w:rPr>
          <w:i w:val="0"/>
          <w:color w:val="auto"/>
          <w:highlight w:val="none"/>
        </w:rPr>
        <w:fldChar w:fldCharType="end"/>
      </w:r>
      <w:r>
        <w:rPr>
          <w:i w:val="0"/>
          <w:color w:val="auto"/>
          <w:highlight w:val="none"/>
        </w:rPr>
        <w:fldChar w:fldCharType="end"/>
      </w:r>
    </w:p>
    <w:p>
      <w:pPr>
        <w:pStyle w:val="258"/>
        <w:spacing w:line="720" w:lineRule="auto"/>
        <w:rPr>
          <w:rFonts w:ascii="等线" w:hAnsi="等线" w:eastAsia="等线"/>
          <w:i w:val="0"/>
          <w:color w:val="auto"/>
          <w:sz w:val="21"/>
          <w:szCs w:val="22"/>
          <w:highlight w:val="none"/>
        </w:rPr>
      </w:pPr>
      <w:r>
        <w:rPr>
          <w:color w:val="auto"/>
          <w:highlight w:val="none"/>
        </w:rPr>
        <w:fldChar w:fldCharType="begin"/>
      </w:r>
      <w:r>
        <w:rPr>
          <w:color w:val="auto"/>
          <w:highlight w:val="none"/>
        </w:rPr>
        <w:instrText xml:space="preserve"> HYPERLINK \l "_Toc46014243" </w:instrText>
      </w:r>
      <w:r>
        <w:rPr>
          <w:color w:val="auto"/>
          <w:highlight w:val="none"/>
        </w:rPr>
        <w:fldChar w:fldCharType="separate"/>
      </w:r>
      <w:r>
        <w:rPr>
          <w:rStyle w:val="56"/>
          <w:i w:val="0"/>
          <w:color w:val="auto"/>
          <w:highlight w:val="none"/>
        </w:rPr>
        <w:t>第四章</w:t>
      </w:r>
      <w:r>
        <w:rPr>
          <w:rStyle w:val="56"/>
          <w:rFonts w:hint="eastAsia"/>
          <w:i w:val="0"/>
          <w:color w:val="auto"/>
          <w:highlight w:val="none"/>
        </w:rPr>
        <w:t xml:space="preserve"> </w:t>
      </w:r>
      <w:r>
        <w:rPr>
          <w:rStyle w:val="56"/>
          <w:i w:val="0"/>
          <w:color w:val="auto"/>
          <w:highlight w:val="none"/>
        </w:rPr>
        <w:t xml:space="preserve"> 采购合同样本</w:t>
      </w:r>
      <w:r>
        <w:rPr>
          <w:i w:val="0"/>
          <w:color w:val="auto"/>
          <w:highlight w:val="none"/>
        </w:rPr>
        <w:tab/>
      </w:r>
      <w:r>
        <w:rPr>
          <w:i w:val="0"/>
          <w:color w:val="auto"/>
          <w:highlight w:val="none"/>
        </w:rPr>
        <w:fldChar w:fldCharType="begin"/>
      </w:r>
      <w:r>
        <w:rPr>
          <w:i w:val="0"/>
          <w:color w:val="auto"/>
          <w:highlight w:val="none"/>
        </w:rPr>
        <w:instrText xml:space="preserve"> PAGEREF _Toc46014243 \h </w:instrText>
      </w:r>
      <w:r>
        <w:rPr>
          <w:i w:val="0"/>
          <w:color w:val="auto"/>
          <w:highlight w:val="none"/>
        </w:rPr>
        <w:fldChar w:fldCharType="separate"/>
      </w:r>
      <w:r>
        <w:rPr>
          <w:i w:val="0"/>
          <w:color w:val="auto"/>
          <w:highlight w:val="none"/>
        </w:rPr>
        <w:t>2</w:t>
      </w:r>
      <w:r>
        <w:rPr>
          <w:rFonts w:hint="eastAsia"/>
          <w:i w:val="0"/>
          <w:color w:val="auto"/>
          <w:highlight w:val="none"/>
          <w:lang w:val="en-US" w:eastAsia="zh-CN"/>
        </w:rPr>
        <w:t>5</w:t>
      </w:r>
      <w:r>
        <w:rPr>
          <w:i w:val="0"/>
          <w:color w:val="auto"/>
          <w:highlight w:val="none"/>
        </w:rPr>
        <w:fldChar w:fldCharType="end"/>
      </w:r>
      <w:r>
        <w:rPr>
          <w:i w:val="0"/>
          <w:color w:val="auto"/>
          <w:highlight w:val="none"/>
        </w:rPr>
        <w:fldChar w:fldCharType="end"/>
      </w:r>
    </w:p>
    <w:p>
      <w:pPr>
        <w:pStyle w:val="258"/>
        <w:spacing w:line="720" w:lineRule="auto"/>
        <w:rPr>
          <w:rFonts w:ascii="等线" w:hAnsi="等线" w:eastAsia="等线"/>
          <w:i w:val="0"/>
          <w:color w:val="auto"/>
          <w:sz w:val="21"/>
          <w:szCs w:val="22"/>
          <w:highlight w:val="none"/>
        </w:rPr>
      </w:pPr>
      <w:r>
        <w:rPr>
          <w:color w:val="auto"/>
          <w:highlight w:val="none"/>
        </w:rPr>
        <w:fldChar w:fldCharType="begin"/>
      </w:r>
      <w:r>
        <w:rPr>
          <w:color w:val="auto"/>
          <w:highlight w:val="none"/>
        </w:rPr>
        <w:instrText xml:space="preserve"> HYPERLINK \l "_Toc46014244" </w:instrText>
      </w:r>
      <w:r>
        <w:rPr>
          <w:color w:val="auto"/>
          <w:highlight w:val="none"/>
        </w:rPr>
        <w:fldChar w:fldCharType="separate"/>
      </w:r>
      <w:r>
        <w:rPr>
          <w:rStyle w:val="56"/>
          <w:i w:val="0"/>
          <w:color w:val="auto"/>
          <w:highlight w:val="none"/>
        </w:rPr>
        <w:t>第五章</w:t>
      </w:r>
      <w:r>
        <w:rPr>
          <w:rStyle w:val="56"/>
          <w:rFonts w:hint="eastAsia"/>
          <w:i w:val="0"/>
          <w:color w:val="auto"/>
          <w:highlight w:val="none"/>
        </w:rPr>
        <w:t xml:space="preserve"> </w:t>
      </w:r>
      <w:r>
        <w:rPr>
          <w:rStyle w:val="56"/>
          <w:i w:val="0"/>
          <w:color w:val="auto"/>
          <w:highlight w:val="none"/>
        </w:rPr>
        <w:t xml:space="preserve"> 招标内容与技术需求</w:t>
      </w:r>
      <w:r>
        <w:rPr>
          <w:i w:val="0"/>
          <w:color w:val="auto"/>
          <w:highlight w:val="none"/>
        </w:rPr>
        <w:tab/>
      </w:r>
      <w:r>
        <w:rPr>
          <w:rFonts w:hint="eastAsia"/>
          <w:i w:val="0"/>
          <w:color w:val="auto"/>
          <w:highlight w:val="none"/>
        </w:rPr>
        <w:t>3</w:t>
      </w:r>
      <w:r>
        <w:rPr>
          <w:rFonts w:hint="eastAsia"/>
          <w:i w:val="0"/>
          <w:color w:val="auto"/>
          <w:highlight w:val="none"/>
          <w:lang w:val="en-US" w:eastAsia="zh-CN"/>
        </w:rPr>
        <w:t>5</w:t>
      </w:r>
      <w:r>
        <w:rPr>
          <w:i w:val="0"/>
          <w:color w:val="auto"/>
          <w:highlight w:val="none"/>
        </w:rPr>
        <w:fldChar w:fldCharType="end"/>
      </w:r>
    </w:p>
    <w:p>
      <w:pPr>
        <w:pStyle w:val="258"/>
        <w:spacing w:line="720" w:lineRule="auto"/>
        <w:rPr>
          <w:rFonts w:hint="eastAsia" w:ascii="等线" w:hAnsi="等线" w:eastAsia="宋体"/>
          <w:i w:val="0"/>
          <w:color w:val="auto"/>
          <w:sz w:val="21"/>
          <w:szCs w:val="22"/>
          <w:highlight w:val="none"/>
          <w:lang w:val="en-US" w:eastAsia="zh-CN"/>
        </w:rPr>
      </w:pPr>
      <w:r>
        <w:rPr>
          <w:color w:val="auto"/>
          <w:highlight w:val="none"/>
        </w:rPr>
        <w:fldChar w:fldCharType="begin"/>
      </w:r>
      <w:r>
        <w:rPr>
          <w:color w:val="auto"/>
          <w:highlight w:val="none"/>
        </w:rPr>
        <w:instrText xml:space="preserve"> HYPERLINK \l "_Toc46014246" </w:instrText>
      </w:r>
      <w:r>
        <w:rPr>
          <w:color w:val="auto"/>
          <w:highlight w:val="none"/>
        </w:rPr>
        <w:fldChar w:fldCharType="separate"/>
      </w:r>
      <w:r>
        <w:rPr>
          <w:rStyle w:val="56"/>
          <w:i w:val="0"/>
          <w:color w:val="auto"/>
          <w:highlight w:val="none"/>
        </w:rPr>
        <w:t>第六章</w:t>
      </w:r>
      <w:r>
        <w:rPr>
          <w:rStyle w:val="56"/>
          <w:rFonts w:hint="eastAsia"/>
          <w:i w:val="0"/>
          <w:color w:val="auto"/>
          <w:highlight w:val="none"/>
        </w:rPr>
        <w:t xml:space="preserve"> </w:t>
      </w:r>
      <w:r>
        <w:rPr>
          <w:rStyle w:val="56"/>
          <w:i w:val="0"/>
          <w:color w:val="auto"/>
          <w:highlight w:val="none"/>
        </w:rPr>
        <w:t xml:space="preserve"> 商务条款</w:t>
      </w:r>
      <w:r>
        <w:rPr>
          <w:i w:val="0"/>
          <w:color w:val="auto"/>
          <w:highlight w:val="none"/>
        </w:rPr>
        <w:tab/>
      </w:r>
      <w:r>
        <w:rPr>
          <w:rFonts w:hint="eastAsia"/>
          <w:i w:val="0"/>
          <w:color w:val="auto"/>
          <w:highlight w:val="none"/>
          <w:lang w:val="en-US" w:eastAsia="zh-CN"/>
        </w:rPr>
        <w:t>8</w:t>
      </w:r>
      <w:r>
        <w:rPr>
          <w:i w:val="0"/>
          <w:color w:val="auto"/>
          <w:highlight w:val="none"/>
        </w:rPr>
        <w:fldChar w:fldCharType="end"/>
      </w:r>
      <w:r>
        <w:rPr>
          <w:rFonts w:hint="eastAsia"/>
          <w:i w:val="0"/>
          <w:color w:val="auto"/>
          <w:highlight w:val="none"/>
          <w:lang w:val="en-US" w:eastAsia="zh-CN"/>
        </w:rPr>
        <w:t>1</w:t>
      </w:r>
    </w:p>
    <w:p>
      <w:pPr>
        <w:pStyle w:val="258"/>
        <w:spacing w:line="720" w:lineRule="auto"/>
        <w:rPr>
          <w:rFonts w:hint="eastAsia" w:ascii="等线" w:hAnsi="等线" w:eastAsia="宋体"/>
          <w:i w:val="0"/>
          <w:color w:val="auto"/>
          <w:sz w:val="21"/>
          <w:szCs w:val="22"/>
          <w:highlight w:val="none"/>
          <w:lang w:val="en-US" w:eastAsia="zh-CN"/>
        </w:rPr>
      </w:pPr>
      <w:r>
        <w:rPr>
          <w:color w:val="auto"/>
          <w:highlight w:val="none"/>
        </w:rPr>
        <w:fldChar w:fldCharType="begin"/>
      </w:r>
      <w:r>
        <w:rPr>
          <w:color w:val="auto"/>
          <w:highlight w:val="none"/>
        </w:rPr>
        <w:instrText xml:space="preserve"> HYPERLINK \l "_Toc46014247" </w:instrText>
      </w:r>
      <w:r>
        <w:rPr>
          <w:color w:val="auto"/>
          <w:highlight w:val="none"/>
        </w:rPr>
        <w:fldChar w:fldCharType="separate"/>
      </w:r>
      <w:r>
        <w:rPr>
          <w:rStyle w:val="56"/>
          <w:i w:val="0"/>
          <w:color w:val="auto"/>
          <w:highlight w:val="none"/>
        </w:rPr>
        <w:t>第七章</w:t>
      </w:r>
      <w:r>
        <w:rPr>
          <w:rStyle w:val="56"/>
          <w:rFonts w:hint="eastAsia"/>
          <w:i w:val="0"/>
          <w:color w:val="auto"/>
          <w:highlight w:val="none"/>
        </w:rPr>
        <w:t xml:space="preserve"> </w:t>
      </w:r>
      <w:r>
        <w:rPr>
          <w:rStyle w:val="56"/>
          <w:i w:val="0"/>
          <w:color w:val="auto"/>
          <w:highlight w:val="none"/>
        </w:rPr>
        <w:t xml:space="preserve"> 附件</w:t>
      </w:r>
      <w:r>
        <w:rPr>
          <w:i w:val="0"/>
          <w:color w:val="auto"/>
          <w:highlight w:val="none"/>
        </w:rPr>
        <w:tab/>
      </w:r>
      <w:r>
        <w:rPr>
          <w:rFonts w:hint="eastAsia"/>
          <w:i w:val="0"/>
          <w:color w:val="auto"/>
          <w:highlight w:val="none"/>
          <w:lang w:val="en-US" w:eastAsia="zh-CN"/>
        </w:rPr>
        <w:t>8</w:t>
      </w:r>
      <w:r>
        <w:rPr>
          <w:i w:val="0"/>
          <w:color w:val="auto"/>
          <w:highlight w:val="none"/>
        </w:rPr>
        <w:fldChar w:fldCharType="end"/>
      </w:r>
      <w:r>
        <w:rPr>
          <w:rFonts w:hint="eastAsia"/>
          <w:i w:val="0"/>
          <w:color w:val="auto"/>
          <w:highlight w:val="none"/>
          <w:lang w:val="en-US" w:eastAsia="zh-CN"/>
        </w:rPr>
        <w:t>2</w:t>
      </w:r>
    </w:p>
    <w:p>
      <w:pPr>
        <w:spacing w:line="1000" w:lineRule="exact"/>
        <w:jc w:val="center"/>
        <w:rPr>
          <w:rFonts w:ascii="宋体" w:hAnsi="宋体"/>
          <w:b/>
          <w:color w:val="auto"/>
          <w:sz w:val="32"/>
          <w:highlight w:val="none"/>
        </w:rPr>
      </w:pPr>
      <w:r>
        <w:rPr>
          <w:rFonts w:ascii="宋体" w:hAnsi="宋体"/>
          <w:color w:val="auto"/>
          <w:highlight w:val="none"/>
        </w:rPr>
        <w:fldChar w:fldCharType="end"/>
      </w:r>
    </w:p>
    <w:p>
      <w:pPr>
        <w:spacing w:line="400" w:lineRule="exact"/>
        <w:jc w:val="center"/>
        <w:rPr>
          <w:rFonts w:ascii="宋体" w:hAnsi="宋体"/>
          <w:b/>
          <w:color w:val="auto"/>
          <w:sz w:val="32"/>
          <w:highlight w:val="none"/>
        </w:rPr>
        <w:sectPr>
          <w:headerReference r:id="rId6"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auto"/>
          <w:sz w:val="32"/>
          <w:highlight w:val="none"/>
        </w:rPr>
      </w:pPr>
      <w:bookmarkStart w:id="3" w:name="_Toc46014228"/>
      <w:bookmarkStart w:id="4" w:name="_Hlk45283421"/>
      <w:r>
        <w:rPr>
          <w:rFonts w:hint="eastAsia" w:ascii="宋体" w:hAnsi="宋体"/>
          <w:b/>
          <w:color w:val="auto"/>
          <w:sz w:val="32"/>
          <w:highlight w:val="none"/>
        </w:rPr>
        <w:t xml:space="preserve">第一章 </w:t>
      </w:r>
      <w:r>
        <w:rPr>
          <w:rFonts w:ascii="宋体" w:hAnsi="宋体"/>
          <w:b/>
          <w:color w:val="auto"/>
          <w:sz w:val="32"/>
          <w:highlight w:val="none"/>
        </w:rPr>
        <w:t xml:space="preserve"> </w:t>
      </w:r>
      <w:r>
        <w:rPr>
          <w:rFonts w:hint="eastAsia" w:ascii="宋体" w:hAnsi="宋体"/>
          <w:b/>
          <w:color w:val="auto"/>
          <w:sz w:val="32"/>
          <w:highlight w:val="none"/>
        </w:rPr>
        <w:t>招标公告</w:t>
      </w:r>
      <w:bookmarkEnd w:id="3"/>
    </w:p>
    <w:p>
      <w:pPr>
        <w:widowControl/>
        <w:spacing w:line="4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发布日期：</w:t>
      </w:r>
      <w:r>
        <w:rPr>
          <w:rFonts w:hint="eastAsia" w:ascii="宋体" w:hAnsi="宋体"/>
          <w:color w:val="auto"/>
          <w:highlight w:val="none"/>
        </w:rPr>
        <w:t>2022年</w:t>
      </w:r>
      <w:r>
        <w:rPr>
          <w:rFonts w:hint="eastAsia" w:ascii="宋体" w:hAnsi="宋体"/>
          <w:color w:val="auto"/>
          <w:highlight w:val="none"/>
          <w:lang w:val="en-US" w:eastAsia="zh-CN"/>
        </w:rPr>
        <w:t>5</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20" w:firstLineChars="200"/>
              <w:rPr>
                <w:color w:val="auto"/>
                <w:szCs w:val="22"/>
                <w:highlight w:val="none"/>
              </w:rPr>
            </w:pPr>
            <w:r>
              <w:rPr>
                <w:rFonts w:hint="eastAsia"/>
                <w:color w:val="auto"/>
                <w:highlight w:val="none"/>
              </w:rPr>
              <w:t>项目概</w:t>
            </w:r>
            <w:r>
              <w:rPr>
                <w:rFonts w:hint="eastAsia"/>
                <w:color w:val="auto"/>
                <w:szCs w:val="22"/>
                <w:highlight w:val="none"/>
              </w:rPr>
              <w:t xml:space="preserve">况                                                    </w:t>
            </w:r>
          </w:p>
          <w:p>
            <w:pPr>
              <w:spacing w:line="360" w:lineRule="auto"/>
              <w:ind w:firstLine="420" w:firstLineChars="200"/>
              <w:rPr>
                <w:color w:val="auto"/>
                <w:highlight w:val="none"/>
              </w:rPr>
            </w:pPr>
            <w:r>
              <w:rPr>
                <w:rFonts w:hint="eastAsia"/>
                <w:color w:val="auto"/>
                <w:szCs w:val="22"/>
                <w:highlight w:val="none"/>
              </w:rPr>
              <w:t>观海卫镇智慧安全监管服务平台一期项目的潜在投标人应在浙江政府采购云平台，网址http://www.zcygov.cn/。获取（下载）招标文件，并于</w:t>
            </w:r>
            <w:r>
              <w:rPr>
                <w:rFonts w:hint="eastAsia" w:ascii="宋体" w:hAnsi="宋体" w:cs="宋体"/>
                <w:bCs/>
                <w:color w:val="auto"/>
                <w:kern w:val="0"/>
                <w:szCs w:val="21"/>
                <w:highlight w:val="none"/>
              </w:rPr>
              <w:t>2022年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:30</w:t>
            </w:r>
            <w:r>
              <w:rPr>
                <w:rFonts w:hint="eastAsia"/>
                <w:color w:val="auto"/>
                <w:highlight w:val="none"/>
              </w:rPr>
              <w:t xml:space="preserve">（北京时间）前递交（上传）投标文件。    </w:t>
            </w:r>
          </w:p>
        </w:tc>
      </w:tr>
    </w:tbl>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一、项目基本情况</w:t>
      </w:r>
    </w:p>
    <w:p>
      <w:pPr>
        <w:widowControl/>
        <w:spacing w:line="400" w:lineRule="exact"/>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项目编号：</w:t>
      </w:r>
      <w:r>
        <w:rPr>
          <w:rFonts w:hint="eastAsia" w:ascii="宋体" w:hAnsi="宋体" w:cs="宋体"/>
          <w:bCs/>
          <w:color w:val="auto"/>
          <w:kern w:val="0"/>
          <w:szCs w:val="21"/>
          <w:highlight w:val="none"/>
          <w:lang w:eastAsia="zh-CN"/>
        </w:rPr>
        <w:t>CXZFCG[2022]993号</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项目名称：观海卫镇智慧安全监管服务平台一期项目</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预算金额（元）：8500000</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最高限价（元）：8159000</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采购需求：</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标项名称：观海卫镇智慧安全监管服务平台一期项目</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数量：3</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预算金额（元）：8500000</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简要规格描述或项目基本概况介绍、用途：针对观海卫镇智慧安全监管服务平台提供</w:t>
      </w:r>
      <w:r>
        <w:rPr>
          <w:rFonts w:ascii="宋体" w:hAnsi="宋体" w:cs="宋体"/>
          <w:bCs/>
          <w:color w:val="auto"/>
          <w:kern w:val="0"/>
          <w:szCs w:val="21"/>
          <w:highlight w:val="none"/>
        </w:rPr>
        <w:t>租赁服务</w:t>
      </w:r>
      <w:r>
        <w:rPr>
          <w:rFonts w:hint="eastAsia" w:ascii="宋体" w:hAnsi="宋体" w:cs="宋体"/>
          <w:bCs/>
          <w:color w:val="auto"/>
          <w:kern w:val="0"/>
          <w:szCs w:val="21"/>
          <w:highlight w:val="none"/>
        </w:rPr>
        <w:t>。本期试点建设，涉及1个中心及多个类型场景，主要包括智慧安全监管服务平台、网络系统、存储系统、视频图像信息管理平台、安全系统和前端感知系等建设等</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合同履约期限：三年。</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本项目（否）接受联合体投标。</w:t>
      </w:r>
    </w:p>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二、申请人的资格要求：</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2.落实政府采购政策需满足的资格要求：无</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3.本项目的特定资格要求：</w:t>
      </w:r>
      <w:r>
        <w:rPr>
          <w:rFonts w:hint="eastAsia" w:ascii="宋体" w:hAnsi="宋体"/>
          <w:color w:val="auto"/>
          <w:szCs w:val="21"/>
          <w:highlight w:val="none"/>
        </w:rPr>
        <w:t>无</w:t>
      </w:r>
      <w:r>
        <w:rPr>
          <w:rFonts w:hint="eastAsia" w:ascii="宋体" w:hAnsi="宋体" w:cs="仿宋"/>
          <w:color w:val="auto"/>
          <w:highlight w:val="none"/>
        </w:rPr>
        <w:t>。</w:t>
      </w:r>
    </w:p>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时间：2022</w:t>
      </w:r>
      <w:r>
        <w:rPr>
          <w:rFonts w:hint="eastAsia" w:ascii="宋体" w:hAnsi="宋体"/>
          <w:color w:val="auto"/>
          <w:highlight w:val="none"/>
        </w:rPr>
        <w:t>年</w:t>
      </w:r>
      <w:r>
        <w:rPr>
          <w:rFonts w:hint="eastAsia" w:ascii="宋体" w:hAnsi="宋体"/>
          <w:color w:val="auto"/>
          <w:highlight w:val="none"/>
          <w:lang w:val="en-US" w:eastAsia="zh-CN"/>
        </w:rPr>
        <w:t>5</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日至</w:t>
      </w:r>
      <w:r>
        <w:rPr>
          <w:rFonts w:hint="eastAsia" w:ascii="宋体" w:hAnsi="宋体"/>
          <w:color w:val="auto"/>
          <w:highlight w:val="none"/>
        </w:rPr>
        <w:t>2022年</w:t>
      </w:r>
      <w:r>
        <w:rPr>
          <w:rFonts w:hint="eastAsia" w:ascii="宋体" w:hAnsi="宋体"/>
          <w:color w:val="auto"/>
          <w:highlight w:val="none"/>
          <w:lang w:val="en-US" w:eastAsia="zh-CN"/>
        </w:rPr>
        <w:t>5</w:t>
      </w:r>
      <w:r>
        <w:rPr>
          <w:rFonts w:hint="eastAsia" w:ascii="宋体" w:hAnsi="宋体"/>
          <w:color w:val="auto"/>
          <w:highlight w:val="none"/>
        </w:rPr>
        <w:t>月</w:t>
      </w:r>
      <w:r>
        <w:rPr>
          <w:rFonts w:hint="eastAsia" w:ascii="宋体" w:hAnsi="宋体"/>
          <w:color w:val="auto"/>
          <w:highlight w:val="none"/>
          <w:lang w:val="en-US" w:eastAsia="zh-CN"/>
        </w:rPr>
        <w:t>20</w:t>
      </w:r>
      <w:r>
        <w:rPr>
          <w:rFonts w:hint="eastAsia" w:ascii="宋体" w:hAnsi="宋体"/>
          <w:color w:val="auto"/>
          <w:highlight w:val="none"/>
        </w:rPr>
        <w:t>日</w:t>
      </w:r>
      <w:r>
        <w:rPr>
          <w:rFonts w:hint="eastAsia" w:ascii="宋体" w:hAnsi="宋体" w:cs="宋体"/>
          <w:bCs/>
          <w:color w:val="auto"/>
          <w:kern w:val="0"/>
          <w:szCs w:val="21"/>
          <w:highlight w:val="none"/>
        </w:rPr>
        <w:t>，每天上午00：00至12：00，下午12：00至23：59（北京时间，线上获取法定节假日均可，线下获取文件法定节假日除外）</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地点（网址）：政府采购云平台（www.zcygov.cn）</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w:t>
      </w:r>
      <w:r>
        <w:rPr>
          <w:rFonts w:hint="eastAsia" w:ascii="宋体" w:hAnsi="宋体" w:cs="宋体"/>
          <w:bCs/>
          <w:color w:val="auto"/>
          <w:kern w:val="0"/>
          <w:szCs w:val="21"/>
          <w:highlight w:val="none"/>
          <w:lang w:val="en-US" w:eastAsia="zh-CN"/>
        </w:rPr>
        <w:t>详见</w:t>
      </w:r>
      <w:r>
        <w:rPr>
          <w:rFonts w:hint="eastAsia" w:ascii="宋体" w:hAnsi="宋体" w:cs="宋体"/>
          <w:bCs/>
          <w:color w:val="auto"/>
          <w:kern w:val="0"/>
          <w:szCs w:val="21"/>
          <w:highlight w:val="none"/>
        </w:rPr>
        <w:t>浙江政府采购网“网上办事指南”的“供应商注册申请”。注册咨询电话：4008817190，如未注册的供应商，请注意注册所需时间。（3）本招标公告附件中的招标文件仅供阅览使用，供应商应在规定的招标文件获取期限内在政采云平台登录上述供应商注册的账号后获取招标文件，未在规定的招标文件获取期限内或未按上述方式获取招标文件的，其投标均视为无效，并不得对招标文件提起质疑投诉。</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售价（元）：0</w:t>
      </w:r>
    </w:p>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提交投标文件截止时间：2022</w:t>
      </w:r>
      <w:r>
        <w:rPr>
          <w:rFonts w:hint="eastAsia" w:ascii="宋体" w:hAnsi="宋体"/>
          <w:color w:val="auto"/>
          <w:highlight w:val="none"/>
        </w:rPr>
        <w:t>年</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8</w:t>
      </w:r>
      <w:r>
        <w:rPr>
          <w:rFonts w:hint="eastAsia" w:ascii="宋体" w:hAnsi="宋体"/>
          <w:color w:val="auto"/>
          <w:highlight w:val="none"/>
        </w:rPr>
        <w:t>日</w:t>
      </w:r>
      <w:r>
        <w:rPr>
          <w:rFonts w:hint="eastAsia" w:ascii="宋体" w:hAnsi="宋体"/>
          <w:color w:val="auto"/>
          <w:highlight w:val="none"/>
          <w:lang w:val="en-US" w:eastAsia="zh-CN"/>
        </w:rPr>
        <w:t>9</w:t>
      </w:r>
      <w:r>
        <w:rPr>
          <w:rFonts w:hint="eastAsia" w:ascii="宋体" w:hAnsi="宋体"/>
          <w:color w:val="auto"/>
          <w:highlight w:val="none"/>
        </w:rPr>
        <w:t>：30</w:t>
      </w:r>
      <w:r>
        <w:rPr>
          <w:rFonts w:hint="eastAsia" w:ascii="宋体" w:hAnsi="宋体" w:cs="宋体"/>
          <w:bCs/>
          <w:color w:val="auto"/>
          <w:kern w:val="0"/>
          <w:szCs w:val="21"/>
          <w:highlight w:val="none"/>
        </w:rPr>
        <w:t>（北京时间）</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投标地点（网址）：政采云平台开标大厅</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olor w:val="auto"/>
          <w:highlight w:val="none"/>
        </w:rPr>
        <w:t>2022年</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8</w:t>
      </w:r>
      <w:r>
        <w:rPr>
          <w:rFonts w:hint="eastAsia" w:ascii="宋体" w:hAnsi="宋体"/>
          <w:color w:val="auto"/>
          <w:highlight w:val="none"/>
        </w:rPr>
        <w:t>日</w:t>
      </w:r>
      <w:r>
        <w:rPr>
          <w:rFonts w:hint="eastAsia" w:ascii="宋体" w:hAnsi="宋体"/>
          <w:color w:val="auto"/>
          <w:highlight w:val="none"/>
          <w:lang w:val="en-US" w:eastAsia="zh-CN"/>
        </w:rPr>
        <w:t>9</w:t>
      </w:r>
      <w:r>
        <w:rPr>
          <w:rFonts w:hint="eastAsia" w:ascii="宋体" w:hAnsi="宋体"/>
          <w:color w:val="auto"/>
          <w:highlight w:val="none"/>
        </w:rPr>
        <w:t>：30</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开标地点（网址）：慈溪市公共资源交易中心第五开标室</w:t>
      </w:r>
    </w:p>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自本公告发布之日起5个工作日。</w:t>
      </w:r>
    </w:p>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2.其他事项：</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2.1、在线询问及在线质疑操作方式</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2.1.1在线询问</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潜在供应商获取采购文件后，对政府采购活动事项有疑问的，可对该项目进行在线询问及查看询问答复，访问路径如下：应用中心（登录首页）—项目采购—询问质疑投诉—询问列表；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2.1.2在线质疑</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供应商认为采购文件、采购过程、中标或者成交结果使自己的权益受到损害的，可以在知道或者应知其权益受到损害之日起7个工作日内，对采购文件、采购过程、采购结果进行在线质疑（需在线签章）并查看质疑答复，访问路径如下：</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应用中心（登录首页）—项目采购—询问质疑投诉—质疑列表；</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2.2、供应商应于提交投标文件截止时间前将电子加密投标文件上传到政府采购云平台www.zcygov.cn，未上传电子投标文件，视为供应商放弃投标。 </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2.3、供应商在“政府采购云平台”完成“电子加密投标文件”的上传递交之外，还可以邮寄形式提交（以招标代理机构联系人签收时间为准），在规定时间前提交以介质（U盘）存储的数据电文形式的“备份投标文件”，备份电子投标文件递交可采用邮寄的方式。 </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邮寄送达。供应商可以通过邮寄送达电子备份投标文件，送达地址宁波国咨工程造价咨询有限公司（宁波市鄞州区和源路510号宁兴国贸大厦2017室），联系方式：0574-87312175。供应商邮寄后须将邮件单号发送至代理机构电子邮箱（电子邮箱：</w:t>
      </w:r>
      <w:r>
        <w:rPr>
          <w:color w:val="auto"/>
          <w:highlight w:val="none"/>
        </w:rPr>
        <w:fldChar w:fldCharType="begin"/>
      </w:r>
      <w:r>
        <w:rPr>
          <w:color w:val="auto"/>
          <w:highlight w:val="none"/>
        </w:rPr>
        <w:instrText xml:space="preserve"> HYPERLINK "mailto:337409979@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2020年" </w:instrText>
      </w:r>
      <w:r>
        <w:rPr>
          <w:color w:val="auto"/>
          <w:highlight w:val="none"/>
        </w:rPr>
        <w:fldChar w:fldCharType="separate"/>
      </w:r>
      <w:r>
        <w:rPr>
          <w:rFonts w:hint="eastAsia" w:ascii="宋体" w:hAnsi="宋体" w:cs="宋体"/>
          <w:bCs/>
          <w:color w:val="auto"/>
          <w:kern w:val="0"/>
          <w:szCs w:val="21"/>
          <w:highlight w:val="none"/>
        </w:rPr>
        <w:t>844793647@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2022年</w:t>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 xml:space="preserve">日17:00。 </w:t>
      </w:r>
    </w:p>
    <w:p>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本项目为不见面开评标项目，不要求投标人员到场参加现场开标。 </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2.4、开标时间后</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内供应商可以登录政采云平台，用“项目采购-开标评标”功能进行解密投标文件。若供应商在规定时间内无法解密或解密失败，可以以备份电子投标文件作为依据，若备份电子投标文件与政采云平台上传的投标文件被识别为不一致</w:t>
      </w:r>
      <w:r>
        <w:rPr>
          <w:rFonts w:hint="eastAsia" w:ascii="宋体" w:hAnsi="宋体" w:cs="仿宋"/>
          <w:bCs/>
          <w:color w:val="auto"/>
          <w:szCs w:val="21"/>
          <w:highlight w:val="none"/>
        </w:rPr>
        <w:t>，仍以备份电子投标文件作为评审依据</w:t>
      </w:r>
      <w:r>
        <w:rPr>
          <w:rFonts w:hint="eastAsia" w:ascii="宋体" w:hAnsi="宋体" w:cs="宋体"/>
          <w:bCs/>
          <w:color w:val="auto"/>
          <w:kern w:val="0"/>
          <w:szCs w:val="21"/>
          <w:highlight w:val="none"/>
        </w:rPr>
        <w:t xml:space="preserve">；供应商按时在线解密投标文件的，以在线解密的投标文件作为评审依据，采购代理机构于开评标结束后将备份电子投标文件退回给供应商。若供应商在规定时间内无法解密或解密失败且未提供备份电子投标文件的，视为投标人放弃投标。 </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采购项目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 </w:t>
      </w:r>
    </w:p>
    <w:p>
      <w:pPr>
        <w:widowControl/>
        <w:spacing w:line="400" w:lineRule="exact"/>
        <w:ind w:firstLine="420" w:firstLineChars="200"/>
        <w:jc w:val="left"/>
        <w:rPr>
          <w:rFonts w:ascii="宋体" w:hAnsi="宋体" w:cs="宋体"/>
          <w:b/>
          <w:color w:val="auto"/>
          <w:kern w:val="0"/>
          <w:szCs w:val="21"/>
          <w:highlight w:val="none"/>
        </w:rPr>
      </w:pPr>
      <w:r>
        <w:rPr>
          <w:rFonts w:hint="eastAsia" w:ascii="宋体" w:hAnsi="宋体" w:cs="宋体"/>
          <w:bCs/>
          <w:color w:val="auto"/>
          <w:kern w:val="0"/>
          <w:szCs w:val="21"/>
          <w:highlight w:val="none"/>
        </w:rPr>
        <w:t>4、投标与开标注意事项： 投标形式：本项目实行网上投标，采用电子投标文件。若供应商参与投标，自行承担投标一切费用。 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供应商自行承担。</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5、投标文件制作： 应按照本项目招标文件和政采云平台的要求编制、加密并递交投标文件。供应商在使用系统进行投标的过程中遇到涉及平台使用的任何问题，可致电政采云平台技术支持热线400-881-7190或政采云服务专员电话0574-63917219。 投标人通过政采云平台电子投标工具制作投标文件，电子投标工具请供应商自行前往浙江省政府采购网下载并安装，下载网址：http://zfcg.czt.zj.gov.cn/bidClientTemplate/2019-05-27/12946.html， 供应商投标文件制作及电子交易操作指南： https://help.zcygov.cn/web/site_2/2019/08-20/3406.html（手机观看）、 https://service.zcygov.cn/#/knowledges/CW1EtGwBFdiHxlNd6I3m/7GyLXW0BXgMSmLUuYuPM（电脑登录账号后观看）、https://help.zcygov.cn/web/site_2/2018/12-28/2575.html （PDF操作指南）</w:t>
      </w:r>
    </w:p>
    <w:p>
      <w:pPr>
        <w:widowControl/>
        <w:spacing w:line="400" w:lineRule="exact"/>
        <w:ind w:firstLine="210" w:firstLineChars="1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6、根据财库【2016】125号文要求，采购人或采购代理机构对投标人的信用记录进行查询并甄别：</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1）信用信息查询的截止时点：投标截止时间；</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2）查询渠道：“信用中国”（www.creditchina.gov.cn)、中国政府采购网（www.ccgp.gov.cn）；</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3）信用信息查询记录和证据留存具体方式：打印查询网页并与其他采购文件一并保存；</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4）信用信息的使用规则：投标人存在不良信用记录的，其投标将被作为无效投标处理。不良信用记录指：被列入失信被执行人、重大税收违法案件当事人名单、政府采购严重违法失信行为记录名单。</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七、对本次采购提出询问、质疑、投诉，请按以下方式联系</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1.采购人信息</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名称：慈溪市观海卫镇人民政府</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ascii="宋体" w:hAnsi="宋体" w:cs="宋体"/>
          <w:bCs/>
          <w:color w:val="auto"/>
          <w:kern w:val="0"/>
          <w:szCs w:val="21"/>
          <w:highlight w:val="none"/>
        </w:rPr>
        <w:t xml:space="preserve"> 慈溪市</w:t>
      </w:r>
      <w:r>
        <w:rPr>
          <w:rFonts w:hint="eastAsia" w:ascii="宋体" w:hAnsi="宋体" w:cs="宋体"/>
          <w:bCs/>
          <w:color w:val="auto"/>
          <w:kern w:val="0"/>
          <w:szCs w:val="21"/>
          <w:highlight w:val="none"/>
        </w:rPr>
        <w:t>卫前路1</w:t>
      </w:r>
      <w:r>
        <w:rPr>
          <w:rFonts w:ascii="宋体" w:hAnsi="宋体" w:cs="宋体"/>
          <w:bCs/>
          <w:color w:val="auto"/>
          <w:kern w:val="0"/>
          <w:szCs w:val="21"/>
          <w:highlight w:val="none"/>
        </w:rPr>
        <w:t>号</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传真：/</w:t>
      </w:r>
    </w:p>
    <w:p>
      <w:pPr>
        <w:widowControl/>
        <w:spacing w:line="400" w:lineRule="exact"/>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项目联系人（询问）：</w:t>
      </w:r>
      <w:r>
        <w:rPr>
          <w:rFonts w:hint="eastAsia" w:ascii="宋体" w:hAnsi="宋体" w:cs="宋体"/>
          <w:bCs/>
          <w:color w:val="auto"/>
          <w:kern w:val="0"/>
          <w:szCs w:val="21"/>
          <w:highlight w:val="none"/>
          <w:lang w:val="en-US" w:eastAsia="zh-CN"/>
        </w:rPr>
        <w:t>宋老师</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项目联系方式（询问）：0574</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55685282</w:t>
      </w:r>
    </w:p>
    <w:p>
      <w:pPr>
        <w:widowControl/>
        <w:spacing w:line="400" w:lineRule="exact"/>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质疑联系人：</w:t>
      </w:r>
      <w:r>
        <w:rPr>
          <w:rFonts w:hint="eastAsia" w:ascii="宋体" w:hAnsi="宋体" w:cs="宋体"/>
          <w:bCs/>
          <w:color w:val="auto"/>
          <w:kern w:val="0"/>
          <w:szCs w:val="21"/>
          <w:highlight w:val="none"/>
          <w:lang w:val="en-US" w:eastAsia="zh-CN"/>
        </w:rPr>
        <w:t>岑老师</w:t>
      </w:r>
    </w:p>
    <w:p>
      <w:pPr>
        <w:widowControl/>
        <w:spacing w:line="40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质疑联系方式：0574</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55685282</w:t>
      </w:r>
      <w:bookmarkStart w:id="148" w:name="_GoBack"/>
      <w:bookmarkEnd w:id="148"/>
    </w:p>
    <w:p>
      <w:pPr>
        <w:pStyle w:val="2"/>
        <w:rPr>
          <w:color w:val="auto"/>
          <w:highlight w:val="none"/>
        </w:rPr>
      </w:pP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2.采购代理机构信息</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名称：宁波国咨工程造价咨询有限公司</w:t>
      </w:r>
      <w:r>
        <w:rPr>
          <w:rFonts w:ascii="宋体" w:hAnsi="宋体" w:cs="宋体"/>
          <w:bCs/>
          <w:color w:val="auto"/>
          <w:kern w:val="0"/>
          <w:szCs w:val="21"/>
          <w:highlight w:val="none"/>
        </w:rPr>
        <w:t xml:space="preserve"> </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地址：</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 xml:space="preserve">宁波市鄞州区和源路510号宁兴国贸大厦2017室 </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传真： 0574-87312175  </w:t>
      </w:r>
    </w:p>
    <w:p>
      <w:pPr>
        <w:widowControl/>
        <w:spacing w:line="400" w:lineRule="exact"/>
        <w:ind w:firstLine="420" w:firstLineChars="200"/>
        <w:jc w:val="left"/>
        <w:rPr>
          <w:rFonts w:ascii="宋体" w:hAnsi="宋体" w:cs="宋体"/>
          <w:bCs/>
          <w:color w:val="auto"/>
          <w:kern w:val="0"/>
          <w:szCs w:val="21"/>
          <w:highlight w:val="none"/>
          <w:u w:val="none"/>
        </w:rPr>
      </w:pPr>
      <w:r>
        <w:rPr>
          <w:rFonts w:hint="eastAsia" w:ascii="宋体" w:hAnsi="宋体" w:cs="宋体"/>
          <w:bCs/>
          <w:color w:val="auto"/>
          <w:kern w:val="0"/>
          <w:szCs w:val="21"/>
          <w:highlight w:val="none"/>
        </w:rPr>
        <w:t>项目联系</w:t>
      </w:r>
      <w:r>
        <w:rPr>
          <w:rFonts w:hint="eastAsia" w:ascii="宋体" w:hAnsi="宋体" w:cs="宋体"/>
          <w:bCs/>
          <w:color w:val="auto"/>
          <w:kern w:val="0"/>
          <w:szCs w:val="21"/>
          <w:highlight w:val="none"/>
          <w:u w:val="none"/>
        </w:rPr>
        <w:t>人（询问）：黄一达、李莺</w:t>
      </w:r>
      <w:r>
        <w:rPr>
          <w:rFonts w:ascii="宋体" w:hAnsi="宋体" w:cs="宋体"/>
          <w:bCs/>
          <w:color w:val="auto"/>
          <w:kern w:val="0"/>
          <w:szCs w:val="21"/>
          <w:highlight w:val="none"/>
          <w:u w:val="none"/>
        </w:rPr>
        <w:t xml:space="preserve"> </w:t>
      </w:r>
    </w:p>
    <w:p>
      <w:pPr>
        <w:widowControl/>
        <w:spacing w:line="400" w:lineRule="exact"/>
        <w:ind w:firstLine="420" w:firstLineChars="200"/>
        <w:jc w:val="left"/>
        <w:rPr>
          <w:rFonts w:ascii="宋体" w:hAnsi="宋体" w:cs="宋体"/>
          <w:bCs/>
          <w:color w:val="auto"/>
          <w:kern w:val="0"/>
          <w:szCs w:val="21"/>
          <w:highlight w:val="none"/>
          <w:u w:val="none"/>
        </w:rPr>
      </w:pPr>
      <w:r>
        <w:rPr>
          <w:rFonts w:hint="eastAsia" w:ascii="宋体" w:hAnsi="宋体" w:cs="宋体"/>
          <w:bCs/>
          <w:color w:val="auto"/>
          <w:kern w:val="0"/>
          <w:szCs w:val="21"/>
          <w:highlight w:val="none"/>
          <w:u w:val="none"/>
        </w:rPr>
        <w:t>项目联系方式（询问）：</w:t>
      </w:r>
      <w:r>
        <w:rPr>
          <w:rFonts w:hint="eastAsia" w:ascii="宋体" w:hAnsi="宋体" w:cs="宋体"/>
          <w:color w:val="auto"/>
          <w:highlight w:val="none"/>
          <w:u w:val="none"/>
        </w:rPr>
        <w:t>0574-87312175、0574-87190614</w:t>
      </w:r>
    </w:p>
    <w:p>
      <w:pPr>
        <w:widowControl/>
        <w:spacing w:line="400" w:lineRule="exact"/>
        <w:ind w:firstLine="420" w:firstLineChars="200"/>
        <w:jc w:val="left"/>
        <w:rPr>
          <w:rFonts w:ascii="宋体" w:hAnsi="宋体" w:cs="宋体"/>
          <w:bCs/>
          <w:color w:val="auto"/>
          <w:kern w:val="0"/>
          <w:szCs w:val="21"/>
          <w:highlight w:val="none"/>
          <w:u w:val="none"/>
        </w:rPr>
      </w:pPr>
      <w:r>
        <w:rPr>
          <w:rFonts w:hint="eastAsia" w:ascii="宋体" w:hAnsi="宋体" w:cs="宋体"/>
          <w:bCs/>
          <w:color w:val="auto"/>
          <w:kern w:val="0"/>
          <w:szCs w:val="21"/>
          <w:highlight w:val="none"/>
          <w:u w:val="none"/>
        </w:rPr>
        <w:t>质疑联系人：</w:t>
      </w:r>
      <w:r>
        <w:rPr>
          <w:rFonts w:hint="eastAsia" w:ascii="宋体" w:hAnsi="宋体" w:cs="宋体"/>
          <w:color w:val="auto"/>
          <w:highlight w:val="none"/>
          <w:u w:val="none"/>
        </w:rPr>
        <w:t>王月</w:t>
      </w:r>
    </w:p>
    <w:p>
      <w:pPr>
        <w:widowControl/>
        <w:spacing w:line="400" w:lineRule="exact"/>
        <w:ind w:firstLine="420" w:firstLineChars="200"/>
        <w:jc w:val="left"/>
        <w:rPr>
          <w:rFonts w:ascii="宋体" w:hAnsi="宋体" w:cs="宋体"/>
          <w:color w:val="auto"/>
          <w:highlight w:val="none"/>
          <w:u w:val="none"/>
        </w:rPr>
      </w:pPr>
      <w:r>
        <w:rPr>
          <w:rFonts w:hint="eastAsia" w:ascii="宋体" w:hAnsi="宋体" w:cs="宋体"/>
          <w:bCs/>
          <w:color w:val="auto"/>
          <w:kern w:val="0"/>
          <w:szCs w:val="21"/>
          <w:highlight w:val="none"/>
          <w:u w:val="none"/>
        </w:rPr>
        <w:t>质疑联系方式：</w:t>
      </w:r>
      <w:r>
        <w:rPr>
          <w:rFonts w:hint="eastAsia" w:ascii="宋体" w:hAnsi="宋体" w:cs="宋体"/>
          <w:color w:val="auto"/>
          <w:highlight w:val="none"/>
          <w:u w:val="none"/>
        </w:rPr>
        <w:t>0574-87312175</w:t>
      </w:r>
    </w:p>
    <w:p>
      <w:pPr>
        <w:pStyle w:val="46"/>
        <w:ind w:firstLine="400"/>
        <w:rPr>
          <w:color w:val="auto"/>
          <w:highlight w:val="none"/>
        </w:rPr>
      </w:pP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3.同级政府采购监督管理部门</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名称：慈溪市公共资源交易管理办公室</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地址：慈溪市南二环东路1355号</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传真：0574-63032032</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联系人：赵先生</w:t>
      </w: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监督投诉电话：0574-63032252</w:t>
      </w:r>
    </w:p>
    <w:p>
      <w:pPr>
        <w:widowControl/>
        <w:spacing w:line="400" w:lineRule="exact"/>
        <w:ind w:firstLine="420" w:firstLineChars="200"/>
        <w:jc w:val="left"/>
        <w:rPr>
          <w:rFonts w:ascii="宋体" w:hAnsi="宋体" w:cs="宋体"/>
          <w:bCs/>
          <w:color w:val="auto"/>
          <w:kern w:val="0"/>
          <w:szCs w:val="21"/>
          <w:highlight w:val="none"/>
        </w:rPr>
      </w:pPr>
    </w:p>
    <w:p>
      <w:pPr>
        <w:widowControl/>
        <w:spacing w:line="400" w:lineRule="exact"/>
        <w:ind w:firstLine="420" w:firstLineChars="200"/>
        <w:jc w:val="left"/>
        <w:rPr>
          <w:rFonts w:ascii="宋体" w:hAnsi="宋体" w:cs="宋体"/>
          <w:bCs/>
          <w:color w:val="auto"/>
          <w:kern w:val="0"/>
          <w:szCs w:val="21"/>
          <w:highlight w:val="none"/>
        </w:rPr>
      </w:pPr>
    </w:p>
    <w:p>
      <w:pPr>
        <w:widowControl/>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CA问题联系电话（人工）：汇信CA400-888-4636；天谷CA400-087-8198。</w:t>
      </w:r>
      <w:bookmarkEnd w:id="4"/>
    </w:p>
    <w:p>
      <w:pPr>
        <w:widowControl/>
        <w:spacing w:line="380" w:lineRule="exact"/>
        <w:ind w:firstLine="735" w:firstLineChars="350"/>
        <w:rPr>
          <w:rFonts w:ascii="宋体" w:hAnsi="宋体" w:cs="宋体"/>
          <w:color w:val="auto"/>
          <w:kern w:val="0"/>
          <w:szCs w:val="21"/>
          <w:highlight w:val="none"/>
        </w:rPr>
      </w:pPr>
    </w:p>
    <w:p>
      <w:pPr>
        <w:widowControl/>
        <w:adjustRightInd w:val="0"/>
        <w:snapToGrid w:val="0"/>
        <w:spacing w:line="400" w:lineRule="exact"/>
        <w:ind w:firstLine="420" w:firstLineChars="200"/>
        <w:jc w:val="left"/>
        <w:rPr>
          <w:rFonts w:ascii="宋体" w:hAnsi="宋体" w:cs="仿宋"/>
          <w:color w:val="auto"/>
          <w:szCs w:val="21"/>
          <w:highlight w:val="none"/>
        </w:rPr>
      </w:pPr>
    </w:p>
    <w:p>
      <w:pPr>
        <w:widowControl/>
        <w:adjustRightInd w:val="0"/>
        <w:snapToGrid w:val="0"/>
        <w:spacing w:line="400" w:lineRule="exact"/>
        <w:ind w:firstLine="420" w:firstLineChars="200"/>
        <w:jc w:val="left"/>
        <w:rPr>
          <w:rFonts w:ascii="宋体" w:hAnsi="宋体"/>
          <w:color w:val="auto"/>
          <w:szCs w:val="21"/>
          <w:highlight w:val="none"/>
        </w:rPr>
      </w:pPr>
    </w:p>
    <w:p>
      <w:pPr>
        <w:spacing w:line="400" w:lineRule="exact"/>
        <w:jc w:val="center"/>
        <w:outlineLvl w:val="0"/>
        <w:rPr>
          <w:rFonts w:hint="eastAsia" w:ascii="宋体" w:hAnsi="宋体"/>
          <w:b/>
          <w:color w:val="auto"/>
          <w:sz w:val="32"/>
          <w:highlight w:val="none"/>
        </w:rPr>
        <w:sectPr>
          <w:headerReference r:id="rId7" w:type="default"/>
          <w:footerReference r:id="rId8" w:type="default"/>
          <w:type w:val="nextColumn"/>
          <w:pgSz w:w="11907" w:h="16840"/>
          <w:pgMar w:top="854" w:right="1275" w:bottom="993" w:left="1276" w:header="285" w:footer="616" w:gutter="0"/>
          <w:cols w:space="720" w:num="1"/>
          <w:docGrid w:linePitch="285" w:charSpace="0"/>
        </w:sectPr>
      </w:pPr>
      <w:bookmarkStart w:id="5" w:name="_Toc46014229"/>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 xml:space="preserve">第二章 </w:t>
      </w:r>
      <w:r>
        <w:rPr>
          <w:rFonts w:ascii="宋体" w:hAnsi="宋体"/>
          <w:b/>
          <w:color w:val="auto"/>
          <w:sz w:val="32"/>
          <w:highlight w:val="none"/>
        </w:rPr>
        <w:t xml:space="preserve"> </w:t>
      </w:r>
      <w:r>
        <w:rPr>
          <w:rFonts w:hint="eastAsia" w:ascii="宋体" w:hAnsi="宋体"/>
          <w:b/>
          <w:color w:val="auto"/>
          <w:sz w:val="32"/>
          <w:highlight w:val="none"/>
        </w:rPr>
        <w:t>投标须知</w:t>
      </w:r>
      <w:bookmarkEnd w:id="5"/>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s="宋体"/>
          <w:bCs/>
          <w:color w:val="auto"/>
          <w:kern w:val="0"/>
          <w:szCs w:val="21"/>
          <w:highlight w:val="none"/>
        </w:rPr>
        <w:t>慈溪市观海卫镇人民政府</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、“代理机构”系指宁波国咨工程造价咨询有限公司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、“货物”系指供应商按招标文件规定，须向采购人提供的一切设备、保险、税金、备品备件、工具、手册及其它有关技术资料和材料。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rPr>
        <w:t>开发、安装、调试、验收</w:t>
      </w:r>
      <w:r>
        <w:rPr>
          <w:rFonts w:ascii="宋体" w:hAnsi="宋体"/>
          <w:color w:val="auto"/>
          <w:szCs w:val="21"/>
          <w:highlight w:val="none"/>
        </w:rPr>
        <w:t>以及其他类似的义务。</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val="zh-CN"/>
        </w:rPr>
        <w:t>慈溪市公共资源交易管理办公室。</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报价以人民币为结算货币。投标报价包括完成本项目所需的一切费用，包括系统深化设计、开发、引电、光纤链路、补光、设备等租赁、运输、保险、包装、安装、调试、验收、日常维护等所有项目相关服务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2、对于招标文件第五章未列出的、但为完成本项目及使其正常运行所必须的设备、材料，供应商应进行优化设计并将此费用包含在投标报价中，采购人不再另行支付。</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3、供应商应按招标文件要求认真填写“开标一览表”和“分项报价表”。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ascii="宋体" w:hAnsi="宋体"/>
          <w:b/>
          <w:bCs/>
          <w:color w:val="auto"/>
          <w:szCs w:val="21"/>
          <w:highlight w:val="none"/>
        </w:rPr>
      </w:pPr>
      <w:bookmarkStart w:id="6" w:name="_Hlk23147633"/>
      <w:bookmarkStart w:id="7" w:name="_Hlk23150950"/>
      <w:r>
        <w:rPr>
          <w:rFonts w:hint="eastAsia" w:ascii="宋体" w:hAnsi="宋体"/>
          <w:b/>
          <w:bCs/>
          <w:color w:val="auto"/>
          <w:szCs w:val="21"/>
          <w:highlight w:val="none"/>
        </w:rPr>
        <w:t>八、投标文件的组成和份数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1、投标文件的组成：</w:t>
      </w:r>
    </w:p>
    <w:p>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A、第一册：资格文件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A1、营业执照副本（或事业法人登记证副本或其他登记证明材料）复印件加盖供应商公章；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A2、关于资格的承诺函；</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A3、无重大违法记录的声明函；</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A4、其他资格要求需提供的声明函。</w:t>
      </w:r>
    </w:p>
    <w:p>
      <w:pPr>
        <w:pStyle w:val="46"/>
        <w:ind w:left="0"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eastAsia="宋体"/>
          <w:color w:val="auto"/>
          <w:kern w:val="2"/>
          <w:sz w:val="21"/>
          <w:szCs w:val="21"/>
          <w:highlight w:val="none"/>
        </w:rPr>
        <w:t xml:space="preserve"> A5、分支机构投标的（指金融、保险、通讯等特定行业），还须提供总公司（总机构）授权书或房产权证或其他有效财产证明材料复印件加盖供应商公章。</w:t>
      </w:r>
    </w:p>
    <w:p>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B、第二册：商务和技术文件</w:t>
      </w:r>
    </w:p>
    <w:p>
      <w:pPr>
        <w:spacing w:line="400" w:lineRule="exact"/>
        <w:ind w:firstLine="420" w:firstLineChars="200"/>
        <w:jc w:val="left"/>
        <w:rPr>
          <w:rFonts w:ascii="宋体" w:hAnsi="宋体"/>
          <w:color w:val="auto"/>
          <w:szCs w:val="21"/>
          <w:highlight w:val="none"/>
        </w:rPr>
      </w:pPr>
      <w:bookmarkStart w:id="8" w:name="_Hlk46015040"/>
      <w:bookmarkStart w:id="9" w:name="_Hlk41853457"/>
      <w:bookmarkStart w:id="10" w:name="_Hlk41852881"/>
      <w:r>
        <w:rPr>
          <w:rFonts w:hint="eastAsia" w:ascii="宋体" w:hAnsi="宋体"/>
          <w:color w:val="auto"/>
          <w:szCs w:val="21"/>
          <w:highlight w:val="none"/>
        </w:rPr>
        <w:t>B1、投标书；</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B4、供应商一般情况表；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B5、商务条款响应表；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B6、技术条款响应表；</w:t>
      </w:r>
      <w:bookmarkEnd w:id="8"/>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B7、按第五章“招标内容与技术需求”要求做出明确完整的响应性叙述；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B8、技术方案；</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B9</w:t>
      </w:r>
      <w:r>
        <w:rPr>
          <w:rFonts w:hint="eastAsia" w:ascii="宋体" w:hAnsi="宋体"/>
          <w:color w:val="auto"/>
          <w:szCs w:val="21"/>
          <w:highlight w:val="none"/>
        </w:rPr>
        <w:t>、质保服务承诺书；</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B10</w:t>
      </w:r>
      <w:r>
        <w:rPr>
          <w:rFonts w:hint="eastAsia" w:ascii="宋体" w:hAnsi="宋体"/>
          <w:color w:val="auto"/>
          <w:szCs w:val="21"/>
          <w:highlight w:val="none"/>
        </w:rPr>
        <w:t>、实施方案；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11</w:t>
      </w:r>
      <w:r>
        <w:rPr>
          <w:rFonts w:hint="eastAsia" w:ascii="宋体" w:hAnsi="宋体"/>
          <w:color w:val="auto"/>
          <w:szCs w:val="21"/>
          <w:highlight w:val="none"/>
        </w:rPr>
        <w:t>、拟投入本项目的团队人员情况；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12</w:t>
      </w:r>
      <w:r>
        <w:rPr>
          <w:rFonts w:hint="eastAsia" w:ascii="宋体" w:hAnsi="宋体"/>
          <w:color w:val="auto"/>
          <w:szCs w:val="21"/>
          <w:highlight w:val="none"/>
        </w:rPr>
        <w:t>、售后服务方案；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13</w:t>
      </w:r>
      <w:r>
        <w:rPr>
          <w:rFonts w:hint="eastAsia" w:ascii="宋体" w:hAnsi="宋体" w:cs="宋体"/>
          <w:color w:val="auto"/>
          <w:szCs w:val="21"/>
          <w:highlight w:val="none"/>
        </w:rPr>
        <w:t>、光纤链路资源情况；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1</w:t>
      </w:r>
      <w:r>
        <w:rPr>
          <w:rFonts w:hint="eastAsia" w:ascii="宋体" w:hAnsi="宋体" w:cs="宋体"/>
          <w:color w:val="auto"/>
          <w:szCs w:val="21"/>
          <w:highlight w:val="none"/>
        </w:rPr>
        <w:t>4、</w:t>
      </w:r>
      <w:r>
        <w:rPr>
          <w:rFonts w:hint="eastAsia" w:ascii="宋体" w:hAnsi="宋体"/>
          <w:color w:val="auto"/>
          <w:szCs w:val="21"/>
          <w:highlight w:val="none"/>
        </w:rPr>
        <w:t>合理化建议</w:t>
      </w:r>
      <w:r>
        <w:rPr>
          <w:rFonts w:hint="eastAsia" w:ascii="宋体" w:hAnsi="宋体" w:cs="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15</w:t>
      </w:r>
      <w:r>
        <w:rPr>
          <w:rFonts w:hint="eastAsia" w:ascii="宋体" w:hAnsi="宋体"/>
          <w:color w:val="auto"/>
          <w:szCs w:val="21"/>
          <w:highlight w:val="none"/>
        </w:rPr>
        <w:t>、第三章“评标办法及标准”中“商务分”要求提供的资料（如有需提供）；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16</w:t>
      </w:r>
      <w:r>
        <w:rPr>
          <w:rFonts w:hint="eastAsia" w:ascii="宋体" w:hAnsi="宋体"/>
          <w:color w:val="auto"/>
          <w:szCs w:val="21"/>
          <w:highlight w:val="none"/>
        </w:rPr>
        <w:t>、供应商认为需要的其他资料（如有需提供）。</w:t>
      </w:r>
      <w:bookmarkEnd w:id="9"/>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▲“商务和技术文件”中不得出现涉及投标价格的内容，否则作无效标处理。</w:t>
      </w:r>
      <w:bookmarkEnd w:id="6"/>
      <w:bookmarkEnd w:id="10"/>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2</w:t>
      </w:r>
      <w:r>
        <w:rPr>
          <w:rFonts w:hint="eastAsia" w:ascii="宋体" w:hAnsi="宋体"/>
          <w:color w:val="auto"/>
          <w:szCs w:val="21"/>
          <w:highlight w:val="none"/>
        </w:rPr>
        <w:t>、分项报价表；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C3、服务期满后2年内运维费用报价；</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C4</w:t>
      </w:r>
      <w:r>
        <w:rPr>
          <w:rFonts w:hint="eastAsia" w:ascii="宋体" w:hAnsi="宋体"/>
          <w:color w:val="auto"/>
          <w:szCs w:val="21"/>
          <w:highlight w:val="none"/>
        </w:rPr>
        <w:t>、中小企业声明函；</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C5</w:t>
      </w:r>
      <w:r>
        <w:rPr>
          <w:rFonts w:hint="eastAsia" w:ascii="宋体" w:hAnsi="宋体"/>
          <w:color w:val="auto"/>
          <w:szCs w:val="21"/>
          <w:highlight w:val="none"/>
        </w:rPr>
        <w:t>、残疾人福利性单位声明函；</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C6</w:t>
      </w:r>
      <w:r>
        <w:rPr>
          <w:rFonts w:hint="eastAsia" w:ascii="宋体" w:hAnsi="宋体"/>
          <w:color w:val="auto"/>
          <w:szCs w:val="21"/>
          <w:highlight w:val="none"/>
        </w:rPr>
        <w:t>、供应商认为需要的其他资料（如有需提供）。</w:t>
      </w:r>
      <w:bookmarkEnd w:id="7"/>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2、投标文件的份数：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本项目实行网上投标，供应商应准备以下投标文件：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上传到政府采购云平台的电子投标文件（含</w:t>
      </w:r>
      <w:r>
        <w:rPr>
          <w:rFonts w:hint="eastAsia" w:ascii="宋体" w:hAnsi="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以U盘或光盘存储的电子备份投标文件（含</w:t>
      </w:r>
      <w:r>
        <w:rPr>
          <w:rFonts w:hint="eastAsia" w:ascii="宋体" w:hAnsi="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olor w:val="auto"/>
          <w:szCs w:val="21"/>
          <w:highlight w:val="none"/>
        </w:rPr>
        <w:t>。</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3、</w:t>
      </w:r>
      <w:r>
        <w:rPr>
          <w:rFonts w:hint="eastAsia" w:ascii="宋体" w:hAnsi="宋体" w:cs="仿宋"/>
          <w:bCs/>
          <w:color w:val="auto"/>
          <w:szCs w:val="21"/>
          <w:highlight w:val="none"/>
        </w:rPr>
        <w:t>投标文件制作：</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（2）供应商通过政府采购云平台电子投标工具制作投标文件。电子投标工具请供应商自行前往浙江政府采购网下载并安装（zfcg.czt.zj.gov.cn/bidClientTemplate/2019-05-27/12946.html）。</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供应商投标文件制作及电子交易操作指南详见：</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①政府采购项目电子交易管理操作指南（视频）：</w:t>
      </w:r>
    </w:p>
    <w:p>
      <w:pPr>
        <w:adjustRightInd w:val="0"/>
        <w:snapToGrid w:val="0"/>
        <w:spacing w:line="400" w:lineRule="exact"/>
        <w:ind w:firstLine="420" w:firstLineChars="200"/>
        <w:rPr>
          <w:rFonts w:ascii="宋体" w:hAnsi="宋体" w:cs="仿宋"/>
          <w:bCs/>
          <w:color w:val="auto"/>
          <w:szCs w:val="21"/>
          <w:highlight w:val="none"/>
        </w:rPr>
      </w:pPr>
      <w:r>
        <w:rPr>
          <w:color w:val="auto"/>
          <w:highlight w:val="none"/>
        </w:rPr>
        <w:fldChar w:fldCharType="begin"/>
      </w:r>
      <w:r>
        <w:rPr>
          <w:color w:val="auto"/>
          <w:highlight w:val="none"/>
        </w:rPr>
        <w:instrText xml:space="preserve"> HYPERLINK "https://service.zcygov.cn/" \l "/knowledges/CW1EtGwBFdiHxlNd6I3m/7GyLXW0BXgMSmLUuYuPM" </w:instrText>
      </w:r>
      <w:r>
        <w:rPr>
          <w:color w:val="auto"/>
          <w:highlight w:val="none"/>
        </w:rPr>
        <w:fldChar w:fldCharType="separate"/>
      </w:r>
      <w:r>
        <w:rPr>
          <w:rFonts w:hint="eastAsia" w:ascii="宋体" w:hAnsi="宋体"/>
          <w:color w:val="auto"/>
          <w:highlight w:val="none"/>
        </w:rPr>
        <w:t>service.zcygov.cn/#/knowledges/CW1EtGwBFdiHxlNd6I3m/7GyLXW0BXgMSmLUuYuPM</w:t>
      </w:r>
      <w:r>
        <w:rPr>
          <w:rFonts w:hint="eastAsia" w:ascii="宋体" w:hAnsi="宋体"/>
          <w:color w:val="auto"/>
          <w:highlight w:val="none"/>
        </w:rPr>
        <w:fldChar w:fldCharType="end"/>
      </w:r>
      <w:r>
        <w:rPr>
          <w:rFonts w:hint="eastAsia" w:ascii="宋体" w:hAnsi="宋体" w:cs="仿宋"/>
          <w:bCs/>
          <w:color w:val="auto"/>
          <w:szCs w:val="21"/>
          <w:highlight w:val="none"/>
        </w:rPr>
        <w:t>（电脑登录账号观看）；</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②政府采购项目电子交易管理操作指南（文本）：</w:t>
      </w:r>
    </w:p>
    <w:p>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service.zcygov.cn/#/knowledges/CW1EtGwBFdiHxlNd6I3m/6IMVAG0BFdiHxlNdQ8Na（电脑登录账号浏览）。</w:t>
      </w:r>
    </w:p>
    <w:p>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1、招标文件第七章“附件”中标明加盖公章或签字的，加盖公章部分采用CA签章，签字部分由法定代表人或授权代表签字后扫描上传。授权代表签字的，还应附法定代表人签署的法定代表人授权书（</w:t>
      </w:r>
      <w:r>
        <w:rPr>
          <w:rFonts w:hint="eastAsia" w:ascii="宋体" w:hAnsi="宋体"/>
          <w:b/>
          <w:bCs/>
          <w:color w:val="auto"/>
          <w:szCs w:val="21"/>
          <w:highlight w:val="none"/>
        </w:rPr>
        <w:t>金融、保险、电信等分支机构投标的可由分支机构负责人签署授权书</w:t>
      </w:r>
      <w:r>
        <w:rPr>
          <w:rFonts w:hint="eastAsia" w:ascii="宋体" w:hAnsi="宋体"/>
          <w:color w:val="auto"/>
          <w:szCs w:val="21"/>
          <w:highlight w:val="none"/>
        </w:rPr>
        <w:t>）。</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）注明：</w:t>
      </w:r>
      <w:r>
        <w:rPr>
          <w:rFonts w:hint="eastAsia" w:ascii="宋体" w:hAnsi="宋体"/>
          <w:color w:val="auto"/>
          <w:szCs w:val="21"/>
          <w:highlight w:val="none"/>
          <w:u w:val="single"/>
        </w:rPr>
        <w:t>“电子备份投标文件”</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CXZFCG[2022]993号</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rPr>
        <w:t>观海卫镇智慧安全监管服务平台一期项目</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1、投标文件递交的具体要求：</w:t>
      </w:r>
    </w:p>
    <w:p>
      <w:pPr>
        <w:adjustRightInd w:val="0"/>
        <w:snapToGrid w:val="0"/>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（1）供应商应于提交投标文件截止时间前将电子投标文件上传到政府采购云平台（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仿宋"/>
          <w:color w:val="auto"/>
          <w:szCs w:val="21"/>
          <w:highlight w:val="none"/>
        </w:rPr>
        <w:t>www.zcygov.cn</w:t>
      </w:r>
      <w:r>
        <w:rPr>
          <w:rFonts w:hint="eastAsia" w:ascii="宋体" w:hAnsi="宋体" w:cs="仿宋"/>
          <w:color w:val="auto"/>
          <w:szCs w:val="21"/>
          <w:highlight w:val="none"/>
        </w:rPr>
        <w:fldChar w:fldCharType="end"/>
      </w:r>
      <w:r>
        <w:rPr>
          <w:rFonts w:hint="eastAsia" w:ascii="宋体" w:hAnsi="宋体" w:cs="仿宋"/>
          <w:color w:val="auto"/>
          <w:kern w:val="0"/>
          <w:szCs w:val="21"/>
          <w:highlight w:val="none"/>
        </w:rPr>
        <w:t>），并应于招标文件规定的时间前，将以U盘存储的电子备份投标文件密封后按以下方式送达。</w:t>
      </w:r>
    </w:p>
    <w:p>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邮寄送达，送达地址：宁波国咨工程造价咨询有限公司（宁波市鄞州区和源路510号宁兴国贸大厦20</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室），联系方式：</w:t>
      </w:r>
      <w:r>
        <w:rPr>
          <w:rFonts w:hint="eastAsia" w:ascii="宋体" w:hAnsi="宋体" w:cs="宋体"/>
          <w:color w:val="auto"/>
          <w:szCs w:val="21"/>
          <w:highlight w:val="none"/>
        </w:rPr>
        <w:t>0574-87312175</w:t>
      </w:r>
      <w:r>
        <w:rPr>
          <w:rFonts w:hint="eastAsia" w:ascii="宋体" w:hAnsi="宋体" w:cs="宋体"/>
          <w:color w:val="auto"/>
          <w:kern w:val="0"/>
          <w:szCs w:val="21"/>
          <w:highlight w:val="none"/>
        </w:rPr>
        <w:t>。供应商邮寄后须将邮件单号发送至代理机构电子邮箱（电子邮箱：</w:t>
      </w:r>
      <w:r>
        <w:rPr>
          <w:rFonts w:hint="eastAsia" w:ascii="宋体" w:hAnsi="宋体" w:cs="宋体"/>
          <w:color w:val="auto"/>
          <w:szCs w:val="21"/>
          <w:highlight w:val="none"/>
        </w:rPr>
        <w:t>844793647</w:t>
      </w:r>
      <w:r>
        <w:rPr>
          <w:rFonts w:hint="eastAsia" w:ascii="宋体" w:hAnsi="宋体" w:cs="宋体"/>
          <w:color w:val="auto"/>
          <w:kern w:val="0"/>
          <w:szCs w:val="21"/>
          <w:highlight w:val="none"/>
        </w:rPr>
        <w:t>@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w:t>
      </w:r>
      <w:r>
        <w:rPr>
          <w:rFonts w:hint="eastAsia" w:ascii="宋体" w:hAnsi="宋体" w:cs="宋体"/>
          <w:bCs/>
          <w:color w:val="auto"/>
          <w:kern w:val="0"/>
          <w:szCs w:val="21"/>
          <w:highlight w:val="none"/>
        </w:rPr>
        <w:t>未按时送达的</w:t>
      </w:r>
      <w:r>
        <w:rPr>
          <w:rFonts w:hint="eastAsia" w:ascii="宋体" w:hAnsi="宋体" w:cs="宋体"/>
          <w:color w:val="auto"/>
          <w:kern w:val="0"/>
          <w:szCs w:val="21"/>
          <w:highlight w:val="none"/>
        </w:rPr>
        <w:t>，代理机构将拒绝其投标文件。各供应商自行考虑邮寄在途时间，投标文件送达时间以代理机构工作人员实际签收时间为准。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2、供应商未按上述要求密封的电子备份投标文件，代理机构不予受理。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pPr>
        <w:spacing w:line="400" w:lineRule="exact"/>
        <w:ind w:firstLine="420" w:firstLineChars="200"/>
        <w:rPr>
          <w:color w:val="auto"/>
          <w:szCs w:val="21"/>
          <w:highlight w:val="none"/>
        </w:rPr>
      </w:pPr>
      <w:r>
        <w:rPr>
          <w:rFonts w:hint="eastAsia" w:ascii="宋体" w:hAnsi="宋体"/>
          <w:color w:val="auto"/>
          <w:szCs w:val="21"/>
          <w:highlight w:val="none"/>
        </w:rPr>
        <w:t>投标截止时间前，供应商可以对递交的投标文件进行补充、修改，</w:t>
      </w:r>
      <w:r>
        <w:rPr>
          <w:rFonts w:hint="eastAsia"/>
          <w:color w:val="auto"/>
          <w:szCs w:val="21"/>
          <w:highlight w:val="none"/>
        </w:rPr>
        <w:t>补充、修改电子投标文件的，应当先行撤回原文件，补充、修改后重新上传，电子备份投标文件也应重新制作。</w:t>
      </w:r>
      <w:r>
        <w:rPr>
          <w:rFonts w:hint="eastAsia" w:ascii="宋体" w:hAnsi="宋体"/>
          <w:color w:val="auto"/>
          <w:szCs w:val="21"/>
          <w:highlight w:val="none"/>
        </w:rPr>
        <w:t>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、电子投标开标及评审程序：分两阶段开标。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第一阶段开标（资格文件及商务和技术文件）：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（1）宣布开标；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本项目实行网上投标，采用电子投标文件。若供应商参与投标，自行承担投标一切费用。</w:t>
      </w:r>
      <w:r>
        <w:rPr>
          <w:rFonts w:hint="eastAsia" w:ascii="宋体" w:hAnsi="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）介绍开标现场的人员情况；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）宣读递交投标文件的供应商名单、开标纪律、应当回避的情形等注意事项；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）供应商签署不存在影响公平竞争的《政府采购活动现场确认声明书》；</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）供应商代表查验投标文件密封情况；确认无误后按照供应商提交投标文件的先后顺序，开启“资格文件”、“商务和技术文件”，宣读供应商名称，并做开标记录；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）第一阶段开标记录签字确认；</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）告知供应商第二阶段开标的有关事宜；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）第一阶段开标结束。</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休会，评标委员会对“资格文件”、“商务和技术文件”进行评审。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第二阶段开标（报价文件）：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）公布经第一阶段评审符合招标文件要求的供应商的商务和技术得分情况；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）按第一阶段开标顺序在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开启除第一阶段无效标外的供应商的“报价文件”，宣读投标文件中“开标一览表”内容，以及采购人认为必要的其他内容与记录，并做开标记录；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）第二阶段开标记录签字确认；</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休会，评标委员会对“报价文件”进行评审。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公布中标候选人名单及采购人最终确定中标供应商名单的时间和公告方式等；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（6）第二阶段开标结束。</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bCs/>
          <w:color w:val="auto"/>
          <w:kern w:val="0"/>
          <w:szCs w:val="21"/>
          <w:highlight w:val="none"/>
        </w:rPr>
        <w:t xml:space="preserve">开标形式： </w:t>
      </w:r>
      <w:r>
        <w:rPr>
          <w:rFonts w:hint="eastAsia" w:ascii="宋体" w:hAnsi="宋体" w:cs="宋体"/>
          <w:b/>
          <w:color w:val="auto"/>
          <w:kern w:val="0"/>
          <w:szCs w:val="21"/>
          <w:highlight w:val="none"/>
        </w:rPr>
        <w:t>本项目为不见面开评标项目，供应商可通过浙江省“电子交易/不见面开评标”学习专题提前进行专题学习，熟悉操作，避免影响采购活动（https://edu.zcygov.cn/luban/e-biding）。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特别说明：政采云公司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本项目原则上采用政采云电子投标开标及评审程序，但有下情形之一的，按以下情况处理：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电子交易平台发生故障而无法登录访问的；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招标文件、采购过程、中标或者成交结果使自己的权益受到损害的，可以在知道或者应知其权益受到损害之日起7个工作日内，以书面形式向采购人、代理机构提出质疑。供应商应当在法定质疑期内一次性提出针对招标公告、招标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、采购人、代理机构接收质疑函的方式：只接收供应商以当面递交、邮寄、传真或电子邮件方式提出的质疑函，以其他方式提出的质疑不予接收。</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十六、预算价及最高限价</w:t>
      </w:r>
    </w:p>
    <w:p>
      <w:pPr>
        <w:spacing w:line="400" w:lineRule="exact"/>
        <w:ind w:firstLine="420" w:firstLineChars="200"/>
        <w:jc w:val="left"/>
        <w:rPr>
          <w:rFonts w:ascii="宋体" w:hAnsi="宋体"/>
          <w:color w:val="auto"/>
          <w:szCs w:val="21"/>
          <w:highlight w:val="none"/>
        </w:rPr>
      </w:pPr>
      <w:bookmarkStart w:id="11" w:name="_Hlk37142004"/>
      <w:r>
        <w:rPr>
          <w:rFonts w:ascii="宋体" w:hAnsi="宋体"/>
          <w:color w:val="auto"/>
          <w:szCs w:val="21"/>
          <w:highlight w:val="none"/>
        </w:rPr>
        <w:t>1</w:t>
      </w:r>
      <w:r>
        <w:rPr>
          <w:rFonts w:hint="eastAsia" w:ascii="宋体" w:hAnsi="宋体"/>
          <w:color w:val="auto"/>
          <w:szCs w:val="21"/>
          <w:highlight w:val="none"/>
        </w:rPr>
        <w:t>、本次公开招标设有最高限价：</w:t>
      </w:r>
      <w:r>
        <w:rPr>
          <w:rFonts w:hint="eastAsia" w:ascii="宋体" w:hAnsi="宋体" w:cs="宋体"/>
          <w:bCs/>
          <w:color w:val="auto"/>
          <w:kern w:val="0"/>
          <w:szCs w:val="21"/>
          <w:highlight w:val="none"/>
        </w:rPr>
        <w:t>8159000</w:t>
      </w:r>
      <w:r>
        <w:rPr>
          <w:rFonts w:ascii="宋体" w:hAnsi="宋体"/>
          <w:color w:val="auto"/>
          <w:szCs w:val="21"/>
          <w:highlight w:val="none"/>
        </w:rPr>
        <w:t>元</w:t>
      </w:r>
      <w:r>
        <w:rPr>
          <w:rFonts w:hint="eastAsia" w:ascii="宋体" w:hAnsi="宋体"/>
          <w:color w:val="auto"/>
          <w:szCs w:val="21"/>
          <w:highlight w:val="none"/>
          <w:lang w:val="en-US" w:eastAsia="zh-CN"/>
        </w:rPr>
        <w:t>·</w:t>
      </w:r>
      <w:r>
        <w:rPr>
          <w:rFonts w:hint="eastAsia" w:ascii="宋体" w:hAnsi="宋体"/>
          <w:color w:val="auto"/>
          <w:szCs w:val="21"/>
          <w:highlight w:val="none"/>
        </w:rPr>
        <w:t>；投标报价超出对应</w:t>
      </w:r>
      <w:r>
        <w:rPr>
          <w:rFonts w:hint="eastAsia" w:ascii="宋体" w:hAnsi="宋体"/>
          <w:color w:val="auto"/>
          <w:szCs w:val="21"/>
          <w:highlight w:val="none"/>
          <w:lang w:val="en-US" w:eastAsia="zh-CN"/>
        </w:rPr>
        <w:t>最高限价</w:t>
      </w:r>
      <w:r>
        <w:rPr>
          <w:rFonts w:hint="eastAsia" w:ascii="宋体" w:hAnsi="宋体"/>
          <w:color w:val="auto"/>
          <w:szCs w:val="21"/>
          <w:highlight w:val="none"/>
        </w:rPr>
        <w:t>的投标无效。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2、本次公开招标</w:t>
      </w:r>
      <w:r>
        <w:rPr>
          <w:rFonts w:hint="eastAsia" w:ascii="宋体" w:hAnsi="宋体"/>
          <w:b/>
          <w:bCs/>
          <w:color w:val="auto"/>
          <w:szCs w:val="21"/>
          <w:highlight w:val="none"/>
        </w:rPr>
        <w:t>服务期满后2年内运维费用</w:t>
      </w:r>
      <w:r>
        <w:rPr>
          <w:rFonts w:hint="eastAsia" w:ascii="宋体" w:hAnsi="宋体"/>
          <w:b/>
          <w:bCs/>
          <w:color w:val="auto"/>
          <w:szCs w:val="21"/>
          <w:highlight w:val="none"/>
          <w:lang w:val="en-US" w:eastAsia="zh-CN"/>
        </w:rPr>
        <w:t>设有</w:t>
      </w:r>
      <w:r>
        <w:rPr>
          <w:rFonts w:hint="eastAsia" w:ascii="宋体" w:hAnsi="宋体"/>
          <w:b/>
          <w:bCs/>
          <w:color w:val="auto"/>
          <w:szCs w:val="21"/>
          <w:highlight w:val="none"/>
        </w:rPr>
        <w:t>最高限价800000元/年</w:t>
      </w:r>
      <w:r>
        <w:rPr>
          <w:rFonts w:hint="eastAsia" w:ascii="宋体" w:hAnsi="宋体"/>
          <w:color w:val="auto"/>
          <w:szCs w:val="21"/>
          <w:highlight w:val="none"/>
        </w:rPr>
        <w:t>；</w:t>
      </w:r>
      <w:r>
        <w:rPr>
          <w:rFonts w:hint="eastAsia" w:ascii="宋体" w:hAnsi="宋体"/>
          <w:color w:val="auto"/>
          <w:szCs w:val="21"/>
          <w:highlight w:val="none"/>
          <w:lang w:val="en-US" w:eastAsia="zh-CN"/>
        </w:rPr>
        <w:t>该</w:t>
      </w:r>
      <w:r>
        <w:rPr>
          <w:rFonts w:hint="eastAsia" w:ascii="宋体" w:hAnsi="宋体"/>
          <w:color w:val="auto"/>
          <w:szCs w:val="21"/>
          <w:highlight w:val="none"/>
        </w:rPr>
        <w:t>报价超出对应最高限价的投标无效。</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pPr>
        <w:spacing w:line="360" w:lineRule="exact"/>
        <w:ind w:right="105" w:rightChars="50" w:firstLine="420" w:firstLineChars="200"/>
        <w:rPr>
          <w:rFonts w:ascii="宋体" w:hAnsi="宋体"/>
          <w:color w:val="auto"/>
          <w:szCs w:val="21"/>
          <w:highlight w:val="none"/>
        </w:rPr>
      </w:pPr>
      <w:r>
        <w:rPr>
          <w:rFonts w:hint="eastAsia" w:ascii="宋体" w:hAnsi="宋体"/>
          <w:color w:val="auto"/>
          <w:szCs w:val="21"/>
          <w:highlight w:val="none"/>
        </w:rPr>
        <w:t>1、本项目招标代理服务费为75000元；</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3、招标代理服务费只收现金、银行票汇款、电汇款。</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账户名称：宁波国咨工程造价咨询有限公司 </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 建行宁波分行营业部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银行账号：</w:t>
      </w:r>
      <w:r>
        <w:rPr>
          <w:rFonts w:ascii="宋体" w:hAnsi="宋体"/>
          <w:color w:val="auto"/>
          <w:szCs w:val="21"/>
          <w:highlight w:val="none"/>
        </w:rPr>
        <w:t xml:space="preserve"> </w:t>
      </w:r>
      <w:r>
        <w:rPr>
          <w:rFonts w:hint="eastAsia" w:ascii="宋体" w:hAnsi="宋体"/>
          <w:color w:val="auto"/>
          <w:szCs w:val="21"/>
          <w:highlight w:val="none"/>
        </w:rPr>
        <w:t>33101983679050502597</w:t>
      </w:r>
      <w:bookmarkEnd w:id="11"/>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pPr>
        <w:spacing w:line="400" w:lineRule="exact"/>
        <w:ind w:firstLine="420" w:firstLineChars="200"/>
        <w:outlineLvl w:val="0"/>
        <w:rPr>
          <w:rFonts w:ascii="宋体" w:hAnsi="宋体"/>
          <w:color w:val="auto"/>
          <w:szCs w:val="21"/>
          <w:highlight w:val="none"/>
        </w:rPr>
      </w:pPr>
      <w:bookmarkStart w:id="12" w:name="_Toc441316546"/>
      <w:bookmarkStart w:id="13" w:name="_Toc419729150"/>
      <w:bookmarkStart w:id="14" w:name="_Toc436408700"/>
      <w:bookmarkStart w:id="15" w:name="_Toc46014230"/>
      <w:bookmarkStart w:id="16" w:name="_Toc46014187"/>
      <w:bookmarkStart w:id="17" w:name="_Toc25472"/>
      <w:bookmarkStart w:id="18" w:name="_Toc46014078"/>
      <w:bookmarkStart w:id="19" w:name="_Toc21541007"/>
      <w:r>
        <w:rPr>
          <w:rFonts w:ascii="宋体" w:hAnsi="宋体"/>
          <w:color w:val="auto"/>
          <w:szCs w:val="21"/>
          <w:highlight w:val="none"/>
        </w:rPr>
        <w:t>1</w:t>
      </w:r>
      <w:r>
        <w:rPr>
          <w:rFonts w:hint="eastAsia" w:ascii="宋体" w:hAnsi="宋体"/>
          <w:color w:val="auto"/>
          <w:szCs w:val="21"/>
          <w:highlight w:val="none"/>
        </w:rPr>
        <w:t>、政府采购活动中有关中小企业的相关规定（采购进口产品的项目不适用）：</w:t>
      </w:r>
      <w:bookmarkEnd w:id="12"/>
      <w:bookmarkEnd w:id="13"/>
      <w:bookmarkEnd w:id="14"/>
      <w:bookmarkEnd w:id="15"/>
      <w:bookmarkEnd w:id="16"/>
      <w:bookmarkEnd w:id="17"/>
      <w:bookmarkEnd w:id="18"/>
      <w:bookmarkEnd w:id="19"/>
    </w:p>
    <w:p>
      <w:pPr>
        <w:spacing w:line="400" w:lineRule="exact"/>
        <w:ind w:firstLine="420" w:firstLineChars="200"/>
        <w:outlineLvl w:val="0"/>
        <w:rPr>
          <w:rFonts w:ascii="宋体" w:hAnsi="宋体"/>
          <w:color w:val="auto"/>
          <w:szCs w:val="21"/>
          <w:highlight w:val="none"/>
        </w:rPr>
      </w:pPr>
      <w:bookmarkStart w:id="20" w:name="_Toc21541008"/>
      <w:bookmarkStart w:id="21" w:name="_Toc46014188"/>
      <w:bookmarkStart w:id="22" w:name="_Toc6263"/>
      <w:bookmarkStart w:id="23" w:name="_Toc46014079"/>
      <w:bookmarkStart w:id="24" w:name="_Toc419729151"/>
      <w:bookmarkStart w:id="25" w:name="_Toc436408701"/>
      <w:bookmarkStart w:id="26" w:name="_Toc46014231"/>
      <w:bookmarkStart w:id="27" w:name="_Toc44131654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bookmarkEnd w:id="20"/>
      <w:bookmarkEnd w:id="21"/>
      <w:bookmarkEnd w:id="22"/>
      <w:bookmarkEnd w:id="23"/>
      <w:bookmarkEnd w:id="24"/>
      <w:bookmarkEnd w:id="25"/>
      <w:bookmarkEnd w:id="26"/>
      <w:bookmarkEnd w:id="27"/>
      <w:bookmarkStart w:id="28" w:name="_Toc28411"/>
      <w:bookmarkStart w:id="29" w:name="_Toc441316548"/>
      <w:bookmarkStart w:id="30" w:name="_Toc46014232"/>
      <w:bookmarkStart w:id="31" w:name="_Toc436408702"/>
      <w:bookmarkStart w:id="32" w:name="_Toc21541009"/>
      <w:bookmarkStart w:id="33" w:name="_Toc46014080"/>
      <w:bookmarkStart w:id="34" w:name="_Toc419729152"/>
      <w:bookmarkStart w:id="35" w:name="_Toc46014189"/>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28"/>
      <w:bookmarkEnd w:id="29"/>
      <w:bookmarkEnd w:id="30"/>
      <w:bookmarkEnd w:id="31"/>
      <w:bookmarkEnd w:id="32"/>
      <w:bookmarkEnd w:id="33"/>
      <w:bookmarkEnd w:id="34"/>
      <w:bookmarkEnd w:id="35"/>
    </w:p>
    <w:p>
      <w:pPr>
        <w:spacing w:line="400" w:lineRule="exact"/>
        <w:ind w:firstLine="420" w:firstLineChars="200"/>
        <w:rPr>
          <w:rFonts w:ascii="宋体" w:hAnsi="宋体"/>
          <w:color w:val="auto"/>
          <w:szCs w:val="21"/>
          <w:highlight w:val="none"/>
        </w:rPr>
      </w:pPr>
      <w:bookmarkStart w:id="36" w:name="_Toc419729154"/>
      <w:bookmarkStart w:id="37" w:name="_Toc21541011"/>
      <w:bookmarkStart w:id="38" w:name="_Toc46014234"/>
      <w:bookmarkStart w:id="39" w:name="_Toc46014082"/>
      <w:bookmarkStart w:id="40" w:name="_Toc441316550"/>
      <w:bookmarkStart w:id="41" w:name="_Toc436408704"/>
      <w:bookmarkStart w:id="42" w:name="_Toc46014191"/>
      <w:bookmarkStart w:id="43" w:name="_Toc3477"/>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）在政府采购活动中，投标人提供的货物、工程或者服务符合下列情形的，享受本办法规定的中小企业扶持政策：</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）参加政府采购活动的中小企业应当提供《中小企业声明函》（格式见第七章）。</w:t>
      </w:r>
      <w:bookmarkEnd w:id="36"/>
      <w:bookmarkEnd w:id="37"/>
      <w:bookmarkEnd w:id="38"/>
      <w:bookmarkEnd w:id="39"/>
      <w:bookmarkEnd w:id="40"/>
      <w:bookmarkEnd w:id="41"/>
      <w:bookmarkEnd w:id="42"/>
      <w:bookmarkEnd w:id="43"/>
    </w:p>
    <w:p>
      <w:pPr>
        <w:spacing w:line="400" w:lineRule="exact"/>
        <w:ind w:firstLine="420" w:firstLineChars="200"/>
        <w:outlineLvl w:val="0"/>
        <w:rPr>
          <w:rFonts w:ascii="宋体" w:hAnsi="宋体"/>
          <w:color w:val="auto"/>
          <w:szCs w:val="21"/>
          <w:highlight w:val="none"/>
        </w:rPr>
      </w:pPr>
      <w:bookmarkStart w:id="44" w:name="_Toc18519"/>
      <w:bookmarkStart w:id="45" w:name="_Toc46014192"/>
      <w:bookmarkStart w:id="46" w:name="_Toc46014235"/>
      <w:bookmarkStart w:id="47" w:name="_Toc21541012"/>
      <w:bookmarkStart w:id="48" w:name="_Toc441316551"/>
      <w:bookmarkStart w:id="49" w:name="_Toc46014083"/>
      <w:bookmarkStart w:id="50" w:name="_Toc419729155"/>
      <w:bookmarkStart w:id="51" w:name="_Toc436408705"/>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4"/>
      <w:bookmarkEnd w:id="45"/>
      <w:bookmarkEnd w:id="46"/>
      <w:bookmarkEnd w:id="47"/>
      <w:bookmarkEnd w:id="48"/>
      <w:bookmarkEnd w:id="49"/>
      <w:bookmarkEnd w:id="50"/>
      <w:bookmarkEnd w:id="51"/>
    </w:p>
    <w:p>
      <w:pPr>
        <w:spacing w:line="400" w:lineRule="exact"/>
        <w:ind w:firstLine="420" w:firstLineChars="200"/>
        <w:outlineLvl w:val="0"/>
        <w:rPr>
          <w:rFonts w:ascii="宋体" w:hAnsi="宋体"/>
          <w:color w:val="auto"/>
          <w:szCs w:val="21"/>
          <w:highlight w:val="none"/>
        </w:rPr>
      </w:pPr>
      <w:bookmarkStart w:id="52" w:name="_Toc436408706"/>
      <w:bookmarkStart w:id="53" w:name="_Toc441316552"/>
      <w:bookmarkStart w:id="54" w:name="_Toc419729156"/>
      <w:bookmarkStart w:id="55" w:name="_Toc46014236"/>
      <w:bookmarkStart w:id="56" w:name="_Toc21541013"/>
      <w:bookmarkStart w:id="57" w:name="_Toc15683"/>
      <w:bookmarkStart w:id="58" w:name="_Toc46014193"/>
      <w:bookmarkStart w:id="59" w:name="_Toc46014084"/>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）采购活动过程中，对供应商的“中小企业”资格认定，以供应商提交的《中小企业声明函》为准，供应商必须实事求是地提交声明函，如有虚假，将依法承担法律责任。</w:t>
      </w:r>
      <w:bookmarkEnd w:id="52"/>
      <w:bookmarkEnd w:id="53"/>
      <w:bookmarkEnd w:id="54"/>
      <w:bookmarkEnd w:id="55"/>
      <w:bookmarkEnd w:id="56"/>
      <w:bookmarkEnd w:id="57"/>
      <w:bookmarkEnd w:id="58"/>
      <w:bookmarkEnd w:id="59"/>
      <w:bookmarkStart w:id="60" w:name="_Toc46014085"/>
      <w:bookmarkStart w:id="61" w:name="_Toc21541014"/>
      <w:bookmarkStart w:id="62" w:name="_Toc419729157"/>
      <w:bookmarkStart w:id="63" w:name="_Toc46014237"/>
      <w:bookmarkStart w:id="64" w:name="_Toc12057"/>
      <w:bookmarkStart w:id="65" w:name="_Toc436408707"/>
      <w:bookmarkStart w:id="66" w:name="_Toc441316553"/>
      <w:bookmarkStart w:id="67" w:name="_Toc46014194"/>
      <w:r>
        <w:rPr>
          <w:rFonts w:hint="eastAsia" w:ascii="宋体" w:hAnsi="宋体"/>
          <w:color w:val="auto"/>
          <w:szCs w:val="21"/>
          <w:highlight w:val="none"/>
        </w:rPr>
        <w:t>《中小企业声明函》由供应商提交，如供应商为代理商的，须自行采集制造商的中小企业划分类型信息填入相应栏目并对其真实性负责。</w:t>
      </w:r>
      <w:bookmarkEnd w:id="60"/>
      <w:bookmarkEnd w:id="61"/>
      <w:bookmarkEnd w:id="62"/>
      <w:bookmarkEnd w:id="63"/>
      <w:bookmarkEnd w:id="64"/>
      <w:bookmarkEnd w:id="65"/>
      <w:bookmarkEnd w:id="66"/>
      <w:bookmarkEnd w:id="67"/>
    </w:p>
    <w:p>
      <w:pPr>
        <w:spacing w:line="400" w:lineRule="exact"/>
        <w:ind w:firstLine="420" w:firstLineChars="200"/>
        <w:outlineLvl w:val="0"/>
        <w:rPr>
          <w:rFonts w:ascii="宋体" w:hAnsi="宋体"/>
          <w:color w:val="auto"/>
          <w:szCs w:val="21"/>
          <w:highlight w:val="none"/>
        </w:rPr>
      </w:pPr>
      <w:bookmarkStart w:id="68" w:name="_Toc46014195"/>
      <w:bookmarkStart w:id="69" w:name="_Toc26428"/>
      <w:bookmarkStart w:id="70" w:name="_Toc495244277"/>
      <w:bookmarkStart w:id="71" w:name="_Toc46014086"/>
      <w:bookmarkStart w:id="72" w:name="_Toc21541015"/>
      <w:bookmarkStart w:id="73" w:name="_Toc46014238"/>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8"/>
      <w:bookmarkEnd w:id="69"/>
      <w:bookmarkEnd w:id="70"/>
      <w:bookmarkEnd w:id="71"/>
      <w:bookmarkEnd w:id="72"/>
      <w:bookmarkEnd w:id="73"/>
    </w:p>
    <w:p>
      <w:pPr>
        <w:spacing w:line="400" w:lineRule="exact"/>
        <w:ind w:firstLine="420" w:firstLineChars="200"/>
        <w:outlineLvl w:val="0"/>
        <w:rPr>
          <w:rFonts w:ascii="宋体" w:hAnsi="宋体"/>
          <w:color w:val="auto"/>
          <w:szCs w:val="21"/>
          <w:highlight w:val="none"/>
        </w:rPr>
      </w:pPr>
      <w:bookmarkStart w:id="74" w:name="_Toc22421"/>
      <w:bookmarkStart w:id="75" w:name="_Toc46014239"/>
      <w:bookmarkStart w:id="76" w:name="_Toc21541016"/>
      <w:bookmarkStart w:id="77" w:name="_Toc46014087"/>
      <w:bookmarkStart w:id="78" w:name="_Toc4601419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4"/>
      <w:bookmarkEnd w:id="75"/>
      <w:bookmarkEnd w:id="76"/>
      <w:bookmarkEnd w:id="77"/>
      <w:bookmarkEnd w:id="78"/>
    </w:p>
    <w:p>
      <w:pPr>
        <w:spacing w:line="400" w:lineRule="exact"/>
        <w:ind w:firstLine="420" w:firstLineChars="200"/>
        <w:outlineLvl w:val="0"/>
        <w:rPr>
          <w:rFonts w:ascii="宋体" w:hAnsi="宋体"/>
          <w:color w:val="auto"/>
          <w:szCs w:val="21"/>
          <w:highlight w:val="none"/>
        </w:rPr>
      </w:pPr>
      <w:bookmarkStart w:id="79" w:name="_Toc46014197"/>
      <w:bookmarkStart w:id="80" w:name="_Toc46014088"/>
      <w:bookmarkStart w:id="81" w:name="_Toc46014240"/>
      <w:bookmarkStart w:id="82" w:name="_Toc14131"/>
      <w:bookmarkStart w:id="83" w:name="_Toc21541017"/>
      <w:bookmarkStart w:id="84"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79"/>
      <w:bookmarkEnd w:id="80"/>
      <w:bookmarkEnd w:id="81"/>
      <w:bookmarkEnd w:id="82"/>
      <w:bookmarkEnd w:id="83"/>
    </w:p>
    <w:p>
      <w:pPr>
        <w:spacing w:line="400" w:lineRule="exact"/>
        <w:ind w:firstLine="420" w:firstLineChars="200"/>
        <w:outlineLvl w:val="0"/>
        <w:rPr>
          <w:rFonts w:ascii="宋体" w:hAnsi="宋体"/>
          <w:color w:val="auto"/>
          <w:szCs w:val="21"/>
          <w:highlight w:val="none"/>
        </w:rPr>
      </w:pPr>
      <w:bookmarkStart w:id="85" w:name="_Toc46014198"/>
      <w:bookmarkStart w:id="86" w:name="_Toc21897"/>
      <w:bookmarkStart w:id="87" w:name="_Toc46014241"/>
      <w:bookmarkStart w:id="88" w:name="_Toc46014089"/>
      <w:bookmarkStart w:id="89"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84"/>
      <w:bookmarkEnd w:id="85"/>
      <w:bookmarkEnd w:id="86"/>
      <w:bookmarkEnd w:id="87"/>
      <w:bookmarkEnd w:id="88"/>
      <w:bookmarkEnd w:id="89"/>
    </w:p>
    <w:p>
      <w:pPr>
        <w:spacing w:line="400" w:lineRule="exact"/>
        <w:ind w:firstLine="420" w:firstLineChars="200"/>
        <w:rPr>
          <w:rFonts w:ascii="宋体" w:hAnsi="宋体"/>
          <w:color w:val="auto"/>
          <w:szCs w:val="21"/>
          <w:highlight w:val="none"/>
        </w:rPr>
      </w:pPr>
      <w:bookmarkStart w:id="90" w:name="_Toc419729159"/>
      <w:r>
        <w:rPr>
          <w:rFonts w:ascii="宋体" w:hAnsi="宋体"/>
          <w:color w:val="auto"/>
          <w:szCs w:val="21"/>
          <w:highlight w:val="none"/>
        </w:rPr>
        <w:t>6</w:t>
      </w:r>
      <w:r>
        <w:rPr>
          <w:rFonts w:hint="eastAsia" w:ascii="宋体" w:hAnsi="宋体"/>
          <w:color w:val="auto"/>
          <w:szCs w:val="21"/>
          <w:highlight w:val="none"/>
        </w:rPr>
        <w:t>、本招标文件解释权归采购人。</w:t>
      </w:r>
      <w:bookmarkEnd w:id="90"/>
    </w:p>
    <w:p>
      <w:pPr>
        <w:spacing w:line="400" w:lineRule="exact"/>
        <w:ind w:firstLine="420" w:firstLineChars="200"/>
        <w:rPr>
          <w:rFonts w:ascii="宋体" w:hAnsi="宋体"/>
          <w:color w:val="auto"/>
          <w:szCs w:val="21"/>
          <w:highlight w:val="none"/>
        </w:rPr>
      </w:pP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br w:type="page"/>
      </w:r>
      <w:bookmarkStart w:id="91" w:name="_Toc46014242"/>
      <w:r>
        <w:rPr>
          <w:rFonts w:hint="eastAsia" w:ascii="宋体" w:hAnsi="宋体"/>
          <w:b/>
          <w:color w:val="auto"/>
          <w:sz w:val="32"/>
          <w:highlight w:val="none"/>
        </w:rPr>
        <w:t xml:space="preserve">第三章 </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91"/>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各标项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w:t>
      </w:r>
      <w:r>
        <w:rPr>
          <w:rFonts w:hint="eastAsia" w:ascii="宋体" w:hAnsi="宋体" w:cs="宋体"/>
          <w:color w:val="auto"/>
          <w:szCs w:val="21"/>
          <w:highlight w:val="none"/>
        </w:rPr>
        <w:t>《政府采购促进中小企业发展管理办法》（财库〔2020〕46号）</w:t>
      </w:r>
      <w:r>
        <w:rPr>
          <w:rFonts w:hint="eastAsia" w:ascii="宋体" w:hAnsi="宋体" w:cs="宋体"/>
          <w:color w:val="auto"/>
          <w:highlight w:val="none"/>
        </w:rPr>
        <w:t>、《关于政府采购支持监狱企业发展有关问题的通知》（财库[2014]68号）</w:t>
      </w:r>
      <w:r>
        <w:rPr>
          <w:rFonts w:hint="eastAsia" w:ascii="宋体" w:hAnsi="宋体" w:cs="仿宋"/>
          <w:color w:val="auto"/>
          <w:szCs w:val="21"/>
          <w:highlight w:val="none"/>
        </w:rPr>
        <w:t>、《关于环境标志产品政府采购实施的意见》（财库〔2006〕90号、《节能产品政府采购实施意见》的通知（财库〔2004〕185号）。</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本次采购为非专门面向中小企业，本次评标将对符合第二章第十八条第</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款的小微企业的价格给予10</w:t>
      </w:r>
      <w:r>
        <w:rPr>
          <w:rFonts w:ascii="宋体" w:hAnsi="宋体"/>
          <w:color w:val="auto"/>
          <w:szCs w:val="21"/>
          <w:highlight w:val="none"/>
        </w:rPr>
        <w:t>%</w:t>
      </w:r>
      <w:r>
        <w:rPr>
          <w:rFonts w:hint="eastAsia" w:ascii="宋体" w:hAnsi="宋体"/>
          <w:color w:val="auto"/>
          <w:szCs w:val="21"/>
          <w:highlight w:val="none"/>
        </w:rPr>
        <w:t>的扣除，用扣除后的价格参与评审。价格扣除只用于评审过程，如中标，中标价格仍按照其投标价格进行公示。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）投标文件中开标一览表内容与投标文件中分项报价表内容不一致的，以开标一览表为准；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）投标文件的大写金额和小写金额不一致的，以大写金额为准；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）单价金额小数点有明显错位的，应以总价为准，并修改单价；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）总价金额与按单价汇总金额不一致的，以单价金额计算结果为准。</w:t>
      </w:r>
    </w:p>
    <w:p>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b/>
          <w:color w:val="auto"/>
          <w:highlight w:val="none"/>
        </w:rPr>
      </w:pPr>
      <w:r>
        <w:rPr>
          <w:rFonts w:hint="eastAsia" w:ascii="宋体" w:hAnsi="宋体"/>
          <w:color w:val="auto"/>
          <w:highlight w:val="none"/>
        </w:rPr>
        <w:t>非单一产品采购项目，多家供应商提供的核心产品品牌相同的，按上述规定处理。</w:t>
      </w:r>
      <w:r>
        <w:rPr>
          <w:rFonts w:hint="eastAsia" w:ascii="宋体" w:hAnsi="宋体"/>
          <w:b/>
          <w:color w:val="auto"/>
          <w:highlight w:val="none"/>
        </w:rPr>
        <w:t>本项目为服务类项目，本项不适用。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2.2.6</w:t>
      </w:r>
      <w:r>
        <w:rPr>
          <w:rFonts w:hint="eastAsia" w:ascii="宋体" w:hAnsi="宋体"/>
          <w:color w:val="auto"/>
          <w:szCs w:val="21"/>
          <w:highlight w:val="none"/>
        </w:rPr>
        <w:t>综合评估：供应商的综合得分为商务和技术得分与报价得分之和。</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2.2.7</w:t>
      </w:r>
      <w:r>
        <w:rPr>
          <w:rFonts w:hint="eastAsia" w:ascii="宋体" w:hAnsi="宋体"/>
          <w:color w:val="auto"/>
          <w:szCs w:val="21"/>
          <w:highlight w:val="none"/>
        </w:rPr>
        <w:t>推荐中标候选人：按各标项综合得分由高到低的排序，推荐中标候选人。若供应商的综合得分相等，则投标报价低者列前；若投标报价也相同时，采取随机抽签的方式确定排序。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3.4</w:t>
      </w:r>
      <w:r>
        <w:rPr>
          <w:rFonts w:hint="eastAsia" w:ascii="宋体" w:hAnsi="宋体" w:cs="宋体"/>
          <w:color w:val="auto"/>
          <w:highlight w:val="none"/>
        </w:rPr>
        <w:t>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评标委员会评标过程中，各标项有效供应商少于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47"/>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65"/>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765"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6603" w:type="dxa"/>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2765" w:type="dxa"/>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6603" w:type="dxa"/>
            <w:vAlign w:val="center"/>
          </w:tcPr>
          <w:p>
            <w:pPr>
              <w:spacing w:line="400" w:lineRule="exact"/>
              <w:jc w:val="left"/>
              <w:rPr>
                <w:rFonts w:ascii="宋体" w:hAnsi="宋体"/>
                <w:color w:val="auto"/>
                <w:szCs w:val="21"/>
                <w:highlight w:val="none"/>
              </w:rPr>
            </w:pPr>
            <w:r>
              <w:rPr>
                <w:rFonts w:hint="eastAsia" w:ascii="宋体" w:hAnsi="宋体"/>
                <w:color w:val="auto"/>
                <w:szCs w:val="21"/>
                <w:highlight w:val="none"/>
              </w:rPr>
              <w:t>（1）提供营业执照副本（或事业法人登记证副本或其他登记证明材料）复印件加盖供应商公章。</w:t>
            </w:r>
          </w:p>
          <w:p>
            <w:pPr>
              <w:spacing w:line="400" w:lineRule="exact"/>
              <w:jc w:val="left"/>
              <w:rPr>
                <w:rFonts w:ascii="宋体" w:hAnsi="宋体"/>
                <w:color w:val="auto"/>
                <w:szCs w:val="21"/>
                <w:highlight w:val="none"/>
              </w:rPr>
            </w:pPr>
            <w:r>
              <w:rPr>
                <w:rFonts w:hint="eastAsia" w:ascii="宋体" w:hAnsi="宋体"/>
                <w:color w:val="auto"/>
                <w:szCs w:val="21"/>
                <w:highlight w:val="none"/>
              </w:rPr>
              <w:t>（2）提供关于资格的承诺函。</w:t>
            </w:r>
          </w:p>
          <w:p>
            <w:pPr>
              <w:spacing w:line="400" w:lineRule="exact"/>
              <w:jc w:val="left"/>
              <w:rPr>
                <w:rFonts w:ascii="宋体" w:hAnsi="宋体"/>
                <w:color w:val="auto"/>
                <w:szCs w:val="21"/>
                <w:highlight w:val="none"/>
              </w:rPr>
            </w:pPr>
            <w:r>
              <w:rPr>
                <w:rFonts w:hint="eastAsia" w:ascii="宋体" w:hAnsi="宋体"/>
                <w:color w:val="auto"/>
                <w:szCs w:val="21"/>
                <w:highlight w:val="none"/>
              </w:rPr>
              <w:t>（3）提供“无重大违法记录的声明函”。</w:t>
            </w:r>
          </w:p>
          <w:p>
            <w:pPr>
              <w:spacing w:line="400" w:lineRule="exact"/>
              <w:jc w:val="left"/>
              <w:rPr>
                <w:rFonts w:ascii="宋体" w:hAnsi="宋体"/>
                <w:b/>
                <w:color w:val="auto"/>
                <w:highlight w:val="none"/>
              </w:rPr>
            </w:pPr>
            <w:r>
              <w:rPr>
                <w:rFonts w:hint="eastAsia" w:ascii="宋体" w:hAnsi="宋体" w:cs="宋体"/>
                <w:color w:val="auto"/>
                <w:szCs w:val="21"/>
                <w:highlight w:val="none"/>
              </w:rPr>
              <w:t>（4）</w:t>
            </w:r>
            <w:r>
              <w:rPr>
                <w:rFonts w:hint="eastAsia" w:ascii="宋体" w:hAnsi="宋体"/>
                <w:color w:val="auto"/>
                <w:szCs w:val="21"/>
                <w:highlight w:val="none"/>
              </w:rPr>
              <w:t>提供“其他资格要求需提供的声明函”。</w:t>
            </w:r>
          </w:p>
          <w:p>
            <w:pPr>
              <w:spacing w:line="400" w:lineRule="exact"/>
              <w:jc w:val="left"/>
              <w:rPr>
                <w:rFonts w:ascii="宋体" w:hAnsi="宋体"/>
                <w:color w:val="auto"/>
                <w:szCs w:val="21"/>
                <w:highlight w:val="none"/>
              </w:rPr>
            </w:pPr>
            <w:r>
              <w:rPr>
                <w:rFonts w:hint="eastAsia" w:ascii="宋体" w:hAnsi="宋体"/>
                <w:color w:val="auto"/>
                <w:highlight w:val="none"/>
              </w:rPr>
              <w:t>（5）</w:t>
            </w:r>
            <w:r>
              <w:rPr>
                <w:rFonts w:hint="eastAsia" w:ascii="宋体" w:hAnsi="宋体"/>
                <w:color w:val="auto"/>
                <w:szCs w:val="21"/>
                <w:highlight w:val="none"/>
              </w:rPr>
              <w:t>分支机构投标的（指金融、保险、通讯等特定行业），还须提供总公司（总机构）授权书或房产权证或其他有效财产证明材料复印件加盖供应商公章。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gridSpan w:val="2"/>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6603" w:type="dxa"/>
            <w:vAlign w:val="center"/>
          </w:tcPr>
          <w:p>
            <w:pPr>
              <w:spacing w:line="400" w:lineRule="exact"/>
              <w:jc w:val="center"/>
              <w:rPr>
                <w:rFonts w:ascii="宋体" w:hAnsi="宋体"/>
                <w:color w:val="auto"/>
                <w:szCs w:val="21"/>
                <w:highlight w:val="none"/>
              </w:rPr>
            </w:pPr>
          </w:p>
        </w:tc>
      </w:tr>
    </w:tbl>
    <w:p>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pPr>
        <w:widowControl/>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39"/>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83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856"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投标有效期：符合第二章“投标须知”第八、</w:t>
            </w:r>
            <w:r>
              <w:rPr>
                <w:rFonts w:ascii="宋体" w:hAnsi="宋体"/>
                <w:color w:val="auto"/>
                <w:szCs w:val="21"/>
                <w:highlight w:val="none"/>
              </w:rPr>
              <w:t>1</w:t>
            </w:r>
            <w:r>
              <w:rPr>
                <w:rFonts w:hint="eastAsia" w:ascii="宋体" w:hAnsi="宋体"/>
                <w:color w:val="auto"/>
                <w:szCs w:val="21"/>
                <w:highlight w:val="none"/>
              </w:rPr>
              <w:t>条的要求。</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商务和技术文件中不得出现涉及投标价格的内容。</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83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385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9"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3856" w:type="dxa"/>
            <w:vAlign w:val="center"/>
          </w:tcPr>
          <w:p>
            <w:pPr>
              <w:spacing w:line="400" w:lineRule="exact"/>
              <w:rPr>
                <w:rFonts w:ascii="宋体" w:hAnsi="宋体"/>
                <w:color w:val="auto"/>
                <w:szCs w:val="21"/>
                <w:highlight w:val="none"/>
              </w:rPr>
            </w:pPr>
          </w:p>
        </w:tc>
      </w:tr>
    </w:tbl>
    <w:p>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pPr>
        <w:spacing w:line="400" w:lineRule="exact"/>
        <w:ind w:firstLine="411" w:firstLineChars="195"/>
        <w:rPr>
          <w:rFonts w:ascii="宋体" w:hAnsi="宋体"/>
          <w:color w:val="auto"/>
          <w:szCs w:val="21"/>
          <w:highlight w:val="none"/>
        </w:rPr>
      </w:pPr>
      <w:r>
        <w:rPr>
          <w:rFonts w:hint="eastAsia" w:ascii="宋体" w:hAnsi="宋体"/>
          <w:b/>
          <w:color w:val="auto"/>
          <w:highlight w:val="none"/>
        </w:rPr>
        <w:t>2、序号3-序号</w:t>
      </w:r>
      <w:r>
        <w:rPr>
          <w:rFonts w:ascii="宋体" w:hAnsi="宋体"/>
          <w:b/>
          <w:color w:val="auto"/>
          <w:highlight w:val="none"/>
        </w:rPr>
        <w:t>9</w:t>
      </w:r>
      <w:r>
        <w:rPr>
          <w:rFonts w:hint="eastAsia" w:ascii="宋体" w:hAnsi="宋体"/>
          <w:b/>
          <w:color w:val="auto"/>
          <w:highlight w:val="none"/>
        </w:rPr>
        <w:t>在政采云上无须添加关联点。</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pPr>
        <w:spacing w:line="400" w:lineRule="exact"/>
        <w:jc w:val="center"/>
        <w:rPr>
          <w:rFonts w:ascii="宋体" w:hAnsi="宋体"/>
          <w:color w:val="auto"/>
          <w:szCs w:val="21"/>
          <w:highlight w:val="none"/>
        </w:rPr>
      </w:pPr>
      <w:r>
        <w:rPr>
          <w:rFonts w:hint="eastAsia" w:ascii="宋体" w:hAnsi="宋体"/>
          <w:b/>
          <w:color w:val="auto"/>
          <w:szCs w:val="21"/>
          <w:highlight w:val="none"/>
        </w:rPr>
        <w:t>商务和技术评分表</w:t>
      </w:r>
    </w:p>
    <w:p>
      <w:pPr>
        <w:widowControl/>
        <w:spacing w:line="400" w:lineRule="exact"/>
        <w:jc w:val="left"/>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CXZFCG[2022]993号</w:t>
      </w:r>
      <w:r>
        <w:rPr>
          <w:rFonts w:ascii="宋体" w:hAnsi="宋体"/>
          <w:b/>
          <w:color w:val="auto"/>
          <w:szCs w:val="21"/>
          <w:highlight w:val="none"/>
        </w:rPr>
        <w:t xml:space="preserve"> </w:t>
      </w:r>
    </w:p>
    <w:tbl>
      <w:tblPr>
        <w:tblStyle w:val="47"/>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70"/>
        <w:gridCol w:w="12"/>
        <w:gridCol w:w="763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blHeader/>
          <w:jc w:val="center"/>
        </w:trPr>
        <w:tc>
          <w:tcPr>
            <w:tcW w:w="9605" w:type="dxa"/>
            <w:gridSpan w:val="4"/>
            <w:tcBorders>
              <w:tl2br w:val="single" w:color="000000" w:sz="4" w:space="0"/>
            </w:tcBorders>
          </w:tcPr>
          <w:p>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供应商</w:t>
            </w:r>
          </w:p>
          <w:p>
            <w:pPr>
              <w:spacing w:line="400" w:lineRule="exact"/>
              <w:rPr>
                <w:rFonts w:ascii="宋体" w:hAnsi="宋体" w:cs="宋体"/>
                <w:color w:val="auto"/>
                <w:szCs w:val="21"/>
                <w:highlight w:val="none"/>
                <w:lang w:val="ru-RU"/>
              </w:rPr>
            </w:pPr>
            <w:r>
              <w:rPr>
                <w:rFonts w:hint="eastAsia" w:ascii="宋体" w:hAnsi="宋体" w:cs="宋体"/>
                <w:color w:val="auto"/>
                <w:szCs w:val="21"/>
                <w:highlight w:val="none"/>
              </w:rPr>
              <w:t>分值</w:t>
            </w:r>
          </w:p>
        </w:tc>
        <w:tc>
          <w:tcPr>
            <w:tcW w:w="756" w:type="dxa"/>
            <w:vAlign w:val="center"/>
          </w:tcPr>
          <w:p>
            <w:pPr>
              <w:spacing w:line="400" w:lineRule="exact"/>
              <w:jc w:val="center"/>
              <w:rPr>
                <w:rFonts w:ascii="宋体" w:hAnsi="宋体" w:cs="宋体"/>
                <w:color w:val="auto"/>
                <w:szCs w:val="21"/>
                <w:highlight w:val="none"/>
                <w:lang w:val="ru-RU"/>
              </w:rPr>
            </w:pPr>
            <w:r>
              <w:rPr>
                <w:rFonts w:hint="eastAsia" w:ascii="宋体" w:hAnsi="宋体" w:cs="宋体"/>
                <w:color w:val="auto"/>
                <w:szCs w:val="21"/>
                <w:highlight w:val="none"/>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89"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技术分72分</w:t>
            </w:r>
          </w:p>
        </w:tc>
        <w:tc>
          <w:tcPr>
            <w:tcW w:w="1382" w:type="dxa"/>
            <w:gridSpan w:val="2"/>
            <w:vMerge w:val="restart"/>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1、技术方案</w:t>
            </w:r>
          </w:p>
        </w:tc>
        <w:tc>
          <w:tcPr>
            <w:tcW w:w="7634"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投标人针对本项目现状的了解程度及对本项目需求的理解透彻程度等内容进行综合评议。需求情况分析透彻的，问题剖析准确的，综合评价好的得 4.5-6分，</w:t>
            </w:r>
            <w:r>
              <w:rPr>
                <w:rFonts w:hint="eastAsia" w:ascii="宋体" w:hAnsi="宋体" w:cs="宋体"/>
                <w:bCs/>
                <w:color w:val="auto"/>
                <w:szCs w:val="21"/>
                <w:highlight w:val="none"/>
              </w:rPr>
              <w:t>需求的分析、问题剖析与实际情况基本吻合</w:t>
            </w:r>
            <w:r>
              <w:rPr>
                <w:rFonts w:hint="eastAsia" w:ascii="宋体" w:hAnsi="宋体" w:cs="宋体"/>
                <w:color w:val="auto"/>
                <w:szCs w:val="21"/>
                <w:highlight w:val="none"/>
              </w:rPr>
              <w:t>的得3-4.5分，</w:t>
            </w:r>
            <w:r>
              <w:rPr>
                <w:rFonts w:hint="eastAsia" w:ascii="宋体" w:hAnsi="宋体" w:cs="宋体"/>
                <w:bCs/>
                <w:color w:val="auto"/>
                <w:szCs w:val="21"/>
                <w:highlight w:val="none"/>
              </w:rPr>
              <w:t>需求的分析、问题剖析不符合实际情况的</w:t>
            </w:r>
            <w:r>
              <w:rPr>
                <w:rFonts w:hint="eastAsia" w:ascii="宋体" w:hAnsi="宋体" w:cs="宋体"/>
                <w:color w:val="auto"/>
                <w:szCs w:val="21"/>
                <w:highlight w:val="none"/>
              </w:rPr>
              <w:t>得1.5-3分，内容不完整得0-1.5分。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1382" w:type="dxa"/>
            <w:gridSpan w:val="2"/>
            <w:vMerge w:val="continue"/>
            <w:vAlign w:val="center"/>
          </w:tcPr>
          <w:p>
            <w:pPr>
              <w:spacing w:line="400" w:lineRule="exact"/>
              <w:rPr>
                <w:rFonts w:ascii="宋体" w:hAnsi="宋体" w:cs="宋体"/>
                <w:b/>
                <w:color w:val="auto"/>
                <w:szCs w:val="21"/>
                <w:highlight w:val="none"/>
              </w:rPr>
            </w:pPr>
          </w:p>
        </w:tc>
        <w:tc>
          <w:tcPr>
            <w:tcW w:w="7634" w:type="dxa"/>
            <w:vAlign w:val="center"/>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投标人根据招标内容对各个前端物联感知子系统进行深化设计，在投标文件中进行体现。深化设计</w:t>
            </w:r>
            <w:r>
              <w:rPr>
                <w:rFonts w:hint="eastAsia" w:ascii="宋体" w:hAnsi="宋体" w:cs="宋体"/>
                <w:color w:val="auto"/>
                <w:szCs w:val="21"/>
                <w:highlight w:val="none"/>
              </w:rPr>
              <w:t>方案成熟、完整、具有扩展性、易操作，且符合采购人需求的</w:t>
            </w:r>
            <w:r>
              <w:rPr>
                <w:rFonts w:hint="eastAsia" w:ascii="宋体" w:hAnsi="宋体" w:cs="宋体"/>
                <w:bCs/>
                <w:color w:val="auto"/>
                <w:szCs w:val="21"/>
                <w:highlight w:val="none"/>
              </w:rPr>
              <w:t>得 4.5-6分，</w:t>
            </w:r>
            <w:r>
              <w:rPr>
                <w:rFonts w:hint="eastAsia" w:ascii="宋体" w:hAnsi="宋体" w:cs="宋体"/>
                <w:color w:val="auto"/>
                <w:szCs w:val="21"/>
                <w:highlight w:val="none"/>
              </w:rPr>
              <w:t>方案基本合理可行，基本符合采购人需求</w:t>
            </w:r>
            <w:r>
              <w:rPr>
                <w:rFonts w:hint="eastAsia" w:ascii="宋体" w:hAnsi="宋体" w:cs="宋体"/>
                <w:bCs/>
                <w:color w:val="auto"/>
                <w:szCs w:val="21"/>
                <w:highlight w:val="none"/>
              </w:rPr>
              <w:t>的得3-4.5分，</w:t>
            </w:r>
            <w:r>
              <w:rPr>
                <w:rFonts w:hint="eastAsia" w:ascii="宋体" w:hAnsi="宋体" w:cs="宋体"/>
                <w:color w:val="auto"/>
                <w:szCs w:val="21"/>
                <w:highlight w:val="none"/>
              </w:rPr>
              <w:t>方案有缺陷，不能完全满足采购人需求的</w:t>
            </w:r>
            <w:r>
              <w:rPr>
                <w:rFonts w:hint="eastAsia" w:ascii="宋体" w:hAnsi="宋体" w:cs="宋体"/>
                <w:bCs/>
                <w:color w:val="auto"/>
                <w:szCs w:val="21"/>
                <w:highlight w:val="none"/>
              </w:rPr>
              <w:t>得1.5-3分，内容不完整的得0-1.5分。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89" w:type="dxa"/>
            <w:vMerge w:val="continue"/>
            <w:vAlign w:val="center"/>
          </w:tcPr>
          <w:p>
            <w:pPr>
              <w:spacing w:line="400" w:lineRule="exact"/>
              <w:rPr>
                <w:color w:val="auto"/>
                <w:highlight w:val="none"/>
              </w:rPr>
            </w:pPr>
          </w:p>
        </w:tc>
        <w:tc>
          <w:tcPr>
            <w:tcW w:w="1382" w:type="dxa"/>
            <w:gridSpan w:val="2"/>
            <w:vMerge w:val="continue"/>
            <w:vAlign w:val="center"/>
          </w:tcPr>
          <w:p>
            <w:pPr>
              <w:spacing w:line="400" w:lineRule="exact"/>
              <w:rPr>
                <w:color w:val="auto"/>
                <w:highlight w:val="none"/>
              </w:rPr>
            </w:pPr>
          </w:p>
        </w:tc>
        <w:tc>
          <w:tcPr>
            <w:tcW w:w="7634" w:type="dxa"/>
            <w:vAlign w:val="center"/>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投标人根据招标内容对智慧安全监管平台进行深化设计，在投标文件中进行体现。</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深化设计</w:t>
            </w:r>
            <w:r>
              <w:rPr>
                <w:rFonts w:hint="eastAsia" w:ascii="宋体" w:hAnsi="宋体" w:cs="宋体"/>
                <w:color w:val="auto"/>
                <w:szCs w:val="21"/>
                <w:highlight w:val="none"/>
              </w:rPr>
              <w:t>方案成熟、完整、具有扩展性、易操作，且符合采购人需求的</w:t>
            </w:r>
            <w:r>
              <w:rPr>
                <w:rFonts w:hint="eastAsia" w:ascii="宋体" w:hAnsi="宋体" w:cs="宋体"/>
                <w:bCs/>
                <w:color w:val="auto"/>
                <w:szCs w:val="21"/>
                <w:highlight w:val="none"/>
              </w:rPr>
              <w:t>得 2.2-3分，</w:t>
            </w:r>
            <w:r>
              <w:rPr>
                <w:rFonts w:hint="eastAsia" w:ascii="宋体" w:hAnsi="宋体" w:cs="宋体"/>
                <w:color w:val="auto"/>
                <w:szCs w:val="21"/>
                <w:highlight w:val="none"/>
              </w:rPr>
              <w:t>方案基本合理可行，基本符合采购人需求</w:t>
            </w:r>
            <w:r>
              <w:rPr>
                <w:rFonts w:hint="eastAsia" w:ascii="宋体" w:hAnsi="宋体" w:cs="宋体"/>
                <w:bCs/>
                <w:color w:val="auto"/>
                <w:szCs w:val="21"/>
                <w:highlight w:val="none"/>
              </w:rPr>
              <w:t>的得1.8-2.2分，</w:t>
            </w:r>
            <w:r>
              <w:rPr>
                <w:rFonts w:hint="eastAsia" w:ascii="宋体" w:hAnsi="宋体" w:cs="宋体"/>
                <w:color w:val="auto"/>
                <w:szCs w:val="21"/>
                <w:highlight w:val="none"/>
              </w:rPr>
              <w:t>方案有缺陷，不能完全满足采购人需求的</w:t>
            </w:r>
            <w:r>
              <w:rPr>
                <w:rFonts w:hint="eastAsia" w:ascii="宋体" w:hAnsi="宋体" w:cs="宋体"/>
                <w:bCs/>
                <w:color w:val="auto"/>
                <w:szCs w:val="21"/>
                <w:highlight w:val="none"/>
              </w:rPr>
              <w:t>得1-1.8分，内容不完整的得0-1分。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89" w:type="dxa"/>
            <w:vMerge w:val="continue"/>
            <w:vAlign w:val="center"/>
          </w:tcPr>
          <w:p>
            <w:pPr>
              <w:spacing w:line="400" w:lineRule="exact"/>
              <w:rPr>
                <w:rFonts w:ascii="宋体" w:hAnsi="宋体" w:cs="宋体"/>
                <w:color w:val="auto"/>
                <w:szCs w:val="21"/>
                <w:highlight w:val="none"/>
              </w:rPr>
            </w:pPr>
          </w:p>
        </w:tc>
        <w:tc>
          <w:tcPr>
            <w:tcW w:w="1382" w:type="dxa"/>
            <w:gridSpan w:val="2"/>
            <w:vMerge w:val="continue"/>
            <w:vAlign w:val="center"/>
          </w:tcPr>
          <w:p>
            <w:pPr>
              <w:spacing w:line="400" w:lineRule="exact"/>
              <w:rPr>
                <w:rFonts w:ascii="宋体" w:hAnsi="宋体" w:cs="宋体"/>
                <w:color w:val="auto"/>
                <w:szCs w:val="21"/>
                <w:highlight w:val="none"/>
              </w:rPr>
            </w:pPr>
          </w:p>
        </w:tc>
        <w:tc>
          <w:tcPr>
            <w:tcW w:w="7634" w:type="dxa"/>
            <w:vAlign w:val="center"/>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投标人根据招标内容对网络传输系统进行深化设计，在投标文件中进行体现。</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深化设计</w:t>
            </w:r>
            <w:r>
              <w:rPr>
                <w:rFonts w:hint="eastAsia" w:ascii="宋体" w:hAnsi="宋体" w:cs="宋体"/>
                <w:color w:val="auto"/>
                <w:szCs w:val="21"/>
                <w:highlight w:val="none"/>
              </w:rPr>
              <w:t>方案成熟、完整、具有扩展性、易操作，且符合采购人需求的</w:t>
            </w:r>
            <w:r>
              <w:rPr>
                <w:rFonts w:hint="eastAsia" w:ascii="宋体" w:hAnsi="宋体" w:cs="宋体"/>
                <w:bCs/>
                <w:color w:val="auto"/>
                <w:szCs w:val="21"/>
                <w:highlight w:val="none"/>
              </w:rPr>
              <w:t>得 2.2-3分，</w:t>
            </w:r>
            <w:r>
              <w:rPr>
                <w:rFonts w:hint="eastAsia" w:ascii="宋体" w:hAnsi="宋体" w:cs="宋体"/>
                <w:color w:val="auto"/>
                <w:szCs w:val="21"/>
                <w:highlight w:val="none"/>
              </w:rPr>
              <w:t>方案基本合理可行，基本符合采购人需求</w:t>
            </w:r>
            <w:r>
              <w:rPr>
                <w:rFonts w:hint="eastAsia" w:ascii="宋体" w:hAnsi="宋体" w:cs="宋体"/>
                <w:bCs/>
                <w:color w:val="auto"/>
                <w:szCs w:val="21"/>
                <w:highlight w:val="none"/>
              </w:rPr>
              <w:t>的得1.8-2.2分，</w:t>
            </w:r>
            <w:r>
              <w:rPr>
                <w:rFonts w:hint="eastAsia" w:ascii="宋体" w:hAnsi="宋体" w:cs="宋体"/>
                <w:color w:val="auto"/>
                <w:szCs w:val="21"/>
                <w:highlight w:val="none"/>
              </w:rPr>
              <w:t>方案有缺陷，不能完全满足采购人需求的</w:t>
            </w:r>
            <w:r>
              <w:rPr>
                <w:rFonts w:hint="eastAsia" w:ascii="宋体" w:hAnsi="宋体" w:cs="宋体"/>
                <w:bCs/>
                <w:color w:val="auto"/>
                <w:szCs w:val="21"/>
                <w:highlight w:val="none"/>
              </w:rPr>
              <w:t>得1-1.8分，内容不完整的得0-1分。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89" w:type="dxa"/>
            <w:vMerge w:val="continue"/>
            <w:vAlign w:val="center"/>
          </w:tcPr>
          <w:p>
            <w:pPr>
              <w:spacing w:line="400" w:lineRule="exact"/>
              <w:rPr>
                <w:rFonts w:ascii="宋体" w:hAnsi="宋体" w:cs="宋体"/>
                <w:color w:val="auto"/>
                <w:szCs w:val="21"/>
                <w:highlight w:val="none"/>
              </w:rPr>
            </w:pPr>
          </w:p>
        </w:tc>
        <w:tc>
          <w:tcPr>
            <w:tcW w:w="1382" w:type="dxa"/>
            <w:gridSpan w:val="2"/>
            <w:vMerge w:val="continue"/>
            <w:vAlign w:val="center"/>
          </w:tcPr>
          <w:p>
            <w:pPr>
              <w:spacing w:line="400" w:lineRule="exact"/>
              <w:rPr>
                <w:rFonts w:ascii="宋体" w:hAnsi="宋体" w:cs="宋体"/>
                <w:color w:val="auto"/>
                <w:szCs w:val="21"/>
                <w:highlight w:val="none"/>
              </w:rPr>
            </w:pPr>
          </w:p>
        </w:tc>
        <w:tc>
          <w:tcPr>
            <w:tcW w:w="7634" w:type="dxa"/>
            <w:vAlign w:val="center"/>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投标人根据招标内容对视频图像管理系统进行深化设计，在投标文件中进行体现。</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深化设计</w:t>
            </w:r>
            <w:r>
              <w:rPr>
                <w:rFonts w:hint="eastAsia" w:ascii="宋体" w:hAnsi="宋体" w:cs="宋体"/>
                <w:color w:val="auto"/>
                <w:szCs w:val="21"/>
                <w:highlight w:val="none"/>
              </w:rPr>
              <w:t>方案成熟、完整、具有扩展性、易操作，且符合采购人需求的</w:t>
            </w:r>
            <w:r>
              <w:rPr>
                <w:rFonts w:hint="eastAsia" w:ascii="宋体" w:hAnsi="宋体" w:cs="宋体"/>
                <w:bCs/>
                <w:color w:val="auto"/>
                <w:szCs w:val="21"/>
                <w:highlight w:val="none"/>
              </w:rPr>
              <w:t>得 2.2-3分，</w:t>
            </w:r>
            <w:r>
              <w:rPr>
                <w:rFonts w:hint="eastAsia" w:ascii="宋体" w:hAnsi="宋体" w:cs="宋体"/>
                <w:color w:val="auto"/>
                <w:szCs w:val="21"/>
                <w:highlight w:val="none"/>
              </w:rPr>
              <w:t>方案基本合理可行，基本符合采购人需求</w:t>
            </w:r>
            <w:r>
              <w:rPr>
                <w:rFonts w:hint="eastAsia" w:ascii="宋体" w:hAnsi="宋体" w:cs="宋体"/>
                <w:bCs/>
                <w:color w:val="auto"/>
                <w:szCs w:val="21"/>
                <w:highlight w:val="none"/>
              </w:rPr>
              <w:t>的得1.8-2.2分，</w:t>
            </w:r>
            <w:r>
              <w:rPr>
                <w:rFonts w:hint="eastAsia" w:ascii="宋体" w:hAnsi="宋体" w:cs="宋体"/>
                <w:color w:val="auto"/>
                <w:szCs w:val="21"/>
                <w:highlight w:val="none"/>
              </w:rPr>
              <w:t>方案有缺陷，不能完全满足采购人需求的</w:t>
            </w:r>
            <w:r>
              <w:rPr>
                <w:rFonts w:hint="eastAsia" w:ascii="宋体" w:hAnsi="宋体" w:cs="宋体"/>
                <w:bCs/>
                <w:color w:val="auto"/>
                <w:szCs w:val="21"/>
                <w:highlight w:val="none"/>
              </w:rPr>
              <w:t>得1-1.8分，内容不完整的得0-1分。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89" w:type="dxa"/>
            <w:vMerge w:val="continue"/>
            <w:vAlign w:val="center"/>
          </w:tcPr>
          <w:p>
            <w:pPr>
              <w:spacing w:line="400" w:lineRule="exact"/>
              <w:rPr>
                <w:rFonts w:ascii="宋体" w:hAnsi="宋体" w:cs="宋体"/>
                <w:color w:val="auto"/>
                <w:szCs w:val="21"/>
                <w:highlight w:val="none"/>
              </w:rPr>
            </w:pPr>
          </w:p>
        </w:tc>
        <w:tc>
          <w:tcPr>
            <w:tcW w:w="1382" w:type="dxa"/>
            <w:gridSpan w:val="2"/>
            <w:vMerge w:val="continue"/>
            <w:vAlign w:val="center"/>
          </w:tcPr>
          <w:p>
            <w:pPr>
              <w:spacing w:line="400" w:lineRule="exact"/>
              <w:rPr>
                <w:rFonts w:ascii="宋体" w:hAnsi="宋体" w:cs="宋体"/>
                <w:color w:val="auto"/>
                <w:szCs w:val="21"/>
                <w:highlight w:val="none"/>
              </w:rPr>
            </w:pPr>
          </w:p>
        </w:tc>
        <w:tc>
          <w:tcPr>
            <w:tcW w:w="7634" w:type="dxa"/>
            <w:vAlign w:val="center"/>
          </w:tcPr>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投标人根据招标内容对指挥中心装修建设方案及机房装修建设进行深化设计，在投标文件中进行体现。</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深化设计</w:t>
            </w:r>
            <w:r>
              <w:rPr>
                <w:rFonts w:hint="eastAsia" w:ascii="宋体" w:hAnsi="宋体" w:cs="宋体"/>
                <w:color w:val="auto"/>
                <w:szCs w:val="21"/>
                <w:highlight w:val="none"/>
              </w:rPr>
              <w:t>方案成熟、完整、易操作，且符合采购人需求的</w:t>
            </w:r>
            <w:r>
              <w:rPr>
                <w:rFonts w:hint="eastAsia" w:ascii="宋体" w:hAnsi="宋体" w:cs="宋体"/>
                <w:bCs/>
                <w:color w:val="auto"/>
                <w:szCs w:val="21"/>
                <w:highlight w:val="none"/>
              </w:rPr>
              <w:t>得 4-5分，</w:t>
            </w:r>
            <w:r>
              <w:rPr>
                <w:rFonts w:hint="eastAsia" w:ascii="宋体" w:hAnsi="宋体" w:cs="宋体"/>
                <w:color w:val="auto"/>
                <w:szCs w:val="21"/>
                <w:highlight w:val="none"/>
              </w:rPr>
              <w:t>方案基本合理可行，基本符合采购人需求</w:t>
            </w:r>
            <w:r>
              <w:rPr>
                <w:rFonts w:hint="eastAsia" w:ascii="宋体" w:hAnsi="宋体" w:cs="宋体"/>
                <w:bCs/>
                <w:color w:val="auto"/>
                <w:szCs w:val="21"/>
                <w:highlight w:val="none"/>
              </w:rPr>
              <w:t>的得3-4分，</w:t>
            </w:r>
            <w:r>
              <w:rPr>
                <w:rFonts w:hint="eastAsia" w:ascii="宋体" w:hAnsi="宋体" w:cs="宋体"/>
                <w:color w:val="auto"/>
                <w:szCs w:val="21"/>
                <w:highlight w:val="none"/>
              </w:rPr>
              <w:t>方案有缺陷，不能完全满足采购人需求的</w:t>
            </w:r>
            <w:r>
              <w:rPr>
                <w:rFonts w:hint="eastAsia" w:ascii="宋体" w:hAnsi="宋体" w:cs="宋体"/>
                <w:bCs/>
                <w:color w:val="auto"/>
                <w:szCs w:val="21"/>
                <w:highlight w:val="none"/>
              </w:rPr>
              <w:t>得2-3分，内容不完整的得0-2分。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2、投标产品与需求的吻合程度：</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根据提供的对招标文件中技术指标项和需求进行实质应答的吻合程度和偏差情况。</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全部满足或者优于招标要求的得1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分，打“★”条款存在实质性负偏离1条扣1分，其他条款实质性负偏离1条扣0.5分，扣完为止，实质性负偏离（含响应不明确）由评委会集体评定。</w:t>
            </w:r>
          </w:p>
        </w:tc>
        <w:tc>
          <w:tcPr>
            <w:tcW w:w="756"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cs="宋体"/>
                <w:b/>
                <w:color w:val="auto"/>
                <w:szCs w:val="21"/>
                <w:highlight w:val="none"/>
              </w:rPr>
            </w:pPr>
            <w:bookmarkStart w:id="92" w:name="_Hlk46065204"/>
            <w:r>
              <w:rPr>
                <w:rFonts w:hint="eastAsia" w:ascii="宋体" w:hAnsi="宋体" w:cs="宋体"/>
                <w:b/>
                <w:color w:val="auto"/>
                <w:szCs w:val="21"/>
                <w:highlight w:val="none"/>
              </w:rPr>
              <w:t>3、</w:t>
            </w:r>
            <w:bookmarkEnd w:id="92"/>
            <w:r>
              <w:rPr>
                <w:rFonts w:hint="eastAsia" w:ascii="宋体" w:hAnsi="宋体" w:cs="宋体"/>
                <w:b/>
                <w:color w:val="auto"/>
                <w:szCs w:val="21"/>
                <w:highlight w:val="none"/>
              </w:rPr>
              <w:t>设备保险：</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提供项目中关键设备（智慧烟感、智慧温感、智能充电桩、用户信息传输装置智慧用电等）生产厂家为其产品提供产品责任综合险投保服务，每提供一种产品的保险凭证得 0.5 分；</w:t>
            </w:r>
          </w:p>
          <w:p>
            <w:pPr>
              <w:spacing w:line="400" w:lineRule="exact"/>
              <w:rPr>
                <w:rFonts w:ascii="宋体" w:hAnsi="宋体" w:cs="宋体"/>
                <w:b/>
                <w:color w:val="auto"/>
                <w:szCs w:val="21"/>
                <w:highlight w:val="none"/>
              </w:rPr>
            </w:pPr>
            <w:r>
              <w:rPr>
                <w:rFonts w:hint="eastAsia" w:ascii="宋体" w:hAnsi="宋体" w:cs="宋体"/>
                <w:bCs/>
                <w:color w:val="auto"/>
                <w:szCs w:val="21"/>
                <w:highlight w:val="none"/>
              </w:rPr>
              <w:t>（投标文件中须提供有效的复印件并加盖供应商公章）</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cs="宋体"/>
                <w:b/>
                <w:color w:val="auto"/>
                <w:szCs w:val="21"/>
                <w:highlight w:val="none"/>
              </w:rPr>
            </w:pPr>
            <w:bookmarkStart w:id="93" w:name="_Hlk46065210"/>
            <w:r>
              <w:rPr>
                <w:rFonts w:hint="eastAsia" w:ascii="宋体" w:hAnsi="宋体" w:cs="宋体"/>
                <w:b/>
                <w:color w:val="auto"/>
                <w:szCs w:val="21"/>
                <w:highlight w:val="none"/>
              </w:rPr>
              <w:t>4、质保服务承诺书</w:t>
            </w:r>
            <w:bookmarkEnd w:id="93"/>
            <w:r>
              <w:rPr>
                <w:rFonts w:hint="eastAsia" w:ascii="宋体" w:hAnsi="宋体" w:cs="宋体"/>
                <w:b/>
                <w:color w:val="auto"/>
                <w:szCs w:val="21"/>
                <w:highlight w:val="none"/>
              </w:rPr>
              <w:t>：</w:t>
            </w:r>
          </w:p>
          <w:p>
            <w:pPr>
              <w:spacing w:line="400" w:lineRule="exact"/>
              <w:rPr>
                <w:rFonts w:hint="eastAsia" w:ascii="宋体" w:hAnsi="宋体" w:cs="宋体"/>
                <w:bCs/>
                <w:color w:val="auto"/>
                <w:szCs w:val="21"/>
                <w:highlight w:val="none"/>
              </w:rPr>
            </w:pPr>
            <w:r>
              <w:rPr>
                <w:rFonts w:hint="eastAsia" w:ascii="宋体" w:hAnsi="宋体" w:cs="宋体"/>
                <w:color w:val="auto"/>
                <w:highlight w:val="none"/>
                <w:shd w:val="clear" w:color="auto" w:fill="FFFFFF"/>
              </w:rPr>
              <w:t>提供制造商针对本项目的</w:t>
            </w:r>
            <w:r>
              <w:rPr>
                <w:rFonts w:hint="eastAsia" w:ascii="宋体" w:hAnsi="宋体" w:cs="宋体"/>
                <w:color w:val="auto"/>
                <w:highlight w:val="none"/>
                <w:shd w:val="clear" w:color="auto" w:fill="FFFFFF"/>
                <w:lang w:val="en-US" w:eastAsia="zh-CN"/>
              </w:rPr>
              <w:t>所有</w:t>
            </w:r>
            <w:r>
              <w:rPr>
                <w:rFonts w:hint="eastAsia" w:ascii="宋体" w:hAnsi="宋体" w:cs="宋体"/>
                <w:color w:val="auto"/>
                <w:highlight w:val="none"/>
                <w:shd w:val="clear" w:color="auto" w:fill="FFFFFF"/>
              </w:rPr>
              <w:t>重要设备作出的三年及以上免费质保及运维服务</w:t>
            </w:r>
            <w:r>
              <w:rPr>
                <w:rFonts w:hint="eastAsia" w:ascii="宋体" w:hAnsi="宋体" w:cs="宋体"/>
                <w:color w:val="auto"/>
                <w:highlight w:val="none"/>
                <w:shd w:val="clear" w:color="auto" w:fill="FFFFFF"/>
                <w:lang w:val="en-US" w:eastAsia="zh-CN"/>
              </w:rPr>
              <w:t>[须提供相关证明材料]的得3分，未提供证明材料或提供的证明材料不完整、不一致的不得分。</w:t>
            </w: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备注：重要设备为：前端物联网感知设备、安全设备、视频图像信息管理平台及存储设备</w:t>
            </w:r>
          </w:p>
        </w:tc>
        <w:tc>
          <w:tcPr>
            <w:tcW w:w="756" w:type="dxa"/>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1370" w:type="dxa"/>
            <w:vMerge w:val="restart"/>
            <w:vAlign w:val="center"/>
          </w:tcPr>
          <w:p>
            <w:pPr>
              <w:spacing w:line="400" w:lineRule="exact"/>
              <w:rPr>
                <w:rFonts w:ascii="宋体" w:hAnsi="宋体" w:cs="宋体"/>
                <w:bCs/>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bookmarkStart w:id="94" w:name="_Hlk41853113"/>
            <w:r>
              <w:rPr>
                <w:rFonts w:hint="eastAsia" w:ascii="宋体" w:hAnsi="宋体" w:cs="宋体"/>
                <w:b/>
                <w:color w:val="auto"/>
                <w:szCs w:val="21"/>
                <w:highlight w:val="none"/>
              </w:rPr>
              <w:t>实施方案</w:t>
            </w:r>
            <w:bookmarkEnd w:id="94"/>
          </w:p>
        </w:tc>
        <w:tc>
          <w:tcPr>
            <w:tcW w:w="7646"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针对本项目的组织实施方案包括但不限于实施计划及进度、人员配备、测试验收方案等内容进行综合评议。实施方案详细、考虑周全、进度计划安排合理可行，人员配备实力较强，测试验收方案符合实际，且符合采购人需求的得3-4分；实施方案基本合理，进度计划、人员配备、测试验收方案合理的，基本符合采购人需求的得2</w:t>
            </w:r>
            <w:r>
              <w:rPr>
                <w:rFonts w:ascii="宋体" w:hAnsi="宋体" w:cs="宋体"/>
                <w:color w:val="auto"/>
                <w:szCs w:val="21"/>
                <w:highlight w:val="none"/>
              </w:rPr>
              <w:t>-</w:t>
            </w:r>
            <w:r>
              <w:rPr>
                <w:rFonts w:hint="eastAsia" w:ascii="宋体" w:hAnsi="宋体" w:cs="宋体"/>
                <w:color w:val="auto"/>
                <w:szCs w:val="21"/>
                <w:highlight w:val="none"/>
              </w:rPr>
              <w:t>3分；实施方案有缺陷，不能完全满足采购人需求的得0</w:t>
            </w:r>
            <w:r>
              <w:rPr>
                <w:rFonts w:ascii="宋体" w:hAnsi="宋体" w:cs="宋体"/>
                <w:color w:val="auto"/>
                <w:szCs w:val="21"/>
                <w:highlight w:val="none"/>
              </w:rPr>
              <w:t>-</w:t>
            </w:r>
            <w:r>
              <w:rPr>
                <w:rFonts w:hint="eastAsia" w:ascii="宋体" w:hAnsi="宋体" w:cs="宋体"/>
                <w:color w:val="auto"/>
                <w:szCs w:val="21"/>
                <w:highlight w:val="none"/>
              </w:rPr>
              <w:t>2分。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89" w:type="dxa"/>
            <w:vMerge w:val="continue"/>
            <w:vAlign w:val="center"/>
          </w:tcPr>
          <w:p>
            <w:pPr>
              <w:spacing w:line="400" w:lineRule="exact"/>
              <w:rPr>
                <w:color w:val="auto"/>
                <w:highlight w:val="none"/>
              </w:rPr>
            </w:pPr>
          </w:p>
        </w:tc>
        <w:tc>
          <w:tcPr>
            <w:tcW w:w="1370" w:type="dxa"/>
            <w:vMerge w:val="continue"/>
            <w:vAlign w:val="center"/>
          </w:tcPr>
          <w:p>
            <w:pPr>
              <w:spacing w:line="400" w:lineRule="exact"/>
              <w:rPr>
                <w:color w:val="auto"/>
                <w:highlight w:val="none"/>
              </w:rPr>
            </w:pPr>
          </w:p>
        </w:tc>
        <w:tc>
          <w:tcPr>
            <w:tcW w:w="7646"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提供的管控措施，包括但不限于质量控制、进度控制、风险控制等内容是否科学合理的情况进行综合评议。管控措施周全，合理可行，且符合采购人需求的得3-5分；措施基本完善，合理可行，基本满足采购人需求的得1-3分；管控措施有缺陷，不能完全满足采购人需求的得</w:t>
            </w:r>
            <w:r>
              <w:rPr>
                <w:rFonts w:ascii="宋体" w:hAnsi="宋体" w:cs="宋体"/>
                <w:color w:val="auto"/>
                <w:szCs w:val="21"/>
                <w:highlight w:val="none"/>
              </w:rPr>
              <w:t>1-0</w:t>
            </w:r>
            <w:r>
              <w:rPr>
                <w:rFonts w:hint="eastAsia" w:ascii="宋体" w:hAnsi="宋体" w:cs="宋体"/>
                <w:color w:val="auto"/>
                <w:szCs w:val="21"/>
                <w:highlight w:val="none"/>
              </w:rPr>
              <w:t>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1370" w:type="dxa"/>
            <w:vMerge w:val="restart"/>
            <w:vAlign w:val="center"/>
          </w:tcPr>
          <w:p>
            <w:pPr>
              <w:spacing w:line="276" w:lineRule="auto"/>
              <w:jc w:val="left"/>
              <w:rPr>
                <w:rFonts w:ascii="宋体" w:hAnsi="宋体" w:cs="宋体"/>
                <w:color w:val="auto"/>
                <w:szCs w:val="21"/>
                <w:highlight w:val="none"/>
              </w:rPr>
            </w:pPr>
            <w:r>
              <w:rPr>
                <w:rFonts w:hint="eastAsia" w:ascii="宋体" w:hAnsi="宋体"/>
                <w:b/>
                <w:color w:val="auto"/>
                <w:szCs w:val="21"/>
                <w:highlight w:val="none"/>
              </w:rPr>
              <w:t>6、售后服务方案</w:t>
            </w:r>
          </w:p>
        </w:tc>
        <w:tc>
          <w:tcPr>
            <w:tcW w:w="7646"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根据供应商针对本项目提供的运维服务方案（包括但不限于服务响应时间、响应程度、服务内容、解决问题的能力、紧急故障处理预案、技术指导等）进行综合评议。</w:t>
            </w:r>
            <w:r>
              <w:rPr>
                <w:rFonts w:hint="eastAsia" w:ascii="宋体" w:hAnsi="宋体"/>
                <w:bCs/>
                <w:color w:val="auto"/>
                <w:szCs w:val="21"/>
                <w:highlight w:val="none"/>
              </w:rPr>
              <w:t>服务方案科学合理，服务响应速度快、便捷，</w:t>
            </w:r>
            <w:r>
              <w:rPr>
                <w:rFonts w:hint="eastAsia" w:ascii="宋体" w:hAnsi="宋体"/>
                <w:color w:val="auto"/>
                <w:szCs w:val="21"/>
                <w:highlight w:val="none"/>
              </w:rPr>
              <w:t>技术指导人员素质高、经验丰富</w:t>
            </w:r>
            <w:r>
              <w:rPr>
                <w:rFonts w:hint="eastAsia" w:ascii="宋体" w:hAnsi="宋体"/>
                <w:bCs/>
                <w:color w:val="auto"/>
                <w:szCs w:val="21"/>
                <w:highlight w:val="none"/>
              </w:rPr>
              <w:t>的，能够满足采购人需求的得3-4分；服务方案基本合理，服务响应较快，</w:t>
            </w:r>
            <w:r>
              <w:rPr>
                <w:rFonts w:hint="eastAsia" w:ascii="宋体" w:hAnsi="宋体"/>
                <w:color w:val="auto"/>
                <w:szCs w:val="21"/>
                <w:highlight w:val="none"/>
              </w:rPr>
              <w:t>技术指导人员有一定的经验</w:t>
            </w:r>
            <w:r>
              <w:rPr>
                <w:rFonts w:hint="eastAsia" w:ascii="宋体" w:hAnsi="宋体"/>
                <w:bCs/>
                <w:color w:val="auto"/>
                <w:szCs w:val="21"/>
                <w:highlight w:val="none"/>
              </w:rPr>
              <w:t>的，</w:t>
            </w:r>
            <w:r>
              <w:rPr>
                <w:rFonts w:hint="eastAsia" w:ascii="宋体" w:hAnsi="宋体" w:cs="宋体"/>
                <w:color w:val="auto"/>
                <w:szCs w:val="21"/>
                <w:highlight w:val="none"/>
              </w:rPr>
              <w:t>基本符合采购人需求的得2-3分；</w:t>
            </w:r>
            <w:r>
              <w:rPr>
                <w:rFonts w:hint="eastAsia" w:ascii="宋体" w:hAnsi="宋体"/>
                <w:bCs/>
                <w:color w:val="auto"/>
                <w:szCs w:val="21"/>
                <w:highlight w:val="none"/>
              </w:rPr>
              <w:t>服务方案</w:t>
            </w:r>
            <w:r>
              <w:rPr>
                <w:rFonts w:hint="eastAsia" w:ascii="宋体" w:hAnsi="宋体" w:cs="宋体"/>
                <w:color w:val="auto"/>
                <w:szCs w:val="21"/>
                <w:highlight w:val="none"/>
              </w:rPr>
              <w:t>有缺陷，不能完全满足采购人需求的得0-2分。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589" w:type="dxa"/>
            <w:vMerge w:val="continue"/>
            <w:vAlign w:val="center"/>
          </w:tcPr>
          <w:p>
            <w:pPr>
              <w:spacing w:line="400" w:lineRule="exact"/>
              <w:rPr>
                <w:color w:val="auto"/>
                <w:highlight w:val="none"/>
              </w:rPr>
            </w:pPr>
          </w:p>
        </w:tc>
        <w:tc>
          <w:tcPr>
            <w:tcW w:w="1370" w:type="dxa"/>
            <w:vMerge w:val="continue"/>
            <w:vAlign w:val="center"/>
          </w:tcPr>
          <w:p>
            <w:pPr>
              <w:spacing w:line="400" w:lineRule="exact"/>
              <w:rPr>
                <w:color w:val="auto"/>
                <w:highlight w:val="none"/>
              </w:rPr>
            </w:pPr>
          </w:p>
        </w:tc>
        <w:tc>
          <w:tcPr>
            <w:tcW w:w="7646"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根据供应商提供的运维服务方案中的服务设施和服务团队进行综合评议。服务设施齐全，服务团队人员素质较高、经验丰富的，</w:t>
            </w:r>
            <w:r>
              <w:rPr>
                <w:rFonts w:hint="eastAsia" w:ascii="宋体" w:hAnsi="宋体"/>
                <w:bCs/>
                <w:color w:val="auto"/>
                <w:szCs w:val="21"/>
                <w:highlight w:val="none"/>
              </w:rPr>
              <w:t>能够满足采购人需求的得3-4分；</w:t>
            </w:r>
            <w:r>
              <w:rPr>
                <w:rFonts w:hint="eastAsia" w:ascii="宋体" w:hAnsi="宋体" w:cs="宋体"/>
                <w:color w:val="auto"/>
                <w:szCs w:val="21"/>
                <w:highlight w:val="none"/>
              </w:rPr>
              <w:t>服务设施基本齐全，服务团队人员有一定经验的，基本符合采购人需求的得2-3分</w:t>
            </w:r>
            <w:r>
              <w:rPr>
                <w:rFonts w:hint="eastAsia" w:ascii="宋体" w:hAnsi="宋体"/>
                <w:bCs/>
                <w:color w:val="auto"/>
                <w:szCs w:val="21"/>
                <w:highlight w:val="none"/>
              </w:rPr>
              <w:t>；服务设施不足，不能完全</w:t>
            </w:r>
            <w:r>
              <w:rPr>
                <w:rFonts w:hint="eastAsia" w:ascii="宋体" w:hAnsi="宋体" w:cs="宋体"/>
                <w:color w:val="auto"/>
                <w:szCs w:val="21"/>
                <w:highlight w:val="none"/>
              </w:rPr>
              <w:t>满足采购人需求的得0-2分。</w:t>
            </w:r>
          </w:p>
        </w:tc>
        <w:tc>
          <w:tcPr>
            <w:tcW w:w="756" w:type="dxa"/>
            <w:vAlign w:val="center"/>
          </w:tcPr>
          <w:p>
            <w:pPr>
              <w:spacing w:line="400" w:lineRule="exac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589" w:type="dxa"/>
            <w:vMerge w:val="continue"/>
            <w:vAlign w:val="center"/>
          </w:tcPr>
          <w:p>
            <w:pPr>
              <w:spacing w:line="400" w:lineRule="exact"/>
              <w:rPr>
                <w:rFonts w:ascii="宋体" w:hAnsi="宋体"/>
                <w:bCs/>
                <w:color w:val="auto"/>
                <w:szCs w:val="21"/>
                <w:highlight w:val="none"/>
              </w:rPr>
            </w:pPr>
          </w:p>
        </w:tc>
        <w:tc>
          <w:tcPr>
            <w:tcW w:w="1370" w:type="dxa"/>
            <w:vMerge w:val="continue"/>
            <w:vAlign w:val="center"/>
          </w:tcPr>
          <w:p>
            <w:pPr>
              <w:spacing w:line="400" w:lineRule="exact"/>
              <w:rPr>
                <w:rFonts w:ascii="宋体" w:hAnsi="宋体"/>
                <w:bCs/>
                <w:color w:val="auto"/>
                <w:szCs w:val="21"/>
                <w:highlight w:val="none"/>
              </w:rPr>
            </w:pPr>
          </w:p>
        </w:tc>
        <w:tc>
          <w:tcPr>
            <w:tcW w:w="7646" w:type="dxa"/>
            <w:gridSpan w:val="2"/>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提供的培训方案的完整性、合理性及可操作性进行综合评议。培训方案科学、合理、可行的得3-4分；培训方案基本合理，基本符合采购人需求的得2-3分；训方案有缺陷，不能完全满足采购人需求的得0-2分。</w:t>
            </w:r>
          </w:p>
        </w:tc>
        <w:tc>
          <w:tcPr>
            <w:tcW w:w="756" w:type="dxa"/>
            <w:vAlign w:val="center"/>
          </w:tcPr>
          <w:p>
            <w:pPr>
              <w:spacing w:line="400" w:lineRule="exact"/>
              <w:jc w:val="center"/>
              <w:rPr>
                <w:rFonts w:ascii="宋体" w:hAnsi="宋体"/>
                <w:bCs/>
                <w:color w:val="auto"/>
                <w:szCs w:val="21"/>
                <w:highlight w:val="none"/>
              </w:rPr>
            </w:pPr>
            <w:r>
              <w:rPr>
                <w:rFonts w:hint="eastAsia" w:ascii="宋体" w:hAnsi="宋体"/>
                <w:bCs/>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7、光纤链路资源情况：</w:t>
            </w:r>
          </w:p>
          <w:p>
            <w:pPr>
              <w:spacing w:line="400" w:lineRule="exact"/>
              <w:rPr>
                <w:color w:val="auto"/>
                <w:highlight w:val="none"/>
              </w:rPr>
            </w:pPr>
            <w:r>
              <w:rPr>
                <w:rFonts w:hint="eastAsia"/>
                <w:color w:val="auto"/>
                <w:highlight w:val="none"/>
              </w:rPr>
              <w:t>根据供应商针对本项目所涉及的链路资源覆盖情况、覆盖资源便利性、完整性进行评审。</w:t>
            </w:r>
          </w:p>
          <w:p>
            <w:pPr>
              <w:spacing w:line="400" w:lineRule="exact"/>
              <w:rPr>
                <w:color w:val="auto"/>
                <w:highlight w:val="none"/>
              </w:rPr>
            </w:pPr>
            <w:r>
              <w:rPr>
                <w:rFonts w:hint="eastAsia"/>
                <w:color w:val="auto"/>
                <w:highlight w:val="none"/>
              </w:rPr>
              <w:t xml:space="preserve">链路资源覆盖完整，实施便利：2-3分；  </w:t>
            </w:r>
          </w:p>
          <w:p>
            <w:pPr>
              <w:spacing w:line="400" w:lineRule="exact"/>
              <w:rPr>
                <w:color w:val="auto"/>
                <w:highlight w:val="none"/>
              </w:rPr>
            </w:pPr>
            <w:r>
              <w:rPr>
                <w:rFonts w:hint="eastAsia"/>
                <w:color w:val="auto"/>
                <w:highlight w:val="none"/>
              </w:rPr>
              <w:t>链路资源覆盖较完整，实施较为便利：1-2分；</w:t>
            </w:r>
          </w:p>
          <w:p>
            <w:pPr>
              <w:spacing w:line="400" w:lineRule="exact"/>
              <w:rPr>
                <w:color w:val="auto"/>
                <w:highlight w:val="none"/>
              </w:rPr>
            </w:pPr>
            <w:r>
              <w:rPr>
                <w:rFonts w:hint="eastAsia"/>
                <w:color w:val="auto"/>
                <w:highlight w:val="none"/>
              </w:rPr>
              <w:t>链路资源覆盖一般：0-1分；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8、</w:t>
            </w:r>
            <w:bookmarkStart w:id="95" w:name="_Hlk41853198"/>
            <w:r>
              <w:rPr>
                <w:rFonts w:hint="eastAsia" w:ascii="宋体" w:hAnsi="宋体" w:cs="宋体"/>
                <w:b/>
                <w:color w:val="auto"/>
                <w:szCs w:val="21"/>
                <w:highlight w:val="none"/>
              </w:rPr>
              <w:t>合理化建议</w:t>
            </w:r>
            <w:bookmarkEnd w:id="95"/>
            <w:r>
              <w:rPr>
                <w:rFonts w:hint="eastAsia" w:ascii="宋体" w:hAnsi="宋体" w:cs="宋体"/>
                <w:b/>
                <w:color w:val="auto"/>
                <w:szCs w:val="21"/>
                <w:highlight w:val="none"/>
              </w:rPr>
              <w:t>：</w:t>
            </w:r>
          </w:p>
          <w:p>
            <w:pPr>
              <w:spacing w:line="400" w:lineRule="exact"/>
              <w:rPr>
                <w:rFonts w:hAnsi="宋体" w:cs="宋体"/>
                <w:color w:val="auto"/>
                <w:szCs w:val="21"/>
                <w:highlight w:val="none"/>
              </w:rPr>
            </w:pPr>
            <w:r>
              <w:rPr>
                <w:rFonts w:hint="eastAsia" w:hAnsi="宋体" w:cs="宋体"/>
                <w:color w:val="auto"/>
                <w:szCs w:val="21"/>
                <w:highlight w:val="none"/>
              </w:rPr>
              <w:t>根据供应商提供的与本项目相关的合理化建议进行综合评分</w:t>
            </w:r>
          </w:p>
          <w:p>
            <w:pPr>
              <w:spacing w:line="400" w:lineRule="exact"/>
              <w:rPr>
                <w:rFonts w:hAnsi="宋体" w:cs="宋体"/>
                <w:color w:val="auto"/>
                <w:szCs w:val="21"/>
                <w:highlight w:val="none"/>
              </w:rPr>
            </w:pPr>
            <w:r>
              <w:rPr>
                <w:rFonts w:hint="eastAsia" w:hAnsi="宋体" w:cs="宋体"/>
                <w:color w:val="auto"/>
                <w:szCs w:val="21"/>
                <w:highlight w:val="none"/>
              </w:rPr>
              <w:t>建议合理且具有针对性和可行性，其他承诺完全</w:t>
            </w:r>
            <w:r>
              <w:rPr>
                <w:rFonts w:hint="eastAsia" w:ascii="宋体" w:hAnsi="宋体" w:cs="宋体"/>
                <w:color w:val="auto"/>
                <w:szCs w:val="21"/>
                <w:highlight w:val="none"/>
              </w:rPr>
              <w:t>满足采购人需求的得3</w:t>
            </w:r>
            <w:r>
              <w:rPr>
                <w:rFonts w:ascii="宋体" w:hAnsi="宋体" w:cs="宋体"/>
                <w:color w:val="auto"/>
                <w:szCs w:val="21"/>
                <w:highlight w:val="none"/>
              </w:rPr>
              <w:t>-2</w:t>
            </w:r>
            <w:r>
              <w:rPr>
                <w:rFonts w:hint="eastAsia" w:ascii="宋体" w:hAnsi="宋体" w:cs="宋体"/>
                <w:color w:val="auto"/>
                <w:szCs w:val="21"/>
                <w:highlight w:val="none"/>
              </w:rPr>
              <w:t>分；</w:t>
            </w:r>
          </w:p>
          <w:p>
            <w:pPr>
              <w:spacing w:line="400" w:lineRule="exact"/>
              <w:rPr>
                <w:rFonts w:ascii="宋体" w:hAnsi="宋体" w:cs="宋体"/>
                <w:color w:val="auto"/>
                <w:szCs w:val="21"/>
                <w:highlight w:val="none"/>
              </w:rPr>
            </w:pPr>
            <w:r>
              <w:rPr>
                <w:rFonts w:hint="eastAsia" w:hAnsi="宋体" w:cs="宋体"/>
                <w:color w:val="auto"/>
                <w:szCs w:val="21"/>
                <w:highlight w:val="none"/>
              </w:rPr>
              <w:t>建议基本合理可行，</w:t>
            </w:r>
            <w:r>
              <w:rPr>
                <w:rFonts w:hint="eastAsia" w:ascii="宋体" w:hAnsi="宋体" w:cs="宋体"/>
                <w:color w:val="auto"/>
                <w:szCs w:val="21"/>
                <w:highlight w:val="none"/>
              </w:rPr>
              <w:t>符合采购人需求的得</w:t>
            </w:r>
            <w:r>
              <w:rPr>
                <w:rFonts w:ascii="宋体" w:hAnsi="宋体" w:cs="宋体"/>
                <w:color w:val="auto"/>
                <w:szCs w:val="21"/>
                <w:highlight w:val="none"/>
              </w:rPr>
              <w:t>2-1</w:t>
            </w:r>
            <w:r>
              <w:rPr>
                <w:rFonts w:hint="eastAsia" w:ascii="宋体" w:hAnsi="宋体" w:cs="宋体"/>
                <w:color w:val="auto"/>
                <w:szCs w:val="21"/>
                <w:highlight w:val="none"/>
              </w:rPr>
              <w:t>分；</w:t>
            </w:r>
          </w:p>
          <w:p>
            <w:pPr>
              <w:spacing w:line="400" w:lineRule="exact"/>
              <w:rPr>
                <w:rFonts w:ascii="宋体" w:hAnsi="宋体" w:cs="宋体"/>
                <w:b/>
                <w:color w:val="auto"/>
                <w:szCs w:val="21"/>
                <w:highlight w:val="none"/>
              </w:rPr>
            </w:pPr>
            <w:r>
              <w:rPr>
                <w:rFonts w:hint="eastAsia" w:ascii="宋体" w:hAnsi="宋体" w:cs="宋体"/>
                <w:bCs/>
                <w:color w:val="auto"/>
                <w:szCs w:val="21"/>
                <w:highlight w:val="none"/>
              </w:rPr>
              <w:t>建议存在缺陷，不符合采购人需求的得</w:t>
            </w: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0</w:t>
            </w:r>
            <w:r>
              <w:rPr>
                <w:rFonts w:hint="eastAsia" w:ascii="宋体" w:hAnsi="宋体" w:cs="宋体"/>
                <w:bCs/>
                <w:color w:val="auto"/>
                <w:szCs w:val="21"/>
                <w:highlight w:val="none"/>
              </w:rPr>
              <w:t>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589" w:type="dxa"/>
            <w:vMerge w:val="restart"/>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商务分13</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w:t>
            </w:r>
          </w:p>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jc w:val="left"/>
              <w:rPr>
                <w:rFonts w:ascii="宋体" w:hAnsi="宋体"/>
                <w:b/>
                <w:color w:val="auto"/>
                <w:szCs w:val="21"/>
                <w:highlight w:val="none"/>
              </w:rPr>
            </w:pPr>
            <w:r>
              <w:rPr>
                <w:rFonts w:hint="eastAsia" w:ascii="宋体" w:hAnsi="宋体"/>
                <w:b/>
                <w:color w:val="auto"/>
                <w:szCs w:val="21"/>
                <w:highlight w:val="none"/>
              </w:rPr>
              <w:t>9、企业实力：</w:t>
            </w:r>
          </w:p>
          <w:p>
            <w:pPr>
              <w:spacing w:line="400" w:lineRule="exact"/>
              <w:rPr>
                <w:rFonts w:ascii="宋体" w:hAnsi="宋体"/>
                <w:color w:val="auto"/>
                <w:szCs w:val="21"/>
                <w:highlight w:val="none"/>
              </w:rPr>
            </w:pPr>
            <w:r>
              <w:rPr>
                <w:rFonts w:hint="eastAsia" w:ascii="宋体" w:hAnsi="宋体"/>
                <w:color w:val="auto"/>
                <w:szCs w:val="21"/>
                <w:highlight w:val="none"/>
              </w:rPr>
              <w:t>（1）确保具有保护本项目通讯及信息业务系统集成相关的隐私信息管理能力，供应商通过ISO27701隐私信息管理体系认证得1分；</w:t>
            </w:r>
          </w:p>
          <w:p>
            <w:pPr>
              <w:spacing w:line="400" w:lineRule="exact"/>
              <w:rPr>
                <w:rFonts w:ascii="宋体" w:hAnsi="宋体"/>
                <w:color w:val="auto"/>
                <w:szCs w:val="21"/>
                <w:highlight w:val="none"/>
              </w:rPr>
            </w:pPr>
            <w:r>
              <w:rPr>
                <w:rFonts w:hint="eastAsia" w:ascii="宋体" w:hAnsi="宋体"/>
                <w:color w:val="auto"/>
                <w:szCs w:val="21"/>
                <w:highlight w:val="none"/>
              </w:rPr>
              <w:t>（2）确保具备对本项目通讯及通讯及信息业务系统集成相关的信息安全管理能力，供应商通过ISO27001信息安全管理体系认证得1分；</w:t>
            </w:r>
          </w:p>
          <w:p>
            <w:pPr>
              <w:spacing w:line="400" w:lineRule="exact"/>
              <w:rPr>
                <w:rFonts w:ascii="宋体" w:hAnsi="宋体"/>
                <w:color w:val="auto"/>
                <w:szCs w:val="21"/>
                <w:highlight w:val="none"/>
              </w:rPr>
            </w:pPr>
            <w:r>
              <w:rPr>
                <w:rFonts w:hint="eastAsia" w:ascii="宋体" w:hAnsi="宋体"/>
                <w:color w:val="auto"/>
                <w:szCs w:val="21"/>
                <w:highlight w:val="none"/>
              </w:rPr>
              <w:t>（3）确保具备对本项目提供通讯及信息业务相关的软硬件运维服务相关的信息技术服务管理能力的，供应商通过ISO20000信息技术服务管理体系认证得1分；</w:t>
            </w:r>
          </w:p>
          <w:p>
            <w:pPr>
              <w:spacing w:line="400" w:lineRule="exact"/>
              <w:rPr>
                <w:rFonts w:ascii="宋体" w:hAnsi="宋体"/>
                <w:color w:val="auto"/>
                <w:szCs w:val="21"/>
                <w:highlight w:val="none"/>
              </w:rPr>
            </w:pPr>
            <w:r>
              <w:rPr>
                <w:rFonts w:hint="eastAsia" w:ascii="宋体" w:hAnsi="宋体"/>
                <w:color w:val="auto"/>
                <w:szCs w:val="21"/>
                <w:highlight w:val="none"/>
              </w:rPr>
              <w:t>（4）确保具有保护本项目相关数据及软件成果知识产权的能力，供应商具有GB/T 29490知识产权管理体系认证证书的得1分；</w:t>
            </w:r>
          </w:p>
          <w:p>
            <w:pPr>
              <w:spacing w:line="400" w:lineRule="exact"/>
              <w:rPr>
                <w:rFonts w:ascii="宋体" w:hAnsi="宋体" w:cs="宋体"/>
                <w:b/>
                <w:color w:val="auto"/>
                <w:szCs w:val="21"/>
                <w:highlight w:val="none"/>
              </w:rPr>
            </w:pPr>
            <w:r>
              <w:rPr>
                <w:rFonts w:hint="eastAsia" w:ascii="宋体" w:hAnsi="宋体"/>
                <w:bCs/>
                <w:color w:val="auto"/>
                <w:szCs w:val="21"/>
                <w:highlight w:val="none"/>
              </w:rPr>
              <w:t>（供应商需在投标文件中提供有效期内的证书复印件并加盖单位公章）</w:t>
            </w:r>
          </w:p>
        </w:tc>
        <w:tc>
          <w:tcPr>
            <w:tcW w:w="756"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10、服务团队：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（1）本项目的项目负责人具备信息系统项目管理师和系统规划与管理师的，每个得1分；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项目组成员中（项目负责人除外）具有软件设计师、CISAW证书、CISP证书、信息系统项目管理师证书、系统架构设计师证书的，每提供一类证书的得1分，本项最多得5分（若1人同时具有多类证书，只计算其中一类）。（提供相关有效证明材料）</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说明：上述人员必须均为投标人在职员工，提供</w:t>
            </w:r>
            <w:r>
              <w:rPr>
                <w:rFonts w:hint="eastAsia" w:ascii="宋体" w:hAnsi="宋体" w:cs="宋体"/>
                <w:color w:val="auto"/>
                <w:szCs w:val="21"/>
                <w:highlight w:val="none"/>
                <w:lang w:val="en-US" w:eastAsia="zh-CN"/>
              </w:rPr>
              <w:t>服务团队</w:t>
            </w:r>
            <w:r>
              <w:rPr>
                <w:rFonts w:hint="eastAsia" w:ascii="宋体" w:hAnsi="宋体" w:cs="宋体"/>
                <w:color w:val="auto"/>
                <w:szCs w:val="21"/>
                <w:highlight w:val="none"/>
                <w:lang w:eastAsia="zh-CN"/>
              </w:rPr>
              <w:t>同</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关联关系的证明材料（如社保、合同、协议等）</w:t>
            </w:r>
            <w:r>
              <w:rPr>
                <w:rFonts w:hint="eastAsia" w:ascii="宋体" w:hAnsi="宋体" w:cs="宋体"/>
                <w:color w:val="auto"/>
                <w:szCs w:val="21"/>
                <w:highlight w:val="none"/>
              </w:rPr>
              <w:t>、有关证书进行评分，未提供或不符合以上条件不得分。</w:t>
            </w:r>
            <w:r>
              <w:rPr>
                <w:rFonts w:hint="eastAsia" w:ascii="宋体" w:hAnsi="宋体" w:cs="宋体"/>
                <w:color w:val="auto"/>
                <w:szCs w:val="21"/>
                <w:highlight w:val="none"/>
                <w:lang w:val="en-US" w:eastAsia="zh-CN"/>
              </w:rPr>
              <w:t>如为</w:t>
            </w:r>
            <w:r>
              <w:rPr>
                <w:rFonts w:hint="eastAsia" w:ascii="宋体" w:hAnsi="宋体" w:cs="宋体"/>
                <w:color w:val="auto"/>
                <w:szCs w:val="21"/>
                <w:highlight w:val="none"/>
              </w:rPr>
              <w:t>社保缴纳证明以社保机构出具的社保证明为准。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 w:type="dxa"/>
            <w:vMerge w:val="continue"/>
            <w:vAlign w:val="center"/>
          </w:tcPr>
          <w:p>
            <w:pPr>
              <w:spacing w:line="400" w:lineRule="exact"/>
              <w:jc w:val="center"/>
              <w:rPr>
                <w:rFonts w:ascii="宋体" w:hAnsi="宋体" w:cs="宋体"/>
                <w:color w:val="auto"/>
                <w:szCs w:val="21"/>
                <w:highlight w:val="none"/>
              </w:rPr>
            </w:pPr>
          </w:p>
        </w:tc>
        <w:tc>
          <w:tcPr>
            <w:tcW w:w="9016" w:type="dxa"/>
            <w:gridSpan w:val="3"/>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15、政策性因素加分（1分）：</w:t>
            </w:r>
          </w:p>
          <w:p>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pPr>
              <w:spacing w:line="400" w:lineRule="exact"/>
              <w:rPr>
                <w:rFonts w:ascii="宋体" w:hAnsi="宋体" w:cs="宋体"/>
                <w:b/>
                <w:color w:val="auto"/>
                <w:szCs w:val="21"/>
                <w:highlight w:val="none"/>
              </w:rPr>
            </w:pPr>
            <w:r>
              <w:rPr>
                <w:rFonts w:hint="eastAsia" w:ascii="宋体" w:hAnsi="宋体"/>
                <w:color w:val="auto"/>
                <w:szCs w:val="21"/>
                <w:highlight w:val="none"/>
              </w:rPr>
              <w:t>提供上述有效证书复印件加盖供应商公章，否则不得分。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05" w:type="dxa"/>
            <w:gridSpan w:val="4"/>
            <w:vAlign w:val="center"/>
          </w:tcPr>
          <w:p>
            <w:pPr>
              <w:spacing w:line="400" w:lineRule="exact"/>
              <w:jc w:val="center"/>
              <w:rPr>
                <w:rFonts w:ascii="宋体" w:hAnsi="宋体" w:cs="宋体"/>
                <w:b/>
                <w:color w:val="auto"/>
                <w:szCs w:val="21"/>
                <w:highlight w:val="none"/>
              </w:rPr>
            </w:pPr>
            <w:r>
              <w:rPr>
                <w:rFonts w:hint="eastAsia" w:ascii="宋体" w:hAnsi="宋体" w:cs="宋体"/>
                <w:b/>
                <w:snapToGrid w:val="0"/>
                <w:color w:val="auto"/>
                <w:szCs w:val="21"/>
                <w:highlight w:val="none"/>
              </w:rPr>
              <w:t>技术得分（</w:t>
            </w:r>
            <w:r>
              <w:rPr>
                <w:rFonts w:ascii="宋体" w:hAnsi="宋体" w:cs="宋体"/>
                <w:b/>
                <w:snapToGrid w:val="0"/>
                <w:color w:val="auto"/>
                <w:szCs w:val="21"/>
                <w:highlight w:val="none"/>
              </w:rPr>
              <w:t>8</w:t>
            </w:r>
            <w:r>
              <w:rPr>
                <w:rFonts w:hint="eastAsia" w:ascii="宋体" w:hAnsi="宋体" w:cs="宋体"/>
                <w:b/>
                <w:snapToGrid w:val="0"/>
                <w:color w:val="auto"/>
                <w:szCs w:val="21"/>
                <w:highlight w:val="none"/>
              </w:rPr>
              <w:t>5分）</w:t>
            </w:r>
          </w:p>
        </w:tc>
        <w:tc>
          <w:tcPr>
            <w:tcW w:w="75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85</w:t>
            </w:r>
          </w:p>
        </w:tc>
      </w:tr>
    </w:tbl>
    <w:p>
      <w:pPr>
        <w:spacing w:line="4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、以上分值重复的地方，下限不含，上限含。</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、表内要求提供的资料，未按要求提供的均不得分。</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评委签名：  </w:t>
      </w:r>
      <w:r>
        <w:rPr>
          <w:rFonts w:ascii="宋体" w:hAnsi="宋体"/>
          <w:color w:val="auto"/>
          <w:szCs w:val="21"/>
          <w:highlight w:val="none"/>
        </w:rPr>
        <w:t xml:space="preserve">                                                              </w:t>
      </w:r>
      <w:r>
        <w:rPr>
          <w:rFonts w:hint="eastAsia" w:ascii="宋体" w:hAnsi="宋体"/>
          <w:color w:val="auto"/>
          <w:szCs w:val="21"/>
          <w:highlight w:val="none"/>
        </w:rPr>
        <w:t xml:space="preserve">  年  月  日</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4</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836"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本次公开招标设有最高限价：</w:t>
            </w:r>
            <w:r>
              <w:rPr>
                <w:rFonts w:hint="eastAsia" w:ascii="宋体" w:hAnsi="宋体" w:cs="宋体"/>
                <w:bCs/>
                <w:color w:val="auto"/>
                <w:kern w:val="0"/>
                <w:szCs w:val="21"/>
                <w:highlight w:val="none"/>
              </w:rPr>
              <w:t>8159000</w:t>
            </w:r>
            <w:r>
              <w:rPr>
                <w:rFonts w:ascii="宋体" w:hAnsi="宋体"/>
                <w:color w:val="auto"/>
                <w:szCs w:val="21"/>
                <w:highlight w:val="none"/>
              </w:rPr>
              <w:t>元</w:t>
            </w:r>
            <w:r>
              <w:rPr>
                <w:rFonts w:hint="eastAsia" w:ascii="宋体" w:hAnsi="宋体"/>
                <w:color w:val="auto"/>
                <w:szCs w:val="21"/>
                <w:highlight w:val="none"/>
              </w:rPr>
              <w:t>；投标报价超出对应</w:t>
            </w:r>
            <w:r>
              <w:rPr>
                <w:rFonts w:hint="eastAsia" w:ascii="宋体" w:hAnsi="宋体"/>
                <w:color w:val="auto"/>
                <w:szCs w:val="21"/>
                <w:highlight w:val="none"/>
                <w:lang w:val="en-US" w:eastAsia="zh-CN"/>
              </w:rPr>
              <w:t>最高限价</w:t>
            </w:r>
            <w:r>
              <w:rPr>
                <w:rFonts w:hint="eastAsia" w:ascii="宋体" w:hAnsi="宋体"/>
                <w:color w:val="auto"/>
                <w:szCs w:val="21"/>
                <w:highlight w:val="none"/>
              </w:rPr>
              <w:t>的投标无效。</w:t>
            </w:r>
          </w:p>
        </w:tc>
        <w:tc>
          <w:tcPr>
            <w:tcW w:w="283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83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83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836" w:type="dxa"/>
            <w:vAlign w:val="center"/>
          </w:tcPr>
          <w:p>
            <w:pPr>
              <w:spacing w:line="400" w:lineRule="exact"/>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ind w:firstLine="413" w:firstLineChars="196"/>
        <w:rPr>
          <w:rFonts w:ascii="宋体" w:hAnsi="宋体"/>
          <w:color w:val="auto"/>
          <w:szCs w:val="21"/>
          <w:highlight w:val="none"/>
        </w:rPr>
      </w:pPr>
      <w:r>
        <w:rPr>
          <w:rFonts w:hint="eastAsia" w:ascii="宋体" w:hAnsi="宋体"/>
          <w:b/>
          <w:color w:val="auto"/>
          <w:highlight w:val="none"/>
        </w:rPr>
        <w:t>2、序号2-序号4在政采云上无须添加关联点。</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p>
      <w:pPr>
        <w:spacing w:line="320" w:lineRule="exact"/>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CXZFCG[2022]993号</w:t>
      </w:r>
      <w:r>
        <w:rPr>
          <w:rFonts w:ascii="宋体" w:hAnsi="宋体"/>
          <w:b/>
          <w:color w:val="auto"/>
          <w:szCs w:val="21"/>
          <w:highlight w:val="none"/>
        </w:rPr>
        <w:t xml:space="preserve"> </w:t>
      </w:r>
    </w:p>
    <w:tbl>
      <w:tblPr>
        <w:tblStyle w:val="4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pPr>
              <w:spacing w:line="320" w:lineRule="exact"/>
              <w:ind w:firstLine="4410" w:firstLineChars="2100"/>
              <w:rPr>
                <w:rFonts w:ascii="宋体" w:hAnsi="宋体"/>
                <w:color w:val="auto"/>
                <w:szCs w:val="21"/>
                <w:highlight w:val="none"/>
              </w:rPr>
            </w:pPr>
            <w:r>
              <w:rPr>
                <w:rFonts w:hint="eastAsia" w:ascii="宋体" w:hAnsi="宋体"/>
                <w:color w:val="auto"/>
                <w:szCs w:val="21"/>
                <w:highlight w:val="none"/>
              </w:rPr>
              <w:t>供应商</w:t>
            </w:r>
          </w:p>
          <w:p>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1339" w:type="dxa"/>
            <w:vAlign w:val="center"/>
          </w:tcPr>
          <w:p>
            <w:pPr>
              <w:spacing w:line="32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价格分15分</w:t>
            </w:r>
          </w:p>
        </w:tc>
        <w:tc>
          <w:tcPr>
            <w:tcW w:w="7604" w:type="dxa"/>
            <w:vAlign w:val="center"/>
          </w:tcPr>
          <w:p>
            <w:pPr>
              <w:spacing w:line="340" w:lineRule="exact"/>
              <w:rPr>
                <w:rFonts w:ascii="宋体" w:hAnsi="宋体"/>
                <w:color w:val="auto"/>
                <w:szCs w:val="21"/>
                <w:highlight w:val="none"/>
              </w:rPr>
            </w:pPr>
            <w:r>
              <w:rPr>
                <w:rFonts w:hint="eastAsia" w:ascii="宋体" w:hAnsi="宋体"/>
                <w:color w:val="auto"/>
                <w:sz w:val="22"/>
                <w:szCs w:val="18"/>
                <w:highlight w:val="none"/>
              </w:rPr>
              <w:t>参与</w:t>
            </w:r>
            <w:r>
              <w:rPr>
                <w:rFonts w:hint="eastAsia" w:ascii="宋体" w:hAnsi="宋体"/>
                <w:color w:val="auto"/>
                <w:szCs w:val="21"/>
                <w:highlight w:val="none"/>
              </w:rPr>
              <w:t>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小微企业价格扣除优惠值10</w:t>
            </w:r>
            <w:r>
              <w:rPr>
                <w:rFonts w:ascii="宋体" w:hAnsi="宋体"/>
                <w:color w:val="auto"/>
                <w:szCs w:val="21"/>
                <w:highlight w:val="none"/>
              </w:rPr>
              <w:t>%</w:t>
            </w:r>
          </w:p>
          <w:p>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pPr>
              <w:spacing w:line="340" w:lineRule="exact"/>
              <w:rPr>
                <w:rFonts w:ascii="宋体" w:hAnsi="宋体"/>
                <w:color w:val="auto"/>
                <w:szCs w:val="21"/>
                <w:highlight w:val="none"/>
              </w:rPr>
            </w:pPr>
            <w:r>
              <w:rPr>
                <w:rFonts w:hint="eastAsia" w:ascii="宋体" w:hAnsi="宋体"/>
                <w:color w:val="auto"/>
                <w:szCs w:val="21"/>
                <w:highlight w:val="none"/>
              </w:rPr>
              <w:t>基准价得分为满分15分，其他供应商报价得分计算公式如下：</w:t>
            </w:r>
          </w:p>
          <w:p>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×15</w:t>
            </w:r>
          </w:p>
        </w:tc>
        <w:tc>
          <w:tcPr>
            <w:tcW w:w="1339" w:type="dxa"/>
            <w:vAlign w:val="center"/>
          </w:tcPr>
          <w:p>
            <w:pPr>
              <w:spacing w:line="32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pPr>
              <w:spacing w:line="320" w:lineRule="exact"/>
              <w:jc w:val="center"/>
              <w:rPr>
                <w:rFonts w:ascii="宋体" w:hAnsi="宋体"/>
                <w:color w:val="auto"/>
                <w:szCs w:val="21"/>
                <w:highlight w:val="none"/>
              </w:rPr>
            </w:pPr>
            <w:r>
              <w:rPr>
                <w:rFonts w:hint="eastAsia" w:ascii="宋体" w:hAnsi="宋体"/>
                <w:b/>
                <w:color w:val="auto"/>
                <w:szCs w:val="21"/>
                <w:highlight w:val="none"/>
              </w:rPr>
              <w:t>报价得分（15分）</w:t>
            </w:r>
          </w:p>
        </w:tc>
        <w:tc>
          <w:tcPr>
            <w:tcW w:w="1339" w:type="dxa"/>
            <w:vAlign w:val="center"/>
          </w:tcPr>
          <w:p>
            <w:pPr>
              <w:spacing w:line="320" w:lineRule="exact"/>
              <w:jc w:val="center"/>
              <w:rPr>
                <w:rFonts w:ascii="宋体" w:hAnsi="宋体"/>
                <w:color w:val="auto"/>
                <w:szCs w:val="21"/>
                <w:highlight w:val="none"/>
              </w:rPr>
            </w:pPr>
          </w:p>
        </w:tc>
      </w:tr>
    </w:tbl>
    <w:p>
      <w:pPr>
        <w:spacing w:line="400" w:lineRule="exact"/>
        <w:rPr>
          <w:rFonts w:ascii="宋体" w:hAnsi="宋体"/>
          <w:color w:val="auto"/>
          <w:sz w:val="28"/>
          <w:szCs w:val="28"/>
          <w:highlight w:val="none"/>
        </w:rPr>
      </w:pPr>
    </w:p>
    <w:p>
      <w:pPr>
        <w:jc w:val="center"/>
        <w:rPr>
          <w:rFonts w:ascii="宋体" w:hAnsi="宋体"/>
          <w:color w:val="auto"/>
          <w:sz w:val="28"/>
          <w:szCs w:val="28"/>
          <w:highlight w:val="none"/>
        </w:rPr>
        <w:sectPr>
          <w:pgSz w:w="11907" w:h="16840"/>
          <w:pgMar w:top="854" w:right="1275" w:bottom="993" w:left="1276" w:header="285" w:footer="616" w:gutter="0"/>
          <w:cols w:space="720" w:num="1"/>
          <w:docGrid w:linePitch="285" w:charSpace="0"/>
        </w:sectPr>
      </w:pPr>
    </w:p>
    <w:p>
      <w:pPr>
        <w:pStyle w:val="24"/>
        <w:snapToGrid w:val="0"/>
        <w:spacing w:line="400" w:lineRule="exact"/>
        <w:rPr>
          <w:rFonts w:hAnsi="宋体"/>
          <w:color w:val="auto"/>
          <w:sz w:val="21"/>
          <w:szCs w:val="21"/>
          <w:highlight w:val="none"/>
        </w:rPr>
      </w:pP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 xml:space="preserve">第四章 </w:t>
      </w:r>
      <w:r>
        <w:rPr>
          <w:rFonts w:ascii="宋体" w:hAnsi="宋体"/>
          <w:b/>
          <w:color w:val="auto"/>
          <w:sz w:val="32"/>
          <w:highlight w:val="none"/>
        </w:rPr>
        <w:t xml:space="preserve"> </w:t>
      </w:r>
      <w:r>
        <w:rPr>
          <w:rFonts w:hint="eastAsia" w:ascii="宋体" w:hAnsi="宋体"/>
          <w:b/>
          <w:color w:val="auto"/>
          <w:sz w:val="32"/>
          <w:highlight w:val="none"/>
        </w:rPr>
        <w:t>采购合同样本</w:t>
      </w:r>
    </w:p>
    <w:p>
      <w:pPr>
        <w:pStyle w:val="24"/>
        <w:snapToGrid w:val="0"/>
        <w:spacing w:line="400" w:lineRule="exact"/>
        <w:ind w:firstLine="658"/>
        <w:jc w:val="center"/>
        <w:rPr>
          <w:rFonts w:ascii="黑体" w:eastAsia="黑体"/>
          <w:b/>
          <w:color w:val="auto"/>
          <w:sz w:val="30"/>
          <w:highlight w:val="none"/>
        </w:rPr>
      </w:pPr>
      <w:r>
        <w:rPr>
          <w:rFonts w:hint="eastAsia" w:ascii="黑体" w:eastAsia="黑体"/>
          <w:b/>
          <w:color w:val="auto"/>
          <w:sz w:val="30"/>
          <w:highlight w:val="none"/>
        </w:rPr>
        <w:t>（本合同为合同样稿，最终稿由甲乙双方协商后确定）</w:t>
      </w:r>
    </w:p>
    <w:p>
      <w:pPr>
        <w:pStyle w:val="24"/>
        <w:snapToGrid w:val="0"/>
        <w:spacing w:line="360" w:lineRule="auto"/>
        <w:ind w:firstLine="939"/>
        <w:jc w:val="center"/>
        <w:rPr>
          <w:b/>
          <w:color w:val="auto"/>
          <w:sz w:val="44"/>
          <w:szCs w:val="44"/>
          <w:highlight w:val="none"/>
        </w:rPr>
      </w:pPr>
    </w:p>
    <w:p>
      <w:pPr>
        <w:pStyle w:val="24"/>
        <w:snapToGrid w:val="0"/>
        <w:spacing w:line="360" w:lineRule="auto"/>
        <w:ind w:firstLine="578"/>
        <w:jc w:val="center"/>
        <w:rPr>
          <w:b/>
          <w:color w:val="auto"/>
          <w:sz w:val="26"/>
          <w:szCs w:val="44"/>
          <w:highlight w:val="none"/>
        </w:rPr>
      </w:pPr>
      <w:r>
        <w:rPr>
          <w:rFonts w:hint="eastAsia"/>
          <w:b/>
          <w:color w:val="auto"/>
          <w:sz w:val="26"/>
          <w:szCs w:val="44"/>
          <w:highlight w:val="none"/>
        </w:rPr>
        <w:t>观海卫镇智慧安全监管服务平台一期项目</w:t>
      </w:r>
    </w:p>
    <w:p>
      <w:pPr>
        <w:pStyle w:val="24"/>
        <w:snapToGrid w:val="0"/>
        <w:spacing w:line="360" w:lineRule="auto"/>
        <w:ind w:firstLine="578"/>
        <w:jc w:val="center"/>
        <w:rPr>
          <w:b/>
          <w:color w:val="auto"/>
          <w:sz w:val="26"/>
          <w:szCs w:val="44"/>
          <w:highlight w:val="none"/>
        </w:rPr>
      </w:pPr>
    </w:p>
    <w:p>
      <w:pPr>
        <w:pStyle w:val="24"/>
        <w:snapToGrid w:val="0"/>
        <w:spacing w:line="360" w:lineRule="auto"/>
        <w:ind w:firstLine="819"/>
        <w:jc w:val="center"/>
        <w:rPr>
          <w:b/>
          <w:color w:val="auto"/>
          <w:sz w:val="38"/>
          <w:szCs w:val="44"/>
          <w:highlight w:val="none"/>
        </w:rPr>
      </w:pPr>
      <w:r>
        <w:rPr>
          <w:rFonts w:hint="eastAsia"/>
          <w:b/>
          <w:color w:val="auto"/>
          <w:sz w:val="38"/>
          <w:szCs w:val="44"/>
          <w:highlight w:val="none"/>
        </w:rPr>
        <w:t xml:space="preserve">合 </w:t>
      </w:r>
      <w:r>
        <w:rPr>
          <w:b/>
          <w:color w:val="auto"/>
          <w:sz w:val="38"/>
          <w:szCs w:val="44"/>
          <w:highlight w:val="none"/>
        </w:rPr>
        <w:t xml:space="preserve"> </w:t>
      </w:r>
      <w:r>
        <w:rPr>
          <w:rFonts w:hint="eastAsia"/>
          <w:b/>
          <w:color w:val="auto"/>
          <w:sz w:val="38"/>
          <w:szCs w:val="44"/>
          <w:highlight w:val="none"/>
        </w:rPr>
        <w:t>同</w:t>
      </w:r>
    </w:p>
    <w:p>
      <w:pPr>
        <w:pStyle w:val="24"/>
        <w:snapToGrid w:val="0"/>
        <w:spacing w:line="360" w:lineRule="auto"/>
        <w:ind w:firstLine="939"/>
        <w:jc w:val="center"/>
        <w:rPr>
          <w:b/>
          <w:color w:val="auto"/>
          <w:sz w:val="44"/>
          <w:szCs w:val="44"/>
          <w:highlight w:val="none"/>
        </w:rPr>
      </w:pPr>
    </w:p>
    <w:p>
      <w:pPr>
        <w:pStyle w:val="24"/>
        <w:snapToGrid w:val="0"/>
        <w:spacing w:line="360" w:lineRule="auto"/>
        <w:ind w:firstLine="939"/>
        <w:jc w:val="center"/>
        <w:rPr>
          <w:b/>
          <w:color w:val="auto"/>
          <w:sz w:val="44"/>
          <w:szCs w:val="44"/>
          <w:highlight w:val="none"/>
        </w:rPr>
      </w:pPr>
    </w:p>
    <w:p>
      <w:pPr>
        <w:pStyle w:val="24"/>
        <w:snapToGrid w:val="0"/>
        <w:spacing w:line="360" w:lineRule="auto"/>
        <w:ind w:firstLine="939"/>
        <w:jc w:val="center"/>
        <w:rPr>
          <w:b/>
          <w:color w:val="auto"/>
          <w:sz w:val="44"/>
          <w:szCs w:val="44"/>
          <w:highlight w:val="none"/>
        </w:rPr>
      </w:pPr>
    </w:p>
    <w:p>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甲方：慈溪市观海卫镇人民政府</w:t>
      </w:r>
    </w:p>
    <w:p>
      <w:pPr>
        <w:spacing w:line="360" w:lineRule="auto"/>
        <w:rPr>
          <w:rFonts w:ascii="宋体" w:hAnsi="宋体"/>
          <w:color w:val="auto"/>
          <w:sz w:val="28"/>
          <w:szCs w:val="28"/>
          <w:highlight w:val="none"/>
        </w:rPr>
      </w:pPr>
    </w:p>
    <w:p>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乙方：</w:t>
      </w:r>
    </w:p>
    <w:p>
      <w:pPr>
        <w:spacing w:line="360" w:lineRule="auto"/>
        <w:rPr>
          <w:rFonts w:ascii="宋体" w:hAnsi="宋体"/>
          <w:color w:val="auto"/>
          <w:sz w:val="28"/>
          <w:szCs w:val="28"/>
          <w:highlight w:val="none"/>
        </w:rPr>
      </w:pPr>
    </w:p>
    <w:p>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签署日期：    年  月  日</w:t>
      </w:r>
    </w:p>
    <w:p>
      <w:pPr>
        <w:spacing w:line="360" w:lineRule="auto"/>
        <w:ind w:firstLine="700" w:firstLineChars="250"/>
        <w:rPr>
          <w:rFonts w:ascii="宋体" w:hAnsi="宋体"/>
          <w:color w:val="auto"/>
          <w:sz w:val="28"/>
          <w:szCs w:val="28"/>
          <w:highlight w:val="none"/>
        </w:rPr>
      </w:pPr>
    </w:p>
    <w:p>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签署地点：</w:t>
      </w:r>
    </w:p>
    <w:p>
      <w:pPr>
        <w:spacing w:line="400" w:lineRule="exact"/>
        <w:ind w:firstLine="442" w:firstLineChars="100"/>
        <w:rPr>
          <w:rFonts w:ascii="宋体" w:hAnsi="宋体"/>
          <w:color w:val="auto"/>
          <w:szCs w:val="21"/>
          <w:highlight w:val="none"/>
        </w:rPr>
      </w:pPr>
      <w:r>
        <w:rPr>
          <w:b/>
          <w:color w:val="auto"/>
          <w:sz w:val="44"/>
          <w:szCs w:val="44"/>
          <w:highlight w:val="none"/>
        </w:rPr>
        <w:br w:type="page"/>
      </w:r>
      <w:r>
        <w:rPr>
          <w:rFonts w:hint="eastAsia" w:ascii="宋体" w:hAnsi="宋体"/>
          <w:color w:val="auto"/>
          <w:szCs w:val="21"/>
          <w:highlight w:val="none"/>
        </w:rPr>
        <w:t>甲方：慈溪市观海卫镇人民政府</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地址：</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乙方：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负责人：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地址：</w:t>
      </w:r>
    </w:p>
    <w:p>
      <w:pPr>
        <w:spacing w:line="400" w:lineRule="exact"/>
        <w:ind w:left="-176" w:leftChars="-84" w:right="-176" w:rightChars="-84" w:firstLine="422" w:firstLineChars="200"/>
        <w:outlineLvl w:val="0"/>
        <w:rPr>
          <w:rFonts w:ascii="宋体" w:hAnsi="宋体"/>
          <w:b/>
          <w:color w:val="auto"/>
          <w:szCs w:val="21"/>
          <w:highlight w:val="none"/>
        </w:rPr>
      </w:pPr>
      <w:r>
        <w:rPr>
          <w:rFonts w:hint="eastAsia" w:ascii="宋体" w:hAnsi="宋体"/>
          <w:b/>
          <w:color w:val="auto"/>
          <w:szCs w:val="21"/>
          <w:highlight w:val="none"/>
        </w:rPr>
        <w:t>一、概述</w:t>
      </w:r>
    </w:p>
    <w:p>
      <w:pPr>
        <w:spacing w:before="120" w:beforeLines="50" w:after="120" w:afterLines="50" w:line="40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观海卫镇智慧安全监管服务平台一期项目（以下简称"本项目"）由乙方提供该信息服务项目的相关服务。本合同的适用法律为《中华人民共和国民法典》及其他有关法律、法规、规定。双方以真诚合作的态度，就如下条款达成一致，并特签署此合同。合同具体条款如下：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（一）工程地点：慈溪市观海卫镇。</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（二）合同商务部分语言文字：中文；技术文件文字：中文。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（三）合同组成文件：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1、在本项目有效期内，合同双方一致同意的所有书面文件。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2、本项目设计文件、招标文件、投标文件。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3、若上述合同组成文件与本合同抵触，以本合同书为准。</w:t>
      </w:r>
    </w:p>
    <w:p>
      <w:pPr>
        <w:spacing w:line="400" w:lineRule="exact"/>
        <w:ind w:left="-176" w:leftChars="-84" w:right="-176" w:rightChars="-84" w:firstLine="422" w:firstLineChars="200"/>
        <w:outlineLvl w:val="0"/>
        <w:rPr>
          <w:rFonts w:ascii="宋体" w:hAnsi="宋体"/>
          <w:b/>
          <w:color w:val="auto"/>
          <w:szCs w:val="21"/>
          <w:highlight w:val="none"/>
        </w:rPr>
      </w:pPr>
      <w:r>
        <w:rPr>
          <w:rFonts w:hint="eastAsia" w:ascii="宋体" w:hAnsi="宋体"/>
          <w:b/>
          <w:color w:val="auto"/>
          <w:szCs w:val="21"/>
          <w:highlight w:val="none"/>
        </w:rPr>
        <w:t>二、合同主要内容</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本次项目包括所涉及到的设备租赁并进行安装调试；系统光纤网络建设；供电保障服务；系统信息服务相关的技术支持和技术培训；系统相关技术服务（含系统管理、运行维护、系统保障、性能调优、故障排除、例行巡检、应急服务、逐年升级）等。</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本项目自乙方安装调试完成，通过甲方会同相关部门组织相关人员验收，验收合格交付甲方使用时，开始计算运维服务期。本设计方案涉及的点位全部安装结束并通过试运行后组织验收。后续增加点位按本次招标的价格和技术要求分批建设和验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乙方可委托软件开发公司进行系统软件开发、系统工程集成单位安装施工，被委托单位需经业主认可并具有同等项目工程案例。乙方须对分包单位进行全方面监督管理，若分包单位有非法转包、质量未达标等情况，乙方须承担全部责任。</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4、项目开工前，甲方有权按实际需要调整最终建设前端点位数量和布点位置。甲乙双方可拟定点位确认表模板。</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5、市电引电工程。包括从控制箱到市电连接处的材料及施工、维护费,引电线缆应为满足工作需要的护套线缆。部分区域须按镇和相关市级管理部门要求进行管线预埋，满足市容市貌相关要求。</w:t>
      </w:r>
    </w:p>
    <w:p>
      <w:pPr>
        <w:pStyle w:val="2"/>
        <w:ind w:firstLine="210" w:firstLineChars="100"/>
        <w:rPr>
          <w:rFonts w:eastAsia="宋体" w:cs="Times New Roman"/>
          <w:color w:val="auto"/>
          <w:sz w:val="21"/>
          <w:szCs w:val="21"/>
          <w:highlight w:val="none"/>
        </w:rPr>
      </w:pPr>
      <w:r>
        <w:rPr>
          <w:rFonts w:hint="eastAsia" w:eastAsia="宋体" w:cs="Times New Roman"/>
          <w:color w:val="auto"/>
          <w:sz w:val="21"/>
          <w:szCs w:val="21"/>
          <w:highlight w:val="none"/>
        </w:rPr>
        <w:t>6</w:t>
      </w:r>
      <w:r>
        <w:rPr>
          <w:rFonts w:hint="eastAsia" w:eastAsia="宋体" w:cs="Times New Roman"/>
          <w:color w:val="auto"/>
          <w:sz w:val="21"/>
          <w:szCs w:val="21"/>
          <w:highlight w:val="none"/>
          <w:lang w:eastAsia="zh-Hans"/>
        </w:rPr>
        <w:t>、其他约定：</w:t>
      </w:r>
      <w:r>
        <w:rPr>
          <w:rFonts w:eastAsia="宋体" w:cs="Times New Roman"/>
          <w:color w:val="auto"/>
          <w:sz w:val="21"/>
          <w:szCs w:val="21"/>
          <w:highlight w:val="none"/>
          <w:lang w:eastAsia="zh-Hans"/>
        </w:rPr>
        <w:t xml:space="preserve">                            </w:t>
      </w:r>
    </w:p>
    <w:p>
      <w:pPr>
        <w:spacing w:line="400" w:lineRule="exact"/>
        <w:ind w:left="-176" w:leftChars="-84" w:right="-176" w:rightChars="-84" w:firstLine="422" w:firstLineChars="200"/>
        <w:outlineLvl w:val="0"/>
        <w:rPr>
          <w:rFonts w:ascii="宋体" w:hAnsi="宋体"/>
          <w:b/>
          <w:color w:val="auto"/>
          <w:szCs w:val="21"/>
          <w:highlight w:val="none"/>
        </w:rPr>
      </w:pPr>
      <w:r>
        <w:rPr>
          <w:rFonts w:hint="eastAsia" w:ascii="宋体" w:hAnsi="宋体"/>
          <w:b/>
          <w:color w:val="auto"/>
          <w:szCs w:val="21"/>
          <w:highlight w:val="none"/>
        </w:rPr>
        <w:t xml:space="preserve">三、权利和义务 </w:t>
      </w:r>
    </w:p>
    <w:p>
      <w:pPr>
        <w:spacing w:line="400" w:lineRule="exact"/>
        <w:ind w:left="-176" w:leftChars="-84" w:right="-176" w:rightChars="-84" w:firstLine="420" w:firstLineChars="200"/>
        <w:outlineLvl w:val="0"/>
        <w:rPr>
          <w:rFonts w:ascii="宋体" w:hAnsi="宋体"/>
          <w:color w:val="auto"/>
          <w:szCs w:val="21"/>
          <w:highlight w:val="none"/>
        </w:rPr>
      </w:pPr>
      <w:r>
        <w:rPr>
          <w:rFonts w:hint="eastAsia" w:ascii="宋体" w:hAnsi="宋体"/>
          <w:color w:val="auto"/>
          <w:szCs w:val="21"/>
          <w:highlight w:val="none"/>
        </w:rPr>
        <w:t xml:space="preserve">（一）甲方的权利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1、本项目的总体架构和技术标准按设计方案执行。</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甲方要求乙方在本项目施工前对本项目所使用的设备进行选样申报，经检查合格达到甲方要求后，乙方方可实施项目，如申报设备与原封存设备不符，甲方可要求乙方无条件更换设备，乙方应无条件服从，并承担相应损失。</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3、甲方要求乙方承建本项目时应遵循开放系统的原则，能提供符合国际标准的软件、硬件、通信、网络、操作系统和数据库管理系统等方面的接口和协议，并为今后的二次开发预留接口。</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4、本项目中图像数据的所有权归属甲方，未经甲方同意，乙方不得私自泄露、转让给第三方使用，一经发现按相关法律法规进行处理。</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5、本项目的账号管理权、图像应用及管理权归属甲方，乙方须进行信息安全培训，可由甲方组织，次数由甲方决定。</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6、甲方对乙方的平台不能正常运行或因平台技术维护原因造成图像数据丢失有权要求乙方及时改进。如遇乙方平台技术升级、承载网链路割接等，在征得甲方同意的基础上，乙方应提前 1天通知甲方，说明可能造成的影响和范围，并确保每次平台技术升级和承载网链路割接在6小时内完成。乙方应将相关实施方案报甲方审核同意后实施，否则按违约和系统故障进行扣费处理。</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7、在项目运营期内甲方有权要求乙方及时更新系统技术水准，提升服务水平，以满足甲方业务需求优先。</w:t>
      </w:r>
    </w:p>
    <w:p>
      <w:pPr>
        <w:spacing w:line="400" w:lineRule="exact"/>
        <w:ind w:left="-176" w:leftChars="-84" w:right="-176" w:rightChars="-84" w:firstLine="420" w:firstLineChars="200"/>
        <w:rPr>
          <w:color w:val="auto"/>
          <w:highlight w:val="none"/>
        </w:rPr>
      </w:pPr>
      <w:r>
        <w:rPr>
          <w:rFonts w:ascii="宋体" w:hAnsi="宋体"/>
          <w:color w:val="auto"/>
          <w:szCs w:val="21"/>
          <w:highlight w:val="none"/>
        </w:rPr>
        <w:t>8</w:t>
      </w:r>
      <w:r>
        <w:rPr>
          <w:rFonts w:hint="eastAsia" w:ascii="宋体" w:hAnsi="宋体"/>
          <w:color w:val="auto"/>
          <w:szCs w:val="21"/>
          <w:highlight w:val="none"/>
        </w:rPr>
        <w:t>、本平台可做为慈溪全市智慧安全监管服务平台基础平台，在平台技术支撑方面，已经具有的功能模块不再重复开发，能够支撑全市各乡镇智慧安全监管服务平台的接入。平台需具备有扩展功能，</w:t>
      </w:r>
      <w:r>
        <w:rPr>
          <w:rFonts w:hint="eastAsia" w:ascii="宋体" w:hAnsi="宋体"/>
          <w:color w:val="auto"/>
          <w:szCs w:val="21"/>
          <w:highlight w:val="none"/>
          <w:lang w:eastAsia="zh-Hans"/>
        </w:rPr>
        <w:t>在平台现有功能模块之外，</w:t>
      </w:r>
      <w:r>
        <w:rPr>
          <w:rFonts w:hint="eastAsia" w:ascii="宋体" w:hAnsi="宋体"/>
          <w:color w:val="auto"/>
          <w:szCs w:val="21"/>
          <w:highlight w:val="none"/>
        </w:rPr>
        <w:t>可根据各乡镇的不同需求</w:t>
      </w:r>
      <w:r>
        <w:rPr>
          <w:rFonts w:hint="eastAsia" w:ascii="宋体" w:hAnsi="宋体"/>
          <w:color w:val="auto"/>
          <w:szCs w:val="21"/>
          <w:highlight w:val="none"/>
          <w:lang w:eastAsia="zh-Hans"/>
        </w:rPr>
        <w:t>另行付费定制</w:t>
      </w:r>
      <w:r>
        <w:rPr>
          <w:rFonts w:hint="eastAsia" w:ascii="宋体" w:hAnsi="宋体"/>
          <w:color w:val="auto"/>
          <w:szCs w:val="21"/>
          <w:highlight w:val="none"/>
        </w:rPr>
        <w:t>系统功能。</w:t>
      </w:r>
      <w:r>
        <w:rPr>
          <w:rFonts w:hint="eastAsia" w:ascii="宋体" w:hAnsi="宋体"/>
          <w:color w:val="auto"/>
          <w:szCs w:val="21"/>
          <w:highlight w:val="none"/>
          <w:lang w:eastAsia="zh-Hans"/>
        </w:rPr>
        <w:t>同时</w:t>
      </w:r>
      <w:r>
        <w:rPr>
          <w:rFonts w:hint="eastAsia" w:ascii="宋体" w:hAnsi="宋体"/>
          <w:color w:val="auto"/>
          <w:szCs w:val="21"/>
          <w:highlight w:val="none"/>
        </w:rPr>
        <w:t>平台需开放</w:t>
      </w:r>
      <w:r>
        <w:rPr>
          <w:rFonts w:hint="eastAsia" w:ascii="宋体" w:hAnsi="宋体"/>
          <w:color w:val="auto"/>
          <w:szCs w:val="21"/>
          <w:highlight w:val="none"/>
          <w:lang w:eastAsia="zh-Hans"/>
        </w:rPr>
        <w:t>标准</w:t>
      </w:r>
      <w:r>
        <w:rPr>
          <w:rFonts w:hint="eastAsia" w:ascii="宋体" w:hAnsi="宋体"/>
          <w:color w:val="auto"/>
          <w:szCs w:val="21"/>
          <w:highlight w:val="none"/>
        </w:rPr>
        <w:t>接口，供第三方软件系统开发对接。</w:t>
      </w:r>
    </w:p>
    <w:p>
      <w:pPr>
        <w:spacing w:line="400" w:lineRule="exact"/>
        <w:ind w:left="-176" w:leftChars="-84" w:right="-176" w:rightChars="-84" w:firstLine="420" w:firstLineChars="200"/>
        <w:outlineLvl w:val="0"/>
        <w:rPr>
          <w:rFonts w:ascii="宋体" w:hAnsi="宋体"/>
          <w:color w:val="auto"/>
          <w:szCs w:val="21"/>
          <w:highlight w:val="none"/>
        </w:rPr>
      </w:pPr>
      <w:r>
        <w:rPr>
          <w:rFonts w:hint="eastAsia" w:ascii="宋体" w:hAnsi="宋体"/>
          <w:color w:val="auto"/>
          <w:szCs w:val="21"/>
          <w:highlight w:val="none"/>
        </w:rPr>
        <w:t xml:space="preserve">（二）甲方的义务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1、合理使用相关的电路与设备，不得将本项目进行经营性活动或转租、转让给其他任何单位或个人使用。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2、保证由甲方自行投资并连接到本项目的有关设备符合国家主管部门规定的质量标准和技术要求，保证符合相关的技术标准和规范。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3、应根据合同规定按时支付相关费用。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4、甲方应配合乙方进行本项目建设安装工作中的相关协调事宜和各项准备工作。主要包括：协助乙方做好相关部门的协调工作，如建设、电力、城管、交通、娱乐场所、机关单位等各部门，配合乙方完成前期准备工作。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甲乙双方应当维护置于甲方场地内的乙方设备的安全，如因人为原因损坏或失窃，费用由责任方承担，在未找到责任人前，乙方有义务先行修复，以保证系统的正常运行，否则按故障处理。乙方向责任方追究索赔，甲方协助解决。</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6、甲方负责整个系统运营的电费。</w:t>
      </w:r>
    </w:p>
    <w:p>
      <w:pPr>
        <w:spacing w:line="400" w:lineRule="exact"/>
        <w:ind w:left="-176" w:leftChars="-84" w:right="-176" w:rightChars="-84" w:firstLine="420" w:firstLineChars="200"/>
        <w:outlineLvl w:val="0"/>
        <w:rPr>
          <w:rFonts w:ascii="宋体" w:hAnsi="宋体"/>
          <w:color w:val="auto"/>
          <w:szCs w:val="21"/>
          <w:highlight w:val="none"/>
        </w:rPr>
      </w:pPr>
      <w:r>
        <w:rPr>
          <w:rFonts w:hint="eastAsia" w:ascii="宋体" w:hAnsi="宋体"/>
          <w:color w:val="auto"/>
          <w:szCs w:val="21"/>
          <w:highlight w:val="none"/>
        </w:rPr>
        <w:t xml:space="preserve">（三）乙方的权利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1、乙方有权按照合同，收取相关费用，以保证本项目的正常运营。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2、如甲方在签署合同后，不能按时履行付款义务，乙方按照合同约定，</w:t>
      </w:r>
      <w:r>
        <w:rPr>
          <w:rFonts w:hint="eastAsia" w:ascii="宋体" w:hAnsi="宋体"/>
          <w:color w:val="auto"/>
          <w:szCs w:val="21"/>
          <w:highlight w:val="none"/>
          <w:lang w:eastAsia="zh-Hans"/>
        </w:rPr>
        <w:t>在三个月内可不</w:t>
      </w:r>
      <w:r>
        <w:rPr>
          <w:rFonts w:hint="eastAsia" w:ascii="宋体" w:hAnsi="宋体"/>
          <w:color w:val="auto"/>
          <w:szCs w:val="21"/>
          <w:highlight w:val="none"/>
        </w:rPr>
        <w:t>停止欠费方的本合同项下有关的服务和业务，</w:t>
      </w:r>
      <w:r>
        <w:rPr>
          <w:rFonts w:hint="eastAsia" w:ascii="宋体" w:hAnsi="宋体"/>
          <w:color w:val="auto"/>
          <w:szCs w:val="21"/>
          <w:highlight w:val="none"/>
          <w:lang w:eastAsia="zh-Hans"/>
        </w:rPr>
        <w:t>若超过三个月，乙方有权停止欠费方的本合同项下有关的服务和业务，</w:t>
      </w:r>
      <w:r>
        <w:rPr>
          <w:rFonts w:hint="eastAsia" w:ascii="宋体" w:hAnsi="宋体"/>
          <w:color w:val="auto"/>
          <w:szCs w:val="21"/>
          <w:highlight w:val="none"/>
        </w:rPr>
        <w:t xml:space="preserve">并有权对所欠费用进行追缴。 </w:t>
      </w:r>
    </w:p>
    <w:p>
      <w:pPr>
        <w:spacing w:line="400" w:lineRule="exact"/>
        <w:ind w:left="-176" w:leftChars="-84" w:right="-176" w:rightChars="-84" w:firstLine="420" w:firstLineChars="200"/>
        <w:outlineLvl w:val="0"/>
        <w:rPr>
          <w:rFonts w:ascii="宋体" w:hAnsi="宋体"/>
          <w:color w:val="auto"/>
          <w:szCs w:val="21"/>
          <w:highlight w:val="none"/>
        </w:rPr>
      </w:pPr>
      <w:r>
        <w:rPr>
          <w:rFonts w:hint="eastAsia" w:ascii="宋体" w:hAnsi="宋体"/>
          <w:color w:val="auto"/>
          <w:szCs w:val="21"/>
          <w:highlight w:val="none"/>
        </w:rPr>
        <w:t>（四）乙方的义务</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乙方</w:t>
      </w:r>
      <w:r>
        <w:rPr>
          <w:rFonts w:hint="eastAsia" w:ascii="宋体" w:hAnsi="宋体"/>
          <w:color w:val="auto"/>
          <w:szCs w:val="21"/>
          <w:highlight w:val="none"/>
        </w:rPr>
        <w:t>需承诺保证所供系统软件、硬件设备在服务期内的先进性，且不断完善系统功能，确保甲方应用的需求。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2、乙方需在签订合同前，提供主要设备厂家的质量保证书和售后服务承诺书盖章原件。</w:t>
      </w:r>
    </w:p>
    <w:p>
      <w:pPr>
        <w:spacing w:line="400" w:lineRule="exact"/>
        <w:ind w:firstLine="210" w:firstLineChars="1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、乙方按设计要求进行施工，保证所提供设备达到整套系统运行质量要求，符合招标文件、国家相关主管部门的质量标准和技术要求（标准不一致时，按高标准要求执行），保证满足甲方正常工作需求。</w:t>
      </w:r>
    </w:p>
    <w:p>
      <w:pPr>
        <w:spacing w:line="400" w:lineRule="exact"/>
        <w:ind w:left="-176" w:leftChars="-84" w:right="-176" w:rightChars="-84"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乙方投标文件中提供的技术方案和设备配置如低于甲方设计方案的要求，乙方有义务按照设计方案执行。项目执行过程中，当投标设备停产或升级时，乙方可提供更改后的设备供甲方使用，设备标准不得低于招标文件中规定的技术要求，且服务价格不变。乙方按照设计方案的要求，对每个前端点位具体布局进行勘察和深化设计，供甲方决策。</w:t>
      </w:r>
    </w:p>
    <w:p>
      <w:pPr>
        <w:spacing w:line="400" w:lineRule="exact"/>
        <w:ind w:firstLine="315" w:firstLineChars="15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乙方必须接受甲方、监理对于项目的管理和监督，及时向甲方和监理同时提交各种设计深化方案、实施方案、计划、报告等项目文档。对于监理对项目实施过程中指出的问题，应该积极给予答复并解决。对于监理提出的整改要求应服从并实施整改措施。乙方可就甲方的设计方案提出优化建议，经设计、监理单位和甲方确认后执行，服务费价格不变。</w:t>
      </w:r>
    </w:p>
    <w:p>
      <w:pPr>
        <w:spacing w:line="400" w:lineRule="exact"/>
        <w:ind w:left="-176" w:leftChars="-84" w:right="-176" w:rightChars="-84"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 xml:space="preserve">、乙方所提供的通讯线路和设备质量应符合相关部门的质量标准和技术要求，满足本项目需求。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7、乙方负责建立本项目的技术档案和维护档案并提供给甲方。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8、乙方负责监控图像集中存储设备的配置和管理，不具有监控图像浏览、录像调用权限。乙方应做好运行维护人员的保密安全教育和管理，未经甲方允许不得对系统中的图像数据进行下载和传播。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9、乙方应指定专门的联络人，负责本项目的技术咨询、业务开通、平台维护、前端及中心软硬件维护的接洽工作。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10、乙方为甲方提供及时优质的服务，保障网络的运行稳定，负责故障的全程处理，并确定专人联系。联系人：</w:t>
      </w:r>
      <w:r>
        <w:rPr>
          <w:rFonts w:hint="eastAsia" w:ascii="宋体" w:hAnsi="宋体"/>
          <w:color w:val="auto"/>
          <w:szCs w:val="21"/>
          <w:highlight w:val="none"/>
          <w:u w:val="single"/>
        </w:rPr>
        <w:t xml:space="preserve">              </w:t>
      </w: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11、电力施工的人员需具备电工证书，高空瞭望设备等施工人员需具备高空作业证书。合同有效期内，因乙方的建设、运营维护行为和服务给第三人的人身、财产造成损害的，乙方应自行承担全部赔偿责任。</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12、乙方需保证所提供的网络传输链路带宽及性能满足甲方对前端采集数据接入的需求，且网络运行稳定无瓶颈，并积极配合甲方后续对社会资源点位的接入和调试工作，进一步推进观海卫镇社会资源整合建设工作。</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四、项目建设管理</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1、设计要求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乙方签订合同20日内完成项目深化设计</w:t>
      </w:r>
      <w:r>
        <w:rPr>
          <w:rFonts w:hint="eastAsia" w:ascii="宋体" w:hAnsi="宋体"/>
          <w:color w:val="auto"/>
          <w:szCs w:val="21"/>
          <w:highlight w:val="none"/>
          <w:lang w:eastAsia="zh-Hans"/>
        </w:rPr>
        <w:t>及制定施工具体方案</w:t>
      </w:r>
      <w:r>
        <w:rPr>
          <w:rFonts w:hint="eastAsia" w:ascii="宋体" w:hAnsi="宋体"/>
          <w:color w:val="auto"/>
          <w:szCs w:val="21"/>
          <w:highlight w:val="none"/>
        </w:rPr>
        <w:t>，</w:t>
      </w:r>
      <w:r>
        <w:rPr>
          <w:rFonts w:hint="eastAsia" w:hAnsi="宋体"/>
          <w:color w:val="auto"/>
          <w:szCs w:val="21"/>
          <w:highlight w:val="none"/>
        </w:rPr>
        <w:t>按照优化建议，对不同安装场景，每种场景实施样品安装</w:t>
      </w:r>
      <w:r>
        <w:rPr>
          <w:rFonts w:hint="eastAsia" w:hAnsi="宋体"/>
          <w:color w:val="auto"/>
          <w:szCs w:val="21"/>
          <w:highlight w:val="none"/>
          <w:lang w:eastAsia="zh-Hans"/>
        </w:rPr>
        <w:t>；</w:t>
      </w:r>
      <w:r>
        <w:rPr>
          <w:rFonts w:hint="eastAsia" w:ascii="宋体" w:hAnsi="宋体"/>
          <w:color w:val="auto"/>
          <w:szCs w:val="21"/>
          <w:highlight w:val="none"/>
        </w:rPr>
        <w:t>设计方案和相应图纸经甲方</w:t>
      </w:r>
      <w:r>
        <w:rPr>
          <w:rFonts w:hint="eastAsia" w:ascii="宋体" w:hAnsi="宋体"/>
          <w:color w:val="auto"/>
          <w:szCs w:val="21"/>
          <w:highlight w:val="none"/>
          <w:lang w:eastAsia="zh-Hans"/>
        </w:rPr>
        <w:t>及监理单位</w:t>
      </w:r>
      <w:r>
        <w:rPr>
          <w:rFonts w:hint="eastAsia" w:ascii="宋体" w:hAnsi="宋体"/>
          <w:color w:val="auto"/>
          <w:szCs w:val="21"/>
          <w:highlight w:val="none"/>
        </w:rPr>
        <w:t>审批同意后才可用于指导实际的施工工作；施工图纸设计可根据施工进度分批提供，经甲方批准通过后，方可根据施工图纸进行施工。</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2、设备采购要求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在设备采购过程中，乙方必须将拟采购的设备的技术要求交由甲方和监理方认可。甲方和监理单位有权要求乙方对主要设备提供第三方的检测报告，如发现不符合工程需要或低于投标时承诺的档次，甲方有权要求乙方更换设备直到符合要求，所需费用由乙方承担。</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3、验收要求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依据招投标文件、合同书及合同附件、有关技术说明文件，按照国家和我市的相关法律、法规、国家标准、地方标准、行业标准进行验收。验收产生的相关费用由中标单位承担。</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（一）项目验收的前提条件：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（1）所有建设项目按照合同要求全部建成，并满足使用要求；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（2）各个分项目全部初验合格；</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（3）各种技术文档和验收资料完备，符合投标文件与合同约定的内容；</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（4）外购的操作系统、数据库、中间件、应用软件和开发工具符合知识产权相关政策法规的要求；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（5）各种设备经加电试运行，状态正常；</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（6）经过监理方同意；</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（7）经过相关主管部门和建设单位同意；</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（8）合同或合同附件规定的其他验收条件。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 （二）验收内容及标准</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验收内容包括测试（复核）、资料评审、质量鉴定三部分。</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（1）测试</w:t>
      </w:r>
    </w:p>
    <w:p>
      <w:pPr>
        <w:numPr>
          <w:ilvl w:val="0"/>
          <w:numId w:val="3"/>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验收评测工作主要包括：文档分析、方案制定、现场测试、问题单提交、测试报告；</w:t>
      </w:r>
    </w:p>
    <w:p>
      <w:pPr>
        <w:numPr>
          <w:ilvl w:val="0"/>
          <w:numId w:val="3"/>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验收测试内容主要包括：检查“合同”或“验收标准”要求的所有功能、所有质量特性，验证功能和接口与需求说明的一致性，以及商定的一些特殊测试。</w:t>
      </w:r>
    </w:p>
    <w:p>
      <w:pPr>
        <w:numPr>
          <w:ilvl w:val="0"/>
          <w:numId w:val="3"/>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资料评审标准一般包括：文档完备性、内容针对性、内容充分性、内容一致性、文字明确性、图表详实性、易读性、文档价值等。</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（2）资料评审</w:t>
      </w:r>
    </w:p>
    <w:p>
      <w:pPr>
        <w:numPr>
          <w:ilvl w:val="0"/>
          <w:numId w:val="4"/>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基础资料：招标书、投标书、有关合同、有关批复文件、系统设计说明书、系统功能说明书、系统结构图、项目详细实施方案。</w:t>
      </w:r>
    </w:p>
    <w:p>
      <w:pPr>
        <w:numPr>
          <w:ilvl w:val="0"/>
          <w:numId w:val="4"/>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项目竣工资料：项目开工报告、项目实施报告、项目质量测试报告、项目检查报告、测试报告、材料清单、项目实施质量与安全检查记录、项目竣工图纸、操作使用说明书、售后服务保证文件、培训文档、其他文件。</w:t>
      </w:r>
    </w:p>
    <w:p>
      <w:pPr>
        <w:numPr>
          <w:ilvl w:val="0"/>
          <w:numId w:val="4"/>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软件开发文档：需求说明书、概要设计说明书、详细设计说明书、数据库设计说明书、测试计划、测试报告、程序维护手册、程序员开发手册、用户操作手册。</w:t>
      </w:r>
    </w:p>
    <w:p>
      <w:pPr>
        <w:numPr>
          <w:ilvl w:val="0"/>
          <w:numId w:val="4"/>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ascii="宋体" w:hAnsi="宋体"/>
          <w:color w:val="auto"/>
          <w:szCs w:val="21"/>
          <w:highlight w:val="none"/>
        </w:rPr>
        <w:tab/>
      </w:r>
      <w:r>
        <w:rPr>
          <w:rFonts w:hint="eastAsia" w:ascii="宋体" w:hAnsi="宋体"/>
          <w:color w:val="auto"/>
          <w:szCs w:val="21"/>
          <w:highlight w:val="none"/>
        </w:rPr>
        <w:t>软件开发管理文档：项目计划书、质量控制计划、配置管理计划、用户培训计划、质量总结报告、会议记录和开发进度月报。</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（三）验收方法</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对项目系统硬件一一实际加电操作，验证是否与硬件提供的技术性能相一致；对前端及中心的硬件设备进行现场检查，施工是否规范合理；对中心平台各项功能进行审核，是否符合设计要求；审核项目竣工资料及监理资料，是否符合规范；对运行项目系统软件，检验其管理硬件及应用软件的实际能力是否与合同规定的一致；运行应用软件，实际操作，处理业务，检查是否与合同规定的一致，达到了预期的目的。</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（四）验收程序</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（1）初验</w:t>
      </w:r>
    </w:p>
    <w:p>
      <w:pPr>
        <w:numPr>
          <w:ilvl w:val="0"/>
          <w:numId w:val="5"/>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项目安装调试完成后经测试，中标单位根据合同、招投标文件、计划任务书，检查、总结项目完成情况后向建设单位提出初验申请。</w:t>
      </w:r>
    </w:p>
    <w:p>
      <w:pPr>
        <w:numPr>
          <w:ilvl w:val="0"/>
          <w:numId w:val="5"/>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建设单位组织监理和中标单位组成初验小组，对项目各项工作进行全面检查。</w:t>
      </w:r>
    </w:p>
    <w:p>
      <w:pPr>
        <w:numPr>
          <w:ilvl w:val="0"/>
          <w:numId w:val="5"/>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中标单位提供材料：初验申请书、完工报告、项目总结报告。</w:t>
      </w:r>
    </w:p>
    <w:p>
      <w:pPr>
        <w:numPr>
          <w:ilvl w:val="0"/>
          <w:numId w:val="5"/>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初验合格后，项目进入试运行。</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（2）终验</w:t>
      </w:r>
    </w:p>
    <w:p>
      <w:pPr>
        <w:numPr>
          <w:ilvl w:val="0"/>
          <w:numId w:val="6"/>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申请：试运行结束后，中标单位根据项目合同、招投标书、总结项目组织实施和完成情况后向建设单位提出验收申请，并提交验收方案。</w:t>
      </w:r>
    </w:p>
    <w:p>
      <w:pPr>
        <w:numPr>
          <w:ilvl w:val="0"/>
          <w:numId w:val="6"/>
        </w:numPr>
        <w:spacing w:line="400" w:lineRule="exact"/>
        <w:ind w:right="-176" w:rightChars="-84"/>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经过审核，材料齐全则由建设单位组建专家组，对项目进行验收。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（五）验收结论</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验收结果分为：验收合格、需要复议和验收不合格三种。符合项目建设标准、系统运行安全可靠、任务按期保质完成、经费使用合理的，视为验收合格；由于提供材料不详难以判断，或目标任务完成不足80%而又难以确定其原因等导致验收结论争议较大的，视为需要复议。</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项目凡具有下列情况之一的，按验收不合格处理：</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（1）未按项目考核指标或合同要求达到所预定的主要技术指标的；</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（2）所提供的验收材料不齐全或不真实的；</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（3）项目的内容、目标或技术路线等已进行了较大调整，但未曾得到相关单位认可的；</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（4）实施过程中出现重大问题，尚未解决和作出说明，或项目实施过程及结果等存在纠纷尚未解决的；</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（5）没有对系统或设备进行试运行，或者试运行不合格；</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（6）项目经费使用情况审计发现问题的；</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（7）违反法律、法规的其他行为。</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4、工期要求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乙方必须在合同签订后120日历天内完成整个项目施工，系统试运行1个月后开始项目终验，30天内通过项目最终验收。</w:t>
      </w:r>
    </w:p>
    <w:p>
      <w:pPr>
        <w:spacing w:line="400" w:lineRule="exact"/>
        <w:ind w:left="-176" w:leftChars="-84" w:right="-176" w:rightChars="-84" w:firstLine="422" w:firstLineChars="200"/>
        <w:rPr>
          <w:rFonts w:ascii="宋体" w:hAnsi="宋体"/>
          <w:b/>
          <w:color w:val="auto"/>
          <w:szCs w:val="21"/>
          <w:highlight w:val="none"/>
        </w:rPr>
      </w:pPr>
      <w:r>
        <w:rPr>
          <w:rFonts w:ascii="宋体" w:hAnsi="宋体"/>
          <w:b/>
          <w:color w:val="auto"/>
          <w:szCs w:val="21"/>
          <w:highlight w:val="none"/>
        </w:rPr>
        <w:t>五、运维服务要求</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1、服务范围</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乙方对系统的运维服务包括对构成系统的所有前端设施、硬件、网络、供电设施、防雷设施、第三方软件、应用软件等的维护、维修、更换故障设备和产品升级等。</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乙方应与设备供应商签订合理的运维服务保障协议，保证前后端技术标准的一致性，并保证提供充足的备品备件资源。</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2、服务内容</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乙方应提供的运维服务内容包括日常运作、服务咨询、巡检保养、主动监测、故障修复、特殊保障和升级优化。</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3、日常运作</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乙方应建立运维服务中心，并设立专门的技术及维护服务队伍。中心提供免费的服务热线电话，在热线电话发生故障情况下，应提供其他备份的方便和迅速的联系方式。运维中心应在3年服务期日历天内全天候（7×24小时）运行。</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4、人员队伍建设</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（1）乙方派1名技术人员、2名维修工人、1辆工程车常驻项目所在地3年，保障前端信息采集系统正常工作，维护安全设备、网络设备和平台软硬件系统正常运行，合理配置安全策略，确保系统安全稳定运行。</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）乙方派1名</w:t>
      </w:r>
      <w:r>
        <w:rPr>
          <w:rFonts w:hint="eastAsia" w:ascii="宋体" w:hAnsi="宋体"/>
          <w:color w:val="auto"/>
          <w:szCs w:val="21"/>
          <w:highlight w:val="none"/>
          <w:lang w:eastAsia="zh-Hans"/>
        </w:rPr>
        <w:t>运维</w:t>
      </w:r>
      <w:r>
        <w:rPr>
          <w:rFonts w:hint="eastAsia" w:ascii="宋体" w:hAnsi="宋体"/>
          <w:color w:val="auto"/>
          <w:szCs w:val="21"/>
          <w:highlight w:val="none"/>
        </w:rPr>
        <w:t>人员提供5*8小时驻场运维服务，其余时间，保持电话畅通，按照实际工作需要提供及时服务。驻守服务人员考勤，车辆，人员，一般工作时段不能正常到岗，每人或车每天罚款500元，迟到一人次罚款200元。其余工作时段不能提供服务，每次罚款500元。</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5、备品备件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（1）乙方应配备足够的交通车辆及维修设备，保证维修人员和设备及时运送到现场，保证安全、及时的维修服务。</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（2）乙方应配备不低于总点位数5</w:t>
      </w:r>
      <w:r>
        <w:rPr>
          <w:rFonts w:ascii="宋体" w:hAnsi="宋体"/>
          <w:color w:val="auto"/>
          <w:szCs w:val="21"/>
          <w:highlight w:val="none"/>
        </w:rPr>
        <w:t>%</w:t>
      </w:r>
      <w:r>
        <w:rPr>
          <w:rFonts w:hint="eastAsia" w:ascii="宋体" w:hAnsi="宋体"/>
          <w:color w:val="auto"/>
          <w:szCs w:val="21"/>
          <w:highlight w:val="none"/>
        </w:rPr>
        <w:t>的备品备件，保证及时维修和更换设备，须随时接受甲方检查。</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6、系统日常运营保障机制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（1）信息服务的完好标准：以前端到中心，在前端设备、传输、存储、系统平台软硬件等方面同时符合设计要求为标准。乙方未能达到上述标准的视为发生故障（停电不计）。</w:t>
      </w:r>
    </w:p>
    <w:p>
      <w:pPr>
        <w:spacing w:line="400" w:lineRule="exact"/>
        <w:ind w:firstLine="420"/>
        <w:rPr>
          <w:rFonts w:ascii="宋体" w:hAnsi="宋体"/>
          <w:color w:val="auto"/>
          <w:szCs w:val="21"/>
          <w:highlight w:val="none"/>
        </w:rPr>
      </w:pPr>
      <w:r>
        <w:rPr>
          <w:rFonts w:hint="eastAsia" w:ascii="宋体" w:hAnsi="宋体"/>
          <w:color w:val="auto"/>
          <w:szCs w:val="21"/>
          <w:highlight w:val="none"/>
        </w:rPr>
        <w:t>（2）服务期内前端设备若发生故障，要求24小时内修复，每超过6小时，扣罚200元（特殊情况业主单位书面同意延长排除时间的除外）；故障处理严重超时，且无法提供用户方能认可的原因的，扣罚1000元/次。因供电所正常停电导致点位离线故障不扣款，其它故障如图像干扰、视频丢失、录像丢失、中心平台故障、网络设备故障等按受影响点位数量进行扣款。</w:t>
      </w:r>
    </w:p>
    <w:p>
      <w:pPr>
        <w:spacing w:line="400" w:lineRule="exact"/>
        <w:ind w:firstLine="420"/>
        <w:rPr>
          <w:rFonts w:ascii="宋体" w:hAnsi="宋体"/>
          <w:color w:val="auto"/>
          <w:szCs w:val="21"/>
          <w:highlight w:val="none"/>
        </w:rPr>
      </w:pPr>
      <w:r>
        <w:rPr>
          <w:rFonts w:hint="eastAsia" w:ascii="宋体" w:hAnsi="宋体"/>
          <w:color w:val="auto"/>
          <w:szCs w:val="21"/>
          <w:highlight w:val="none"/>
        </w:rPr>
        <w:t>服务期内中心设备若发生故障，要求4小时内修复，每超过</w:t>
      </w:r>
      <w:r>
        <w:rPr>
          <w:rFonts w:ascii="宋体" w:hAnsi="宋体"/>
          <w:color w:val="auto"/>
          <w:szCs w:val="21"/>
          <w:highlight w:val="none"/>
        </w:rPr>
        <w:t>4</w:t>
      </w:r>
      <w:r>
        <w:rPr>
          <w:rFonts w:hint="eastAsia" w:ascii="宋体" w:hAnsi="宋体"/>
          <w:color w:val="auto"/>
          <w:szCs w:val="21"/>
          <w:highlight w:val="none"/>
        </w:rPr>
        <w:t>小时，扣罚</w:t>
      </w:r>
      <w:r>
        <w:rPr>
          <w:rFonts w:ascii="宋体" w:hAnsi="宋体"/>
          <w:color w:val="auto"/>
          <w:szCs w:val="21"/>
          <w:highlight w:val="none"/>
        </w:rPr>
        <w:t>10</w:t>
      </w:r>
      <w:r>
        <w:rPr>
          <w:rFonts w:hint="eastAsia" w:ascii="宋体" w:hAnsi="宋体"/>
          <w:color w:val="auto"/>
          <w:szCs w:val="21"/>
          <w:highlight w:val="none"/>
        </w:rPr>
        <w:t>00元（特殊情况业主单位书面同意延长排除时间的除外）；故障处理严重超时，且无法提供用户方能认可的原因的，扣罚</w:t>
      </w:r>
      <w:r>
        <w:rPr>
          <w:rFonts w:ascii="宋体" w:hAnsi="宋体"/>
          <w:color w:val="auto"/>
          <w:szCs w:val="21"/>
          <w:highlight w:val="none"/>
        </w:rPr>
        <w:t>5</w:t>
      </w:r>
      <w:r>
        <w:rPr>
          <w:rFonts w:hint="eastAsia" w:ascii="宋体" w:hAnsi="宋体"/>
          <w:color w:val="auto"/>
          <w:szCs w:val="21"/>
          <w:highlight w:val="none"/>
        </w:rPr>
        <w:t>000元/次。</w:t>
      </w:r>
    </w:p>
    <w:p>
      <w:pPr>
        <w:spacing w:line="400" w:lineRule="exact"/>
        <w:ind w:left="-176" w:leftChars="-84" w:right="-176" w:rightChars="-84" w:firstLine="420" w:firstLineChars="200"/>
        <w:rPr>
          <w:color w:val="auto"/>
          <w:highlight w:val="none"/>
        </w:rPr>
      </w:pPr>
      <w:r>
        <w:rPr>
          <w:rFonts w:hint="eastAsia" w:ascii="宋体" w:hAnsi="宋体"/>
          <w:color w:val="auto"/>
          <w:szCs w:val="21"/>
          <w:highlight w:val="none"/>
        </w:rPr>
        <w:t>服务期内前端设备每月平均在线率应不低于97%，每下降1个百分点在年租赁服务费扣款总额基础上加扣5000元，当月平均在线率考核低于95%时，每下降1个百分点在年租赁服务费扣款总额基础上加扣10000元。</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（3）乙方在系统建成后，应通过网管系统或管理平台向甲方提供系统运行日报表，内容包括网络运行情况和线路通断率等。每个月输出月报表，报表格式根据甲方要求产生。</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（4）在有突发性或群体性社会事件或其他重大事件发生时，乙方接到甲方通知后</w:t>
      </w:r>
      <w:r>
        <w:rPr>
          <w:rFonts w:ascii="宋体" w:hAnsi="宋体"/>
          <w:color w:val="auto"/>
          <w:szCs w:val="21"/>
          <w:highlight w:val="none"/>
        </w:rPr>
        <w:t>1</w:t>
      </w:r>
      <w:r>
        <w:rPr>
          <w:rFonts w:hint="eastAsia" w:ascii="宋体" w:hAnsi="宋体"/>
          <w:color w:val="auto"/>
          <w:szCs w:val="21"/>
          <w:highlight w:val="none"/>
        </w:rPr>
        <w:t>小时内必须到现场提供技术等支撑性服务。如需要建设应急监控点位，乙方必须完全响应。无需立杆应急监控点位施工期在2天以内，需新立杆应急监控点位施工期在10天以内。应急监控点位费用按工程量审计价结算。</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（5）因修路或其他不可抗力因素导致的点位短时间内无法修复上线的，乙方因无条件免费负责点位的暂挂工作，暂挂位置由甲方确定。</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6）乙方须建立一套针对本项目的监控系统故障报修管理系统，用于对日常系统故障进行统计分析，系统应能支持10个以上的系统管理人员登陆以进行日常业务操作。系统所形成的故障数据最终作为服务费故障扣款的依据，如故障类型、超时扣款方法、故障时间，以及对应的数据报表制度，每日一表，每周、月一汇总，报表需施工方和甲方代表共同签字生效，最终作为全年故障扣款的依据。</w:t>
      </w:r>
    </w:p>
    <w:p>
      <w:pPr>
        <w:spacing w:line="400" w:lineRule="exact"/>
        <w:ind w:left="-176" w:leftChars="-84" w:right="-176" w:rightChars="-84"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7）乙方应定期对系统进行全面维护。每月不少于一次的前端采集系统、网络系统及平台服务器的巡检，每次巡检要有详细记录并由甲方书面确认。</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（8）乙方应无条件负责甲方提出的前端设备</w:t>
      </w:r>
      <w:r>
        <w:rPr>
          <w:rFonts w:hint="eastAsia" w:ascii="宋体" w:hAnsi="宋体"/>
          <w:color w:val="auto"/>
          <w:szCs w:val="21"/>
          <w:highlight w:val="none"/>
          <w:lang w:eastAsia="zh-Hans"/>
        </w:rPr>
        <w:t>（不包括需基础杆件施工的前端设备）</w:t>
      </w:r>
      <w:r>
        <w:rPr>
          <w:rFonts w:hint="eastAsia" w:ascii="宋体" w:hAnsi="宋体"/>
          <w:color w:val="auto"/>
          <w:szCs w:val="21"/>
          <w:highlight w:val="none"/>
        </w:rPr>
        <w:t>移位的要求；</w:t>
      </w:r>
      <w:r>
        <w:rPr>
          <w:rFonts w:hint="eastAsia" w:ascii="宋体" w:hAnsi="宋体"/>
          <w:b/>
          <w:bCs/>
          <w:color w:val="auto"/>
          <w:szCs w:val="21"/>
          <w:highlight w:val="none"/>
          <w:lang w:eastAsia="zh-Hans"/>
        </w:rPr>
        <w:t>服务期内，每年</w:t>
      </w:r>
      <w:r>
        <w:rPr>
          <w:rFonts w:hint="eastAsia" w:ascii="宋体" w:hAnsi="宋体"/>
          <w:color w:val="auto"/>
          <w:szCs w:val="21"/>
          <w:highlight w:val="none"/>
        </w:rPr>
        <w:t>移位数量在前端设备总数</w:t>
      </w:r>
      <w:r>
        <w:rPr>
          <w:rFonts w:hint="eastAsia" w:ascii="宋体" w:hAnsi="宋体"/>
          <w:color w:val="auto"/>
          <w:szCs w:val="21"/>
          <w:highlight w:val="none"/>
          <w:lang w:eastAsia="zh-Hans"/>
        </w:rPr>
        <w:t>百分之一</w:t>
      </w:r>
      <w:r>
        <w:rPr>
          <w:rFonts w:hint="eastAsia" w:ascii="宋体" w:hAnsi="宋体"/>
          <w:color w:val="auto"/>
          <w:szCs w:val="21"/>
          <w:highlight w:val="none"/>
        </w:rPr>
        <w:t>以内的，相关费用由乙方承担，甲方不额外支付，超过</w:t>
      </w:r>
      <w:r>
        <w:rPr>
          <w:rFonts w:hint="eastAsia" w:ascii="宋体" w:hAnsi="宋体"/>
          <w:color w:val="auto"/>
          <w:szCs w:val="21"/>
          <w:highlight w:val="none"/>
          <w:lang w:eastAsia="zh-Hans"/>
        </w:rPr>
        <w:t>百分之一</w:t>
      </w:r>
      <w:r>
        <w:rPr>
          <w:rFonts w:hint="eastAsia" w:ascii="宋体" w:hAnsi="宋体"/>
          <w:color w:val="auto"/>
          <w:szCs w:val="21"/>
          <w:highlight w:val="none"/>
        </w:rPr>
        <w:t>部分的</w:t>
      </w:r>
      <w:r>
        <w:rPr>
          <w:rFonts w:hint="eastAsia" w:ascii="宋体" w:hAnsi="宋体"/>
          <w:color w:val="auto"/>
          <w:szCs w:val="21"/>
          <w:highlight w:val="none"/>
          <w:lang w:eastAsia="zh-Hans"/>
        </w:rPr>
        <w:t>或需要基础杆件施工的的部分</w:t>
      </w:r>
      <w:r>
        <w:rPr>
          <w:rFonts w:hint="eastAsia" w:ascii="宋体" w:hAnsi="宋体"/>
          <w:color w:val="auto"/>
          <w:szCs w:val="21"/>
          <w:highlight w:val="none"/>
        </w:rPr>
        <w:t>，按审计结算。移位工作均应在甲方下达任务规定时间内完成。</w:t>
      </w:r>
    </w:p>
    <w:p>
      <w:pPr>
        <w:pStyle w:val="2"/>
        <w:ind w:firstLine="422"/>
        <w:rPr>
          <w:rFonts w:eastAsia="宋体"/>
          <w:b/>
          <w:bCs/>
          <w:color w:val="auto"/>
          <w:sz w:val="21"/>
          <w:szCs w:val="21"/>
          <w:highlight w:val="none"/>
        </w:rPr>
      </w:pPr>
      <w:r>
        <w:rPr>
          <w:rFonts w:hint="eastAsia" w:eastAsia="宋体"/>
          <w:b/>
          <w:bCs/>
          <w:color w:val="auto"/>
          <w:sz w:val="21"/>
          <w:szCs w:val="21"/>
          <w:highlight w:val="none"/>
        </w:rPr>
        <w:t xml:space="preserve">六、合同价格、支付及服务到期处理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合同价人民币大写：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元整），年服务价人民币大写：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（二）付款方式： </w:t>
      </w:r>
    </w:p>
    <w:p>
      <w:pPr>
        <w:spacing w:line="400" w:lineRule="exact"/>
        <w:ind w:firstLine="403" w:firstLineChars="192"/>
        <w:rPr>
          <w:rFonts w:ascii="宋体" w:hAnsi="宋体"/>
          <w:color w:val="auto"/>
          <w:szCs w:val="21"/>
          <w:highlight w:val="none"/>
        </w:rPr>
      </w:pPr>
      <w:r>
        <w:rPr>
          <w:rFonts w:hint="eastAsia" w:ascii="宋体" w:hAnsi="宋体"/>
          <w:color w:val="auto"/>
          <w:szCs w:val="21"/>
          <w:highlight w:val="none"/>
        </w:rPr>
        <w:t>6.2.1合同签订生效、乙方已提交预付款保函以及具备实施条件后7个工作日内支付合同价款的40%作为预付款，即            万元（大写：            ）。项目验收合格后，支付合同价款的40%，即            万元（大写：            ）。第二年服务期满且收到发票后7个工作日内支付合同价款的10%，即            万元（大写：            ）。第三年服务期满且收到发票后7个工作日内支付剩余款项。</w:t>
      </w:r>
    </w:p>
    <w:p>
      <w:pPr>
        <w:spacing w:line="400" w:lineRule="exact"/>
        <w:ind w:firstLine="403" w:firstLineChars="192"/>
        <w:rPr>
          <w:rFonts w:ascii="宋体" w:hAnsi="宋体"/>
          <w:color w:val="auto"/>
          <w:szCs w:val="21"/>
          <w:highlight w:val="none"/>
        </w:rPr>
      </w:pPr>
      <w:r>
        <w:rPr>
          <w:rFonts w:hint="eastAsia" w:ascii="宋体" w:hAnsi="宋体"/>
          <w:color w:val="auto"/>
          <w:szCs w:val="21"/>
          <w:highlight w:val="none"/>
        </w:rPr>
        <w:t>6.2.2 预付款保函金额为合同价款的40%，可以由银行、保险公司等金融机构出具，且应在履约服务完成后30天内保持有效。</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双方同意以结算支付凭证作为支付时间依据。</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（三）服务到期</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本项目服务到期后，双方同意本项目中的全部设备（不包括高位消防监管服务及光纤链路租赁服务）产权归甲方所有。若本合同服务期限三年满后，如甲方继续租用乙方的光纤，每条光纤（每点按一条计）的每年服务费按中标单点租赁费实施。如委托乙方对系统进行维护维修，每年维护费（含配件费、人工费等全部费用）不得高于   元（具体费用清单在本项目合同谈判中确定，并作为合同附件）。续签协议应在合同到期前3个月内签署。如乙方不同意出租光纤，则按每个监控点2000元标准补偿甲方二次建设费，在支付第三年服务费时扣除此费用。</w:t>
      </w:r>
    </w:p>
    <w:p>
      <w:pPr>
        <w:spacing w:line="400" w:lineRule="exact"/>
        <w:ind w:left="-176" w:leftChars="-84" w:right="-176" w:rightChars="-84" w:firstLine="420" w:firstLineChars="200"/>
        <w:rPr>
          <w:color w:val="auto"/>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Hans"/>
        </w:rPr>
        <w:t>服务</w:t>
      </w:r>
      <w:r>
        <w:rPr>
          <w:rFonts w:hint="eastAsia" w:ascii="宋体" w:hAnsi="宋体"/>
          <w:color w:val="auto"/>
          <w:szCs w:val="21"/>
          <w:highlight w:val="none"/>
        </w:rPr>
        <w:t>到期后</w:t>
      </w:r>
      <w:r>
        <w:rPr>
          <w:rFonts w:hint="eastAsia" w:ascii="宋体" w:hAnsi="宋体"/>
          <w:color w:val="auto"/>
          <w:szCs w:val="21"/>
          <w:highlight w:val="none"/>
          <w:lang w:eastAsia="zh-Hans"/>
        </w:rPr>
        <w:t>的</w:t>
      </w:r>
      <w:r>
        <w:rPr>
          <w:rFonts w:hint="eastAsia" w:ascii="宋体" w:hAnsi="宋体"/>
          <w:color w:val="auto"/>
          <w:szCs w:val="21"/>
          <w:highlight w:val="none"/>
        </w:rPr>
        <w:t>2年运维费用，在甲方评定乙方服务无异议的情况下，可按照乙方投标文件中的后2年维护价格进行续约</w:t>
      </w:r>
      <w:r>
        <w:rPr>
          <w:rFonts w:hint="eastAsia" w:ascii="宋体" w:hAnsi="宋体"/>
          <w:color w:val="auto"/>
          <w:szCs w:val="21"/>
          <w:highlight w:val="none"/>
          <w:lang w:eastAsia="zh-Hans"/>
        </w:rPr>
        <w:t>，同时甲方有权利进行另行招标确定续约服务单位</w:t>
      </w:r>
      <w:r>
        <w:rPr>
          <w:rFonts w:hint="eastAsia" w:ascii="宋体" w:hAnsi="宋体"/>
          <w:color w:val="auto"/>
          <w:szCs w:val="21"/>
          <w:highlight w:val="none"/>
        </w:rPr>
        <w:t>。</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 xml:space="preserve"> 七、违约责任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任何一方未履行本合同项下的任何一项条款均被视为违约。任何一方在收到对方的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由于乙方自身原因，未能按时完成项目建设，则从次日起，每延误一日，甲方有权要求乙方支付1000元/天的罚金；当延误工期一个月未完成的，</w:t>
      </w:r>
      <w:r>
        <w:rPr>
          <w:rFonts w:ascii="宋体" w:hAnsi="宋体"/>
          <w:color w:val="auto"/>
          <w:szCs w:val="21"/>
          <w:highlight w:val="none"/>
        </w:rPr>
        <w:t>则本工程涉及所有设备及系统产权自动归甲方所有，并将履约保证金</w:t>
      </w:r>
      <w:r>
        <w:rPr>
          <w:rFonts w:hint="eastAsia" w:ascii="宋体" w:hAnsi="宋体"/>
          <w:color w:val="auto"/>
          <w:szCs w:val="21"/>
          <w:highlight w:val="none"/>
        </w:rPr>
        <w:t>作</w:t>
      </w:r>
      <w:r>
        <w:rPr>
          <w:rFonts w:ascii="宋体" w:hAnsi="宋体"/>
          <w:color w:val="auto"/>
          <w:szCs w:val="21"/>
          <w:highlight w:val="none"/>
        </w:rPr>
        <w:t>为违约金冲抵给甲方，本项目合同自然终止</w:t>
      </w:r>
      <w:r>
        <w:rPr>
          <w:rFonts w:hint="eastAsia" w:ascii="宋体" w:hAnsi="宋体"/>
          <w:color w:val="auto"/>
          <w:szCs w:val="21"/>
          <w:highlight w:val="none"/>
        </w:rPr>
        <w:t>。</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由于乙方自身原因，累计超过30天以上且整个系统10%以上同时不能提供完好的信息服务，甲方有权中止服务协议，拒付剩余服务费，工程涉及的所有材料设备产权归甲方所有。</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 xml:space="preserve">八、保密信息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（一）合同双方保证由任何一方提供的涉及国家安全的视为具有保密性质的所有信息均将被认同为保密信息，并由双方以对方要求的保密信息的保护方式，保证其安全性。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（二）乙方对在系统建设和售后服务期间所获得的甲方的情报和资料有保密义务，并承担保密的责任。不论本合同是否变更、解除、终止，本条款均有效。甲方比照前述条件对乙方承担对等的保密义务。 </w:t>
      </w:r>
    </w:p>
    <w:p>
      <w:pPr>
        <w:spacing w:line="400" w:lineRule="exact"/>
        <w:ind w:firstLine="105" w:firstLineChars="50"/>
        <w:rPr>
          <w:rFonts w:ascii="宋体" w:hAnsi="宋体"/>
          <w:color w:val="auto"/>
          <w:szCs w:val="21"/>
          <w:highlight w:val="none"/>
        </w:rPr>
      </w:pPr>
      <w:r>
        <w:rPr>
          <w:rFonts w:hint="eastAsia" w:ascii="宋体" w:hAnsi="宋体"/>
          <w:color w:val="auto"/>
          <w:szCs w:val="21"/>
          <w:highlight w:val="none"/>
        </w:rPr>
        <w:t>（三）未经对方书面许可，任何一方不得向第三方提供或披露与对方业务有关的资料和信息，法律另有规定的除外。</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 xml:space="preserve">九、不可抗力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（一）如果双方中任何一方由于战争、严重火灾、水灾、台风和地震以及其它经双方同意属于不可抗力的事故，致使合同履行受阻时，履行合同的期限应予延长，延长的期限应相当于事故所影响的时间。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二）受事故影响的一方应在不可抗力的事故发生后尽快以书面、邮寄或传真方式通知另一方，并在事故发生后14天内，将有关部门出具的证明文件用挂号信寄给或送给另一方。如果不可抗力影响时间延续120天以上的，双方应通过友好协商在合理的时间内达成进一步履行合同的合同。</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十、争议解决</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（一）双方一致同意建立协商制度，加强日常情况沟通，及时处理各项问题。</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（二）双方因本合同的履行而发生的争议，应由双方友好协商解决。协商不成提请慈溪市人民法院解决。 </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 xml:space="preserve">十一、合同的有效期限、变更、解除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（一）本合同及所含附件自合同签订之日起生效。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（二）合同签订后双方任何一方不得单方面解除合同，否则赔偿对方损失。 </w:t>
      </w:r>
    </w:p>
    <w:p>
      <w:pPr>
        <w:spacing w:line="400" w:lineRule="exact"/>
        <w:ind w:left="-176" w:leftChars="-84" w:right="-176" w:rightChars="-84" w:firstLine="422" w:firstLineChars="200"/>
        <w:rPr>
          <w:rFonts w:ascii="宋体" w:hAnsi="宋体"/>
          <w:b/>
          <w:color w:val="auto"/>
          <w:szCs w:val="21"/>
          <w:highlight w:val="none"/>
        </w:rPr>
      </w:pPr>
      <w:r>
        <w:rPr>
          <w:rFonts w:hint="eastAsia" w:ascii="宋体" w:hAnsi="宋体"/>
          <w:b/>
          <w:color w:val="auto"/>
          <w:szCs w:val="21"/>
          <w:highlight w:val="none"/>
        </w:rPr>
        <w:t>十二、附则</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（一）本合同包含合同正本及一个附件：</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附件：《主要设备材料手册》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（二）合同正本以及附件其条款受国家《合同法》的保护，附件作为合同正本的有效补充，与合同正本具有同等的法律效力。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（三）本合同签订后，甲乙双方如需要提出修改时，经双方协商一致后，可以签订补充合同，作为本合同补充合同。补充合同与本合同具有同等效力。</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（四）如果本合同的任何条款在任何时候变成不合法、无效或不可强制执行而不从根本上影响本合同的效力时，本合同的其它条款应不受影响。</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（五）未经甲乙双方书面确认，任何一方不得自行变更或修改本合同。</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（六）本合同的任何内容不应被视为或解释为双方之间具有合资、合伙、代理关系。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 xml:space="preserve">（七）本合同未尽事宜由甲乙双方协商解决。 </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（八）本合同一式四份，甲乙双方各执两份。每份合同具有同等法律效力。</w:t>
      </w:r>
    </w:p>
    <w:p>
      <w:pPr>
        <w:spacing w:line="400" w:lineRule="exact"/>
        <w:ind w:left="-176" w:leftChars="-84" w:right="-176" w:rightChars="-84" w:firstLine="420" w:firstLineChars="200"/>
        <w:rPr>
          <w:rFonts w:ascii="宋体" w:hAnsi="宋体"/>
          <w:color w:val="auto"/>
          <w:szCs w:val="21"/>
          <w:highlight w:val="none"/>
        </w:rPr>
      </w:pPr>
      <w:r>
        <w:rPr>
          <w:rFonts w:hint="eastAsia" w:ascii="宋体" w:hAnsi="宋体"/>
          <w:color w:val="auto"/>
          <w:szCs w:val="21"/>
          <w:highlight w:val="none"/>
        </w:rPr>
        <w:t>（九）本合同自双方负责人或委托代理人签字并加盖公章之日起生效。</w:t>
      </w:r>
    </w:p>
    <w:p>
      <w:pPr>
        <w:widowControl/>
        <w:spacing w:line="400" w:lineRule="exact"/>
        <w:jc w:val="left"/>
        <w:rPr>
          <w:rFonts w:ascii="宋体" w:hAnsi="宋体"/>
          <w:color w:val="auto"/>
          <w:szCs w:val="21"/>
          <w:highlight w:val="none"/>
        </w:rPr>
      </w:pPr>
      <w:r>
        <w:rPr>
          <w:rFonts w:hint="eastAsia" w:ascii="宋体" w:hAnsi="宋体" w:cs="宋体"/>
          <w:color w:val="auto"/>
          <w:kern w:val="0"/>
          <w:szCs w:val="21"/>
          <w:highlight w:val="none"/>
        </w:rPr>
        <w:t>甲方：</w:t>
      </w:r>
      <w:r>
        <w:rPr>
          <w:rFonts w:hint="eastAsia" w:ascii="宋体" w:hAnsi="宋体"/>
          <w:color w:val="auto"/>
          <w:szCs w:val="21"/>
          <w:highlight w:val="none"/>
        </w:rPr>
        <w:t xml:space="preserve">（盖章）慈溪市观海卫镇人民政府         </w:t>
      </w:r>
      <w:r>
        <w:rPr>
          <w:rFonts w:hint="eastAsia" w:ascii="宋体" w:hAnsi="宋体" w:cs="宋体"/>
          <w:color w:val="auto"/>
          <w:kern w:val="0"/>
          <w:szCs w:val="21"/>
          <w:highlight w:val="none"/>
        </w:rPr>
        <w:t>乙方：</w:t>
      </w:r>
      <w:r>
        <w:rPr>
          <w:rFonts w:hint="eastAsia" w:ascii="宋体" w:hAnsi="宋体"/>
          <w:color w:val="auto"/>
          <w:szCs w:val="21"/>
          <w:highlight w:val="none"/>
        </w:rPr>
        <w:t>（盖章）</w:t>
      </w:r>
    </w:p>
    <w:p>
      <w:pPr>
        <w:spacing w:line="400" w:lineRule="exact"/>
        <w:rPr>
          <w:rFonts w:ascii="宋体" w:hAnsi="宋体"/>
          <w:color w:val="auto"/>
          <w:szCs w:val="21"/>
          <w:highlight w:val="none"/>
        </w:rPr>
      </w:pPr>
      <w:r>
        <w:rPr>
          <w:rFonts w:hint="eastAsia" w:ascii="宋体" w:hAnsi="宋体" w:cs="宋体"/>
          <w:color w:val="auto"/>
          <w:kern w:val="0"/>
          <w:szCs w:val="21"/>
          <w:highlight w:val="none"/>
        </w:rPr>
        <w:t>负责人（签字）：                                   负责人（签字）：</w:t>
      </w:r>
    </w:p>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联系人：                                           联系人：</w:t>
      </w:r>
    </w:p>
    <w:p>
      <w:pPr>
        <w:widowControl/>
        <w:spacing w:line="400" w:lineRule="exact"/>
        <w:ind w:left="4790" w:hanging="4790" w:hangingChars="2281"/>
        <w:jc w:val="left"/>
        <w:rPr>
          <w:rFonts w:ascii="宋体" w:hAnsi="宋体" w:cs="宋体"/>
          <w:color w:val="auto"/>
          <w:kern w:val="0"/>
          <w:szCs w:val="21"/>
          <w:highlight w:val="none"/>
        </w:rPr>
      </w:pPr>
      <w:r>
        <w:rPr>
          <w:rFonts w:hint="eastAsia" w:ascii="宋体" w:hAnsi="宋体" w:cs="宋体"/>
          <w:color w:val="auto"/>
          <w:kern w:val="0"/>
          <w:szCs w:val="21"/>
          <w:highlight w:val="none"/>
        </w:rPr>
        <w:t>通信地址：                                         通信地址：</w:t>
      </w:r>
    </w:p>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电话：                                             电话：</w:t>
      </w:r>
    </w:p>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传真：                                             传真：</w:t>
      </w:r>
    </w:p>
    <w:p>
      <w:pPr>
        <w:spacing w:line="400" w:lineRule="exact"/>
        <w:ind w:left="4830" w:hanging="4830" w:hangingChars="2300"/>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开户银行：</w:t>
      </w:r>
    </w:p>
    <w:p>
      <w:pPr>
        <w:widowControl/>
        <w:spacing w:line="400" w:lineRule="exact"/>
        <w:jc w:val="left"/>
        <w:rPr>
          <w:rFonts w:ascii="宋体" w:hAnsi="宋体" w:cs="宋体"/>
          <w:color w:val="auto"/>
          <w:kern w:val="0"/>
          <w:szCs w:val="21"/>
          <w:highlight w:val="none"/>
        </w:rPr>
      </w:pPr>
      <w:r>
        <w:rPr>
          <w:rFonts w:hint="eastAsia" w:ascii="宋体" w:hAnsi="宋体"/>
          <w:color w:val="auto"/>
          <w:szCs w:val="21"/>
          <w:highlight w:val="none"/>
        </w:rPr>
        <w:t>开户账号：</w:t>
      </w:r>
      <w:r>
        <w:rPr>
          <w:rFonts w:hint="eastAsia"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开户账号：</w:t>
      </w:r>
    </w:p>
    <w:p>
      <w:pPr>
        <w:pStyle w:val="24"/>
        <w:snapToGrid w:val="0"/>
        <w:spacing w:line="400" w:lineRule="exact"/>
        <w:ind w:firstLine="476"/>
        <w:rPr>
          <w:color w:val="auto"/>
          <w:highlight w:val="none"/>
        </w:rPr>
      </w:pPr>
      <w:r>
        <w:rPr>
          <w:rFonts w:hint="eastAsia" w:hAnsi="宋体"/>
          <w:color w:val="auto"/>
          <w:sz w:val="21"/>
          <w:szCs w:val="21"/>
          <w:highlight w:val="none"/>
        </w:rPr>
        <w:t>签字日期：    年  月  日                           签字日期：    年  月  日</w:t>
      </w:r>
    </w:p>
    <w:p>
      <w:pPr>
        <w:rPr>
          <w:color w:val="auto"/>
          <w:highlight w:val="none"/>
        </w:rPr>
      </w:pPr>
    </w:p>
    <w:p>
      <w:pPr>
        <w:pStyle w:val="24"/>
        <w:snapToGrid w:val="0"/>
        <w:spacing w:line="400" w:lineRule="exact"/>
        <w:rPr>
          <w:color w:val="auto"/>
          <w:highlight w:val="none"/>
        </w:rPr>
      </w:pPr>
    </w:p>
    <w:p>
      <w:pPr>
        <w:pageBreakBefore/>
        <w:spacing w:line="400" w:lineRule="exact"/>
        <w:jc w:val="center"/>
        <w:outlineLvl w:val="0"/>
        <w:rPr>
          <w:rFonts w:ascii="宋体" w:hAnsi="宋体"/>
          <w:b/>
          <w:color w:val="auto"/>
          <w:sz w:val="32"/>
          <w:highlight w:val="none"/>
        </w:rPr>
      </w:pPr>
      <w:r>
        <w:rPr>
          <w:rFonts w:hint="eastAsia" w:ascii="宋体" w:hAnsi="宋体"/>
          <w:b/>
          <w:color w:val="auto"/>
          <w:sz w:val="32"/>
          <w:highlight w:val="none"/>
        </w:rPr>
        <w:t xml:space="preserve">第五章 </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0"/>
    </w:p>
    <w:p>
      <w:pPr>
        <w:jc w:val="center"/>
        <w:rPr>
          <w:color w:val="auto"/>
          <w:sz w:val="28"/>
          <w:szCs w:val="28"/>
          <w:highlight w:val="none"/>
        </w:rPr>
      </w:pPr>
      <w:bookmarkStart w:id="96" w:name="_Toc24996"/>
      <w:bookmarkStart w:id="97" w:name="_Toc3507"/>
      <w:bookmarkStart w:id="98" w:name="_Toc383768494"/>
      <w:r>
        <w:rPr>
          <w:rFonts w:hint="eastAsia"/>
          <w:color w:val="auto"/>
          <w:sz w:val="28"/>
          <w:szCs w:val="28"/>
          <w:highlight w:val="none"/>
        </w:rPr>
        <w:t>项目需求前附表</w:t>
      </w:r>
    </w:p>
    <w:tbl>
      <w:tblPr>
        <w:tblStyle w:val="47"/>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8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33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33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p>
        </w:tc>
        <w:tc>
          <w:tcPr>
            <w:tcW w:w="533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33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33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33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332" w:type="dxa"/>
            <w:vAlign w:val="center"/>
          </w:tcPr>
          <w:p>
            <w:pPr>
              <w:spacing w:line="360" w:lineRule="auto"/>
              <w:rPr>
                <w:rFonts w:ascii="宋体" w:hAnsi="宋体" w:cs="宋体"/>
                <w:color w:val="auto"/>
                <w:highlight w:val="none"/>
              </w:rPr>
            </w:pPr>
            <w:r>
              <w:rPr>
                <w:rFonts w:hint="eastAsia" w:ascii="宋体" w:hAnsi="宋体" w:cs="宋体"/>
                <w:color w:val="auto"/>
                <w:szCs w:val="21"/>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332" w:type="dxa"/>
            <w:vAlign w:val="center"/>
          </w:tcPr>
          <w:p>
            <w:pPr>
              <w:spacing w:line="264" w:lineRule="auto"/>
              <w:rPr>
                <w:rFonts w:ascii="宋体" w:hAnsi="宋体" w:cs="宋体"/>
                <w:i/>
                <w:color w:val="auto"/>
                <w:szCs w:val="21"/>
                <w:highlight w:val="none"/>
              </w:rPr>
            </w:pPr>
            <w:r>
              <w:rPr>
                <w:rFonts w:hint="eastAsia" w:ascii="宋体" w:hAnsi="宋体" w:cs="宋体"/>
                <w:iCs/>
                <w:color w:val="auto"/>
                <w:szCs w:val="21"/>
                <w:highlight w:val="none"/>
              </w:rPr>
              <w:t>通过采购人组织的专家评审。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332" w:type="dxa"/>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332" w:type="dxa"/>
            <w:vAlign w:val="center"/>
          </w:tcPr>
          <w:p>
            <w:pPr>
              <w:spacing w:line="360" w:lineRule="auto"/>
              <w:rPr>
                <w:rFonts w:ascii="宋体" w:hAnsi="宋体" w:cs="宋体"/>
                <w:i/>
                <w:color w:val="auto"/>
                <w:szCs w:val="21"/>
                <w:highlight w:val="none"/>
              </w:rPr>
            </w:pPr>
            <w:r>
              <w:rPr>
                <w:rFonts w:hint="eastAsia" w:ascii="宋体" w:hAnsi="宋体" w:cs="宋体"/>
                <w:i/>
                <w:color w:val="auto"/>
                <w:szCs w:val="21"/>
                <w:highlight w:val="none"/>
              </w:rPr>
              <w:t>无</w:t>
            </w:r>
          </w:p>
        </w:tc>
      </w:tr>
      <w:bookmarkEnd w:id="1"/>
      <w:bookmarkEnd w:id="96"/>
      <w:bookmarkEnd w:id="97"/>
      <w:bookmarkEnd w:id="98"/>
    </w:tbl>
    <w:p>
      <w:pPr>
        <w:pStyle w:val="2"/>
        <w:ind w:firstLine="422"/>
        <w:rPr>
          <w:rFonts w:eastAsia="宋体"/>
          <w:b/>
          <w:bCs/>
          <w:color w:val="auto"/>
          <w:sz w:val="21"/>
          <w:szCs w:val="21"/>
          <w:highlight w:val="none"/>
        </w:rPr>
        <w:sectPr>
          <w:footerReference r:id="rId11" w:type="first"/>
          <w:footerReference r:id="rId9" w:type="default"/>
          <w:footerReference r:id="rId10" w:type="even"/>
          <w:pgSz w:w="11907" w:h="16840"/>
          <w:pgMar w:top="851" w:right="1275" w:bottom="1134" w:left="1276" w:header="285" w:footer="418" w:gutter="0"/>
          <w:cols w:space="720" w:num="1"/>
          <w:docGrid w:linePitch="285" w:charSpace="0"/>
        </w:sectPr>
      </w:pPr>
    </w:p>
    <w:p>
      <w:pPr>
        <w:spacing w:line="400" w:lineRule="exact"/>
        <w:jc w:val="left"/>
        <w:outlineLvl w:val="0"/>
        <w:rPr>
          <w:rFonts w:ascii="宋体" w:hAnsi="宋体"/>
          <w:b/>
          <w:color w:val="auto"/>
          <w:sz w:val="28"/>
          <w:szCs w:val="28"/>
          <w:highlight w:val="none"/>
        </w:rPr>
      </w:pPr>
      <w:bookmarkStart w:id="99" w:name="_Toc46014246"/>
      <w:r>
        <w:rPr>
          <w:rFonts w:hint="eastAsia" w:ascii="宋体" w:hAnsi="宋体"/>
          <w:b/>
          <w:color w:val="auto"/>
          <w:sz w:val="28"/>
          <w:szCs w:val="28"/>
          <w:highlight w:val="none"/>
        </w:rPr>
        <w:t>一、招标内容</w:t>
      </w:r>
    </w:p>
    <w:p>
      <w:pPr>
        <w:pStyle w:val="8"/>
        <w:rPr>
          <w:color w:val="auto"/>
          <w:highlight w:val="none"/>
        </w:rPr>
      </w:pPr>
      <w:r>
        <w:rPr>
          <w:rFonts w:hint="eastAsia"/>
          <w:color w:val="auto"/>
          <w:highlight w:val="none"/>
        </w:rPr>
        <w:t>5.1 建设目标</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在“数字慈溪”总体框架下，依托市“城市大脑“资源，综合运用大数据、物联网、云计算、人工智能等前沿技术，结合观海卫镇产业特点，开展智慧安全监管服务平台建设。通过在生产企业、沿街商铺、医院、学校、住宅小区等重点场景建设安全监测感知设备，依托智慧安全监管服务平台，实现风险监测预警、应急指挥保障、智能决策支持等应急管理基本能力，进一步提升观海卫镇安全监管服务水平。</w:t>
      </w:r>
    </w:p>
    <w:p>
      <w:pPr>
        <w:pStyle w:val="8"/>
        <w:rPr>
          <w:color w:val="auto"/>
          <w:highlight w:val="none"/>
        </w:rPr>
      </w:pPr>
      <w:r>
        <w:rPr>
          <w:rFonts w:hint="eastAsia"/>
          <w:color w:val="auto"/>
          <w:highlight w:val="none"/>
        </w:rPr>
        <w:t>5.2 建设内容</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观海卫智慧安全监管服务平台项目建设以“一个中心”为核心，“三个联动机制”为抓手，“N类应用场景”为基础，围绕“整体规划、急用先行”的建设规划，项目整体规划三期建设，最终达到覆盖全镇的安全监控服务能力。</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本期建设内容为一期试点建设，涉及1个中心及多个类型场景，主要包括前端感知系统、网络系统、视频图像信息管理平台、存储系统、智慧安全监管服务平台、智慧安全监管服务指挥中心、机房、安全系统等建设等。</w:t>
      </w:r>
    </w:p>
    <w:p>
      <w:pPr>
        <w:pStyle w:val="8"/>
        <w:rPr>
          <w:color w:val="auto"/>
          <w:highlight w:val="none"/>
        </w:rPr>
      </w:pPr>
      <w:r>
        <w:rPr>
          <w:rFonts w:hint="eastAsia"/>
          <w:color w:val="auto"/>
          <w:highlight w:val="none"/>
        </w:rPr>
        <w:t>5.3 建设方案</w:t>
      </w:r>
    </w:p>
    <w:p>
      <w:pPr>
        <w:pStyle w:val="24"/>
        <w:ind w:firstLine="422" w:firstLineChars="200"/>
        <w:rPr>
          <w:rFonts w:hAnsi="宋体" w:cs="宋体"/>
          <w:b/>
          <w:bCs/>
          <w:color w:val="auto"/>
          <w:kern w:val="2"/>
          <w:sz w:val="21"/>
          <w:szCs w:val="21"/>
          <w:highlight w:val="none"/>
          <w:lang w:bidi="ar"/>
        </w:rPr>
      </w:pPr>
      <w:bookmarkStart w:id="100" w:name="_Toc97742050"/>
      <w:r>
        <w:rPr>
          <w:rFonts w:hint="eastAsia" w:hAnsi="宋体" w:cs="宋体"/>
          <w:b/>
          <w:bCs/>
          <w:color w:val="auto"/>
          <w:kern w:val="2"/>
          <w:sz w:val="21"/>
          <w:szCs w:val="21"/>
          <w:highlight w:val="none"/>
          <w:lang w:bidi="ar"/>
        </w:rPr>
        <w:t>5.3.1前端感知系统</w:t>
      </w:r>
      <w:bookmarkEnd w:id="100"/>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根据项目总体规划结合观海卫镇实际情况，在工业企业、沿街商铺、大小餐饮、综合商超、酒店宾馆、公寓群租房、医院学校，住宅小区等多场景，建设安装高点热成像双光谱云台摄像机、热成像感温探测摄像机、电瓶车入梯监测摄像机、消防通道占用监测摄像机、智慧烟感、智慧温感、智慧用电、智慧空开、智慧燃气、智慧用户信息传输装置、室外消火栓状态监测、室内消防用水状态监测、四合一可视化烟感等感知设备。主要建设内容如下：</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覆盖主要核心商业街，根据场景实际情况及需要安装四合一可视化烟感、智慧烟感、智慧燃气、智慧温感、智慧用电等物联感知类设备，一期拟覆盖10条主要核心商业街，约1500家大小商铺。其中，网吧场景由于用电设备较多，存在大功率用电安全隐患明显，因此在其他物联感知设备的基础之上额外部署智慧用电设备，共涉及5家网吧。</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在观海卫老镇区、东工业区、西工业区、鸣鹤古镇部署高点热成像双光谱云台摄像机各1台，共计4台，形成对所监测区域的异常热源及烟雾进行感知探测与全景呈现（若监测区域涉及山林，可同步监测）。同时为保证消防灭火资源的有效性以及消防救援的及时性，在公共区域部署室外消火栓状态监测设备和消防通道占用监测摄像机，涉及30套室外消火栓和12个小区以及2个商场。</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3）实现2家教育机构的安全智能化管理升级。教育机构的安全管理以智慧温感、智慧燃气、智慧空开、消防通道占用监测、消防栓压力监测（室内/外）和热成像半球摄像机、消控室远程联网为主，覆盖学校实验室、食堂厨房和公共区域。</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（4）完成2家养老机构，包含长青（180间）、海地（30间）两家养老中心，建设智慧烟感、智慧温感、消防通道占用监测摄像机、智慧燃气、电动车智能充电桩、巡检NFC等设备。</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完成10家文保单位的安全管理升级改造，接入以木制结构为主的文保单位，考虑场景实际情况，以热成像感温探测器（球形、半球形和筒形）、智慧烟感作一定程度的密集型布建（每个单文保单位按30套智慧烟感考虑）。</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1、布建思路</w:t>
      </w:r>
    </w:p>
    <w:p>
      <w:pPr>
        <w:ind w:firstLine="420" w:firstLineChars="200"/>
        <w:rPr>
          <w:color w:val="auto"/>
          <w:highlight w:val="none"/>
        </w:rPr>
      </w:pPr>
      <w:r>
        <w:rPr>
          <w:color w:val="auto"/>
          <w:highlight w:val="none"/>
        </w:rPr>
        <w:t>前端感知设备根据各安全监管场所的</w:t>
      </w:r>
      <w:r>
        <w:rPr>
          <w:rFonts w:hint="eastAsia"/>
          <w:color w:val="auto"/>
          <w:highlight w:val="none"/>
        </w:rPr>
        <w:t>安</w:t>
      </w:r>
      <w:r>
        <w:rPr>
          <w:color w:val="auto"/>
          <w:highlight w:val="none"/>
        </w:rPr>
        <w:t>全监管形势</w:t>
      </w:r>
      <w:r>
        <w:rPr>
          <w:rFonts w:hint="eastAsia"/>
          <w:color w:val="auto"/>
          <w:highlight w:val="none"/>
        </w:rPr>
        <w:t>需要</w:t>
      </w:r>
      <w:r>
        <w:rPr>
          <w:color w:val="auto"/>
          <w:highlight w:val="none"/>
        </w:rPr>
        <w:t>，</w:t>
      </w:r>
      <w:r>
        <w:rPr>
          <w:rFonts w:hint="eastAsia"/>
          <w:color w:val="auto"/>
          <w:highlight w:val="none"/>
        </w:rPr>
        <w:t>同时围绕重点区域、重点布控的建设思路，</w:t>
      </w:r>
      <w:r>
        <w:rPr>
          <w:color w:val="auto"/>
          <w:highlight w:val="none"/>
        </w:rPr>
        <w:t>因地制宜</w:t>
      </w:r>
      <w:r>
        <w:rPr>
          <w:rFonts w:hint="eastAsia"/>
          <w:color w:val="auto"/>
          <w:highlight w:val="none"/>
        </w:rPr>
        <w:t>、因需投建的模式</w:t>
      </w:r>
      <w:r>
        <w:rPr>
          <w:color w:val="auto"/>
          <w:highlight w:val="none"/>
        </w:rPr>
        <w:t>进行差异化布建。</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1）沿街商铺</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针对沿街商铺场景，本次完成1595家沿街店铺的覆盖，其中包含440家小型餐饮店，150家中型餐饮店，60家大型餐饮店，745家小型非餐饮店，200家中大型非餐饮店，5家网吧。通过新建智慧烟感、智慧用电及智慧燃气等感知设备，实现火情实时感知和预警防控。</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商铺规模划分及部署标准如下：</w:t>
      </w:r>
    </w:p>
    <w:tbl>
      <w:tblPr>
        <w:tblStyle w:val="47"/>
        <w:tblW w:w="9567" w:type="dxa"/>
        <w:tblInd w:w="0" w:type="dxa"/>
        <w:tblLayout w:type="fixed"/>
        <w:tblCellMar>
          <w:top w:w="0" w:type="dxa"/>
          <w:left w:w="108" w:type="dxa"/>
          <w:bottom w:w="0" w:type="dxa"/>
          <w:right w:w="108" w:type="dxa"/>
        </w:tblCellMar>
      </w:tblPr>
      <w:tblGrid>
        <w:gridCol w:w="3480"/>
        <w:gridCol w:w="6087"/>
      </w:tblGrid>
      <w:tr>
        <w:tblPrEx>
          <w:tblCellMar>
            <w:top w:w="0" w:type="dxa"/>
            <w:left w:w="108" w:type="dxa"/>
            <w:bottom w:w="0" w:type="dxa"/>
            <w:right w:w="108" w:type="dxa"/>
          </w:tblCellMar>
        </w:tblPrEx>
        <w:trPr>
          <w:trHeight w:val="433"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b/>
                <w:color w:val="auto"/>
                <w:kern w:val="0"/>
                <w:szCs w:val="21"/>
                <w:highlight w:val="none"/>
                <w:lang w:bidi="ar"/>
              </w:rPr>
              <w:t>场景</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b/>
                <w:color w:val="auto"/>
                <w:szCs w:val="21"/>
                <w:highlight w:val="none"/>
              </w:rPr>
              <w:t>部署标准</w:t>
            </w:r>
          </w:p>
        </w:tc>
      </w:tr>
      <w:tr>
        <w:tblPrEx>
          <w:tblCellMar>
            <w:top w:w="0" w:type="dxa"/>
            <w:left w:w="108" w:type="dxa"/>
            <w:bottom w:w="0" w:type="dxa"/>
            <w:right w:w="108" w:type="dxa"/>
          </w:tblCellMar>
        </w:tblPrEx>
        <w:trPr>
          <w:trHeight w:val="810"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标准沿街餐饮（小型）</w:t>
            </w:r>
          </w:p>
          <w:p>
            <w:pPr>
              <w:pStyle w:val="2"/>
              <w:ind w:firstLine="0" w:firstLineChars="0"/>
              <w:jc w:val="center"/>
              <w:rPr>
                <w:rFonts w:eastAsia="宋体"/>
                <w:color w:val="auto"/>
                <w:sz w:val="21"/>
                <w:szCs w:val="21"/>
                <w:highlight w:val="none"/>
              </w:rPr>
            </w:pPr>
            <w:r>
              <w:rPr>
                <w:rFonts w:hint="eastAsia" w:eastAsia="宋体"/>
                <w:color w:val="auto"/>
                <w:sz w:val="21"/>
                <w:szCs w:val="21"/>
                <w:highlight w:val="none"/>
                <w:lang w:bidi="ar"/>
              </w:rPr>
              <w:t>（60平以内）</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智慧烟感：1~3套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智慧燃气：0~1套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智慧温感：0~1套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四合一可视化烟感：0~1套</w:t>
            </w:r>
          </w:p>
        </w:tc>
      </w:tr>
      <w:tr>
        <w:tblPrEx>
          <w:tblCellMar>
            <w:top w:w="0" w:type="dxa"/>
            <w:left w:w="108" w:type="dxa"/>
            <w:bottom w:w="0" w:type="dxa"/>
            <w:right w:w="108" w:type="dxa"/>
          </w:tblCellMar>
        </w:tblPrEx>
        <w:trPr>
          <w:trHeight w:val="810"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标准沿街餐饮（中型）</w:t>
            </w:r>
          </w:p>
          <w:p>
            <w:pPr>
              <w:pStyle w:val="2"/>
              <w:ind w:firstLine="0" w:firstLineChars="0"/>
              <w:jc w:val="center"/>
              <w:rPr>
                <w:rFonts w:eastAsia="宋体"/>
                <w:color w:val="auto"/>
                <w:sz w:val="21"/>
                <w:szCs w:val="21"/>
                <w:highlight w:val="none"/>
              </w:rPr>
            </w:pPr>
            <w:r>
              <w:rPr>
                <w:rFonts w:hint="eastAsia" w:eastAsia="宋体"/>
                <w:color w:val="auto"/>
                <w:sz w:val="21"/>
                <w:szCs w:val="21"/>
                <w:highlight w:val="none"/>
              </w:rPr>
              <w:t>（60-180平）</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智慧烟感：1~5套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智慧燃气：0~1套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智慧温感：0~1套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四合一可视化烟感：1~5套</w:t>
            </w:r>
          </w:p>
        </w:tc>
      </w:tr>
      <w:tr>
        <w:tblPrEx>
          <w:tblCellMar>
            <w:top w:w="0" w:type="dxa"/>
            <w:left w:w="108" w:type="dxa"/>
            <w:bottom w:w="0" w:type="dxa"/>
            <w:right w:w="108" w:type="dxa"/>
          </w:tblCellMar>
        </w:tblPrEx>
        <w:trPr>
          <w:trHeight w:val="540"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标准沿街餐饮（大型）</w:t>
            </w:r>
          </w:p>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（180平以上）</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智慧烟感：10~25套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智慧燃气：0~1套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智慧温感：0~1套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四合一可视化烟感：10~25套</w:t>
            </w:r>
          </w:p>
        </w:tc>
      </w:tr>
      <w:tr>
        <w:tblPrEx>
          <w:tblCellMar>
            <w:top w:w="0" w:type="dxa"/>
            <w:left w:w="108" w:type="dxa"/>
            <w:bottom w:w="0" w:type="dxa"/>
            <w:right w:w="108" w:type="dxa"/>
          </w:tblCellMar>
        </w:tblPrEx>
        <w:trPr>
          <w:trHeight w:val="540"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标准沿街非餐饮（小型）</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智慧烟感：0~1套</w:t>
            </w:r>
          </w:p>
        </w:tc>
      </w:tr>
      <w:tr>
        <w:tblPrEx>
          <w:tblCellMar>
            <w:top w:w="0" w:type="dxa"/>
            <w:left w:w="108" w:type="dxa"/>
            <w:bottom w:w="0" w:type="dxa"/>
            <w:right w:w="108" w:type="dxa"/>
          </w:tblCellMar>
        </w:tblPrEx>
        <w:trPr>
          <w:trHeight w:val="540"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标准沿街非餐饮（中大型）</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智慧烟感：5~8套</w:t>
            </w:r>
          </w:p>
        </w:tc>
      </w:tr>
      <w:tr>
        <w:tblPrEx>
          <w:tblCellMar>
            <w:top w:w="0" w:type="dxa"/>
            <w:left w:w="108" w:type="dxa"/>
            <w:bottom w:w="0" w:type="dxa"/>
            <w:right w:w="108" w:type="dxa"/>
          </w:tblCellMar>
        </w:tblPrEx>
        <w:trPr>
          <w:trHeight w:val="540" w:hRule="atLeast"/>
        </w:trPr>
        <w:tc>
          <w:tcPr>
            <w:tcW w:w="3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网吧</w:t>
            </w:r>
          </w:p>
        </w:tc>
        <w:tc>
          <w:tcPr>
            <w:tcW w:w="60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智慧烟感：5~10套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智慧用电：0~2套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四合一可视化烟感：0~5套</w:t>
            </w:r>
          </w:p>
        </w:tc>
      </w:tr>
    </w:tbl>
    <w:p>
      <w:pPr>
        <w:ind w:firstLine="480"/>
        <w:rPr>
          <w:rFonts w:ascii="仿宋" w:hAnsi="仿宋" w:eastAsia="仿宋"/>
          <w:color w:val="auto"/>
          <w:highlight w:val="none"/>
        </w:rPr>
      </w:pP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2）养老机构和教育机构</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此类场景具有规模大、人员密集、场所复杂、人群多样化的特点，一旦发生火灾或其它紧急状况，极易造成人员伤亡和财产损失，影响城市公共安全和社会稳定。尤其是养老机构场景，火灾危险性极大、容易造成群死群伤。</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根据此类场景的火灾预警配备情况，以现有消控主机远程接入为主，辅以新建补充完善热成像感温探测摄像机、智慧烟感、智慧温感、智慧用电、智慧燃气、消防通道占用监测摄像机、智慧用户信息传输装置、室内消防用水状态监测等前端设备，完善隐患及早发现，灾情及早扑救的能力。</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本期项目主要针对2家学校，2家养老机构进行覆盖部署，标准如下：</w:t>
      </w:r>
    </w:p>
    <w:tbl>
      <w:tblPr>
        <w:tblStyle w:val="47"/>
        <w:tblW w:w="9567" w:type="dxa"/>
        <w:tblInd w:w="0" w:type="dxa"/>
        <w:tblLayout w:type="fixed"/>
        <w:tblCellMar>
          <w:top w:w="0" w:type="dxa"/>
          <w:left w:w="108" w:type="dxa"/>
          <w:bottom w:w="0" w:type="dxa"/>
          <w:right w:w="108" w:type="dxa"/>
        </w:tblCellMar>
      </w:tblPr>
      <w:tblGrid>
        <w:gridCol w:w="1305"/>
        <w:gridCol w:w="8262"/>
      </w:tblGrid>
      <w:tr>
        <w:tblPrEx>
          <w:tblCellMar>
            <w:top w:w="0" w:type="dxa"/>
            <w:left w:w="108" w:type="dxa"/>
            <w:bottom w:w="0" w:type="dxa"/>
            <w:right w:w="108" w:type="dxa"/>
          </w:tblCellMar>
        </w:tblPrEx>
        <w:trPr>
          <w:trHeight w:val="50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场景</w:t>
            </w:r>
          </w:p>
        </w:tc>
        <w:tc>
          <w:tcPr>
            <w:tcW w:w="82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szCs w:val="21"/>
                <w:highlight w:val="none"/>
              </w:rPr>
              <w:t>部署标准</w:t>
            </w:r>
          </w:p>
        </w:tc>
      </w:tr>
      <w:tr>
        <w:tblPrEx>
          <w:tblCellMar>
            <w:top w:w="0" w:type="dxa"/>
            <w:left w:w="108" w:type="dxa"/>
            <w:bottom w:w="0" w:type="dxa"/>
            <w:right w:w="108" w:type="dxa"/>
          </w:tblCellMar>
        </w:tblPrEx>
        <w:trPr>
          <w:trHeight w:val="108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养老机构</w:t>
            </w:r>
          </w:p>
        </w:tc>
        <w:tc>
          <w:tcPr>
            <w:tcW w:w="82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智慧烟感：每个房间至少1套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智慧燃气：厨房至少1套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智慧温感：厨房至少1套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消防主机远程联网（用传+监控在岗）：每家1套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消防通道监测：每家至少2套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电瓶车智能充电：每家至少2套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智慧用电：每家至少2套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智慧空开（1p）：每家至少1套</w:t>
            </w:r>
          </w:p>
        </w:tc>
      </w:tr>
      <w:tr>
        <w:tblPrEx>
          <w:tblCellMar>
            <w:top w:w="0" w:type="dxa"/>
            <w:left w:w="108" w:type="dxa"/>
            <w:bottom w:w="0" w:type="dxa"/>
            <w:right w:w="108" w:type="dxa"/>
          </w:tblCellMar>
        </w:tblPrEx>
        <w:trPr>
          <w:trHeight w:val="1266"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教育机构</w:t>
            </w:r>
          </w:p>
        </w:tc>
        <w:tc>
          <w:tcPr>
            <w:tcW w:w="82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智慧温感：每家至少2套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智慧燃气：每家至少1套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智慧空开：每家至少2套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消防通道监测：每家至少2套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消防水箱水位监测（室内）：每家至少4套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室内消防栓水压监测（室内）：每家至少4套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消防栓压力检测（室外）：每家至少2套</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消防主机远程联网（用传+监控在岗）：每家1套</w:t>
            </w:r>
          </w:p>
        </w:tc>
      </w:tr>
    </w:tbl>
    <w:p>
      <w:pPr>
        <w:ind w:firstLine="480"/>
        <w:rPr>
          <w:rFonts w:ascii="仿宋" w:hAnsi="仿宋" w:eastAsia="仿宋"/>
          <w:color w:val="auto"/>
          <w:highlight w:val="none"/>
        </w:rPr>
      </w:pP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3）公共区域</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通过在观海卫镇重点监管区域选择合适高点位置，建设高点热成像双光谱云台摄像机，实现事前对监管区域的异常热源及烟雾感知探测，事后灾情区域的全景呈现。</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本项目拟在观海卫镇东工业区、西工业园、镇区老旧住宅区及鸣鹤古镇风景区4个位置，各布建1套高点热成像双光谱云台摄像机。</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同时，为保障消防灭火资源的有效性以及消防救援的及时性，在公共区域部署室外消火栓状态监测设备和消防通道占用监测摄像机，本次项目通过覆盖12个小区、2个商场周边消防通道，共部署24套消防通道的占用监测摄像机，保证“生命通道”畅通无阻。同时部署30套室外消火栓监测设备。</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4）文保单位</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文保单位以木制结构为主，本次项目涉及10家文保单位，考虑场景实际情况，以智慧烟感作一定程度的密集型布建，每家部署30套，共需部署300套智慧烟感。同时，在文保单位部署智慧用电（每家各至少2套），水压及水位监测每家至少各1套，智慧空开每家至少各1套，消防通道监测共10套，热成像感温探测设备（根据现场安装球形、半球形和筒形，每家半球形和筒形至少1套）。</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5）智慧安全监管服务指挥中心</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观海卫镇智慧安全监管服务指挥中心，面积约 114 平米左右，划分为综合指挥大厅和会议室两个区域。为保障监管服务中心安全及建设规范性，同时加强中心观摩学习成效，需要在中心建设各类物联感知系统样板区域，包含前端物联感知设备设施各1套，包含：智慧烟感、气体探测器、消防通道监测、热成像半球摄像机、巡检NFC等。</w:t>
      </w:r>
    </w:p>
    <w:p>
      <w:pPr>
        <w:pStyle w:val="24"/>
        <w:numPr>
          <w:ilvl w:val="0"/>
          <w:numId w:val="7"/>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室内外管线施工标准</w:t>
      </w:r>
    </w:p>
    <w:p>
      <w:pPr>
        <w:pStyle w:val="24"/>
        <w:numPr>
          <w:ilvl w:val="255"/>
          <w:numId w:val="0"/>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w:t>
      </w:r>
      <w:r>
        <w:rPr>
          <w:rFonts w:hAnsi="宋体" w:cs="宋体"/>
          <w:color w:val="auto"/>
          <w:kern w:val="2"/>
          <w:sz w:val="21"/>
          <w:szCs w:val="21"/>
          <w:highlight w:val="none"/>
          <w:lang w:bidi="ar"/>
        </w:rPr>
        <w:t>1综合布线系统施工方案</w:t>
      </w:r>
    </w:p>
    <w:p>
      <w:pPr>
        <w:pStyle w:val="24"/>
        <w:numPr>
          <w:ilvl w:val="255"/>
          <w:numId w:val="0"/>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w:t>
      </w:r>
      <w:r>
        <w:rPr>
          <w:rFonts w:hAnsi="宋体" w:cs="宋体"/>
          <w:color w:val="auto"/>
          <w:kern w:val="2"/>
          <w:sz w:val="21"/>
          <w:szCs w:val="21"/>
          <w:highlight w:val="none"/>
          <w:lang w:bidi="ar"/>
        </w:rPr>
        <w:t>1.1系统配线施工要求</w:t>
      </w:r>
    </w:p>
    <w:p>
      <w:pPr>
        <w:pStyle w:val="24"/>
        <w:numPr>
          <w:ilvl w:val="255"/>
          <w:numId w:val="0"/>
        </w:numPr>
        <w:ind w:firstLine="0" w:firstLineChars="0"/>
        <w:rPr>
          <w:rFonts w:hAnsi="宋体" w:cs="宋体"/>
          <w:color w:val="auto"/>
          <w:kern w:val="2"/>
          <w:sz w:val="21"/>
          <w:szCs w:val="21"/>
          <w:highlight w:val="none"/>
          <w:lang w:bidi="ar"/>
        </w:rPr>
      </w:pPr>
      <w:r>
        <w:rPr>
          <w:rFonts w:hAnsi="宋体" w:cs="宋体"/>
          <w:color w:val="auto"/>
          <w:kern w:val="2"/>
          <w:sz w:val="21"/>
          <w:szCs w:val="21"/>
          <w:highlight w:val="none"/>
          <w:lang w:bidi="ar"/>
        </w:rPr>
        <w:t xml:space="preserve">  </w:t>
      </w:r>
      <w:r>
        <w:rPr>
          <w:rFonts w:hint="eastAsia" w:hAnsi="宋体" w:cs="宋体"/>
          <w:color w:val="auto"/>
          <w:kern w:val="2"/>
          <w:sz w:val="21"/>
          <w:szCs w:val="21"/>
          <w:highlight w:val="none"/>
          <w:lang w:bidi="ar"/>
        </w:rPr>
        <w:t xml:space="preserve">  2.</w:t>
      </w:r>
      <w:r>
        <w:rPr>
          <w:rFonts w:hAnsi="宋体" w:cs="宋体"/>
          <w:color w:val="auto"/>
          <w:kern w:val="2"/>
          <w:sz w:val="21"/>
          <w:szCs w:val="21"/>
          <w:highlight w:val="none"/>
          <w:lang w:bidi="ar"/>
        </w:rPr>
        <w:t>1.1.1配线工程施工前，土建工程应具备下列条件</w:t>
      </w:r>
    </w:p>
    <w:p>
      <w:pPr>
        <w:pStyle w:val="24"/>
        <w:numPr>
          <w:ilvl w:val="0"/>
          <w:numId w:val="8"/>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对施工有影响的模板、脚手架应拆除，杂物清除干净；</w:t>
      </w:r>
    </w:p>
    <w:p>
      <w:pPr>
        <w:pStyle w:val="24"/>
        <w:numPr>
          <w:ilvl w:val="0"/>
          <w:numId w:val="8"/>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会使线路发生损坏或严重污染的装饰工作，应全部结束；</w:t>
      </w:r>
    </w:p>
    <w:p>
      <w:pPr>
        <w:pStyle w:val="24"/>
        <w:numPr>
          <w:ilvl w:val="0"/>
          <w:numId w:val="8"/>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预埋线管和线槽架均安装完毕，位置和尺寸应符合施工图设计要求。</w:t>
      </w:r>
    </w:p>
    <w:p>
      <w:pPr>
        <w:pStyle w:val="24"/>
        <w:numPr>
          <w:ilvl w:val="255"/>
          <w:numId w:val="0"/>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w:t>
      </w:r>
      <w:r>
        <w:rPr>
          <w:rFonts w:hAnsi="宋体" w:cs="宋体"/>
          <w:color w:val="auto"/>
          <w:kern w:val="2"/>
          <w:sz w:val="21"/>
          <w:szCs w:val="21"/>
          <w:highlight w:val="none"/>
          <w:lang w:bidi="ar"/>
        </w:rPr>
        <w:t>1.1.2配线工程的一般规定</w:t>
      </w:r>
    </w:p>
    <w:p>
      <w:pPr>
        <w:pStyle w:val="24"/>
        <w:numPr>
          <w:ilvl w:val="0"/>
          <w:numId w:val="9"/>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敷设的导线应便于检查、更换、配线工程使用的导线，其最小线芯截面积应大于或等于0.5平方毫米(5类双绞线除外)；</w:t>
      </w:r>
    </w:p>
    <w:p>
      <w:pPr>
        <w:pStyle w:val="24"/>
        <w:numPr>
          <w:ilvl w:val="0"/>
          <w:numId w:val="9"/>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导线连接时应注意，剖开导线的绝缘层时，不损伤线芯。多股铜芯绒线芯应先拧紧，烫锡后再连接；</w:t>
      </w:r>
    </w:p>
    <w:p>
      <w:pPr>
        <w:pStyle w:val="24"/>
        <w:numPr>
          <w:ilvl w:val="0"/>
          <w:numId w:val="9"/>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接线盒内绝缘导线接头处，应采用绝缘胶带包缠均匀、严密，并不低于原有的绝缘强度；</w:t>
      </w:r>
    </w:p>
    <w:p>
      <w:pPr>
        <w:pStyle w:val="24"/>
        <w:numPr>
          <w:ilvl w:val="0"/>
          <w:numId w:val="9"/>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从室外引入到室内的导线，在进入墙内的一段应采用绝缘导线，穿墙保护管的外侧应有防水措施。</w:t>
      </w:r>
    </w:p>
    <w:p>
      <w:pPr>
        <w:pStyle w:val="24"/>
        <w:numPr>
          <w:ilvl w:val="255"/>
          <w:numId w:val="0"/>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w:t>
      </w:r>
      <w:r>
        <w:rPr>
          <w:rFonts w:hAnsi="宋体" w:cs="宋体"/>
          <w:color w:val="auto"/>
          <w:kern w:val="2"/>
          <w:sz w:val="21"/>
          <w:szCs w:val="21"/>
          <w:highlight w:val="none"/>
          <w:lang w:bidi="ar"/>
        </w:rPr>
        <w:t>1.1.3管线槽架内配线施工</w:t>
      </w:r>
    </w:p>
    <w:p>
      <w:pPr>
        <w:pStyle w:val="24"/>
        <w:numPr>
          <w:ilvl w:val="0"/>
          <w:numId w:val="1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管线槽架内穿线宜在抹灰及地面工程结束后进行，在配线施工之前，应将线槽内的积水和杂物清除干净；</w:t>
      </w:r>
    </w:p>
    <w:p>
      <w:pPr>
        <w:pStyle w:val="24"/>
        <w:numPr>
          <w:ilvl w:val="0"/>
          <w:numId w:val="1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系统的配线原则上可以采用同槽分隔方式敷设，但电压大于55V以上的辅助供电回路应另管另槽敷设，特别是电视信号线、广播线和动力线相互之间应有良好的屏蔽和相互隔离度，以防止信号串扰和电磁干扰；</w:t>
      </w:r>
    </w:p>
    <w:p>
      <w:pPr>
        <w:pStyle w:val="24"/>
        <w:numPr>
          <w:ilvl w:val="0"/>
          <w:numId w:val="1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管线槽内导线的总截面积(包括外护层)不应超过管槽截面积60%。敷设于垂直或水平管线槽中的导线每超过5m长度时，应在管线槽内或接线盒中加以固定，导线穿入管线槽后，在导线穿出口处直至电气设备接线端应装软护线套以保护导线防止外力的损坏。</w:t>
      </w:r>
    </w:p>
    <w:p>
      <w:pPr>
        <w:pStyle w:val="24"/>
        <w:numPr>
          <w:ilvl w:val="255"/>
          <w:numId w:val="0"/>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w:t>
      </w:r>
      <w:r>
        <w:rPr>
          <w:rFonts w:hAnsi="宋体" w:cs="宋体"/>
          <w:color w:val="auto"/>
          <w:kern w:val="2"/>
          <w:sz w:val="21"/>
          <w:szCs w:val="21"/>
          <w:highlight w:val="none"/>
          <w:lang w:bidi="ar"/>
        </w:rPr>
        <w:t>1.2线缆桥架施工</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施工方法要点</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桥架间连接板两端要有铜芯接地线，并与接地端的镀锌扁钢相连，最小截面不小于4平方毫米，或全长安装大于4*25镀锌接地扁铁。</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桥架安装时应做到安装牢固，横平竖直，沿桥架水平走向的支架间距1.5至3米，垂直安装支架间距不大于2米，吊支架左右偏差应不大于10毫米，高低偏差不大于5毫米。</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桥架与支架间螺栓、桥架连接板螺栓固定无遗漏，螺母位于桥架外侧，铝合金桥架与钢支架固定时，要有互相间绝缘的防电化腐蚀措施。</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支架用膨胀螺栓固定时，选用螺栓适配，连接紧固，防松零件齐全。</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桥架转弯处的弯曲半径不小于桥架内电缆最小弯曲半径（R=100）</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桥架不宜与下列管道平行敷设，当无法避免时，桥架位置应符合下列规定，或采取相应措施。</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桥架应在具有腐蚀性液体管道上方</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桥架应在热力管道下方</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易燃易爆气体比空气重时，桥架应在管道上方</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易燃易爆气体比空气轻时，桥架应在管道下方</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水平敷设的电缆，首尾、转弯及5-10米处桥架内设电缆卡子固定，敷设于垂直桥架内的电缆卡子固定点间距应为1米。</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应详细填写隐蔽工程记录并归档。</w:t>
      </w:r>
    </w:p>
    <w:p>
      <w:pPr>
        <w:pStyle w:val="24"/>
        <w:numPr>
          <w:ilvl w:val="255"/>
          <w:numId w:val="0"/>
        </w:numPr>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w:t>
      </w:r>
      <w:r>
        <w:rPr>
          <w:rFonts w:hAnsi="宋体" w:cs="宋体"/>
          <w:color w:val="auto"/>
          <w:kern w:val="2"/>
          <w:sz w:val="21"/>
          <w:szCs w:val="21"/>
          <w:highlight w:val="none"/>
          <w:lang w:bidi="ar"/>
        </w:rPr>
        <w:t>1.3管道施工</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施工方法要点</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检查进场的金属管道，金属管应符合设计文件的规定，表面不应有穿孔、裂缝和明显的凹凸不平，内壁应光滑，不允许有锈蚀。在易受机械损伤的地方和在受力较大处直埋时，应采用足够强度的管材。</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管煨弯可采用冷煨和热煨法，管径20mm及其以下可采用手扳煨管器，管径25mm及其以上使用液压煨管器；</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箱体装应牢固平整，开孔整齐并与管径项吻合，要求一管一孔不得开长孔，铁制盒、箱严禁用电气焊开孔；</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在配管时，根据实际需要长度，对管子进行切割。管子的切割可使用钢锯、管子切割刀或电动切管机，严禁用气割。管子和管子连接，管子和接线盒、配线箱的连接，都需要在管子端部进行套丝。套丝时，先将管子在管钳上固定压紧，然后在套丝，套完后应立即清扫管口，将管口端面和内壁的毛刺锉光，使管口保持光滑。管路敷设应牢固通畅，禁止做拦腰管或拌脚管；管子进入箱盒处顺直，在箱盒内露出的长度小于5mm；</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在敷设时，应尽量减少弯头，每根管的弯头不应超过3个，直角弯头不应超过2个，并不应有S弯出现。金属管的弯曲一般都用弯管进行。先将管子需要弯曲部位的前段放在弯管器内，焊缝放在弯曲方向背面或侧面，以防管子弯扁，然后用脚踩住管子，手板弯管器，便可得到所需要的弯度。暗管管口应光滑，并加有绝缘套管，管口伸出部位应为25-30mm。</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金属管连接应牢靠，密封应良好，两管口应对准。套接的短套管或带螺纹的管接头的长度，不应小于金属管外径的2.2倍。金属管的连接采用短套接时，施工简单方便；采用管接头螺纹连接则较美观，可保证金属管连接后的强度。</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金属管进入信息插座的接线盒后，暗埋管可用焊接固定，管口进入盒内的露出长度应小于5mm。明设管应用锁紧螺母或带丝扣管帽固定，露出锁紧螺母的丝扣为2-4扣。</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金属管的暗设应符合下列要求：</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*预埋在墙体中间的金属管内径不宜超过50mm，楼板中的管径宜为15-25mm，直线布管30mm处设置暗线盒。</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*敷设在混凝土、水泥里的金属管，其它基应坚实、平整、不应有沉陷，以保证敷设后的线缆安全运行。</w:t>
      </w:r>
    </w:p>
    <w:p>
      <w:pPr>
        <w:pStyle w:val="24"/>
        <w:numPr>
          <w:ilvl w:val="255"/>
          <w:numId w:val="0"/>
        </w:numPr>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*金属管连接时，管孔应对准，接缝应严密，不得有水泥、沙浆渗入。管孔对准、无错位，以</w:t>
      </w:r>
    </w:p>
    <w:p>
      <w:pPr>
        <w:pStyle w:val="24"/>
        <w:ind w:firstLine="422" w:firstLineChars="200"/>
        <w:rPr>
          <w:rFonts w:hAnsi="宋体" w:cs="宋体"/>
          <w:b/>
          <w:bCs/>
          <w:color w:val="auto"/>
          <w:kern w:val="2"/>
          <w:sz w:val="21"/>
          <w:szCs w:val="21"/>
          <w:highlight w:val="none"/>
          <w:lang w:bidi="ar"/>
        </w:rPr>
      </w:pPr>
      <w:bookmarkStart w:id="101" w:name="_Toc97742051"/>
      <w:r>
        <w:rPr>
          <w:rFonts w:hint="eastAsia" w:hAnsi="宋体" w:cs="宋体"/>
          <w:b/>
          <w:bCs/>
          <w:color w:val="auto"/>
          <w:kern w:val="2"/>
          <w:sz w:val="21"/>
          <w:szCs w:val="21"/>
          <w:highlight w:val="none"/>
          <w:lang w:bidi="ar"/>
        </w:rPr>
        <w:t>5.3.2网络系统</w:t>
      </w:r>
      <w:bookmarkEnd w:id="101"/>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本项目网络通信系统建设，将充分利用市视频图像联网总平台相关资源，同时根据前端感知点位的地理分布及类型，进行前端点位组网建设。</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综合考虑网络技术特点、建设成本及实施难度，视频采集类设备位均采用PON技术进行有线传输组网，物联网感知类设备均采用无线传输技术进行组网，前端物联感知设备通过无线网络在设备管理平台汇集，并通过接口的方式与智慧安全监管服务平台进行通信和数据交互。</w:t>
      </w:r>
    </w:p>
    <w:p>
      <w:pPr>
        <w:pStyle w:val="24"/>
        <w:ind w:firstLine="422" w:firstLineChars="200"/>
        <w:rPr>
          <w:rFonts w:hAnsi="宋体" w:cs="宋体"/>
          <w:b/>
          <w:bCs/>
          <w:color w:val="auto"/>
          <w:kern w:val="2"/>
          <w:sz w:val="21"/>
          <w:szCs w:val="21"/>
          <w:highlight w:val="none"/>
          <w:lang w:bidi="ar"/>
        </w:rPr>
      </w:pPr>
      <w:bookmarkStart w:id="102" w:name="_Toc97742053"/>
      <w:r>
        <w:rPr>
          <w:rFonts w:hint="eastAsia" w:hAnsi="宋体" w:cs="宋体"/>
          <w:b/>
          <w:bCs/>
          <w:color w:val="auto"/>
          <w:kern w:val="2"/>
          <w:sz w:val="21"/>
          <w:szCs w:val="21"/>
          <w:highlight w:val="none"/>
          <w:lang w:bidi="ar"/>
        </w:rPr>
        <w:t>5.3.3视频图像信息管理平台</w:t>
      </w:r>
      <w:bookmarkEnd w:id="102"/>
    </w:p>
    <w:p>
      <w:pPr>
        <w:pStyle w:val="24"/>
        <w:ind w:firstLine="400" w:firstLineChars="200"/>
        <w:rPr>
          <w:rFonts w:hAnsi="宋体" w:cs="宋体"/>
          <w:color w:val="auto"/>
          <w:kern w:val="2"/>
          <w:sz w:val="21"/>
          <w:szCs w:val="21"/>
          <w:highlight w:val="none"/>
          <w:lang w:bidi="ar"/>
        </w:rPr>
      </w:pPr>
      <w:r>
        <w:rPr>
          <w:rFonts w:hint="eastAsia"/>
          <w:color w:val="auto"/>
          <w:highlight w:val="none"/>
        </w:rPr>
        <w:t>搭建视频图像信息管理平台，实现本次新建摄像机均接入总平台进行统一管理应用，部署视频监控操作软件用于指挥中心实时管理视频监控。</w:t>
      </w:r>
    </w:p>
    <w:p>
      <w:pPr>
        <w:pStyle w:val="24"/>
        <w:ind w:firstLine="422" w:firstLineChars="200"/>
        <w:rPr>
          <w:rFonts w:hAnsi="宋体" w:cs="宋体"/>
          <w:b/>
          <w:bCs/>
          <w:color w:val="auto"/>
          <w:kern w:val="2"/>
          <w:sz w:val="21"/>
          <w:szCs w:val="21"/>
          <w:highlight w:val="none"/>
          <w:lang w:bidi="ar"/>
        </w:rPr>
      </w:pPr>
      <w:bookmarkStart w:id="103" w:name="_Toc97742052"/>
      <w:r>
        <w:rPr>
          <w:rFonts w:hint="eastAsia" w:hAnsi="宋体" w:cs="宋体"/>
          <w:b/>
          <w:bCs/>
          <w:color w:val="auto"/>
          <w:kern w:val="2"/>
          <w:sz w:val="21"/>
          <w:szCs w:val="21"/>
          <w:highlight w:val="none"/>
          <w:lang w:bidi="ar"/>
        </w:rPr>
        <w:t>5.3.4存储系统</w:t>
      </w:r>
      <w:bookmarkEnd w:id="103"/>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本项目主要产生视频图像与业务数据两大类数据。</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物联网及业务数据直接存储于政务云上。</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视频图像数据：建设视频存储系统，主要用于存储本次建设的高点热成像双光谱云台摄像机、热成像感温探测摄像机、电瓶车入梯监测摄像机、消防通道占用监测摄像机等前端摄像机采集的视频图像。</w:t>
      </w:r>
    </w:p>
    <w:p>
      <w:pPr>
        <w:pStyle w:val="24"/>
        <w:ind w:firstLine="422" w:firstLineChars="200"/>
        <w:rPr>
          <w:rFonts w:hAnsi="宋体" w:cs="宋体"/>
          <w:b/>
          <w:bCs/>
          <w:color w:val="auto"/>
          <w:kern w:val="2"/>
          <w:sz w:val="21"/>
          <w:szCs w:val="21"/>
          <w:highlight w:val="none"/>
          <w:lang w:bidi="ar"/>
        </w:rPr>
      </w:pPr>
      <w:bookmarkStart w:id="104" w:name="_Toc97742054"/>
      <w:r>
        <w:rPr>
          <w:rFonts w:hint="eastAsia" w:hAnsi="宋体" w:cs="宋体"/>
          <w:b/>
          <w:bCs/>
          <w:color w:val="auto"/>
          <w:kern w:val="2"/>
          <w:sz w:val="21"/>
          <w:szCs w:val="21"/>
          <w:highlight w:val="none"/>
          <w:lang w:bidi="ar"/>
        </w:rPr>
        <w:t>5.3.5智慧安全监管服务中心平台</w:t>
      </w:r>
      <w:bookmarkEnd w:id="104"/>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打造集安全实情、异常预警、档案查询、联动指挥、隐患分析、人员管理、培训宣教、物联接入为一体的综合驾驶舱、业务管理中心，同时为其他政府部门提供数据共享。</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5.3.5.1 平台性能要求</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 xml:space="preserve">1、响应时间： </w:t>
      </w:r>
    </w:p>
    <w:p>
      <w:pPr>
        <w:pStyle w:val="24"/>
        <w:numPr>
          <w:ilvl w:val="0"/>
          <w:numId w:val="11"/>
        </w:numPr>
        <w:ind w:firstLine="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网络传输时间≤50ms；</w:t>
      </w:r>
    </w:p>
    <w:p>
      <w:pPr>
        <w:pStyle w:val="24"/>
        <w:numPr>
          <w:ilvl w:val="0"/>
          <w:numId w:val="11"/>
        </w:numPr>
        <w:ind w:firstLine="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应用服务器处理时间≤50ms；</w:t>
      </w:r>
    </w:p>
    <w:p>
      <w:pPr>
        <w:pStyle w:val="24"/>
        <w:numPr>
          <w:ilvl w:val="0"/>
          <w:numId w:val="11"/>
        </w:numPr>
        <w:ind w:firstLine="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数据库服务器处理时间≤50ms；</w:t>
      </w:r>
    </w:p>
    <w:p>
      <w:pPr>
        <w:pStyle w:val="24"/>
        <w:numPr>
          <w:ilvl w:val="0"/>
          <w:numId w:val="11"/>
        </w:numPr>
        <w:ind w:firstLine="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响应时间≤150ms。</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2、设备吞吐量：</w:t>
      </w:r>
    </w:p>
    <w:p>
      <w:pPr>
        <w:pStyle w:val="24"/>
        <w:numPr>
          <w:ilvl w:val="0"/>
          <w:numId w:val="11"/>
        </w:numPr>
        <w:ind w:firstLine="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10000+设备数据并发处理时间≤500ms；</w:t>
      </w:r>
    </w:p>
    <w:p>
      <w:pPr>
        <w:pStyle w:val="24"/>
        <w:numPr>
          <w:ilvl w:val="0"/>
          <w:numId w:val="11"/>
        </w:numPr>
        <w:ind w:firstLine="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千万设备报警信息推送到达时间≤10s；</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3、并发用户数</w:t>
      </w:r>
    </w:p>
    <w:p>
      <w:pPr>
        <w:pStyle w:val="24"/>
        <w:numPr>
          <w:ilvl w:val="0"/>
          <w:numId w:val="11"/>
        </w:numPr>
        <w:ind w:left="640" w:hanging="22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平台用户在线：并发用户数≥5000人。</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4、系统开放性要求</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本平台可做为慈溪全市智慧安全监管服务平台基础平台，在平台技术支撑方面，已经具有的功能模块不再重复开发，能够支撑全市各乡镇智慧安全监管服务平台的接入。平台需具备有扩展功能，可根据各乡镇的不同功能需求进行系统功能扩展。平台需开放接口，供第三方软件系统开发对接。</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 数据驾驶舱建设</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基于地理位置信息建立物联传感设备的综合管理，数据的综合分析，预警综合分析，事件的全流程管控及存档，实现观海卫智慧消防统一管理，综合部署。</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5.3.5.2.1 安全监管实时数据</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实现项目内所建各类物联网设备设施的数据的实时监管以及设备报警、故障的实时通知，推送，第一时间发现警情。</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5.3.5.2.2 安全统计类数据展示</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对各类安全数据进行统计分析，包括隐患、设备、报警等，根据时间等进行统计，同时支持对人员工作等进行统计分析。</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5.3.5.2.3 研判分析类数据</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实现设备数量、状态按照行政区，类型等进行统计研判，同时通过月度、周、近七日对各类数据进行研判分析。</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5.3.5.2.4 安全宣教数据</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建立企业及员工安全培训学习的数据统计分析，包含培训完成率、企业总数、员工总数、培训趋势、理论和实操学习情况。</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5.3.5.2.5 安全隐患数据</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根据已有信息对监管范围内的消防信息进行大数据统计、分析，获取有价值的消防数据，例如进行报警统计、社会单位消防安全排行、各类安全隐患分析等。系统实现风险评估，历史数据比对给予相应隐患应对方案。</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5.3.5.2.6 企业安全画像</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实现企业基本信息、安全档案建筑档案、应急预案等的汇总建档，视频综合管理等。</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5.3.5.2.7 视频监控</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 xml:space="preserve">支持消防通道监控、热敏摄像头、高点双光谱监控、消控室监管等视频图像展示与查看，支持搜索查询。 </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 应用系统建设</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 一站式安全监管服务中心</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实现平台基础数据的管理以及维护，包括系统管理员统一维护端和企业自主管理端。</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5.3.5.3.1.1 企业信息管理</w:t>
      </w:r>
    </w:p>
    <w:p>
      <w:pPr>
        <w:pStyle w:val="24"/>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实现单位名称、所属区域、详细地址、联系人、单位经纬度、单位图片、所属行业、单位简介、法人、法人电话、法人身份证、消防管理人、消防管理人电话、消防管理人身份证等企业信息的创建、修改和删除</w:t>
      </w:r>
      <w:r>
        <w:rPr>
          <w:rFonts w:hint="eastAsia" w:hAnsi="宋体" w:cs="宋体"/>
          <w:color w:val="auto"/>
          <w:kern w:val="2"/>
          <w:sz w:val="21"/>
          <w:szCs w:val="21"/>
          <w:highlight w:val="none"/>
          <w:lang w:bidi="ar"/>
        </w:rPr>
        <w:t>。</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5.3.5.3.1.2 设备设施管理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实现对平台内设备的实时状态进行查询、监控及增删改查。主要包括设备安装位置，所属单位，所属区域，通讯地址，设备类型，真实状态，显示状态，电池状态，信号强度，最新数据时间。</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5.3.5.3.1.3 人员账号管理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实现对企业内部员工的基本信息的管理，包括用户姓名、手机号、身份证、岗位、是否为消控室值班人员、证书编号和权限的配置管理。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5.3.5.3.1.4 角色权限管理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实现平台账号的创建以及密码重置和账号相关信息的查询。主要包括手机号，邮箱，姓名，头像的管理。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5.3.5.3.1.5 报警通知管理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根据报警信息进行报警的通知配置，实现一级通知、二级通知和三级通知的自由配置，主要包括电话通知短信通知。配置参数包括通知级别、通知时间、通知次数、通知启用、通知的报警类型。</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5.3.5.3.1.6 公共资源管理</w:t>
      </w:r>
    </w:p>
    <w:p>
      <w:pPr>
        <w:pStyle w:val="24"/>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实现室外消火栓，微型消防站，取水口等公共消防及应急资源的管理维护</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5.3.5.3.1.7 检查项目配置</w:t>
      </w:r>
    </w:p>
    <w:p>
      <w:pPr>
        <w:pStyle w:val="24"/>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实现企业的安全检查项目管理，支持通过行业性质，类型，行政区域进行自定义配置</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5.3.5.3.1.8 学习资料管理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实现视频、文字、题目等安全学习资料的新增，修改，删除维护</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5.3.5.3.1.9 系统配置</w:t>
      </w:r>
    </w:p>
    <w:p>
      <w:pPr>
        <w:pStyle w:val="24"/>
        <w:ind w:firstLine="420" w:firstLineChars="200"/>
        <w:rPr>
          <w:rFonts w:hAnsi="宋体" w:cs="宋体"/>
          <w:color w:val="auto"/>
          <w:kern w:val="2"/>
          <w:sz w:val="21"/>
          <w:szCs w:val="21"/>
          <w:highlight w:val="none"/>
          <w:lang w:bidi="ar"/>
        </w:rPr>
      </w:pPr>
      <w:r>
        <w:rPr>
          <w:rFonts w:hAnsi="宋体" w:cs="宋体"/>
          <w:color w:val="auto"/>
          <w:kern w:val="2"/>
          <w:sz w:val="21"/>
          <w:szCs w:val="21"/>
          <w:highlight w:val="none"/>
          <w:lang w:bidi="ar"/>
        </w:rPr>
        <w:t>实现行政区域、管理中心人员账号、行业类型、系统服务内容等的管理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5.3.5.3.2 安全监管服务移动应用（浙里办）</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实现基于互联网、物联网的设备实时信息查询及推送，以及报警信息的处理。隐患排查以及安全知识宣教。</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5.3.5.3.2.1 报警接收</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 xml:space="preserve">支持查询火警、故障、屏蔽、监管、反馈、告警等各类设备的报警信息。 </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5.3.5.3.2.2 报警处理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 xml:space="preserve">可以通过终端应用对报警信息进行处理存档，可历史追溯，查看报警历史记录，发生时间，照片等。 </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5.3.5.3.2.3 数据查询</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查询单位内安装设备设施情况，用水用电的详细数据，趋势分析</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5.3.5.3.2.4 隐患排查</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根据企业行业性质，扫码完成企业隐患排查工作，并且查询隐患记录，整改记录。</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 xml:space="preserve"> 5.3.5.3.2.5 视频监控</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 xml:space="preserve">实现消控室监控视频、热敏摄像头监控、高位摄像头监控在手机端即可实时查看，利于现场指挥，警情联动。 </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5.3.5.3.3 联动指挥</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建立人、事、物三方联动，形成联动指挥新模式。集专职消防、企业联防队等多级响应于中心。</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5.3.5.4 应用支撑系统建设</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5.3.5.4.1 物联接入</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5.3.5.4.1.1 协议解析</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对接入的各类设备，包含智慧烟感、智慧温感、智慧用电、智能充电桩、智慧空开、消防通道监测、电瓶车入梯监控、智能充电桩等数据协议进行解析并且数据结果。</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5.3.5.4.1.2 模型管理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基于设备产品数据解析情况，建立设备模型，设备情况做完整的展示及管理，包括设备的类型，应用场景，监控画面的实时播放/回放，以及设备当前状态情况。</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5.3.5.5 数据治理系统建设</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5.3.5.5.1 数据采集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采集各沿街店铺、教育机构、养老机构、公共设备设施等系统数据接入，数据手动导入、手工录入等</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5.3.5.5.2 数据治理</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数据清洗、数据校验、数据对比、数据补遗、数据转换、数据关联</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5.3.5.5.3 数据库建设</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沿街店铺、教育机构、养老机构、公共设备设施等系列专题数据库。</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5.3.5.6 外部接口开发</w:t>
      </w:r>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包含视频数据接入对接，短信以及电话通知对接和外部业务平台对接（开发标准数据对接接口，由其他平台对接标准化数据接口进行接入）。</w:t>
      </w:r>
    </w:p>
    <w:p>
      <w:pPr>
        <w:pStyle w:val="24"/>
        <w:ind w:firstLine="422" w:firstLineChars="200"/>
        <w:rPr>
          <w:rFonts w:hAnsi="宋体" w:cs="宋体"/>
          <w:b/>
          <w:bCs/>
          <w:color w:val="auto"/>
          <w:kern w:val="2"/>
          <w:sz w:val="21"/>
          <w:szCs w:val="21"/>
          <w:highlight w:val="none"/>
          <w:lang w:bidi="ar"/>
        </w:rPr>
      </w:pPr>
      <w:bookmarkStart w:id="105" w:name="_Toc97742055"/>
      <w:r>
        <w:rPr>
          <w:rFonts w:hint="eastAsia" w:hAnsi="宋体" w:cs="宋体"/>
          <w:b/>
          <w:bCs/>
          <w:color w:val="auto"/>
          <w:kern w:val="2"/>
          <w:sz w:val="21"/>
          <w:szCs w:val="21"/>
          <w:highlight w:val="none"/>
          <w:lang w:bidi="ar"/>
        </w:rPr>
        <w:t>5.3.6智慧安全监管服务指挥中心</w:t>
      </w:r>
      <w:bookmarkEnd w:id="105"/>
    </w:p>
    <w:p>
      <w:pPr>
        <w:pStyle w:val="24"/>
        <w:ind w:firstLine="420" w:firstLineChars="200"/>
        <w:rPr>
          <w:rFonts w:hAnsi="宋体" w:cs="宋体"/>
          <w:color w:val="auto"/>
          <w:kern w:val="2"/>
          <w:sz w:val="21"/>
          <w:szCs w:val="21"/>
          <w:highlight w:val="none"/>
          <w:lang w:bidi="ar"/>
        </w:rPr>
      </w:pPr>
      <w:r>
        <w:rPr>
          <w:rFonts w:hint="eastAsia" w:hAnsi="宋体" w:cs="宋体"/>
          <w:color w:val="auto"/>
          <w:kern w:val="2"/>
          <w:sz w:val="21"/>
          <w:szCs w:val="21"/>
          <w:highlight w:val="none"/>
          <w:lang w:bidi="ar"/>
        </w:rPr>
        <w:t>建设观海卫镇智慧安全监管服务指挥中心，面积约 114 平米左右，划分为大屏指挥中心和会议室两个区域。大屏显示系统包含室内全彩显示屏、全彩 LED 控制卡、室内 LED 显示屏支架、LED拼接控制器等设备，单屏操控坐席以及单屏值班坐席等配套设施设备，会议室部署移动会议平板、智慧门禁等设备。</w:t>
      </w:r>
    </w:p>
    <w:p>
      <w:pPr>
        <w:pStyle w:val="24"/>
        <w:ind w:firstLine="422" w:firstLineChars="200"/>
        <w:rPr>
          <w:rFonts w:hAnsi="宋体" w:cs="宋体"/>
          <w:b/>
          <w:bCs/>
          <w:color w:val="auto"/>
          <w:kern w:val="2"/>
          <w:sz w:val="21"/>
          <w:szCs w:val="21"/>
          <w:highlight w:val="none"/>
          <w:lang w:bidi="ar"/>
        </w:rPr>
      </w:pPr>
      <w:r>
        <w:rPr>
          <w:rFonts w:hint="eastAsia" w:hAnsi="宋体" w:cs="宋体"/>
          <w:b/>
          <w:bCs/>
          <w:color w:val="auto"/>
          <w:kern w:val="2"/>
          <w:sz w:val="21"/>
          <w:szCs w:val="21"/>
          <w:highlight w:val="none"/>
          <w:lang w:bidi="ar"/>
        </w:rPr>
        <w:t>5.3.7机房</w:t>
      </w:r>
    </w:p>
    <w:p>
      <w:pPr>
        <w:pStyle w:val="24"/>
        <w:ind w:firstLine="400" w:firstLineChars="200"/>
        <w:rPr>
          <w:rFonts w:hAnsi="宋体" w:cs="宋体"/>
          <w:color w:val="auto"/>
          <w:kern w:val="2"/>
          <w:sz w:val="21"/>
          <w:szCs w:val="21"/>
          <w:highlight w:val="none"/>
          <w:lang w:bidi="ar"/>
        </w:rPr>
      </w:pPr>
      <w:r>
        <w:rPr>
          <w:rFonts w:hint="eastAsia"/>
          <w:color w:val="auto"/>
          <w:highlight w:val="none"/>
        </w:rPr>
        <w:t>建设观海卫镇智慧安全监管服务指挥中心机房，实现后端设备的统一管理维护。机房建设需要符合二级等保要求。</w:t>
      </w:r>
    </w:p>
    <w:p>
      <w:pPr>
        <w:pStyle w:val="24"/>
        <w:ind w:firstLine="422" w:firstLineChars="200"/>
        <w:rPr>
          <w:rFonts w:hAnsi="宋体" w:cs="宋体"/>
          <w:b/>
          <w:bCs/>
          <w:color w:val="auto"/>
          <w:kern w:val="2"/>
          <w:sz w:val="21"/>
          <w:szCs w:val="21"/>
          <w:highlight w:val="none"/>
          <w:lang w:bidi="ar"/>
        </w:rPr>
      </w:pPr>
      <w:r>
        <w:rPr>
          <w:rFonts w:hint="eastAsia" w:hAnsi="宋体" w:cs="宋体"/>
          <w:b/>
          <w:bCs/>
          <w:color w:val="auto"/>
          <w:kern w:val="2"/>
          <w:sz w:val="21"/>
          <w:szCs w:val="21"/>
          <w:highlight w:val="none"/>
          <w:lang w:bidi="ar"/>
        </w:rPr>
        <w:t>5.3.8安全系统</w:t>
      </w:r>
    </w:p>
    <w:p>
      <w:pPr>
        <w:pStyle w:val="24"/>
        <w:ind w:firstLine="420" w:firstLineChars="200"/>
        <w:rPr>
          <w:rFonts w:hAnsi="宋体"/>
          <w:b/>
          <w:color w:val="auto"/>
          <w:sz w:val="21"/>
          <w:szCs w:val="21"/>
          <w:highlight w:val="none"/>
        </w:rPr>
      </w:pPr>
      <w:r>
        <w:rPr>
          <w:rFonts w:hint="eastAsia" w:hAnsi="宋体" w:cs="宋体"/>
          <w:color w:val="auto"/>
          <w:kern w:val="2"/>
          <w:sz w:val="21"/>
          <w:szCs w:val="21"/>
          <w:highlight w:val="none"/>
          <w:lang w:bidi="ar"/>
        </w:rPr>
        <w:t>基于目前严峻的网络安全大环境，安全建设基于专业安全产品结合相对应的安全服务，并根据本项目等级保护定级及部署特点，从网络、主机、应用、数据、物理等层面，建立统一的安全技术保护体系，并构建统一的信息系统安全管理平台，实现信息安全的集中监控和审计，统一管理和运维；同时，根据本项目定级及管理特性，从制度、机构、人员、建设、运维等方面，构建完善的安全管理体系。需要符合二级等保要求。</w:t>
      </w:r>
    </w:p>
    <w:p>
      <w:pPr>
        <w:pStyle w:val="8"/>
        <w:rPr>
          <w:color w:val="auto"/>
          <w:highlight w:val="none"/>
        </w:rPr>
      </w:pPr>
      <w:r>
        <w:rPr>
          <w:rFonts w:hint="eastAsia"/>
          <w:color w:val="auto"/>
          <w:highlight w:val="none"/>
        </w:rPr>
        <w:t>5.4 运维服务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5.4.1热线支持服务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针对本项目提供免费热线支持服务，原厂技术支持中心的技术与客服人员全年无休，保证客户拨入的电话随时可被接通：</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提供7*24小时技术咨询服务，接受平台管理方对平台系统的使用咨询，操作要求等，保证平台的稳定有序运行。</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 xml:space="preserve">接到客户的咨询或故障报告后，客服中心将立即以电话方式详细了解其所需的服务内容，提供相应解答，并且填写详细的记录表单。 </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 xml:space="preserve">对于技术咨询服务，技术人员会结合实际情况及时为客户提供相应的答复。 </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对于系统运行故障，客服人员首先会了解与故障有关的详细情况，在技术支持人员的配合下进行系统分析，逐步排除故障。</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5.4.2远程支持服务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对于通过电话支持服务中不能解决的软硬件故障，在条件允许的情况下，征得客户同意后，我们以远程登录的方式进行故障诊断，目的在于尽早查找故障出现的原因，最大程度地缩短故障恢复的时间。</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5.4.3驻场运维服务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针对本项目，提供5*8小时驻场运维服务，运维人员每天会对客户的平台软硬件进行日常的巡检、监控，通过多种方式对客户的软硬件进行仔细的检查，对巡检与监控中发现的问题进行及时的处理，并定期向客户输出各种巡检报告、系统健康报告等，包括CPU、内存、磁盘、网络等信息。</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5.4.4现场支持服务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对于通过热线电话、远程、驻场运维人员均无法解决的故障，二线高级技术人员在4小时内到达服务现场，提供现场服务响应。对于需要更换的设备或部件，需要提供备品备件资源进行更换，恢复系统运行。</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5.4.5设备维修更换</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 xml:space="preserve">在质保期内，对于正常使用过程中出现的设备损坏，负责系统的调试或更换已损坏的零部件；如不能修复，需提供备用设备供客户使用，直至设备故障修复。对于由于非正常使用造成的设备损坏，如不能修复，需提供备用设备供客户使用，直至设备故障修复，修复费用按成本收取。 </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5.4.6技术共享服务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通过技术支持经验的积累，建立技术支持知识库对保证整个系统稳定运行至关重要。项目的实施过程及技术支持与服务过程中，技术人员将在技术支持知识库中实时统计记录发生的技术问题，同时，在每季度末将安排客服中心资深技术支持人员将本项目中出现的技术问题及解决办法进行汇总分类、整理并发布，及时同步客户技术人员。帮助客户对知识库进行丰富和更新，以便客户技术人员能够了解和掌握最新的技术、产品信息。</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5.4.7软件升级服务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提供的所有软硬件产品免费提供3年系统版本升级，维护服务；升级是对现有软件已发现问题的修正，应预先制定可靠的版本升级方案，并通过电话指导、远程支持或现场服务的方式协助客户完成软件升级。对系统进行补丁升级，对潜在安全隐患进行排查。对系统变更做好记录。以及整体系统的更新、部署、安装、配置等。</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5.4.8性能调优服务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提供对系统性能优化服务。了解当前系统运行状况，根据实际情况为系统性能提供优化建议，并和客户一起制定系统优化方案。根据系统优化方案对系统进行性能调优。</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5.4.9紧急需求服务</w:t>
      </w:r>
    </w:p>
    <w:p>
      <w:pPr>
        <w:pStyle w:val="24"/>
        <w:ind w:firstLine="420" w:firstLineChars="200"/>
        <w:rPr>
          <w:rFonts w:hAnsi="宋体"/>
          <w:bCs/>
          <w:color w:val="auto"/>
          <w:sz w:val="21"/>
          <w:szCs w:val="21"/>
          <w:highlight w:val="none"/>
        </w:rPr>
      </w:pPr>
      <w:r>
        <w:rPr>
          <w:rFonts w:hint="eastAsia" w:hAnsi="宋体"/>
          <w:bCs/>
          <w:color w:val="auto"/>
          <w:sz w:val="21"/>
          <w:szCs w:val="21"/>
          <w:highlight w:val="none"/>
        </w:rPr>
        <w:t>紧急需求服务是指在客户提出特殊要求（如功能、结构的变更）和因意外原因遇到困难时提供的紧急支援服务。特殊要求主要是指客户在使用中要求对外观、功能或者结构进行变更等；意外原因主要是指客户在地震、水灾导致的产品破坏等特殊情况下，要求进行现场保护等。一旦收到上述紧急需求，应帮助和指导解决遇到的问题。</w:t>
      </w:r>
    </w:p>
    <w:p>
      <w:pPr>
        <w:pStyle w:val="8"/>
        <w:rPr>
          <w:color w:val="auto"/>
          <w:highlight w:val="none"/>
        </w:rPr>
      </w:pPr>
      <w:r>
        <w:rPr>
          <w:rFonts w:hint="eastAsia"/>
          <w:color w:val="auto"/>
          <w:highlight w:val="none"/>
        </w:rPr>
        <w:t>5.5</w:t>
      </w:r>
      <w:r>
        <w:rPr>
          <w:color w:val="auto"/>
          <w:highlight w:val="none"/>
        </w:rPr>
        <w:t>所有权声明</w:t>
      </w:r>
    </w:p>
    <w:p>
      <w:pPr>
        <w:pStyle w:val="24"/>
        <w:ind w:firstLine="420" w:firstLineChars="200"/>
        <w:rPr>
          <w:rFonts w:hAnsi="宋体"/>
          <w:bCs/>
          <w:color w:val="auto"/>
          <w:sz w:val="21"/>
          <w:szCs w:val="21"/>
          <w:highlight w:val="none"/>
        </w:rPr>
      </w:pPr>
      <w:r>
        <w:rPr>
          <w:rFonts w:hAnsi="宋体"/>
          <w:bCs/>
          <w:color w:val="auto"/>
          <w:sz w:val="21"/>
          <w:szCs w:val="21"/>
          <w:highlight w:val="none"/>
        </w:rPr>
        <w:t>1.招标方对项目实施过程中所产生的所有成果（包括发明、发现、可运行系统、源代码及相关技术资料、文档等）享有所有权（永久使用权、复制权和修改权等）。除本项目工作所需外，未经招标方书面同意，中标方不得擅自使用、复制招标方的商标、标志、数据信息、文档及其他资料。</w:t>
      </w:r>
    </w:p>
    <w:p>
      <w:pPr>
        <w:pStyle w:val="24"/>
        <w:ind w:firstLine="420" w:firstLineChars="200"/>
        <w:rPr>
          <w:rFonts w:hAnsi="宋体"/>
          <w:bCs/>
          <w:color w:val="auto"/>
          <w:sz w:val="21"/>
          <w:szCs w:val="21"/>
          <w:highlight w:val="none"/>
        </w:rPr>
      </w:pPr>
      <w:r>
        <w:rPr>
          <w:rFonts w:hAnsi="宋体"/>
          <w:bCs/>
          <w:color w:val="auto"/>
          <w:sz w:val="21"/>
          <w:szCs w:val="21"/>
          <w:highlight w:val="none"/>
        </w:rPr>
        <w:t>2.中标方应保证在本项目中所有预装和为本项目安装的软件为在中国境内具有合法版权或使用权的正版软件且无质量瑕疵。</w:t>
      </w:r>
    </w:p>
    <w:p>
      <w:pPr>
        <w:pStyle w:val="24"/>
        <w:ind w:firstLine="420" w:firstLineChars="200"/>
        <w:rPr>
          <w:rFonts w:hAnsi="宋体"/>
          <w:bCs/>
          <w:color w:val="auto"/>
          <w:sz w:val="21"/>
          <w:szCs w:val="21"/>
          <w:highlight w:val="none"/>
        </w:rPr>
      </w:pPr>
      <w:r>
        <w:rPr>
          <w:rFonts w:hAnsi="宋体"/>
          <w:bCs/>
          <w:color w:val="auto"/>
          <w:sz w:val="21"/>
          <w:szCs w:val="21"/>
          <w:highlight w:val="none"/>
        </w:rPr>
        <w:t>3.中标方应保证其所提供的产品及服务不侵犯第三方的知识产权，否则，由此给招标方造成的一切损失由中标方承担。</w:t>
      </w:r>
    </w:p>
    <w:p>
      <w:pPr>
        <w:spacing w:line="400" w:lineRule="exact"/>
        <w:jc w:val="left"/>
        <w:outlineLvl w:val="0"/>
        <w:rPr>
          <w:rFonts w:ascii="宋体" w:hAnsi="宋体"/>
          <w:b/>
          <w:color w:val="auto"/>
          <w:sz w:val="28"/>
          <w:szCs w:val="28"/>
          <w:highlight w:val="none"/>
        </w:rPr>
      </w:pPr>
      <w:r>
        <w:rPr>
          <w:rFonts w:hint="eastAsia" w:ascii="宋体" w:hAnsi="宋体"/>
          <w:b/>
          <w:color w:val="auto"/>
          <w:sz w:val="28"/>
          <w:szCs w:val="28"/>
          <w:highlight w:val="none"/>
        </w:rPr>
        <w:t>二、建设清单</w:t>
      </w:r>
    </w:p>
    <w:p>
      <w:pPr>
        <w:pStyle w:val="24"/>
        <w:rPr>
          <w:rFonts w:hAnsi="宋体"/>
          <w:bCs/>
          <w:color w:val="auto"/>
          <w:sz w:val="21"/>
          <w:szCs w:val="21"/>
          <w:highlight w:val="none"/>
        </w:rPr>
      </w:pPr>
      <w:r>
        <w:rPr>
          <w:rFonts w:hint="eastAsia" w:hAnsi="宋体"/>
          <w:bCs/>
          <w:color w:val="auto"/>
          <w:sz w:val="21"/>
          <w:szCs w:val="21"/>
          <w:highlight w:val="none"/>
        </w:rPr>
        <w:t>2.1前端感知系统</w:t>
      </w:r>
    </w:p>
    <w:tbl>
      <w:tblPr>
        <w:tblStyle w:val="4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809"/>
        <w:gridCol w:w="2703"/>
        <w:gridCol w:w="2207"/>
        <w:gridCol w:w="618"/>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vMerge w:val="restart"/>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809" w:type="dxa"/>
            <w:vMerge w:val="restart"/>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2703" w:type="dxa"/>
            <w:vMerge w:val="restart"/>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207" w:type="dxa"/>
            <w:vMerge w:val="restart"/>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618" w:type="dxa"/>
            <w:vMerge w:val="restart"/>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16" w:type="dxa"/>
            <w:vMerge w:val="restart"/>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vMerge w:val="continue"/>
            <w:vAlign w:val="center"/>
          </w:tcPr>
          <w:p>
            <w:pPr>
              <w:widowControl/>
              <w:jc w:val="left"/>
              <w:rPr>
                <w:rFonts w:ascii="宋体" w:hAnsi="宋体" w:cs="宋体"/>
                <w:b/>
                <w:bCs/>
                <w:color w:val="auto"/>
                <w:kern w:val="0"/>
                <w:sz w:val="20"/>
                <w:highlight w:val="none"/>
              </w:rPr>
            </w:pPr>
          </w:p>
        </w:tc>
        <w:tc>
          <w:tcPr>
            <w:tcW w:w="2809" w:type="dxa"/>
            <w:vMerge w:val="continue"/>
            <w:vAlign w:val="center"/>
          </w:tcPr>
          <w:p>
            <w:pPr>
              <w:widowControl/>
              <w:jc w:val="left"/>
              <w:rPr>
                <w:rFonts w:ascii="宋体" w:hAnsi="宋体" w:cs="宋体"/>
                <w:b/>
                <w:bCs/>
                <w:color w:val="auto"/>
                <w:kern w:val="0"/>
                <w:sz w:val="20"/>
                <w:highlight w:val="none"/>
              </w:rPr>
            </w:pPr>
          </w:p>
        </w:tc>
        <w:tc>
          <w:tcPr>
            <w:tcW w:w="2703" w:type="dxa"/>
            <w:vMerge w:val="continue"/>
            <w:vAlign w:val="center"/>
          </w:tcPr>
          <w:p>
            <w:pPr>
              <w:widowControl/>
              <w:jc w:val="left"/>
              <w:rPr>
                <w:rFonts w:ascii="宋体" w:hAnsi="宋体" w:cs="宋体"/>
                <w:b/>
                <w:bCs/>
                <w:color w:val="auto"/>
                <w:kern w:val="0"/>
                <w:sz w:val="20"/>
                <w:highlight w:val="none"/>
              </w:rPr>
            </w:pPr>
          </w:p>
        </w:tc>
        <w:tc>
          <w:tcPr>
            <w:tcW w:w="2207" w:type="dxa"/>
            <w:vMerge w:val="continue"/>
            <w:vAlign w:val="center"/>
          </w:tcPr>
          <w:p>
            <w:pPr>
              <w:widowControl/>
              <w:jc w:val="left"/>
              <w:rPr>
                <w:rFonts w:ascii="宋体" w:hAnsi="宋体" w:cs="宋体"/>
                <w:b/>
                <w:bCs/>
                <w:color w:val="auto"/>
                <w:kern w:val="0"/>
                <w:sz w:val="20"/>
                <w:highlight w:val="none"/>
              </w:rPr>
            </w:pPr>
          </w:p>
        </w:tc>
        <w:tc>
          <w:tcPr>
            <w:tcW w:w="618" w:type="dxa"/>
            <w:vMerge w:val="continue"/>
            <w:vAlign w:val="center"/>
          </w:tcPr>
          <w:p>
            <w:pPr>
              <w:widowControl/>
              <w:jc w:val="left"/>
              <w:rPr>
                <w:rFonts w:ascii="宋体" w:hAnsi="宋体" w:cs="宋体"/>
                <w:b/>
                <w:bCs/>
                <w:color w:val="auto"/>
                <w:kern w:val="0"/>
                <w:sz w:val="20"/>
                <w:highlight w:val="none"/>
              </w:rPr>
            </w:pPr>
          </w:p>
        </w:tc>
        <w:tc>
          <w:tcPr>
            <w:tcW w:w="616" w:type="dxa"/>
            <w:vMerge w:val="continue"/>
            <w:vAlign w:val="center"/>
          </w:tcPr>
          <w:p>
            <w:pPr>
              <w:widowControl/>
              <w:jc w:val="left"/>
              <w:rPr>
                <w:rFonts w:ascii="宋体" w:hAnsi="宋体" w:cs="宋体"/>
                <w:b/>
                <w:bCs/>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w:t>
            </w:r>
          </w:p>
        </w:tc>
        <w:tc>
          <w:tcPr>
            <w:tcW w:w="2809" w:type="dxa"/>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智慧用电</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海康威视/大华/赋安</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w:t>
            </w:r>
          </w:p>
        </w:tc>
        <w:tc>
          <w:tcPr>
            <w:tcW w:w="2809" w:type="dxa"/>
            <w:vMerge w:val="continue"/>
            <w:shd w:val="clear" w:color="auto" w:fill="auto"/>
            <w:vAlign w:val="center"/>
          </w:tcPr>
          <w:p>
            <w:pPr>
              <w:widowControl/>
              <w:jc w:val="left"/>
              <w:rPr>
                <w:rFonts w:ascii="宋体" w:hAnsi="宋体" w:cs="宋体"/>
                <w:color w:val="auto"/>
                <w:kern w:val="0"/>
                <w:sz w:val="20"/>
                <w:highlight w:val="none"/>
              </w:rPr>
            </w:pP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vMerge w:val="continue"/>
            <w:shd w:val="clear" w:color="auto" w:fill="auto"/>
            <w:vAlign w:val="center"/>
          </w:tcPr>
          <w:p>
            <w:pPr>
              <w:widowControl/>
              <w:jc w:val="left"/>
              <w:rPr>
                <w:rFonts w:ascii="宋体" w:hAnsi="宋体" w:cs="宋体"/>
                <w:color w:val="auto"/>
                <w:kern w:val="0"/>
                <w:sz w:val="20"/>
                <w:highlight w:val="none"/>
              </w:rPr>
            </w:pP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w:t>
            </w:r>
          </w:p>
        </w:tc>
        <w:tc>
          <w:tcPr>
            <w:tcW w:w="2809" w:type="dxa"/>
            <w:vMerge w:val="continue"/>
            <w:shd w:val="clear" w:color="auto" w:fill="auto"/>
            <w:vAlign w:val="center"/>
          </w:tcPr>
          <w:p>
            <w:pPr>
              <w:widowControl/>
              <w:jc w:val="left"/>
              <w:rPr>
                <w:rFonts w:ascii="宋体" w:hAnsi="宋体" w:cs="宋体"/>
                <w:color w:val="auto"/>
                <w:kern w:val="0"/>
                <w:sz w:val="20"/>
                <w:highlight w:val="none"/>
              </w:rPr>
            </w:pP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vMerge w:val="continue"/>
            <w:shd w:val="clear" w:color="auto" w:fill="auto"/>
            <w:vAlign w:val="center"/>
          </w:tcPr>
          <w:p>
            <w:pPr>
              <w:widowControl/>
              <w:jc w:val="left"/>
              <w:rPr>
                <w:rFonts w:ascii="宋体" w:hAnsi="宋体" w:cs="宋体"/>
                <w:color w:val="auto"/>
                <w:kern w:val="0"/>
                <w:sz w:val="20"/>
                <w:highlight w:val="none"/>
              </w:rPr>
            </w:pP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w:t>
            </w:r>
          </w:p>
        </w:tc>
        <w:tc>
          <w:tcPr>
            <w:tcW w:w="2809" w:type="dxa"/>
            <w:vMerge w:val="continue"/>
            <w:shd w:val="clear" w:color="auto" w:fill="auto"/>
            <w:vAlign w:val="center"/>
          </w:tcPr>
          <w:p>
            <w:pPr>
              <w:widowControl/>
              <w:jc w:val="left"/>
              <w:rPr>
                <w:rFonts w:ascii="宋体" w:hAnsi="宋体" w:cs="宋体"/>
                <w:color w:val="auto"/>
                <w:kern w:val="0"/>
                <w:sz w:val="20"/>
                <w:highlight w:val="none"/>
              </w:rPr>
            </w:pP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vMerge w:val="continue"/>
            <w:shd w:val="clear" w:color="auto" w:fill="auto"/>
            <w:vAlign w:val="center"/>
          </w:tcPr>
          <w:p>
            <w:pPr>
              <w:widowControl/>
              <w:jc w:val="left"/>
              <w:rPr>
                <w:rFonts w:ascii="宋体" w:hAnsi="宋体" w:cs="宋体"/>
                <w:color w:val="auto"/>
                <w:kern w:val="0"/>
                <w:sz w:val="20"/>
                <w:highlight w:val="none"/>
              </w:rPr>
            </w:pP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智慧烟感</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消防水箱水位监测（室内）</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海康威视/大华/赋安</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7</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室内消防栓水压监测（室内）</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海康威视/大华/赋安</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8</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智慧空开（1P）</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海康威视/大华/佳岚</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9</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智慧空开（2P）</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海康威视/大华/佳岚</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10</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智慧空开（3P）</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海康威视/大华/佳岚</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11</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智慧空开（4P）</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海康威视/大华/佳岚</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12</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电源及防浪涌模组</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海康威视/大华/佳岚</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13</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智慧空开（4G通讯网关）</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海康威视/大华/佳岚</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14</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智慧温感</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15</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消防栓压力检测（室外）</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16</w:t>
            </w:r>
          </w:p>
        </w:tc>
        <w:tc>
          <w:tcPr>
            <w:tcW w:w="2809" w:type="dxa"/>
            <w:vMerge w:val="restart"/>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消防主机远程联网</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17</w:t>
            </w:r>
          </w:p>
        </w:tc>
        <w:tc>
          <w:tcPr>
            <w:tcW w:w="2809" w:type="dxa"/>
            <w:vMerge w:val="continue"/>
            <w:shd w:val="clear" w:color="auto" w:fill="auto"/>
            <w:vAlign w:val="center"/>
          </w:tcPr>
          <w:p>
            <w:pPr>
              <w:widowControl/>
              <w:jc w:val="left"/>
              <w:rPr>
                <w:rFonts w:ascii="宋体" w:hAnsi="宋体" w:cs="宋体"/>
                <w:color w:val="auto"/>
                <w:kern w:val="0"/>
                <w:sz w:val="20"/>
                <w:highlight w:val="none"/>
              </w:rPr>
            </w:pP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18</w:t>
            </w:r>
          </w:p>
        </w:tc>
        <w:tc>
          <w:tcPr>
            <w:tcW w:w="2809" w:type="dxa"/>
            <w:vMerge w:val="continue"/>
            <w:shd w:val="clear" w:color="auto" w:fill="auto"/>
            <w:vAlign w:val="center"/>
          </w:tcPr>
          <w:p>
            <w:pPr>
              <w:widowControl/>
              <w:jc w:val="left"/>
              <w:rPr>
                <w:rFonts w:ascii="宋体" w:hAnsi="宋体" w:cs="宋体"/>
                <w:color w:val="auto"/>
                <w:kern w:val="0"/>
                <w:sz w:val="20"/>
                <w:highlight w:val="none"/>
              </w:rPr>
            </w:pP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19</w:t>
            </w:r>
          </w:p>
        </w:tc>
        <w:tc>
          <w:tcPr>
            <w:tcW w:w="2809" w:type="dxa"/>
            <w:vMerge w:val="continue"/>
            <w:shd w:val="clear" w:color="auto" w:fill="auto"/>
            <w:vAlign w:val="center"/>
          </w:tcPr>
          <w:p>
            <w:pPr>
              <w:widowControl/>
              <w:jc w:val="left"/>
              <w:rPr>
                <w:rFonts w:ascii="宋体" w:hAnsi="宋体" w:cs="宋体"/>
                <w:color w:val="auto"/>
                <w:kern w:val="0"/>
                <w:sz w:val="20"/>
                <w:highlight w:val="none"/>
              </w:rPr>
            </w:pP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20</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电动车智能充电桩</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21</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热成像感温火灾球形探测器</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22</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热成像感温火灾半球探测器</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23</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热成像感温火灾筒型探测器</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24</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巡检NFC</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25</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智慧燃气</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26</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消防通道监测摄像机</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27</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电瓶车入梯检测摄像机</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28</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对讲机</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29</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4G警戒球型摄像机</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30</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可视化烟感</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31</w:t>
            </w:r>
          </w:p>
        </w:tc>
        <w:tc>
          <w:tcPr>
            <w:tcW w:w="2809"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消防车定位模块</w:t>
            </w:r>
          </w:p>
        </w:tc>
        <w:tc>
          <w:tcPr>
            <w:tcW w:w="2703" w:type="dxa"/>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“详见技术参数需求”</w:t>
            </w:r>
          </w:p>
        </w:tc>
        <w:tc>
          <w:tcPr>
            <w:tcW w:w="2207"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中航北斗/中科信通/大华</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bl>
    <w:p>
      <w:pPr>
        <w:pStyle w:val="24"/>
        <w:rPr>
          <w:rFonts w:hAnsi="宋体"/>
          <w:bCs/>
          <w:color w:val="auto"/>
          <w:sz w:val="21"/>
          <w:szCs w:val="21"/>
          <w:highlight w:val="none"/>
        </w:rPr>
      </w:pPr>
      <w:r>
        <w:rPr>
          <w:rFonts w:hint="eastAsia" w:hAnsi="宋体"/>
          <w:bCs/>
          <w:color w:val="auto"/>
          <w:sz w:val="21"/>
          <w:szCs w:val="21"/>
          <w:highlight w:val="none"/>
        </w:rPr>
        <w:t>2.2网络传输系统</w:t>
      </w:r>
    </w:p>
    <w:tbl>
      <w:tblPr>
        <w:tblStyle w:val="47"/>
        <w:tblW w:w="9571" w:type="dxa"/>
        <w:tblInd w:w="0" w:type="dxa"/>
        <w:tblLayout w:type="fixed"/>
        <w:tblCellMar>
          <w:top w:w="0" w:type="dxa"/>
          <w:left w:w="108" w:type="dxa"/>
          <w:bottom w:w="0" w:type="dxa"/>
          <w:right w:w="108" w:type="dxa"/>
        </w:tblCellMar>
      </w:tblPr>
      <w:tblGrid>
        <w:gridCol w:w="618"/>
        <w:gridCol w:w="1859"/>
        <w:gridCol w:w="3684"/>
        <w:gridCol w:w="2174"/>
        <w:gridCol w:w="618"/>
        <w:gridCol w:w="618"/>
      </w:tblGrid>
      <w:tr>
        <w:tblPrEx>
          <w:tblCellMar>
            <w:top w:w="0" w:type="dxa"/>
            <w:left w:w="108" w:type="dxa"/>
            <w:bottom w:w="0" w:type="dxa"/>
            <w:right w:w="108" w:type="dxa"/>
          </w:tblCellMar>
        </w:tblPrEx>
        <w:trPr>
          <w:trHeight w:val="240"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租赁服务名称</w:t>
            </w:r>
          </w:p>
        </w:tc>
        <w:tc>
          <w:tcPr>
            <w:tcW w:w="36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24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859"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核心交换机</w:t>
            </w:r>
          </w:p>
        </w:tc>
        <w:tc>
          <w:tcPr>
            <w:tcW w:w="3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华三/华为/中兴</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4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85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核心交换机业务板</w:t>
            </w:r>
          </w:p>
        </w:tc>
        <w:tc>
          <w:tcPr>
            <w:tcW w:w="3684" w:type="dxa"/>
            <w:tcBorders>
              <w:top w:val="nil"/>
              <w:left w:val="nil"/>
              <w:bottom w:val="nil"/>
              <w:right w:val="nil"/>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华三/华为/中兴</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4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1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ONU设备</w:t>
            </w:r>
          </w:p>
        </w:tc>
        <w:tc>
          <w:tcPr>
            <w:tcW w:w="36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华三/华为/中兴</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35</w:t>
            </w:r>
          </w:p>
        </w:tc>
      </w:tr>
    </w:tbl>
    <w:p>
      <w:pPr>
        <w:pStyle w:val="24"/>
        <w:rPr>
          <w:rFonts w:hAnsi="宋体"/>
          <w:bCs/>
          <w:color w:val="auto"/>
          <w:sz w:val="21"/>
          <w:szCs w:val="21"/>
          <w:highlight w:val="none"/>
        </w:rPr>
      </w:pPr>
      <w:r>
        <w:rPr>
          <w:rFonts w:hint="eastAsia" w:hAnsi="宋体"/>
          <w:bCs/>
          <w:color w:val="auto"/>
          <w:sz w:val="21"/>
          <w:szCs w:val="21"/>
          <w:highlight w:val="none"/>
        </w:rPr>
        <w:t>2.3存储系统</w:t>
      </w:r>
    </w:p>
    <w:tbl>
      <w:tblPr>
        <w:tblStyle w:val="47"/>
        <w:tblW w:w="9571" w:type="dxa"/>
        <w:tblInd w:w="0" w:type="dxa"/>
        <w:tblLayout w:type="fixed"/>
        <w:tblCellMar>
          <w:top w:w="0" w:type="dxa"/>
          <w:left w:w="108" w:type="dxa"/>
          <w:bottom w:w="0" w:type="dxa"/>
          <w:right w:w="108" w:type="dxa"/>
        </w:tblCellMar>
      </w:tblPr>
      <w:tblGrid>
        <w:gridCol w:w="618"/>
        <w:gridCol w:w="1884"/>
        <w:gridCol w:w="3642"/>
        <w:gridCol w:w="2029"/>
        <w:gridCol w:w="699"/>
        <w:gridCol w:w="699"/>
      </w:tblGrid>
      <w:tr>
        <w:tblPrEx>
          <w:tblCellMar>
            <w:top w:w="0" w:type="dxa"/>
            <w:left w:w="108" w:type="dxa"/>
            <w:bottom w:w="0" w:type="dxa"/>
            <w:right w:w="108" w:type="dxa"/>
          </w:tblCellMar>
        </w:tblPrEx>
        <w:trPr>
          <w:trHeight w:val="480"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3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0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270" w:hRule="atLeast"/>
        </w:trPr>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8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48盘位云存储设备</w:t>
            </w: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CellMar>
            <w:top w:w="0" w:type="dxa"/>
            <w:left w:w="108" w:type="dxa"/>
            <w:bottom w:w="0" w:type="dxa"/>
            <w:right w:w="108" w:type="dxa"/>
          </w:tblCellMar>
        </w:tblPrEx>
        <w:trPr>
          <w:trHeight w:val="240" w:hRule="atLeast"/>
        </w:trPr>
        <w:tc>
          <w:tcPr>
            <w:tcW w:w="6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8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r>
      <w:tr>
        <w:tblPrEx>
          <w:tblCellMar>
            <w:top w:w="0" w:type="dxa"/>
            <w:left w:w="108" w:type="dxa"/>
            <w:bottom w:w="0" w:type="dxa"/>
            <w:right w:w="108" w:type="dxa"/>
          </w:tblCellMar>
        </w:tblPrEx>
        <w:trPr>
          <w:trHeight w:val="240" w:hRule="atLeast"/>
        </w:trPr>
        <w:tc>
          <w:tcPr>
            <w:tcW w:w="6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8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r>
      <w:tr>
        <w:tblPrEx>
          <w:tblCellMar>
            <w:top w:w="0" w:type="dxa"/>
            <w:left w:w="108" w:type="dxa"/>
            <w:bottom w:w="0" w:type="dxa"/>
            <w:right w:w="108" w:type="dxa"/>
          </w:tblCellMar>
        </w:tblPrEx>
        <w:trPr>
          <w:trHeight w:val="240" w:hRule="atLeast"/>
        </w:trPr>
        <w:tc>
          <w:tcPr>
            <w:tcW w:w="6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8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r>
      <w:tr>
        <w:tblPrEx>
          <w:tblCellMar>
            <w:top w:w="0" w:type="dxa"/>
            <w:left w:w="108" w:type="dxa"/>
            <w:bottom w:w="0" w:type="dxa"/>
            <w:right w:w="108" w:type="dxa"/>
          </w:tblCellMar>
        </w:tblPrEx>
        <w:trPr>
          <w:trHeight w:val="240" w:hRule="atLeast"/>
        </w:trPr>
        <w:tc>
          <w:tcPr>
            <w:tcW w:w="6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8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r>
      <w:tr>
        <w:tblPrEx>
          <w:tblCellMar>
            <w:top w:w="0" w:type="dxa"/>
            <w:left w:w="108" w:type="dxa"/>
            <w:bottom w:w="0" w:type="dxa"/>
            <w:right w:w="108" w:type="dxa"/>
          </w:tblCellMar>
        </w:tblPrEx>
        <w:trPr>
          <w:trHeight w:val="240" w:hRule="atLeast"/>
        </w:trPr>
        <w:tc>
          <w:tcPr>
            <w:tcW w:w="6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8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r>
      <w:tr>
        <w:tblPrEx>
          <w:tblCellMar>
            <w:top w:w="0" w:type="dxa"/>
            <w:left w:w="108" w:type="dxa"/>
            <w:bottom w:w="0" w:type="dxa"/>
            <w:right w:w="108" w:type="dxa"/>
          </w:tblCellMar>
        </w:tblPrEx>
        <w:trPr>
          <w:trHeight w:val="240" w:hRule="atLeast"/>
        </w:trPr>
        <w:tc>
          <w:tcPr>
            <w:tcW w:w="61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8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highlight w:val="none"/>
              </w:rPr>
            </w:pPr>
          </w:p>
        </w:tc>
      </w:tr>
      <w:tr>
        <w:tblPrEx>
          <w:tblCellMar>
            <w:top w:w="0" w:type="dxa"/>
            <w:left w:w="108" w:type="dxa"/>
            <w:bottom w:w="0" w:type="dxa"/>
            <w:right w:w="108" w:type="dxa"/>
          </w:tblCellMar>
        </w:tblPrEx>
        <w:trPr>
          <w:trHeight w:val="24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电池模块</w:t>
            </w: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CellMar>
            <w:top w:w="0" w:type="dxa"/>
            <w:left w:w="108" w:type="dxa"/>
            <w:bottom w:w="0" w:type="dxa"/>
            <w:right w:w="108" w:type="dxa"/>
          </w:tblCellMar>
        </w:tblPrEx>
        <w:trPr>
          <w:trHeight w:val="24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700W电源模块</w:t>
            </w: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CellMar>
            <w:top w:w="0" w:type="dxa"/>
            <w:left w:w="108" w:type="dxa"/>
            <w:bottom w:w="0" w:type="dxa"/>
            <w:right w:w="108" w:type="dxa"/>
          </w:tblCellMar>
        </w:tblPrEx>
        <w:trPr>
          <w:trHeight w:val="24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6TB硬盘</w:t>
            </w:r>
          </w:p>
        </w:tc>
        <w:tc>
          <w:tcPr>
            <w:tcW w:w="3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144</w:t>
            </w:r>
          </w:p>
        </w:tc>
      </w:tr>
    </w:tbl>
    <w:p>
      <w:pPr>
        <w:pStyle w:val="24"/>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2.4视频图像信息管理平台</w:t>
      </w:r>
    </w:p>
    <w:tbl>
      <w:tblPr>
        <w:tblStyle w:val="47"/>
        <w:tblW w:w="9571" w:type="dxa"/>
        <w:tblInd w:w="0" w:type="dxa"/>
        <w:tblLayout w:type="fixed"/>
        <w:tblCellMar>
          <w:top w:w="0" w:type="dxa"/>
          <w:left w:w="108" w:type="dxa"/>
          <w:bottom w:w="0" w:type="dxa"/>
          <w:right w:w="108" w:type="dxa"/>
        </w:tblCellMar>
      </w:tblPr>
      <w:tblGrid>
        <w:gridCol w:w="618"/>
        <w:gridCol w:w="2361"/>
        <w:gridCol w:w="3250"/>
        <w:gridCol w:w="2106"/>
        <w:gridCol w:w="618"/>
        <w:gridCol w:w="618"/>
      </w:tblGrid>
      <w:tr>
        <w:tblPrEx>
          <w:tblCellMar>
            <w:top w:w="0" w:type="dxa"/>
            <w:left w:w="108" w:type="dxa"/>
            <w:bottom w:w="0" w:type="dxa"/>
            <w:right w:w="108" w:type="dxa"/>
          </w:tblCellMar>
        </w:tblPrEx>
        <w:trPr>
          <w:trHeight w:val="570"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619"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视频管理服务器</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5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媒体交换服务器</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5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安防接入服务器</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5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云存储管理服务器</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5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云存储点播服务器</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5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摄像机接入授权（500路）</w:t>
            </w:r>
          </w:p>
        </w:tc>
        <w:tc>
          <w:tcPr>
            <w:tcW w:w="3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bl>
    <w:p>
      <w:pPr>
        <w:pStyle w:val="24"/>
        <w:rPr>
          <w:rFonts w:hAnsi="宋体"/>
          <w:bCs/>
          <w:color w:val="auto"/>
          <w:sz w:val="21"/>
          <w:szCs w:val="21"/>
          <w:highlight w:val="none"/>
        </w:rPr>
      </w:pPr>
      <w:r>
        <w:rPr>
          <w:rFonts w:hint="eastAsia" w:hAnsi="宋体"/>
          <w:bCs/>
          <w:color w:val="auto"/>
          <w:sz w:val="21"/>
          <w:szCs w:val="21"/>
          <w:highlight w:val="none"/>
        </w:rPr>
        <w:t>2.5智慧安全监管服务中心平台</w:t>
      </w:r>
    </w:p>
    <w:tbl>
      <w:tblPr>
        <w:tblStyle w:val="47"/>
        <w:tblW w:w="9571" w:type="dxa"/>
        <w:tblInd w:w="0" w:type="dxa"/>
        <w:tblLayout w:type="fixed"/>
        <w:tblCellMar>
          <w:top w:w="0" w:type="dxa"/>
          <w:left w:w="108" w:type="dxa"/>
          <w:bottom w:w="0" w:type="dxa"/>
          <w:right w:w="108" w:type="dxa"/>
        </w:tblCellMar>
      </w:tblPr>
      <w:tblGrid>
        <w:gridCol w:w="668"/>
        <w:gridCol w:w="2747"/>
        <w:gridCol w:w="1748"/>
        <w:gridCol w:w="3244"/>
        <w:gridCol w:w="582"/>
        <w:gridCol w:w="582"/>
      </w:tblGrid>
      <w:tr>
        <w:tblPrEx>
          <w:tblCellMar>
            <w:top w:w="0" w:type="dxa"/>
            <w:left w:w="108" w:type="dxa"/>
            <w:bottom w:w="0" w:type="dxa"/>
            <w:right w:w="108" w:type="dxa"/>
          </w:tblCellMar>
        </w:tblPrEx>
        <w:trPr>
          <w:trHeight w:val="480" w:hRule="atLeast"/>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7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模块名称</w:t>
            </w:r>
          </w:p>
        </w:tc>
        <w:tc>
          <w:tcPr>
            <w:tcW w:w="4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270" w:hRule="atLeast"/>
        </w:trPr>
        <w:tc>
          <w:tcPr>
            <w:tcW w:w="95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一、数据驾驶舱建设</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安全数据驾驶舱</w:t>
            </w: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安全监管实时数据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安全统计类数据展示</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研判分析类数据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安全宣教数据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17</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安全隐患数据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18</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20</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企业安全画像</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25</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26</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27</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视频监控</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95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二、应用系统建设</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一站式安全监管服务平台管理中心</w:t>
            </w: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企业信息管理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设备设施管理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人员账号管理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角色权限管理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报警通知配置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公共资源管理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检查项目配置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学习资料管理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系统设置</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安全监管服务移动应用（浙里办）</w:t>
            </w: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报警接收</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报警处理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数据查询</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隐患排查</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视频监控</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联动指挥</w:t>
            </w: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人事物联动</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资源调度</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17</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远程视频联动</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18</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GIS调度台联动</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95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三、应用支撑系统建设</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物联接入</w:t>
            </w: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协议解析</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设备模型管理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视频接入</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数据查询</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人员管理</w:t>
            </w: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专职队伍管理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证书管理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安全责任人管理</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学习培训情况</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工作统计</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95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四、数据资源建设</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数据采集</w:t>
            </w:r>
          </w:p>
        </w:tc>
        <w:tc>
          <w:tcPr>
            <w:tcW w:w="4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数据治理</w:t>
            </w:r>
          </w:p>
        </w:tc>
        <w:tc>
          <w:tcPr>
            <w:tcW w:w="4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数据库建设</w:t>
            </w:r>
          </w:p>
        </w:tc>
        <w:tc>
          <w:tcPr>
            <w:tcW w:w="4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95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五、外部接口开发</w:t>
            </w:r>
          </w:p>
        </w:tc>
      </w:tr>
      <w:tr>
        <w:tblPrEx>
          <w:tblCellMar>
            <w:top w:w="0" w:type="dxa"/>
            <w:left w:w="108" w:type="dxa"/>
            <w:bottom w:w="0" w:type="dxa"/>
            <w:right w:w="108" w:type="dxa"/>
          </w:tblCellMar>
        </w:tblPrEx>
        <w:trPr>
          <w:trHeight w:val="48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视频数据接入</w:t>
            </w:r>
          </w:p>
        </w:tc>
        <w:tc>
          <w:tcPr>
            <w:tcW w:w="17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视频综合平台对接</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短信以及电话</w:t>
            </w:r>
          </w:p>
        </w:tc>
        <w:tc>
          <w:tcPr>
            <w:tcW w:w="17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通知服务</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“详见技术参数需求”(按实际使用结算)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17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对接服务</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外部业务平台对接</w:t>
            </w:r>
          </w:p>
        </w:tc>
        <w:tc>
          <w:tcPr>
            <w:tcW w:w="17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对外接口对接</w:t>
            </w:r>
          </w:p>
        </w:tc>
        <w:tc>
          <w:tcPr>
            <w:tcW w:w="32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bl>
    <w:p>
      <w:pPr>
        <w:pStyle w:val="24"/>
        <w:ind w:firstLine="420" w:firstLineChars="200"/>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2.6智慧安全监管服务指挥中心</w:t>
      </w:r>
    </w:p>
    <w:tbl>
      <w:tblPr>
        <w:tblStyle w:val="47"/>
        <w:tblW w:w="9571" w:type="dxa"/>
        <w:tblInd w:w="0" w:type="dxa"/>
        <w:tblLayout w:type="fixed"/>
        <w:tblCellMar>
          <w:top w:w="0" w:type="dxa"/>
          <w:left w:w="108" w:type="dxa"/>
          <w:bottom w:w="0" w:type="dxa"/>
          <w:right w:w="108" w:type="dxa"/>
        </w:tblCellMar>
      </w:tblPr>
      <w:tblGrid>
        <w:gridCol w:w="564"/>
        <w:gridCol w:w="1774"/>
        <w:gridCol w:w="3807"/>
        <w:gridCol w:w="2115"/>
        <w:gridCol w:w="662"/>
        <w:gridCol w:w="649"/>
      </w:tblGrid>
      <w:tr>
        <w:tblPrEx>
          <w:tblCellMar>
            <w:top w:w="0" w:type="dxa"/>
            <w:left w:w="108" w:type="dxa"/>
            <w:bottom w:w="0" w:type="dxa"/>
            <w:right w:w="108" w:type="dxa"/>
          </w:tblCellMar>
        </w:tblPrEx>
        <w:trPr>
          <w:trHeight w:val="600" w:hRule="atLeast"/>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7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3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一</w:t>
            </w:r>
          </w:p>
        </w:tc>
        <w:tc>
          <w:tcPr>
            <w:tcW w:w="9007" w:type="dxa"/>
            <w:gridSpan w:val="5"/>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指挥中心大厅装修</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多层实木地板</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1、15mm厚多层实木地板铺设；</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2、耐磨等级不小于6500转；</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3、5mm自流平铺设。</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113</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实木踢脚线</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80mm高定制实木踢脚线安装，专用粘胶剂粘胶。</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米</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36</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铝方通吊顶</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定制铝方通吊顶40*100@150，配套卡式龙骨，底部喷黑色涂料。</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65.8</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电动窗帘</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1、成品电动窗帘卷帘长度3米以内（包含轨道、窗帘、五金等）；</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2、操控方式：遥控器控制、语音控制；</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3、供电方式：电源供电；</w:t>
            </w:r>
            <w:r>
              <w:rPr>
                <w:rFonts w:hint="eastAsia" w:ascii="宋体" w:hAnsi="宋体" w:cs="宋体"/>
                <w:color w:val="auto"/>
                <w:kern w:val="0"/>
                <w:sz w:val="20"/>
                <w:highlight w:val="none"/>
              </w:rPr>
              <w:br w:type="textWrapping"/>
            </w:r>
            <w:r>
              <w:rPr>
                <w:rFonts w:hint="eastAsia" w:ascii="宋体" w:hAnsi="宋体" w:cs="宋体"/>
                <w:color w:val="auto"/>
                <w:kern w:val="0"/>
                <w:sz w:val="20"/>
                <w:highlight w:val="none"/>
              </w:rPr>
              <w:t>4、连接方式：蓝牙，Wi-Fi。</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遮光窗帘</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成品阻燃遮光卷帘。</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原顶喷黑</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腻子满刮两遍、黑漆乳胶漆3遍。</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95</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成品玻璃隔墙（内百叶）</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成品门</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会议室背景装饰墙</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10.8</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会议室轻钢龙骨灯带平顶</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不锈钢门套</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15㎜玻璃门</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拉手</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副</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地弹簧</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副</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灯头线、开关线</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铝合金窗</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19.4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17</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屋面防水</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150</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18</w:t>
            </w:r>
          </w:p>
        </w:tc>
        <w:tc>
          <w:tcPr>
            <w:tcW w:w="17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暖通系统</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c>
          <w:tcPr>
            <w:tcW w:w="17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20</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会议桌</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实木椅</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把</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灯具</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防静电地毯</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65</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平顶墙面乳胶漆</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286</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26</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墙面粉刷</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55</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27</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文件资料柜</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28</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指挥中心防雷接地</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29</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拆除项</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定制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30</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电缆暖通配线</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楼梯背景装饰宣传墙面</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垃圾清理及其他</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定制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卫生清洁</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定制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二</w:t>
            </w:r>
          </w:p>
        </w:tc>
        <w:tc>
          <w:tcPr>
            <w:tcW w:w="9007" w:type="dxa"/>
            <w:gridSpan w:val="5"/>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指挥中心1-3楼装修</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感应门</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人脸识别门禁一体机</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管理终端</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中科可控/曙光/锐捷</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智慧展厅显示屏</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万宝/皓丽/创维</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终端控制系统</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滚动显示屏</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辅材</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定制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17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一楼至三楼楼梯一楼大厅间装修</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17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一层大厅</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文宣广告屏</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20</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三</w:t>
            </w:r>
          </w:p>
        </w:tc>
        <w:tc>
          <w:tcPr>
            <w:tcW w:w="9007" w:type="dxa"/>
            <w:gridSpan w:val="5"/>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指挥中心配套设备设施</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室内LED全彩显示屏</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11.06</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大屏发送卡</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大屏控制器</w:t>
            </w:r>
          </w:p>
        </w:tc>
        <w:tc>
          <w:tcPr>
            <w:tcW w:w="3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177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大屏控制器解码卡</w:t>
            </w:r>
          </w:p>
        </w:tc>
        <w:tc>
          <w:tcPr>
            <w:tcW w:w="3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177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大屏控制器编码卡</w:t>
            </w:r>
          </w:p>
        </w:tc>
        <w:tc>
          <w:tcPr>
            <w:tcW w:w="38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17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配电箱</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管理终端</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中科可控/曙光/锐捷</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吸顶音箱</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功放</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结构及包边、安装</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11.06</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操作台</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观摩席</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观摩坐席椅</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把</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13</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人脸识别门禁一体机</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15</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4K激光投影仪</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爱普生/峰米/极米</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服务器机柜</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图腾/一舟/技嘉</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17</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UPS主机</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18</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免维护电池</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节</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16</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电池柜</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只</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20</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二层交换机</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无线AP</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POE交换机</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23</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AC控制器</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600" w:hRule="atLeast"/>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w:t>
            </w:r>
          </w:p>
        </w:tc>
        <w:tc>
          <w:tcPr>
            <w:tcW w:w="1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辅材</w:t>
            </w:r>
          </w:p>
        </w:tc>
        <w:tc>
          <w:tcPr>
            <w:tcW w:w="3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定制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批</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bl>
    <w:p>
      <w:pPr>
        <w:pStyle w:val="24"/>
        <w:rPr>
          <w:rFonts w:hAnsi="宋体"/>
          <w:bCs/>
          <w:color w:val="auto"/>
          <w:sz w:val="21"/>
          <w:szCs w:val="21"/>
          <w:highlight w:val="none"/>
        </w:rPr>
      </w:pPr>
      <w:r>
        <w:rPr>
          <w:rFonts w:hint="eastAsia" w:hAnsi="宋体"/>
          <w:bCs/>
          <w:color w:val="auto"/>
          <w:sz w:val="21"/>
          <w:szCs w:val="21"/>
          <w:highlight w:val="none"/>
        </w:rPr>
        <w:t>2.7机房建设</w:t>
      </w:r>
    </w:p>
    <w:tbl>
      <w:tblPr>
        <w:tblStyle w:val="47"/>
        <w:tblW w:w="9571" w:type="dxa"/>
        <w:tblInd w:w="0" w:type="dxa"/>
        <w:tblLayout w:type="fixed"/>
        <w:tblCellMar>
          <w:top w:w="0" w:type="dxa"/>
          <w:left w:w="108" w:type="dxa"/>
          <w:bottom w:w="0" w:type="dxa"/>
          <w:right w:w="108" w:type="dxa"/>
        </w:tblCellMar>
      </w:tblPr>
      <w:tblGrid>
        <w:gridCol w:w="618"/>
        <w:gridCol w:w="2017"/>
        <w:gridCol w:w="3615"/>
        <w:gridCol w:w="2174"/>
        <w:gridCol w:w="530"/>
        <w:gridCol w:w="617"/>
      </w:tblGrid>
      <w:tr>
        <w:tblPrEx>
          <w:tblCellMar>
            <w:top w:w="0" w:type="dxa"/>
            <w:left w:w="108" w:type="dxa"/>
            <w:bottom w:w="0" w:type="dxa"/>
            <w:right w:w="108" w:type="dxa"/>
          </w:tblCellMar>
        </w:tblPrEx>
        <w:trPr>
          <w:trHeight w:val="270"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3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一</w:t>
            </w:r>
          </w:p>
        </w:tc>
        <w:tc>
          <w:tcPr>
            <w:tcW w:w="8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机房装修</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机房地板铺设</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14.5</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机房吊顶</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14.5</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机房新增隔墙</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8.5</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新开门洞</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樘</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乳胶漆</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28.6</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隔音防火门</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1.9</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地面防水防尘处理</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14.5</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墙面防水处理</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m2</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31.5</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9</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机房其他</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10</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灭火器</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11</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供配电系统</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500*600钢制配电柜，输出功率小于10KW，断路器：DZ47、C65N电流常规10~63A</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二</w:t>
            </w:r>
          </w:p>
        </w:tc>
        <w:tc>
          <w:tcPr>
            <w:tcW w:w="8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机房设备</w:t>
            </w:r>
          </w:p>
        </w:tc>
      </w:tr>
      <w:tr>
        <w:tblPrEx>
          <w:tblCellMar>
            <w:top w:w="0" w:type="dxa"/>
            <w:left w:w="108" w:type="dxa"/>
            <w:bottom w:w="0" w:type="dxa"/>
            <w:right w:w="108" w:type="dxa"/>
          </w:tblCellMar>
        </w:tblPrEx>
        <w:trPr>
          <w:trHeight w:val="48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门禁及监控</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海康威视/大华/宇视</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机房照明</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48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服务器机柜</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图腾/一舟/技嘉</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综合机柜</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机架式UPS主机</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配电模块</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蓄电池</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节</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32</w:t>
            </w:r>
          </w:p>
        </w:tc>
      </w:tr>
      <w:tr>
        <w:tblPrEx>
          <w:tblCellMar>
            <w:top w:w="0" w:type="dxa"/>
            <w:left w:w="108" w:type="dxa"/>
            <w:bottom w:w="0" w:type="dxa"/>
            <w:right w:w="108" w:type="dxa"/>
          </w:tblCellMar>
        </w:tblPrEx>
        <w:trPr>
          <w:trHeight w:val="48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精密空调</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申菱/华为/世图兹</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9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三</w:t>
            </w:r>
          </w:p>
        </w:tc>
        <w:tc>
          <w:tcPr>
            <w:tcW w:w="8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机房环境监控</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温湿度传感器</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只</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漏水传感器</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只</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漏水感应绳</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条</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环境监控主机</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短信报警器</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触摸屏</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模块化机柜</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个</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四</w:t>
            </w:r>
          </w:p>
        </w:tc>
        <w:tc>
          <w:tcPr>
            <w:tcW w:w="8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机房综合布线</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20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综合布线及桥架</w:t>
            </w:r>
          </w:p>
        </w:tc>
        <w:tc>
          <w:tcPr>
            <w:tcW w:w="36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国产</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r>
    </w:tbl>
    <w:p>
      <w:pPr>
        <w:pStyle w:val="24"/>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2.8安全系统</w:t>
      </w:r>
    </w:p>
    <w:tbl>
      <w:tblPr>
        <w:tblStyle w:val="47"/>
        <w:tblW w:w="9571" w:type="dxa"/>
        <w:tblInd w:w="0" w:type="dxa"/>
        <w:tblLayout w:type="fixed"/>
        <w:tblCellMar>
          <w:top w:w="0" w:type="dxa"/>
          <w:left w:w="108" w:type="dxa"/>
          <w:bottom w:w="0" w:type="dxa"/>
          <w:right w:w="108" w:type="dxa"/>
        </w:tblCellMar>
      </w:tblPr>
      <w:tblGrid>
        <w:gridCol w:w="618"/>
        <w:gridCol w:w="1105"/>
        <w:gridCol w:w="4497"/>
        <w:gridCol w:w="2115"/>
        <w:gridCol w:w="618"/>
        <w:gridCol w:w="618"/>
      </w:tblGrid>
      <w:tr>
        <w:tblPrEx>
          <w:tblCellMar>
            <w:top w:w="0" w:type="dxa"/>
            <w:left w:w="108" w:type="dxa"/>
            <w:bottom w:w="0" w:type="dxa"/>
            <w:right w:w="108" w:type="dxa"/>
          </w:tblCellMar>
        </w:tblPrEx>
        <w:trPr>
          <w:trHeight w:val="480"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44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2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参考品牌</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CellMar>
            <w:top w:w="0" w:type="dxa"/>
            <w:left w:w="108" w:type="dxa"/>
            <w:bottom w:w="0" w:type="dxa"/>
            <w:right w:w="108" w:type="dxa"/>
          </w:tblCellMar>
        </w:tblPrEx>
        <w:trPr>
          <w:trHeight w:val="1116"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1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防火墙</w:t>
            </w:r>
          </w:p>
        </w:tc>
        <w:tc>
          <w:tcPr>
            <w:tcW w:w="4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迪普/华三/深信服</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1 </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2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日志审计</w:t>
            </w:r>
          </w:p>
        </w:tc>
        <w:tc>
          <w:tcPr>
            <w:tcW w:w="4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迪普/华三/深信服</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1 </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3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运维审计</w:t>
            </w:r>
          </w:p>
        </w:tc>
        <w:tc>
          <w:tcPr>
            <w:tcW w:w="4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迪普/华三/深信服</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套</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1 </w:t>
            </w:r>
          </w:p>
        </w:tc>
      </w:tr>
      <w:tr>
        <w:tblPrEx>
          <w:tblCellMar>
            <w:top w:w="0" w:type="dxa"/>
            <w:left w:w="108" w:type="dxa"/>
            <w:bottom w:w="0" w:type="dxa"/>
            <w:right w:w="108" w:type="dxa"/>
          </w:tblCellMar>
        </w:tblPrEx>
        <w:trPr>
          <w:trHeight w:val="270" w:hRule="atLeast"/>
        </w:trPr>
        <w:tc>
          <w:tcPr>
            <w:tcW w:w="6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4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等保测评</w:t>
            </w:r>
          </w:p>
        </w:tc>
        <w:tc>
          <w:tcPr>
            <w:tcW w:w="4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21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定制</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xml:space="preserve">1 </w:t>
            </w:r>
          </w:p>
        </w:tc>
      </w:tr>
    </w:tbl>
    <w:p>
      <w:pPr>
        <w:pStyle w:val="24"/>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2.9光纤链路及高位消防监管租赁服务</w:t>
      </w:r>
    </w:p>
    <w:tbl>
      <w:tblPr>
        <w:tblStyle w:val="4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99"/>
        <w:gridCol w:w="2416"/>
        <w:gridCol w:w="3802"/>
        <w:gridCol w:w="61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3915" w:type="dxa"/>
            <w:gridSpan w:val="2"/>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设备名称</w:t>
            </w:r>
          </w:p>
        </w:tc>
        <w:tc>
          <w:tcPr>
            <w:tcW w:w="3802"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主要技术参数</w:t>
            </w:r>
          </w:p>
        </w:tc>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单位</w:t>
            </w:r>
          </w:p>
        </w:tc>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w:t>
            </w:r>
          </w:p>
        </w:tc>
        <w:tc>
          <w:tcPr>
            <w:tcW w:w="3915" w:type="dxa"/>
            <w:gridSpan w:val="2"/>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高位消防监管服务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w:t>
            </w:r>
          </w:p>
        </w:tc>
        <w:tc>
          <w:tcPr>
            <w:tcW w:w="1499" w:type="dxa"/>
            <w:vMerge w:val="restart"/>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光纤链路租赁服务</w:t>
            </w:r>
          </w:p>
        </w:tc>
        <w:tc>
          <w:tcPr>
            <w:tcW w:w="24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提供网络汇聚服务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w:t>
            </w:r>
          </w:p>
        </w:tc>
        <w:tc>
          <w:tcPr>
            <w:tcW w:w="1499" w:type="dxa"/>
            <w:vMerge w:val="continue"/>
          </w:tcPr>
          <w:p>
            <w:pPr>
              <w:widowControl/>
              <w:jc w:val="center"/>
              <w:rPr>
                <w:rFonts w:ascii="宋体" w:hAnsi="宋体" w:cs="宋体"/>
                <w:color w:val="auto"/>
                <w:kern w:val="0"/>
                <w:sz w:val="20"/>
                <w:highlight w:val="none"/>
              </w:rPr>
            </w:pPr>
          </w:p>
        </w:tc>
        <w:tc>
          <w:tcPr>
            <w:tcW w:w="24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网络汇聚业务板服务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项</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4</w:t>
            </w:r>
          </w:p>
        </w:tc>
        <w:tc>
          <w:tcPr>
            <w:tcW w:w="1499" w:type="dxa"/>
            <w:vMerge w:val="continue"/>
          </w:tcPr>
          <w:p>
            <w:pPr>
              <w:widowControl/>
              <w:jc w:val="center"/>
              <w:rPr>
                <w:rFonts w:ascii="宋体" w:hAnsi="宋体" w:cs="宋体"/>
                <w:color w:val="auto"/>
                <w:kern w:val="0"/>
                <w:sz w:val="20"/>
                <w:highlight w:val="none"/>
              </w:rPr>
            </w:pPr>
          </w:p>
        </w:tc>
        <w:tc>
          <w:tcPr>
            <w:tcW w:w="24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主干光纤传输服务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条</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w:t>
            </w:r>
          </w:p>
        </w:tc>
        <w:tc>
          <w:tcPr>
            <w:tcW w:w="1499" w:type="dxa"/>
            <w:vMerge w:val="continue"/>
          </w:tcPr>
          <w:p>
            <w:pPr>
              <w:widowControl/>
              <w:jc w:val="center"/>
              <w:rPr>
                <w:rFonts w:ascii="宋体" w:hAnsi="宋体" w:cs="宋体"/>
                <w:color w:val="auto"/>
                <w:kern w:val="0"/>
                <w:sz w:val="20"/>
                <w:highlight w:val="none"/>
              </w:rPr>
            </w:pPr>
          </w:p>
        </w:tc>
        <w:tc>
          <w:tcPr>
            <w:tcW w:w="24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汇聚光纤传输服务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条</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w:t>
            </w:r>
          </w:p>
        </w:tc>
        <w:tc>
          <w:tcPr>
            <w:tcW w:w="1499" w:type="dxa"/>
            <w:vMerge w:val="continue"/>
          </w:tcPr>
          <w:p>
            <w:pPr>
              <w:widowControl/>
              <w:jc w:val="center"/>
              <w:rPr>
                <w:rFonts w:ascii="宋体" w:hAnsi="宋体" w:cs="宋体"/>
                <w:color w:val="auto"/>
                <w:kern w:val="0"/>
                <w:sz w:val="20"/>
                <w:highlight w:val="none"/>
              </w:rPr>
            </w:pPr>
          </w:p>
        </w:tc>
        <w:tc>
          <w:tcPr>
            <w:tcW w:w="24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前端接入光纤传输服务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条</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w:t>
            </w:r>
          </w:p>
        </w:tc>
        <w:tc>
          <w:tcPr>
            <w:tcW w:w="1499" w:type="dxa"/>
            <w:vMerge w:val="continue"/>
          </w:tcPr>
          <w:p>
            <w:pPr>
              <w:widowControl/>
              <w:jc w:val="center"/>
              <w:rPr>
                <w:rFonts w:ascii="宋体" w:hAnsi="宋体" w:cs="宋体"/>
                <w:color w:val="auto"/>
                <w:kern w:val="0"/>
                <w:sz w:val="20"/>
                <w:highlight w:val="none"/>
              </w:rPr>
            </w:pPr>
          </w:p>
        </w:tc>
        <w:tc>
          <w:tcPr>
            <w:tcW w:w="2416"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可视化烟感网络传输服务</w:t>
            </w:r>
          </w:p>
        </w:tc>
        <w:tc>
          <w:tcPr>
            <w:tcW w:w="3802" w:type="dxa"/>
            <w:shd w:val="clear" w:color="auto" w:fill="auto"/>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“详见技术参数需求”</w:t>
            </w:r>
          </w:p>
        </w:tc>
        <w:tc>
          <w:tcPr>
            <w:tcW w:w="618" w:type="dxa"/>
            <w:shd w:val="clear" w:color="auto" w:fill="auto"/>
            <w:vAlign w:val="center"/>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条</w:t>
            </w:r>
          </w:p>
        </w:tc>
        <w:tc>
          <w:tcPr>
            <w:tcW w:w="618" w:type="dxa"/>
            <w:shd w:val="clear" w:color="auto" w:fill="auto"/>
            <w:vAlign w:val="center"/>
          </w:tcPr>
          <w:p>
            <w:pPr>
              <w:widowControl/>
              <w:jc w:val="center"/>
              <w:rPr>
                <w:rFonts w:ascii="宋体" w:hAnsi="宋体" w:cs="宋体"/>
                <w:color w:val="auto"/>
                <w:kern w:val="0"/>
                <w:sz w:val="20"/>
                <w:highlight w:val="none"/>
              </w:rPr>
            </w:pPr>
            <w:r>
              <w:rPr>
                <w:rFonts w:ascii="宋体" w:hAnsi="宋体" w:cs="宋体"/>
                <w:color w:val="auto"/>
                <w:kern w:val="0"/>
                <w:sz w:val="20"/>
                <w:highlight w:val="none"/>
              </w:rPr>
              <w:t>300</w:t>
            </w:r>
          </w:p>
        </w:tc>
      </w:tr>
    </w:tbl>
    <w:p>
      <w:pPr>
        <w:pStyle w:val="24"/>
        <w:rPr>
          <w:rFonts w:hAnsi="宋体"/>
          <w:b/>
          <w:color w:val="auto"/>
          <w:sz w:val="21"/>
          <w:szCs w:val="21"/>
          <w:highlight w:val="none"/>
        </w:rPr>
      </w:pPr>
    </w:p>
    <w:p>
      <w:pPr>
        <w:spacing w:line="400" w:lineRule="exact"/>
        <w:jc w:val="left"/>
        <w:outlineLvl w:val="0"/>
        <w:rPr>
          <w:rFonts w:ascii="宋体" w:hAnsi="宋体"/>
          <w:b/>
          <w:color w:val="auto"/>
          <w:sz w:val="28"/>
          <w:szCs w:val="28"/>
          <w:highlight w:val="none"/>
        </w:rPr>
      </w:pPr>
      <w:r>
        <w:rPr>
          <w:rFonts w:hint="eastAsia" w:ascii="宋体" w:hAnsi="宋体"/>
          <w:b/>
          <w:color w:val="auto"/>
          <w:sz w:val="28"/>
          <w:szCs w:val="28"/>
          <w:highlight w:val="none"/>
        </w:rPr>
        <w:t>三、技术需求</w:t>
      </w:r>
    </w:p>
    <w:p>
      <w:pPr>
        <w:pStyle w:val="24"/>
        <w:rPr>
          <w:rFonts w:hAnsi="宋体"/>
          <w:bCs/>
          <w:color w:val="auto"/>
          <w:sz w:val="21"/>
          <w:szCs w:val="21"/>
          <w:highlight w:val="none"/>
        </w:rPr>
      </w:pPr>
      <w:r>
        <w:rPr>
          <w:rFonts w:hint="eastAsia" w:hAnsi="宋体"/>
          <w:bCs/>
          <w:color w:val="auto"/>
          <w:sz w:val="21"/>
          <w:szCs w:val="21"/>
          <w:highlight w:val="none"/>
        </w:rPr>
        <w:t>3.1前端感知系统</w:t>
      </w:r>
    </w:p>
    <w:tbl>
      <w:tblPr>
        <w:tblStyle w:val="47"/>
        <w:tblW w:w="9478" w:type="dxa"/>
        <w:tblInd w:w="93" w:type="dxa"/>
        <w:tblLayout w:type="fixed"/>
        <w:tblCellMar>
          <w:top w:w="0" w:type="dxa"/>
          <w:left w:w="108" w:type="dxa"/>
          <w:bottom w:w="0" w:type="dxa"/>
          <w:right w:w="108" w:type="dxa"/>
        </w:tblCellMar>
      </w:tblPr>
      <w:tblGrid>
        <w:gridCol w:w="618"/>
        <w:gridCol w:w="1105"/>
        <w:gridCol w:w="6735"/>
        <w:gridCol w:w="1020"/>
      </w:tblGrid>
      <w:tr>
        <w:tblPrEx>
          <w:tblCellMar>
            <w:top w:w="0" w:type="dxa"/>
            <w:left w:w="108" w:type="dxa"/>
            <w:bottom w:w="0" w:type="dxa"/>
            <w:right w:w="108" w:type="dxa"/>
          </w:tblCellMar>
        </w:tblPrEx>
        <w:trPr>
          <w:trHeight w:val="259"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设备名称</w:t>
            </w:r>
          </w:p>
        </w:tc>
        <w:tc>
          <w:tcPr>
            <w:tcW w:w="6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招标技术要求</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响应情况</w:t>
            </w:r>
          </w:p>
        </w:tc>
      </w:tr>
      <w:tr>
        <w:tblPrEx>
          <w:tblCellMar>
            <w:top w:w="0" w:type="dxa"/>
            <w:left w:w="108" w:type="dxa"/>
            <w:bottom w:w="0" w:type="dxa"/>
            <w:right w:w="108" w:type="dxa"/>
          </w:tblCellMar>
        </w:tblPrEx>
        <w:trPr>
          <w:trHeight w:val="25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0"/>
                <w:szCs w:val="20"/>
                <w:highlight w:val="none"/>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0"/>
                <w:szCs w:val="20"/>
                <w:highlight w:val="none"/>
              </w:rPr>
            </w:pPr>
          </w:p>
        </w:tc>
        <w:tc>
          <w:tcPr>
            <w:tcW w:w="6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0"/>
                <w:szCs w:val="20"/>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智慧用电</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【智慧用电主机】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1、监控报警项目：剩余电流、相线温度、相电流；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2、计量相关监测：过压报警、欠压报警、过流报警、有功功率、无功功率、视在功率、功率因素、有功电能、箱体湿度检测；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3、通讯方式：以太网/NB-IoT；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4、功耗 ≤12W；</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5、报警声压 ≥70dB(A)；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6、采集误差：剩余电流：0~1000mA，误差&lt;5%；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7、电流：0~1000A，误差&lt;1%；</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8、电压：0~500V，误差&lt;1%；</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9、温度：0~150℃，误差&lt;5%；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10、防护等级：IP30；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11、工作温度 工作温度：-20~60℃；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12、包含Nb-iot物联网卡及每年50M流量/2万次，共3年；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★14、产品需符合GB14287.2-2014：电气火灾监控系统 第2部分：剩余电流式电气火灾监控探测器、GB14287.3-2014：电气火灾监控系统 第3部分：测温式电气火灾监控探测器的要求</w:t>
            </w:r>
            <w:r>
              <w:rPr>
                <w:rFonts w:hint="eastAsia" w:ascii="宋体" w:hAnsi="宋体" w:eastAsia="宋体" w:cs="宋体"/>
                <w:color w:val="auto"/>
                <w:kern w:val="0"/>
                <w:sz w:val="20"/>
                <w:szCs w:val="20"/>
                <w:highlight w:val="none"/>
                <w:lang w:bidi="ar"/>
              </w:rPr>
              <w:t>（提供产品认证证书）</w:t>
            </w:r>
            <w:r>
              <w:rPr>
                <w:rFonts w:hint="eastAsia" w:ascii="宋体" w:hAnsi="宋体" w:eastAsia="宋体" w:cs="宋体"/>
                <w:color w:val="auto"/>
                <w:kern w:val="0"/>
                <w:sz w:val="20"/>
                <w:szCs w:val="20"/>
                <w:highlight w:val="none"/>
                <w:lang w:bidi="ar"/>
              </w:rPr>
              <w: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w:t>
            </w:r>
            <w:r>
              <w:rPr>
                <w:rFonts w:hint="eastAsia" w:ascii="宋体" w:hAnsi="宋体" w:eastAsia="宋体" w:cs="宋体"/>
                <w:color w:val="auto"/>
                <w:kern w:val="0"/>
                <w:sz w:val="20"/>
                <w:szCs w:val="20"/>
                <w:highlight w:val="none"/>
                <w:lang w:bidi="ar"/>
              </w:rPr>
              <w:t>可以对至少12路用电回路的短路、相电流（过载/过流）、相电压（过压、欠压）、漏电流（漏电）、功率（有功/无功/视在功率）、自身电量、温度过高、打火（电弧）、缺相等数据进行检测分析与报警，并可提供一路输出信号，检测报警信息可上传中心管理平台软件。（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【过线电流互感器 800A】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1、额定频率 50/60 Hz；</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2、工作温度 -20℃~70℃；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3、相对湿度 ≤90%；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4、额定一次电流 0-800A；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5、额定二次电流 0-40mA；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6、额定负荷b R 20Ω；</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7、准确级 0.5；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8、交流耐压：一次绕组与二次绕组间工频电压3.0KV/min，无击穿、飞弧现象，漏电流＜1mA；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9、绝缘电阻：一次绕组与二次绕组之间≥100MΩ/500Vdc。</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3</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【剩余电流互感器（开口式、铜排式）630A】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1、过线孔径：240mm×50mm；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2、检测对象：剩余电流；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3、额定输入：0-1A；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4、额定输出：0-0.5mA；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5、精度等级：0.5；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6、工作温度：-25℃～+75℃；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7、工作湿度：≤85%RH；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8、输出连接：端子或屏蔽双绞线。</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4</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【温度传感器】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1、探测器种类：NTC热敏电阻；</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2、测量范围：-40℃～150℃；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3、精度：1%；</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4、工作温度：-50℃～260℃；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5、传感器线长：1m。</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5</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智慧烟感</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【智慧烟感】</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1、通讯模块：NB-Iot通讯；</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2、工作原理：光电式；</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3、工作电压：DC3.0V（锂电池）；</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4、工作电流：静态电流≤10μA，报警电流≤50mA；</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5、报警方式：声光报警；</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rPr>
              <w:t>报警分类：火灾报警、低压报警、故障报警、防拆报警；</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7、其他功能：自检按键，手动/自动复位，本地/远程消音、信号查询；</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8、保护面积：30~60平方米；</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9、使用环境：温度：-10℃～55℃， 相对湿度：≤95% （无凝露）；</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10、包含Nb-iot物联网卡及每年50M流量/2万次，共3年；</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11、包含安装所需的管材、电源线、网线、固定配件等材料；</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★12、产品需符合GB 20517-2006《独立式感烟火灾探测报警器》要求，取得消防产品认证证书。（提供证书复印件）</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★13、产品需获得无线电发射设备型号核准证和进网许可证。(提供证书复印件)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rPr>
              <w:t>、报警声压：＞85dB（A计权）3m（提供封面具备CAL、CMA、CNAS标识的第三方检测机构出具的检测报告复印件）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、信号强度查询：通过烟感探测器，可以查询NB-IoT网络信号，信号强弱有不同颜色的指示灯提示。（提供封面具备CAL、CMA、CNAS标识的第三方检测机构出具的检测报告复印件）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rPr>
              <w:t>失联报警：感烟探测器在发生注册失败、上报失败时，指示灯黄灯闪烁1次/100s。（提供封面具备CAL、CMA、CNAS标识的第三方检测机构出具的检测报告复印件）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rPr>
              <w:t>、重复性试验比值≤1.10、方位试验比值≤1.30、一致性试验比值≤1.35（提供封面具备CAL、CMA、CNAS标识的第三方检测机构出具的检测报告复印件）。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6</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消防水箱水位监测（室内）</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【无线数显液位表】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1、通讯方式：NB-IOT通讯方式；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2、电池供电：3.6V/7.2AH；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3、测量范围：0~5M；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4、响应时间：≤6mS；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5、功耗：≤1.2mA；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6、测量精度：±0.5%FS；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7、过载压力：300%FS；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8、爆破压力：600%FS；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9、温度漂移：0.3%FS；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10、零点漂移：0.2%/年；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11、工作温度：-20~70℃；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12、工作湿度：5%~95%RH（无凝露）；</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3</w:t>
            </w:r>
            <w:r>
              <w:rPr>
                <w:rFonts w:hint="eastAsia" w:ascii="宋体" w:hAnsi="宋体" w:eastAsia="宋体" w:cs="宋体"/>
                <w:color w:val="auto"/>
                <w:kern w:val="0"/>
                <w:sz w:val="20"/>
                <w:szCs w:val="20"/>
                <w:highlight w:val="none"/>
                <w:lang w:bidi="ar"/>
              </w:rPr>
              <w:t>、包含Nb-iot物联网卡及每年50M流量/2万次，共3年；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4</w:t>
            </w:r>
            <w:r>
              <w:rPr>
                <w:rFonts w:hint="eastAsia" w:ascii="宋体" w:hAnsi="宋体" w:eastAsia="宋体" w:cs="宋体"/>
                <w:color w:val="auto"/>
                <w:kern w:val="0"/>
                <w:sz w:val="20"/>
                <w:szCs w:val="20"/>
                <w:highlight w:val="none"/>
                <w:lang w:bidi="ar"/>
              </w:rPr>
              <w:t>、包含安装所需的管材、电源线、网线、固定配件等材料；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、设备内置软件需获得软件著作权证书及软件评测报告。（提供软件著作权证书复印件和提供封面具备CAL、CMA、CNAS标识的第三方检测机构出具的检测报告复印件）；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6</w:t>
            </w:r>
            <w:r>
              <w:rPr>
                <w:rFonts w:hint="eastAsia" w:ascii="宋体" w:hAnsi="宋体" w:eastAsia="宋体" w:cs="宋体"/>
                <w:color w:val="auto"/>
                <w:kern w:val="0"/>
                <w:sz w:val="20"/>
                <w:szCs w:val="20"/>
                <w:highlight w:val="none"/>
                <w:lang w:bidi="ar"/>
              </w:rPr>
              <w:t>、所投的消防水系统设备采用一体式结构，传感器和主机一体式设计，可实现液位数据获取，并能在屏幕上显示电池电量、信号强度、设备状态和实时数据值。（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、防护等级IP68。（提供封面具备CAL、CMA、CNAS标识的第三方检测机构出具的检测报告复印件）。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7</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室内消防栓水压监测（室内）</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【无线数显压力表】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1、通讯方式：NB-IOT通讯方式；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2、电池供电：3.6V/7.2AH；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3、测量范围：0~2.5MPa；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4、响应时间：≤6mS；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5、功耗：≤1.2mA；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6、测量精度：±0.5%FS；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7、过载压力：200%FS；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8、爆破压力：500%FS；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9、温度漂移：0.3%FS；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10、零点漂移：0.2%/年；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11、工作温度：-20~70℃；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12、工作湿度：5%~95%RH（无凝露）；</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3</w:t>
            </w:r>
            <w:r>
              <w:rPr>
                <w:rFonts w:hint="eastAsia" w:ascii="宋体" w:hAnsi="宋体" w:eastAsia="宋体" w:cs="宋体"/>
                <w:color w:val="auto"/>
                <w:kern w:val="0"/>
                <w:sz w:val="20"/>
                <w:szCs w:val="20"/>
                <w:highlight w:val="none"/>
                <w:lang w:bidi="ar"/>
              </w:rPr>
              <w:t>、包含Nb-iot物联网卡及每年50M流量/2万次，共3年；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4</w:t>
            </w:r>
            <w:r>
              <w:rPr>
                <w:rFonts w:hint="eastAsia" w:ascii="宋体" w:hAnsi="宋体" w:eastAsia="宋体" w:cs="宋体"/>
                <w:color w:val="auto"/>
                <w:kern w:val="0"/>
                <w:sz w:val="20"/>
                <w:szCs w:val="20"/>
                <w:highlight w:val="none"/>
                <w:lang w:bidi="ar"/>
              </w:rPr>
              <w:t>、包含安装所需的管材、电源线、网线、固定配件等材料；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、设备内置软件需获得软件著作权证书及软件评测报告。（提供软件著作权证书复印件和提供封面具备CAL、CMA、CNAS标识的第三方检测机构出具的检测报告复印件）；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6</w:t>
            </w:r>
            <w:r>
              <w:rPr>
                <w:rFonts w:hint="eastAsia" w:ascii="宋体" w:hAnsi="宋体" w:eastAsia="宋体" w:cs="宋体"/>
                <w:color w:val="auto"/>
                <w:kern w:val="0"/>
                <w:sz w:val="20"/>
                <w:szCs w:val="20"/>
                <w:highlight w:val="none"/>
                <w:lang w:bidi="ar"/>
              </w:rPr>
              <w:t>、所投的消防水系统设备采用一体式结构，传感器和主机一体式设计，可实现压力数据获取，并能在屏幕上显示电池电量、信号强度、设备状态和实时数据值。（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w:t>
            </w:r>
            <w:r>
              <w:rPr>
                <w:rFonts w:hint="eastAsia" w:ascii="宋体" w:hAnsi="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、防护等级IP68。（提供封面具备CAL、CMA、CNAS标识的第三方检测机构出具的检测报告复印件）。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8</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智慧空开（1P）</w:t>
            </w:r>
          </w:p>
        </w:tc>
        <w:tc>
          <w:tcPr>
            <w:tcW w:w="673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【1P 智能微型断路器】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1、输入电压：AC220；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2、额定电流：63A；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3、分断能力：≥6KA；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4、短路保护：线路短路时，断路器0.04s断电保护；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5、功率限定：达到限定功率，10秒内断路保护；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6、电流限定：达到限定电流，10秒内断路保护；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7、线路打火报警；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8、手自一体控制：手机遥控，可以按键自动控制，也可通过手动推杆控制通断；</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9、定时控制功能：智能断路器内置时钟芯片，脱网状态下可保证时间的精准性</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10、外壳防火等级：智能断路器外壳采用PA66+玻璃纤维等高规格防火阻燃材料、防火等级达到V0级。</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9</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智慧空开（2P）</w:t>
            </w:r>
          </w:p>
        </w:tc>
        <w:tc>
          <w:tcPr>
            <w:tcW w:w="673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【2P 智能微型断路器】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1、输入电压：AC220；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2、额定电流：63A；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3、分断能力：≥6KA；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4、短路保护：线路短路时，断路器0.04s断电保护；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5、功率限定：达到限定功率，10秒内断路保护；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6、电流限定：达到限定电流，10秒内断路保护；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7、过压（欠压）保护：输入电压超过263V，10S内断电保护。超过250V预警，低于190V预警；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8、线路打火报警；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9、手自一体控制：手机遥控，可以按键自动控制，也可通过手动推杆控制通断；</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10、定时控制功能：智能断路器内置时钟芯片，脱网状态下可保证时间的精准性</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11、外壳防火等级：智能断路器外壳采用PA66+玻璃纤维等高规格防火阻燃材料、防火等级达到V0级。</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10</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智慧空开（3P）</w:t>
            </w:r>
          </w:p>
        </w:tc>
        <w:tc>
          <w:tcPr>
            <w:tcW w:w="673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【3P 智能微型断路器】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1、输入电压：AC380；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2、额定电流：63A；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3、分断能力：≥6KA；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4、短路保护：线路短路时，断路器0.04s断电保护；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5、功率限定：达到限定功率，10秒内断路保护；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6、电流限定：达到限定电流，10秒内断路保护；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7、线路打火报警；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8、手自一体控制：手机遥控，可以按键自动控制，也可通过手动推杆控制通断；</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9、定时控制功能：智能断路器内置时钟芯片，脱网状态下可保证时间的精准性</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10、外壳防火等级：智能断路器外壳采用PA66+玻璃纤维等高规格防火阻燃材料、防火等级达到V0级。</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11</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智慧空开（4P）</w:t>
            </w:r>
          </w:p>
        </w:tc>
        <w:tc>
          <w:tcPr>
            <w:tcW w:w="673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【4P 智能微型断路器】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1、输入电压：AC380；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2、额定电流：63A；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3、分断能力：≥6KA；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4、短路保护：线路短路时，断路器0.04s断电保护；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5、功率限定：达到限定功率，10秒内断路保护；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6、电流限定：达到限定电流，10秒内断路保护；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7、过压（欠压）保护：当三相电中任意单相电输入电压超过263V，10S内断电保护。超过250V预警，低于190V预警；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8、线路打火报警；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9、手自一体控制：手机遥控，可以按键自动控制，也可通过手动推杆控制通断；</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10、定时控制功能：智能断路器内置时钟芯片，脱网状态下可保证时间的精准性</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11、外壳防火等级：智能断路器外壳采用PA66+玻璃纤维等高规格防火阻燃材料、防火等级达到V0级。</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12</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电源及防浪涌模组</w:t>
            </w:r>
          </w:p>
        </w:tc>
        <w:tc>
          <w:tcPr>
            <w:tcW w:w="673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【电源防浪涌模块】</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1、输入电压：AC220V；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2、额定输出电压：DC12V；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3、额定输出电流MAX DC2A；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4、防雷击浪涌保护最大泄放电流：20kA。</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13</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智慧空开（4G通讯网关）</w:t>
            </w:r>
          </w:p>
        </w:tc>
        <w:tc>
          <w:tcPr>
            <w:tcW w:w="673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【智慧空开（4G通讯网关）】</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1、支持4G无线通信方式；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2、数据计算分析存储功能；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3、工作电压：DC12V；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4、安装方式：导轨卡口；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5、包含4G流量卡及每年600M流量，共3年。</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14</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智慧温感</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olor w:val="auto"/>
                <w:highlight w:val="none"/>
              </w:rPr>
            </w:pPr>
            <w:r>
              <w:rPr>
                <w:rFonts w:hint="eastAsia"/>
                <w:color w:val="auto"/>
                <w:highlight w:val="none"/>
              </w:rPr>
              <w:t>【智慧温感】</w:t>
            </w:r>
            <w:r>
              <w:rPr>
                <w:rFonts w:hint="eastAsia"/>
                <w:color w:val="auto"/>
                <w:highlight w:val="none"/>
              </w:rPr>
              <w:br w:type="textWrapping"/>
            </w:r>
            <w:r>
              <w:rPr>
                <w:rFonts w:hint="eastAsia"/>
                <w:color w:val="auto"/>
                <w:highlight w:val="none"/>
              </w:rPr>
              <w:t>1、通讯模块：NB-Iot通讯；</w:t>
            </w:r>
            <w:r>
              <w:rPr>
                <w:rFonts w:hint="eastAsia"/>
                <w:color w:val="auto"/>
                <w:highlight w:val="none"/>
              </w:rPr>
              <w:br w:type="textWrapping"/>
            </w:r>
            <w:r>
              <w:rPr>
                <w:rFonts w:hint="eastAsia"/>
                <w:color w:val="auto"/>
                <w:highlight w:val="none"/>
              </w:rPr>
              <w:t>2、工作原理：热敏电阻；</w:t>
            </w:r>
            <w:r>
              <w:rPr>
                <w:rFonts w:hint="eastAsia"/>
                <w:color w:val="auto"/>
                <w:highlight w:val="none"/>
              </w:rPr>
              <w:br w:type="textWrapping"/>
            </w:r>
            <w:r>
              <w:rPr>
                <w:rFonts w:hint="eastAsia"/>
                <w:color w:val="auto"/>
                <w:highlight w:val="none"/>
              </w:rPr>
              <w:t>3、工作电压：DC3.0V（锂电池）；</w:t>
            </w:r>
            <w:r>
              <w:rPr>
                <w:rFonts w:hint="eastAsia"/>
                <w:color w:val="auto"/>
                <w:highlight w:val="none"/>
              </w:rPr>
              <w:br w:type="textWrapping"/>
            </w:r>
            <w:r>
              <w:rPr>
                <w:rFonts w:hint="eastAsia"/>
                <w:color w:val="auto"/>
                <w:highlight w:val="none"/>
              </w:rPr>
              <w:t>4、工作电流：静态电流≤10μA，报警电流≤50mA；</w:t>
            </w:r>
            <w:r>
              <w:rPr>
                <w:rFonts w:hint="eastAsia"/>
                <w:color w:val="auto"/>
                <w:highlight w:val="none"/>
              </w:rPr>
              <w:br w:type="textWrapping"/>
            </w:r>
            <w:r>
              <w:rPr>
                <w:rFonts w:hint="eastAsia"/>
                <w:color w:val="auto"/>
                <w:highlight w:val="none"/>
              </w:rPr>
              <w:t>5、报警方式：声光报警；</w:t>
            </w:r>
            <w:r>
              <w:rPr>
                <w:rFonts w:hint="eastAsia"/>
                <w:color w:val="auto"/>
                <w:highlight w:val="none"/>
              </w:rPr>
              <w:br w:type="textWrapping"/>
            </w:r>
            <w:r>
              <w:rPr>
                <w:rFonts w:hint="eastAsia"/>
                <w:color w:val="auto"/>
                <w:highlight w:val="none"/>
              </w:rPr>
              <w:t>6、报警音量：45~75dB；</w:t>
            </w:r>
            <w:r>
              <w:rPr>
                <w:rFonts w:hint="eastAsia"/>
                <w:color w:val="auto"/>
                <w:highlight w:val="none"/>
              </w:rPr>
              <w:br w:type="textWrapping"/>
            </w:r>
            <w:r>
              <w:rPr>
                <w:rFonts w:hint="eastAsia"/>
                <w:color w:val="auto"/>
                <w:highlight w:val="none"/>
              </w:rPr>
              <w:t>7、报警分类：感温报警、低压报警、故障报警、防拆报警；</w:t>
            </w:r>
            <w:r>
              <w:rPr>
                <w:rFonts w:hint="eastAsia"/>
                <w:color w:val="auto"/>
                <w:highlight w:val="none"/>
              </w:rPr>
              <w:br w:type="textWrapping"/>
            </w:r>
            <w:r>
              <w:rPr>
                <w:rFonts w:hint="eastAsia"/>
                <w:color w:val="auto"/>
                <w:highlight w:val="none"/>
              </w:rPr>
              <w:t>8、其他功能：自检按键，手动/自动复位，本地/远程消音、信号查询、入网注册；</w:t>
            </w:r>
            <w:r>
              <w:rPr>
                <w:rFonts w:hint="eastAsia"/>
                <w:color w:val="auto"/>
                <w:highlight w:val="none"/>
              </w:rPr>
              <w:br w:type="textWrapping"/>
            </w:r>
            <w:r>
              <w:rPr>
                <w:rFonts w:hint="eastAsia"/>
                <w:color w:val="auto"/>
                <w:highlight w:val="none"/>
              </w:rPr>
              <w:t>9、电池寿命：可正常工作3年；</w:t>
            </w:r>
            <w:r>
              <w:rPr>
                <w:rFonts w:hint="eastAsia"/>
                <w:color w:val="auto"/>
                <w:highlight w:val="none"/>
              </w:rPr>
              <w:br w:type="textWrapping"/>
            </w:r>
            <w:r>
              <w:rPr>
                <w:rFonts w:hint="eastAsia"/>
                <w:color w:val="auto"/>
                <w:highlight w:val="none"/>
              </w:rPr>
              <w:t>10、使用环境：温度：-10℃～55℃， 相对湿度：≤95% （无凝露）；</w:t>
            </w:r>
            <w:r>
              <w:rPr>
                <w:rFonts w:hint="eastAsia"/>
                <w:color w:val="auto"/>
                <w:highlight w:val="none"/>
              </w:rPr>
              <w:br w:type="textWrapping"/>
            </w:r>
            <w:r>
              <w:rPr>
                <w:rFonts w:hint="eastAsia"/>
                <w:color w:val="auto"/>
                <w:highlight w:val="none"/>
              </w:rPr>
              <w:t>11、包含Nb-iot物联网卡及每年50M流量/2万次，共3年；</w:t>
            </w:r>
            <w:r>
              <w:rPr>
                <w:rFonts w:hint="eastAsia"/>
                <w:color w:val="auto"/>
                <w:highlight w:val="none"/>
              </w:rPr>
              <w:br w:type="textWrapping"/>
            </w:r>
            <w:r>
              <w:rPr>
                <w:rFonts w:hint="eastAsia"/>
                <w:color w:val="auto"/>
                <w:highlight w:val="none"/>
              </w:rPr>
              <w:t>12、包含安装所需的管材、电源线、网线、固定配件等材料；</w:t>
            </w:r>
            <w:r>
              <w:rPr>
                <w:rFonts w:hint="eastAsia"/>
                <w:color w:val="auto"/>
                <w:highlight w:val="none"/>
              </w:rPr>
              <w:br w:type="textWrapping"/>
            </w:r>
            <w:r>
              <w:rPr>
                <w:rFonts w:hint="eastAsia"/>
                <w:color w:val="auto"/>
                <w:highlight w:val="none"/>
              </w:rPr>
              <w:t>★13、产品需符合GB 30122-2013《独立式感温火灾探测报警器》要求。（提供封面具备CAL、CMA、CNAS标识的第三方检测机构出具的检测报告复印件）。</w:t>
            </w:r>
          </w:p>
          <w:p>
            <w:pPr>
              <w:pStyle w:val="2"/>
              <w:ind w:left="0" w:leftChars="0" w:firstLine="0" w:firstLineChars="0"/>
              <w:rPr>
                <w:rFonts w:hint="eastAsia"/>
                <w:color w:val="auto"/>
                <w:highlight w:val="none"/>
              </w:rPr>
            </w:pPr>
            <w:r>
              <w:rPr>
                <w:rFonts w:hint="eastAsia" w:ascii="Calibri" w:hAnsi="Calibri" w:eastAsia="宋体" w:cs="Times New Roman"/>
                <w:color w:val="auto"/>
                <w:kern w:val="2"/>
                <w:sz w:val="21"/>
                <w:szCs w:val="22"/>
                <w:highlight w:val="none"/>
                <w:lang w:val="en-US" w:eastAsia="zh-CN" w:bidi="ar-SA"/>
              </w:rPr>
              <w:t>★14、产品需获得无线电发射设备型号核准证和进网许可证。(提供证书复印件)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15</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消防栓压力检测（室外）</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【室外消火栓智能采集终端】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1、工作模式：定时主动上报，上报周期可任意设置；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2、通讯方式：NB-IoT；</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3、工业时钟：内置工业时钟，自动校时；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4、数据间隔：采样时间间隔、上报时间间隔可设置；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5、参数设置：本地串口设置；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6、测量范围：0～2.5MPa；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7、过程连接：M20*1.5MM；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 xml:space="preserve">8、供电方式：高能锂亚电池供电；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9、工作电流：休眠&lt;5uA,发射&lt;200mA；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10、工作环境：温度：-20℃～70℃，湿度：＜90%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11、防护等级：IP65，防水、防尘；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12、包含安装所需的管材、电源线、网线、固定配件等材料；</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13、包含Nb-iot物联网卡及每年50M流量/2万次，共3年；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★14、为保障设备的使用，产品需支持出水报警、碰撞报警、倾斜报警、水压过压和欠压报警功能。（提供封面具备CAL、CMA、CNAS标识的第三方检测机构出具的检测报告复印件）。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16</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消防主机远程联网</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【用户信息传输装置】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1、采用高性能4G无线模块或以太网络通讯，支持移动、联通或电信网络制式；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2、2 路 RS-232 通讯接口、 2 路 RS-485 通讯接口，1 路 CAN 通讯接口、 1 路 RJ45 网络通讯口；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3、手动报警：具有手动火警按钮，可以向管理平台上传人工火灾报警信息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4、断网续传：网络断网恢复后，接续上传断网期间的数据；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5、值班查岗：支持值班查岗功能；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6、1路开关量输入，2路常开输出；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7、1个以太网接口，能够对目标 IP，目标机号，本机机号设置；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8、支持查找历史记录：历史火警、历史请求/反馈、历史故障、历史操作各 1000 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9、提供液晶显示，提供实时时钟；</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10、蓄电池备用供电（待机 24 小时以上）；</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11、交流输入电压 220V 50Hz；</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12、直流备电 12V 7Ah 铅酸电池一节；</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13、工作温度 0℃～+50℃；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14、工作湿度 ≤95%RH；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15、包含所接入消防主机消防设备设施编码表的导出及整理录入；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16、包含安装所需的管材、电源线、网线、固定配件等材料；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★17、用户信息传输装置产品需符合GB26875.1-2011《城市消防远程监控系统第1部分:用户信息传输装置》要求。（提供封面具备CAL、CMA、CNAS标识的第三方检测机构出具的检测报告复印件）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★18、用户信息传输装置产品需执行国家标准GB 26875.1-2011《城市消防远程监控系统第1部分:用户信息传输装置》，取得消防产品认证证书（提供证书复印件）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★19、用户信息传输装置内置软件具有计算机软件著作权登记证书</w:t>
            </w:r>
            <w:r>
              <w:rPr>
                <w:rStyle w:val="58"/>
                <w:rFonts w:hint="eastAsia" w:ascii="宋体" w:hAnsi="宋体" w:eastAsia="宋体" w:cs="宋体"/>
                <w:color w:val="auto"/>
                <w:sz w:val="20"/>
                <w:szCs w:val="20"/>
                <w:highlight w:val="none"/>
              </w:rPr>
              <w:t>（提供证书复印件）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★20、投标人所投消防主机联网装置在主机与消防报警主机通讯延迟不大于1秒，主机与软件平台通讯延迟不大于1秒。（提供封面具备CAL、CMA、CNAS标识的第三方检测机构出具的检测报告复印件）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★21、投标人所投消防主机联网装置的电路有亚克力板保护，印有警示提示语。（提供封面具备CAL、CMA、CNAS标识的第三方检测机构出具的检测报告复印件）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17</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【数据转换模块】</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1、通讯方式：RS-485通信和RS-232通信；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2、接口：并行26pin接口；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3、工作温度：-10 ~ 55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4、工作湿度：5% ~ 95% RH（无凝露）；</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5、供电电压：DC 12 V或DC 24 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6、防护等级：IP30。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18</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【用户信息传输系统套线】</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1、用户信息传输系统套线，长度≥0.5m，包含一公转两母和一母转两公串口线；</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2、USB转232公头串口线，长度≥1.5m；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3、双母头串口线，长度≥3m。</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19</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【消控室值班监控摄像机】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1、200万像素；</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2、支持云台控制；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3、红外夜视；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4、支持对讲；</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5、包含32G内存卡；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6、包含摄像机接入及实时查看的流量；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7、包含安装所需的管材、电源线、网线、固定配件等材料。</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20</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电动车智能充电桩</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【电动自行车智能充电站】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1、设备输出路数：10路；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2、通信方式:4G；</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3、输入总电源线：10路≥BVR4mm²（铜芯）；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4、支付方式：支付宝、微信、刷卡（可外接投币器）；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5、输入工作电压：AC120V-AC250V/50-60HZ；</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6、待机功率：3W；</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7、单通道输出电压：AC180V-250V/50-60HZ同步输出；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8、单通道输出电流：4A(可设置)；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9、推荐输出电源线：单路≥BVR1.5mm²（铜芯）；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10、工作温度：-20℃-60℃；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11、短路保护响应时间：≤10ms；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12、实配86型插座10个，单个具备5孔（1个双插，1个三插）；</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13、带指示灯，额定电流10A；</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14、包含4G通讯卡及每年600M流量，共3年；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15、包含安装所需的管材、电源线、固定配件等材料。</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21</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热成像感温火灾球形探测器</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【热成像感温火灾球形探测器】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1、传感器类型：氧化钒非制冷型探测器；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2、分辨率：256 × 192；</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3、像元尺寸：12 μm；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4、响应波段：8~14 μm；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5、NETD（噪声等效温差）：＜40mk(@25 °C,F#=1.0)；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6、最大图像尺寸：256 × 192；</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7、热成像镜头焦距：3 mm；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8、MARD（空间分辨率）：4；</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9、传感器：1/2.8” CMOS；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10、最大图像分辨率：2688 × 1520；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11、焦距：4mm；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12、最低照度：彩色≤0.05 Lux，黑白≤0.01 Lux；</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13、补光功能：红外，有效距离30 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14、扫描模式：预置点/花样扫描/巡航扫描/自动扫描/垂直扫描/随机扫描/帧扫描/全景扫描；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15、存储卡：支持断网续传，配置32G存储卡；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16、工作温度和湿度：-40 °C~70 °C，＜90% RH；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17、防护等级：IP66，TVS 6000V 防雷、防浪涌、防突波，符合GB/T17626.5 四级标准。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18、包含安装所需的管材、电源线、网线、固定配件等材料；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★19、噪声等效温差(NETD)在15mk及以下（提供封面具备CAL、CMA、CNAS标识的第三方检测机构出具的检测报告复印件）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★20、最小可分辨温差（MRTD）值不大于300mk（提供封面具备CAL、CMA、CNAS标识的第三方检测机构出具的检测报告复印件）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21、热成像帧率：支持50帧/秒</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★22、支持温度异常报警功能，在探测温度区域中有超过预设温度时，可发出报警信号（提供封面具备CAL、CMA、CNAS标识的第三方检测机构出具的检测报告复印件）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支持自动增益控制,数字图像细节增强技术；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23、智能行为分析中可对人车进行分类，并用不同颜色标注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★24、支持热成像视频区域入侵侦测、越界侦测、进入区域侦测、离开区域侦测、物品移除、物品遗留；（提供封面具备CAL、CMA、CNAS标识的第三方检测机构出具的检测报告复印件）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25、热成像视频图像具有白热、黑热、融合1、融合2、彩虹、铁红1、铁红2、深褐色、色彩1、色彩2、冰火、雨、红热、绿热、深蓝15种模式。（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★26、低照度，彩色≤0.001lx，黑白≤0.0001lx（提供封面具备CAL、CMA、CNAS标识的第三方检测机构出具的检测报告复印件）；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27、具有透雾功能，并且可设置选项，可调等级（可见光要求）；</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28、支持自动聚焦、强光抑制、透雾功能、电子放大（可见光要求）、电子防抖；</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29、支持雨刷功能；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30、水平方向360°连续旋转，垂直方向-5°-90°；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31、球机可上传角度等信息；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★32、支持太阳防灼烧功能（提供封面具备CAL、CMA、CNAS标识的第三方检测机构出具的检测报告复印件）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★33、在20%的网络丢包环境中，可正常显示监视画面（提供封面具备CAL、CMA、CNAS标识的第三方检测机构出具的检测报告复印件）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34、样机宜能对移动目标进行自动跟踪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★35、静电放电抗扰度应符合GB/T17626.2-2006中等级3要求，空气放电15kV，接触放电9kV；（提供封面具备CAL、CMA、CNAS标识的第三方检测机构出具的检测报告复印件）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★36、电源电压在AC24V±30%，DC24~48V范围内变化时，样机应能正常工作（提供封面具备CAL、CMA、CNAS标识的第三方检测机构出具的检测报告复印件）；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★37、支持7路报警输入，2路报警输出（提供封面具备CAL、CMA、CNAS标识的第三方检测机构出具的检测报告复印件）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38、能够识别江面上的船只，并触发报警，并且能够显示船只信息；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★39、具备热成像监控设备系统软件自主知识产权（提供软件著作权证书）；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40、低温-45℃，高温+70℃；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★41、支持H.265、H.264、MPEG-4、MJPEG（提供封面具备CAL、CMA、CNAS标识的第三方检测机构出具的检测报告复印件）；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42、当CPU占有率超过预设值或内存可用容量低于预设值时，可通过客户端软件或者IE浏览器报警；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★43、当样品外壳遭受超过预设阈值的外力撞击时,可通过客户端软件或IE浏览器给出报警信息（提供封面具备CAL、CMA、CNAS标识的第三方检测机构出具的检测报告复印件）；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44、样机可在立体防控系统平台上添加、修改和删除AR标签，包括普通标签和可视域标签，最多可添加500个标签。</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22</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热成像感温火灾半球探测器</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【热成像感温火灾半球形探测器】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1、热成像：分辨率160×120；焦距：3mm，视场角：50°×37.2°；</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2、可见光：1/2.7英寸高性能CMOS，分辨率分辨率2688×1520@ 25 fps；焦距：4mm；</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3、测温精度：±8℃或者读数的±8%（取最大值）；</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4、测温范围：-20℃--150℃；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5、支持双光融合图像模式；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6、支持双通道行为分析：区域入侵侦测、越界侦测、进入区域侦测、离开区域侦测功能；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7、支持火焰检测；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8、支持温度异常（温升异常，高温异常）检测；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9、支持联动声光报警；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10、支持联动火灾报警主机；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11、支持白热，黑热，铁红等15种伪彩模式；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12、支持低码率、低延时、ROI感兴趣区域增强编码、SVC自适应编码技术,支持smart265编码；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13、支持smart IR，防止夜间红外过曝；</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14、ICR红外滤片式自动切换,实现真正的日夜监控；</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15、支持日夜两套参数独立配置；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16、支持Micro SD/SDHC/SDXC卡本地存储；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17、支持3D数字降噪, 支持120dB超宽动态；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18、支持POE供电，含适配器，默认标配DC 12V电源适配器；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19、支持IP66等级防水防尘；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20、支持1路报警输入/输出，1路音频输入/输出，1路RS-485；</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21、支持报警时联动报警图片和报警录像。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22、包含安装所需的管材、电源线、网线、固定配件等材料；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23、所投热成像设备对监控场景中出现的高温点、高温区域、火焰、火焰产生的烟雾进行检测，并给出声光报警提示，并联动外接的火灾报警主机给出声光报警提示。（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★24、"差温报警功能 探测器的差温报警设定值应能在10℃/min～30℃/min的升温速率内设定，当被监测部位温升达到差温报警设定值时，探测器应能发出火灾报警声、光信号，差温火灾报警的响应时间应不大于5min （提供封面具备CAL、CMA、CNAS标识的第三方检测机构出具的检测报告复印件）；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★25、所投热成像设备具有消防产品技术鉴定证书（提供证书复印件）。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23</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热成像感温火灾筒型探测器</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【热成像感温火灾筒型探测器】</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1、传感器类型 1/2.7" CMOS；</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2、最大图像分辨率2560 × 1440@25fps；</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3、最小照度 彩色: 0.015 Lux@(F1.6, AGC ON)；</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4、可见光镜头：4 mm,F1.6；</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5、宽动态范围 120 dB ；</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6、日夜转换模式 全彩；</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7、最大图像尺寸 160 × 120；</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8、像元尺寸 17 μm；</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9、响应波段 8~14 μm；</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10、热成像镜头：3 mm；</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11、热成像视场角：50°×37.2°；</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12、伪彩模式 支持白热、黑热、融合1、彩虹、融合2、铁红1、铁红2等15种模式；</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13、测温范围 0 °C~400 °C；</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14、测温精度 ±8℃或读数的±8%（取最大值）（距离摄像机0.3~3.3米范围内）；</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15、NETD（噪声等效温差） ≤50 mK(@25 °C,F#1.0)；</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16、智能报警 区域入侵侦测、越界侦测、烟火检测；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17、存储功能 支持断网续传；</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18、异常侦测、移动侦测, 遮挡报警；</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19、支持火焰检测，最远可支持30米；</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20、支持烟雾检测；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21、支持温度异常（高温，温升）检测；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22、支持本地报警指示灯、内置扬声器高分贝报警；</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23、支持双向语音对讲；</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24、使用环境 -20~60°C，湿度小于95%；</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rPr>
              <w:t>含电源 DC 12 V/1.5 A。</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、包含安装所需的管材、电源线、网线、固定配件等材料；</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rPr>
              <w:t>、所投热成像设备支持将检测到的火灾报警信息传输至外接的火灾报警主机中，并进行显示。（提供封面具备CAL、CMA、CNAS标识的第三方检测机构出具的检测报告复印件）；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8</w:t>
            </w:r>
            <w:r>
              <w:rPr>
                <w:rFonts w:hint="eastAsia" w:ascii="宋体" w:hAnsi="宋体" w:eastAsia="宋体" w:cs="宋体"/>
                <w:color w:val="auto"/>
                <w:sz w:val="20"/>
                <w:szCs w:val="20"/>
                <w:highlight w:val="none"/>
              </w:rPr>
              <w:t>、设备的外壳防护应符合GB/T 4208-2017中IP67的规定（提供封面具备CAL、CMA、CNAS标识的第三方检测机构出具的检测报告复印件）；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29</w:t>
            </w:r>
            <w:r>
              <w:rPr>
                <w:rFonts w:hint="eastAsia" w:ascii="宋体" w:hAnsi="宋体" w:eastAsia="宋体" w:cs="宋体"/>
                <w:color w:val="auto"/>
                <w:sz w:val="20"/>
                <w:szCs w:val="20"/>
                <w:highlight w:val="none"/>
              </w:rPr>
              <w:t>、温度异常报警功能：可通过IE浏览器设置在热成像枧频图像探温度区域中出现以下条件时，可在客户端给出报警提示、联动报警输出、联动录像及联动抓拍（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rPr>
              <w:t>、温度突变触发报警功能：可通过IE浏览器开启温度突变报警功能，开启温度突变报警功能后，当温度急剧变化超过设定阈值后，视频画面叠加温度异常报警信息（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火点触发报警功能：设备具备火点触发报警功能，在设定的监控区域范围内，出现火点，当火点大小达到报警设定阈值时，触发设备火点报警，视频画面叠加火焰报警信息，并录像及上传抓拍图片（提供封面具备CAL、CMA、CNAS标识的第三方检测机构出具的检测报告复印件）</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rPr>
              <w:t>、联动触发火灾声光报警功能：当探测范围内出现高温、火焰、烟雾等情况时，探测器可联动触发火灾声光报警，使被连接的火灾声光警报器发出声、光报警信号（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24</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巡检NFC</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【巡检NFC】</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1、支持扫描二维码进行检查；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2、支持NFC触碰进行检查。</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25</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智慧燃气</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【燃气监测】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1、探测气体种类：甲烷或者丙烷；</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2、测量范围：0~25%LEL；</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3、甲烷报警阈值：8%LEL；丙烷报警阈值：10%LEL；</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4、接口：1路电磁阀输出接口，1路排风扇输出接口；</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5、工作原理：催化燃烧式；</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6、防护等级：IP30；</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7、使用环境：温度：-10 ℃～55 ℃；湿度：≤93%（40 ℃、无凝结）；</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8、执行标准：GB 15322.2-2019；</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9、报警音量：70 dB ~ 115 dB @1 m (A计权)；</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10、供电电压：AC 220 V；</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11、工作电流：≤250 mA；</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12、通讯方式：NB-iot通讯；</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13、含12V适配器一个及所需的管材、电源线、网线、固定配件等材料；</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14、包含Nb-iot物联网卡及每年50M流量/2万次，共3年；</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★15、产品需符合GB 15322.2-2019《可燃气体探测器 第2部分：家用可燃气体探测器》的要求。（提供封面具备CAL、CMA、CNAS标识的第三方检测机构出具的检测报告复印件）；</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★16、产品需符合GB 15322.2-2019《可燃气体探测器 第2部分：家用可燃气体探测器》的要求，取得消防产品认证证书。（提供证书复印件）；</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★17、产品需获得无线电发射设备型号核准证和进网许可证。（提供证书复印件）</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★18、投标人所投燃气探测器探测类型为甲烷，泄露报警阈值不高于8%LEL，量程为0~25%LEL，输出接点数量为2组。（提供封面具备CAL、CMA、CNAS标识的第三方检测机构出具的检测报告复印件）；</w:t>
            </w:r>
          </w:p>
          <w:p>
            <w:pPr>
              <w:pStyle w:val="2"/>
              <w:spacing w:line="240" w:lineRule="auto"/>
              <w:ind w:firstLine="0" w:firstLine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★19、投标人所投燃气探测器探测类型为丙烷，泄露报警阈值不高于10%LEL，量程为0~25%LEL，输出接点数量为2组。（提供封面具备CAL、CMA、CNAS标识的第三方检测机构出具的检测报告复印件）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26</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消防通道监测摄像机</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【消防通道监测摄像机】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1、支持室外消防通道停车侦测，对超过配置停留时间的车辆产生报警，并进行车牌的识别；</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2、支持消防通道停车侦测报警联动报警输出，事件结果可通过SDK上传中心，图片可上传FTP；</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3、传感器：1/1.8"CMOS；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4、支持低码率、低延时、ROI感兴趣区域增强编码、SVC自适应编码技术，支持背光补偿，强光抑制，透雾，防抖，畸变校正，3D数字降噪；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5、支持宽动态120 dB；</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6、图像分辨率2560×1440@30fps；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7、支持三码流技术；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8、包含12V电源；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9、防护等级IP66；</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10、包含安装所需的管材、电源线、网线、固定配件等材料。</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27</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电瓶车入梯检测摄像机</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【电瓶车入梯检测摄像机】</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1、最大图像分辨率：2560×1440@25fps；</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2、传感器类型：1/2.7" CMOS；</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3、宽动态范围：120 dB；</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4、感温方式：支持非接触式感温；</w:t>
            </w:r>
            <w:r>
              <w:rPr>
                <w:rFonts w:hint="eastAsia" w:ascii="宋体" w:hAnsi="宋体" w:eastAsia="宋体" w:cs="宋体"/>
                <w:color w:val="auto"/>
                <w:sz w:val="20"/>
                <w:szCs w:val="20"/>
                <w:highlight w:val="none"/>
              </w:rPr>
              <w:br w:type="textWrapping"/>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rPr>
              <w:t>高温报警：支持；</w:t>
            </w:r>
            <w:r>
              <w:rPr>
                <w:rFonts w:hint="eastAsia" w:ascii="宋体" w:hAnsi="宋体" w:eastAsia="宋体" w:cs="宋体"/>
                <w:color w:val="auto"/>
                <w:sz w:val="20"/>
                <w:szCs w:val="20"/>
                <w:highlight w:val="none"/>
              </w:rPr>
              <w:br w:type="textWrapping"/>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、火焰报警：支持火焰感知报警；</w:t>
            </w:r>
            <w:r>
              <w:rPr>
                <w:rFonts w:hint="eastAsia" w:ascii="宋体" w:hAnsi="宋体" w:eastAsia="宋体" w:cs="宋体"/>
                <w:color w:val="auto"/>
                <w:sz w:val="20"/>
                <w:szCs w:val="20"/>
                <w:highlight w:val="none"/>
              </w:rPr>
              <w:br w:type="textWrapping"/>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rPr>
              <w:t>、火点识别：支持火点识别，并定位视场位置；</w:t>
            </w:r>
            <w:r>
              <w:rPr>
                <w:rFonts w:hint="eastAsia" w:ascii="宋体" w:hAnsi="宋体" w:eastAsia="宋体" w:cs="宋体"/>
                <w:color w:val="auto"/>
                <w:sz w:val="20"/>
                <w:szCs w:val="20"/>
                <w:highlight w:val="none"/>
              </w:rPr>
              <w:br w:type="textWrapping"/>
            </w:r>
            <w:r>
              <w:rPr>
                <w:rFonts w:hint="eastAsia" w:ascii="宋体" w:hAnsi="宋体" w:cs="宋体"/>
                <w:color w:val="auto"/>
                <w:sz w:val="20"/>
                <w:szCs w:val="20"/>
                <w:highlight w:val="none"/>
                <w:lang w:val="en-US" w:eastAsia="zh-CN"/>
              </w:rPr>
              <w:t>8</w:t>
            </w:r>
            <w:r>
              <w:rPr>
                <w:rFonts w:hint="eastAsia" w:ascii="宋体" w:hAnsi="宋体" w:eastAsia="宋体" w:cs="宋体"/>
                <w:color w:val="auto"/>
                <w:sz w:val="20"/>
                <w:szCs w:val="20"/>
                <w:highlight w:val="none"/>
              </w:rPr>
              <w:t>、智能分析功能：电动自行车进电梯检测功能；</w:t>
            </w:r>
            <w:r>
              <w:rPr>
                <w:rFonts w:hint="eastAsia" w:ascii="宋体" w:hAnsi="宋体" w:eastAsia="宋体" w:cs="宋体"/>
                <w:color w:val="auto"/>
                <w:sz w:val="20"/>
                <w:szCs w:val="20"/>
                <w:highlight w:val="none"/>
              </w:rPr>
              <w:br w:type="textWrapping"/>
            </w:r>
            <w:r>
              <w:rPr>
                <w:rFonts w:hint="eastAsia" w:ascii="宋体" w:hAnsi="宋体" w:cs="宋体"/>
                <w:color w:val="auto"/>
                <w:sz w:val="20"/>
                <w:szCs w:val="20"/>
                <w:highlight w:val="none"/>
                <w:lang w:val="en-US" w:eastAsia="zh-CN"/>
              </w:rPr>
              <w:t>9</w:t>
            </w:r>
            <w:r>
              <w:rPr>
                <w:rFonts w:hint="eastAsia" w:ascii="宋体" w:hAnsi="宋体" w:eastAsia="宋体" w:cs="宋体"/>
                <w:color w:val="auto"/>
                <w:sz w:val="20"/>
                <w:szCs w:val="20"/>
                <w:highlight w:val="none"/>
              </w:rPr>
              <w:t>、语音报警：支持；</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rPr>
              <w:t>、防遮挡报警：支持镜头正前方（夹角小于30°）50cm内，有较大物体遮挡检测；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、报警事件OSD：支持报警事件录像画面叠加显示；</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rPr>
              <w:t>、报警联动：支持报警事件联动抓图、录像；</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、智能报警：区域入侵、越界侦测、进入区域侦测、离开区域侦测、场景变更侦测；</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rPr>
              <w:t>、存储功能：支持断网续传；</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、异常侦测：移动侦测, 遮挡报警, 网线断, IP 地址冲突, 非法登录, 存储器满, 存储器错；</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、工作温度和湿度 -10 ℃ ~ 40 ℃, 湿度小于95%(无凝结)；</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rPr>
              <w:t>、防护等级：IP54；</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8</w:t>
            </w:r>
            <w:r>
              <w:rPr>
                <w:rFonts w:hint="eastAsia" w:ascii="宋体" w:hAnsi="宋体" w:eastAsia="宋体" w:cs="宋体"/>
                <w:color w:val="auto"/>
                <w:sz w:val="20"/>
                <w:szCs w:val="20"/>
                <w:highlight w:val="none"/>
              </w:rPr>
              <w:t>、含电源、镜头；</w:t>
            </w:r>
            <w:r>
              <w:rPr>
                <w:rFonts w:hint="eastAsia" w:ascii="宋体" w:hAnsi="宋体" w:eastAsia="宋体" w:cs="宋体"/>
                <w:color w:val="auto"/>
                <w:sz w:val="20"/>
                <w:szCs w:val="20"/>
                <w:highlight w:val="none"/>
              </w:rPr>
              <w:br w:type="textWrapping"/>
            </w:r>
            <w:r>
              <w:rPr>
                <w:rFonts w:hint="eastAsia" w:ascii="宋体" w:hAnsi="宋体" w:cs="宋体"/>
                <w:color w:val="auto"/>
                <w:sz w:val="20"/>
                <w:szCs w:val="20"/>
                <w:highlight w:val="none"/>
                <w:lang w:val="en-US" w:eastAsia="zh-CN"/>
              </w:rPr>
              <w:t>19</w:t>
            </w:r>
            <w:r>
              <w:rPr>
                <w:rFonts w:hint="eastAsia" w:ascii="宋体" w:hAnsi="宋体" w:eastAsia="宋体" w:cs="宋体"/>
                <w:color w:val="auto"/>
                <w:sz w:val="20"/>
                <w:szCs w:val="20"/>
                <w:highlight w:val="none"/>
              </w:rPr>
              <w:t>、包含安装所需的管材、电源线、网线、固定配件等材料；</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rPr>
              <w:t>、支持电瓶车进电梯检测功能，当设定的监控区域内出现违规停放电瓶车，且时间达到设定值时，触发报警并上传报警图片，支持报警录像（提供封面具备CAL、CMA、CNAS标识的第三方检测机构出具的检测报告复印件）；</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支持高温报警功能，将设备放置于2.5m高处，能识别距离为8米处，尺寸≥10cm*10cm（长×宽）的发热体，且灵敏度可调，报警响应时间≤5s，并能联动声光报警。设备在识别到发热体时，应将高温报警状态和摄像机实时画面上传至网络平台。（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28</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对讲机</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【对讲机】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1、IP67防护；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2、组呼、群组信息自动更新；</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3、语音电量提示，群组播报；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4、智能端应用程序适配；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5、特有语音编解码技术；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6、电池容量≥4000mAh；</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7、包含3年通信服务费。</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29</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4G警戒球型摄像机</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【4G警戒球型摄像机】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1、支持4G（移动、联通，电信）网络传输；</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2、内置GPS定位模块，支持OSD显示安装位置经纬度信息；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3、支持切换为人脸抓拍模式，最大同时抓拍5张人脸；</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4、支持区域入侵侦测、越界侦测、进入区域侦测和离开区域侦等智能侦测；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5、传感器类型: 1/2.8＂ progressive scan CMOS；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6、最低照度: 0 Lux with IR,彩色：0.005Lux @ (F1.6，AGC ON)；黑白：0.001Lux @ (F1.6，AGC ON)；</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7、宽动态: 120dB超宽动态；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8、焦距: 23倍光学变倍；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9、主码流帧率分辨率: 50Hz:25fps (1920×1080); 60Hz:30fps (1920×1080)；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10、存储卡: 配置32G存储卡；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11、红外照射距离:100米；</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12、供电方式: 配置DC12V电源；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13、工作温湿度: -30℃-65℃,湿度小于90%；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14、防护: IP66；</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15、包含移动携带设备（UPS、三角支架）；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16、包含4G流量卡及不少于30G/月，共3年；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17、包含安装所需的管材、电源线、网线、固定配件等材料。</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30</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可视化烟感</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【可视化烟感】</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1、烟雾、温度进行报警，并能通过视频进行远程确认；</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2、支持多种智能切换：消防火焰智能识别分析、消防立体行为分析、消防设施管理智能分析、消防通道智能检测分析；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3、探测器使用二发一收新型迷宫，结合烟雾智能算法，能够准确判断火灾时产生的烟雾粒子，最大限度减少误报；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4、烟雾探测模块使用超低功耗设计，在无外部供电的情况下，烟雾探测模块使用内置电池可工作3年；</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5、内置高音量蜂鸣器，高分贝报警声响 80dB≥3m (A计权)；</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6、具有手动自检功能和电池欠压提醒功能；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7、探测器具有环境学习与自动补偿功能，能减少灰尘、环境变化等对探测器灵敏度的影响；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8、防尘,防虫结构设计，关键信号处理电路使用金属屏蔽罩抗射频干扰设计，确保在复杂环境中的可靠应用；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9、视频模块采用星光级低照度500万像素1/2.7英寸CMOS图像传感器，低照度效果好，图像清晰度高；</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10、支持H.265编码，压缩比高，实现超低码流传输；</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11、支持走廊模式，宽动态，3D降噪，强光抑制，背光补偿，数字水印，适用不同监控环境；</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12、支持报警2进2出，音频1进1出，内置MIC和扬声器；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13、支持DC12V/POE两种供电方式，方便工程安装；</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14、内置高效红外补光灯，最大红外监控距离20米；</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15、包含128G内存卡；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16、包含安装所需的管材、电源线、网线、固定配件等材料；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★17、当环境照度低于一定值，通过红外灯照射，可基本分辨距离20米处所摄目标轮廓（提供封面具备CAL、CMA、CNAS标识的第三方检测机构出具的检测报告复印件）；</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★18、为了报警事件确认的便捷性，设备应能普通抓图和触发抓图；手动抓图支持抓单张图和三连抓，抓图质量和抓图间隔可自定义设置（提供封面具备CAL、CMA、CNAS标识的第三方检测机构出具的检测报告复印件）</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31</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消防车定位模块</w:t>
            </w:r>
          </w:p>
        </w:tc>
        <w:tc>
          <w:tcPr>
            <w:tcW w:w="67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【车载定位终端】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1、工作电压 DC 9-60V；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2、工作电流 30mA@DC12V；</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3、定位方式 GPS定位+北斗+基站定位；</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4、定位误差 GPS&lt;5米(定位误差与车辆所在区域地形及时间等有关联）；</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5、通讯制式 850/1900 or 900/1800MHZ；</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6、通讯方式 TCP；</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7、通讯协议 标准808部标协议；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8、冷启动 10s；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9、热启动 10s；</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10、工作温度范围 -40℃ ~ +80℃；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11、IP等级 IP64；</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12、备用电池 聚合物电池50毫安。</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r>
    </w:tbl>
    <w:p>
      <w:pPr>
        <w:pStyle w:val="24"/>
        <w:rPr>
          <w:rFonts w:hAnsi="宋体"/>
          <w:bCs/>
          <w:color w:val="auto"/>
          <w:sz w:val="21"/>
          <w:szCs w:val="21"/>
          <w:highlight w:val="none"/>
        </w:rPr>
      </w:pPr>
      <w:r>
        <w:rPr>
          <w:rFonts w:hint="eastAsia" w:hAnsi="宋体"/>
          <w:bCs/>
          <w:color w:val="auto"/>
          <w:sz w:val="21"/>
          <w:szCs w:val="21"/>
          <w:highlight w:val="none"/>
        </w:rPr>
        <w:t>3.2网络传输系统</w:t>
      </w:r>
    </w:p>
    <w:tbl>
      <w:tblPr>
        <w:tblStyle w:val="47"/>
        <w:tblW w:w="9569" w:type="dxa"/>
        <w:tblInd w:w="0" w:type="dxa"/>
        <w:tblLayout w:type="fixed"/>
        <w:tblCellMar>
          <w:top w:w="0" w:type="dxa"/>
          <w:left w:w="108" w:type="dxa"/>
          <w:bottom w:w="0" w:type="dxa"/>
          <w:right w:w="108" w:type="dxa"/>
        </w:tblCellMar>
      </w:tblPr>
      <w:tblGrid>
        <w:gridCol w:w="618"/>
        <w:gridCol w:w="1875"/>
        <w:gridCol w:w="7076"/>
      </w:tblGrid>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设备名称</w:t>
            </w:r>
          </w:p>
        </w:tc>
        <w:tc>
          <w:tcPr>
            <w:tcW w:w="7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主要技术参数要求</w:t>
            </w: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核心交换机</w:t>
            </w:r>
          </w:p>
        </w:tc>
        <w:tc>
          <w:tcPr>
            <w:tcW w:w="7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1、可插拔双电源，支持600WAC电源 （含电源）</w:t>
            </w:r>
            <w:r>
              <w:rPr>
                <w:rFonts w:hint="eastAsia" w:ascii="宋体" w:hAnsi="宋体" w:cs="宋体"/>
                <w:color w:val="auto"/>
                <w:kern w:val="0"/>
                <w:sz w:val="20"/>
                <w:highlight w:val="none"/>
                <w:lang w:eastAsia="zh-Hans" w:bidi="ar"/>
              </w:rPr>
              <w:t>，卡槽数量≥</w:t>
            </w:r>
            <w:r>
              <w:rPr>
                <w:rFonts w:ascii="宋体" w:hAnsi="宋体" w:cs="宋体"/>
                <w:color w:val="auto"/>
                <w:kern w:val="0"/>
                <w:sz w:val="20"/>
                <w:highlight w:val="none"/>
                <w:lang w:eastAsia="zh-Hans" w:bidi="ar"/>
              </w:rPr>
              <w:t>3</w:t>
            </w:r>
            <w:r>
              <w:rPr>
                <w:rFonts w:hint="eastAsia" w:ascii="宋体" w:hAnsi="宋体" w:cs="宋体"/>
                <w:color w:val="auto"/>
                <w:kern w:val="0"/>
                <w:sz w:val="20"/>
                <w:highlight w:val="none"/>
                <w:lang w:bidi="ar"/>
              </w:rPr>
              <w:t>；</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2、交换容量:1.2Tbps；遵循 IEEE 802.1d 标准；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 MAC 地址自动学习和老化 支持静态、动态、黑洞 MAC 表项；</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4、支持源 MAC 地址过滤；</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5、支持 Guest VLAN、Voice VLANs；</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6、支持 GVRP 协议；</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 MUX VLAN 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8、支持基于 MAC/协议/IP 子网/策略/端口的 VLAN；</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9、支持 VLAN Mapping 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10、VBST 基于 VLAN 生成树协议(和 PVST/PVST+/RPVST 互通)；LNP 链路类型协商协议(和 DTP 相似功能)；VCMP VLAN 集中管理协议(和 VTP 相似功能)；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11、支持 ND(Neighbor Discovery)；</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12、支持 PMTU；</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13、支持 IPv6 Ping、IPv6 Tracert、IPv6 Telnet；</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14、支持基于源 IPv6 地址、目的 IPv6 地址、四层端口、协议类型等 ACL；</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15、支持 MLD v1/v2 snooping(Multicast Listener Discovery snooping)；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16、支持子接口配置 IPv6 地址，支持 VRRP6、DHCPv6、L3VPN 等。</w:t>
            </w: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核心交换机业务板</w:t>
            </w:r>
          </w:p>
        </w:tc>
        <w:tc>
          <w:tcPr>
            <w:tcW w:w="7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1.提供≥12个万兆以太网光接口的数据接入和交换；</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2.通过分布式数据平面对数据进行并行转发；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3.支持热插拔；</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4.自带≥6个万兆单模光模块；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5.自带≥4个千兆单模光模块。</w:t>
            </w:r>
          </w:p>
        </w:tc>
      </w:tr>
      <w:tr>
        <w:tblPrEx>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ONU设备</w:t>
            </w:r>
          </w:p>
        </w:tc>
        <w:tc>
          <w:tcPr>
            <w:tcW w:w="70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1、即插即用：支持通过OMCI协议，实现宽带、组播等业务的远程自动发放；</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2、高速转发：400M线速转发；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3、接口类型：≥4FE；</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4、上行速率：≥1G。</w:t>
            </w:r>
          </w:p>
        </w:tc>
      </w:tr>
    </w:tbl>
    <w:tbl>
      <w:tblPr>
        <w:tblStyle w:val="47"/>
        <w:tblpPr w:leftFromText="180" w:rightFromText="180" w:vertAnchor="text" w:horzAnchor="page" w:tblpX="1307" w:tblpY="577"/>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21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618" w:type="dxa"/>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2215" w:type="dxa"/>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设备名称</w:t>
            </w:r>
          </w:p>
        </w:tc>
        <w:tc>
          <w:tcPr>
            <w:tcW w:w="6734" w:type="dxa"/>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18"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2215"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48盘位云存储设备</w:t>
            </w:r>
          </w:p>
        </w:tc>
        <w:tc>
          <w:tcPr>
            <w:tcW w:w="6734" w:type="dxa"/>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1、≤4U高度，≥48盘位，硬盘前面板热插拔维护；</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★2、电源、电池、风扇、控制器为冗余支持热插拔模块。单台存储设备支持1+3冗余电源或者2＋2冗余双锂电池配置（提供封面具备CAL、CMA、CNAS标识的第三方检测机构出具的检测报告复印件）；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3、节点具备BBU电池模块，在节点异常掉电时给节点缓存数据提供永久保护（掉电后存储节点数码管有显示缓存数据下刷的进度,重启动后数据无丢失）；</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4、节点支持：SATA盘(1TB/2TB/3TB/4TB/5TB/6TB/8TB/10TB/12TB/14TB)、SAS盘、SSD盘、NL-SAS盘，支持不同品牌（希捷、西数、东芝）不同类型磁盘混插；</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★5、在一个控制器内，支持双BIOS，当主BIOS异常时，能从备用BIOS启动（提供封面具备CAL、CMA、CNAS标识的第三方检测机构出具的检测报告复印件）；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★6、不使用的硬盘自动进行休眠,；风扇在不同温度环境下可自动调节转速；CPU在不同业务压力下可自动调节主频（提供封面具备CAL、CMA、CNAS标识的第三方检测机构出具的检测报告复印件）；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7、云存储节点功耗&lt;650W。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18"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2215"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电池模块</w:t>
            </w:r>
          </w:p>
        </w:tc>
        <w:tc>
          <w:tcPr>
            <w:tcW w:w="6734" w:type="dxa"/>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18"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2215"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700W电源模块</w:t>
            </w:r>
          </w:p>
        </w:tc>
        <w:tc>
          <w:tcPr>
            <w:tcW w:w="6734" w:type="dxa"/>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700W电源模块。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18"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2215" w:type="dxa"/>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6TB硬盘</w:t>
            </w:r>
          </w:p>
        </w:tc>
        <w:tc>
          <w:tcPr>
            <w:tcW w:w="6734" w:type="dxa"/>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一体化SATA硬盘(6TB)</w:t>
            </w:r>
          </w:p>
        </w:tc>
      </w:tr>
    </w:tbl>
    <w:p>
      <w:pPr>
        <w:pStyle w:val="24"/>
        <w:rPr>
          <w:rFonts w:hAnsi="宋体"/>
          <w:bCs/>
          <w:color w:val="auto"/>
          <w:sz w:val="21"/>
          <w:szCs w:val="21"/>
          <w:highlight w:val="none"/>
        </w:rPr>
      </w:pPr>
      <w:r>
        <w:rPr>
          <w:rFonts w:hint="eastAsia" w:hAnsi="宋体"/>
          <w:bCs/>
          <w:color w:val="auto"/>
          <w:sz w:val="21"/>
          <w:szCs w:val="21"/>
          <w:highlight w:val="none"/>
        </w:rPr>
        <w:t>3.3存储系统</w:t>
      </w:r>
    </w:p>
    <w:p>
      <w:pPr>
        <w:pStyle w:val="24"/>
        <w:ind w:firstLine="420" w:firstLineChars="200"/>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3.4视频图像信息管理平台</w:t>
      </w:r>
    </w:p>
    <w:tbl>
      <w:tblPr>
        <w:tblStyle w:val="47"/>
        <w:tblW w:w="9478" w:type="dxa"/>
        <w:tblInd w:w="93" w:type="dxa"/>
        <w:tblLayout w:type="fixed"/>
        <w:tblCellMar>
          <w:top w:w="0" w:type="dxa"/>
          <w:left w:w="108" w:type="dxa"/>
          <w:bottom w:w="0" w:type="dxa"/>
          <w:right w:w="108" w:type="dxa"/>
        </w:tblCellMar>
      </w:tblPr>
      <w:tblGrid>
        <w:gridCol w:w="618"/>
        <w:gridCol w:w="1264"/>
        <w:gridCol w:w="6576"/>
        <w:gridCol w:w="1020"/>
      </w:tblGrid>
      <w:tr>
        <w:tblPrEx>
          <w:tblCellMar>
            <w:top w:w="0" w:type="dxa"/>
            <w:left w:w="108" w:type="dxa"/>
            <w:bottom w:w="0" w:type="dxa"/>
            <w:right w:w="108" w:type="dxa"/>
          </w:tblCellMar>
        </w:tblPrEx>
        <w:trPr>
          <w:trHeight w:val="24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设备名称</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招标技术要求</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响应情况</w:t>
            </w:r>
          </w:p>
        </w:tc>
      </w:tr>
      <w:tr>
        <w:tblPrEx>
          <w:tblCellMar>
            <w:top w:w="0" w:type="dxa"/>
            <w:left w:w="108" w:type="dxa"/>
            <w:bottom w:w="0" w:type="dxa"/>
            <w:right w:w="108" w:type="dxa"/>
          </w:tblCellMar>
        </w:tblPrEx>
        <w:trPr>
          <w:trHeight w:val="69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视频管理服务器</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1、CPU：Hygon 高性能处理器，最高支持8物理核心/16线程；内存≥32GB，网口：GE×4，硬盘：≥4TB SATA硬盘；</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2、系统支持本域10000个前端设备接入，每个设备保活时间间隔30s，支持管理10000个在线监视器，支持在线外域数2048个, 每个外域按照30s间隔保活，可管理1000000个推送的摄像机；</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3、支持用户个人案件信息管理，支持案事件与视频、卡口图片数据、地图及各类格式附件的关联与融合，支持录入报案人、涉案人，建立案件档案；支持添加案件相关的信息：类型、性质，名称、发现方式、时间、地点、处理人等，可对报警人、涉案人、涉案车辆、涉案物品、涉案场景配置；</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4、支持标准流录像的视频剪辑与拼接；</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 xml:space="preserve">★5、手动预案定制：可定制手动工作流预案动作，需要实现该动作时，在工作流预案列表中点击该预案的执行按钮，即可实现（提供封面具备CAL、CMA、CNAS标识的第三方检测机构出具的检测报告复印件）； </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★6、支持用户间文字、图片、报警信息、实况场景及录像链接的传输，支持本域及跨域用户间群聊，支持群聊用户主动退出群组（提供封面具备CAL、CMA、CNAS标识的第三方检测机构出具的检测报告复印件）；</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7、视频监控管理平台具有交接班管理功能；</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8、可通过事件编号、接警时间、事件名称、事件时间段、处理责任人、处理状态等条件查询卷宗信息，可将监控录像、离线录像、图片、WORD、EXCEL表等和卷宗信息绑定；</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9、实况上墙功能：支持1080P/720P/D1/4CIF/2CIF/CIF等解码上墙，支持TCP/UDP解码上墙，支持onvif/GB28181解码上墙，支持H.265/H.264格式解码；</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10、录像叠加水印，防止录像被篡改。支持实况、录像视频叠加水印，水印包含用户名、IP、时间等信息。支持配置水印的显示密度；</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11、支持前端设备和存储设备之间进行直接存储，且不生成文件（即不使用文件系统）；</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★12、为了实现快速定位录像关键节点，可以将录像文件进行切分成多片，通过切片点的图像差异，迅速启动回放关键录像时段（提供封面具备CAL、CMA、CNAS标识的第三方检测机构出具的检测报告复印件）；</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13、支持对字典项的自定义修改功能；</w:t>
            </w:r>
          </w:p>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14、支持国标（GB/T 28181-2016）、DB33（DB 33/T 629.1—2011）、ONVIF（ONVIF1.0、ONVIF2.0、ONVIF2.1）等；</w:t>
            </w:r>
          </w:p>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15、包含视频监控分控端操作软件。</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highlight w:val="none"/>
              </w:rPr>
            </w:pPr>
          </w:p>
        </w:tc>
      </w:tr>
      <w:tr>
        <w:tblPrEx>
          <w:tblCellMar>
            <w:top w:w="0" w:type="dxa"/>
            <w:left w:w="108" w:type="dxa"/>
            <w:bottom w:w="0" w:type="dxa"/>
            <w:right w:w="108" w:type="dxa"/>
          </w:tblCellMar>
        </w:tblPrEx>
        <w:trPr>
          <w:trHeight w:val="240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媒体交换服务器</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1、单台媒体服务器支持1024路或1Gbps输入，单台媒体服务器支持2048路或2Gbps输出；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2、支持音视频单播流的复制分发；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3、支持音视频组播流转单播复制分发；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4、支持对跨域媒体流进行复制分发；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5、支持负载均衡和动态互备；</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6、单/组播抗丢包功能：UDP网络下单播和组播支持抗5%的丢包；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7、支持VPN的部署方式；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8、CPU：Hygon 高性能处理器，最高支持8物理核心/16线程；内存≥32GB，网口：GE×4，硬盘：≥4TB SATA硬盘。</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highlight w:val="none"/>
              </w:rPr>
            </w:pPr>
          </w:p>
        </w:tc>
      </w:tr>
      <w:tr>
        <w:tblPrEx>
          <w:tblCellMar>
            <w:top w:w="0" w:type="dxa"/>
            <w:left w:w="108" w:type="dxa"/>
            <w:bottom w:w="0" w:type="dxa"/>
            <w:right w:w="108" w:type="dxa"/>
          </w:tblCellMar>
        </w:tblPrEx>
        <w:trPr>
          <w:trHeight w:val="16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安防接入服务器</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2"/>
              </w:numPr>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采用插件化设计，各种子系统的接入可以快速通过插件实现；</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2、内置消息总线结构，可以快速处理各种报警信息；</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3、支持异型架构，可以兼容SDK、协议多种报警接入方式；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4、独特的报警汇聚功能，支持有效报警提炼；</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5、具备强兼容性，可整合报警、SCADA、门禁、对讲广播等各类传感器；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6、单台最大对接SDK/协议数量≥3套；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7、单台最大接入前端设备数量≥1024个；</w:t>
            </w:r>
          </w:p>
          <w:p>
            <w:pPr>
              <w:widowControl/>
              <w:numPr>
                <w:ilvl w:val="255"/>
                <w:numId w:val="0"/>
              </w:numPr>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8、CPU：Hygon 高性能处理器，最高支持8物理核心/16线程；内存≥16GB，网口：GE×4，硬盘：≥2TB SATA硬盘；</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highlight w:val="none"/>
              </w:rPr>
            </w:pPr>
          </w:p>
        </w:tc>
      </w:tr>
      <w:tr>
        <w:tblPrEx>
          <w:tblCellMar>
            <w:top w:w="0" w:type="dxa"/>
            <w:left w:w="108" w:type="dxa"/>
            <w:bottom w:w="0" w:type="dxa"/>
            <w:right w:w="108" w:type="dxa"/>
          </w:tblCellMar>
        </w:tblPrEx>
        <w:trPr>
          <w:trHeight w:val="134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云存储管理服务器</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★1、元数据采用副本方式保存，最大可达50个副本；在元数据节点全部损坏的情况下，从已有的存储节点中恢复系统元数据（提供封面具备CAL、CMA、CNAS标识的第三方检测机构出具的检测报告复印件）；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2、系统支持全对称架构和非对称架构两种自由切换，支持无缝扩展，及多租户空间部署；</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3、在全对称架构下，无元数据服务器，可由纯数据节点（存储节点）构成，最小系统组网配置可由一台数据节点独立工作，即单节点成云，并能最大扩展到4096台；</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4、监控组网时应支持IPC的音视频、图片、智能结构化、文件等数据以流直存或者块直存的方式直接写入到存储节点，无需部署媒体服务器；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5、系统应支持H.264\SVAC\H.265等视频编码格式和G.711、AAC等音频编码格式，支持接入4K前端，进行音视频的混合同步存取；</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支持对云存储系统中的历史视频、图片中出现的行人进行属性分析，支持行人年龄段、性别、上衣颜色、上衣款式、下衣颜色、下衣款式、鞋子、身姿、携包、发型等属性识别，并将抓拍的小图以及场景大图存入云存储系统；</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7、支持实时和离线结构化数据接入，实时性能不低于3万条/秒；</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★8、摄像机前端是iSCSI协议直存或者国标GB/T28181、Onvif 1.0及以上标准码流直存储模式、主流厂商海康、大华等私有协议直写存储模式下，均支持数据以离散均衡方式存储在多个存储节点中（提供封面具备CAL、CMA、CNAS标识的第三方检测机构出具的检测报告复印件）；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★9、采用块存储格式，无文件系统，同一数据存储空间做1000次数据覆盖存储无性能衰减（提供封面具备CAL、CMA、CNAS标识的第三方检测机构出具的检测报告复印件）；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10、云存储设备支持系统盘关键数据备份到数据盘中，并生成8份副本，系统盘更换或重装后，云存储软件自动从备份数据盘检索最新数据，恢复数据库、配置文件及录像索引文件，将系统盘恢复到故障前状态；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11、可以将存储设备中剩余的CPU\内存资源或独立计算板卡中的CPU\内存资源做统一池化，形成计算资源池。可以按需分配计算资源用于安装其他服务软件；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12、可以在存储设备中插入GPU模块，提供智能分析能力，且可以将云存储系统中所有GPU模块做统一池化，形成智能资源池。可以按需分配智能资源用于进行人脸比对，行为分析，车型分析，视频结构化分析等各类智能分析业务。且可在做完某项智能任务后回收智能资源用于其他智能任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13、系统支持用图形化的方式显示各项数据和统计结果。支持将CPU使用率、内存使用率、网络连接性、网络流量、硬盘使用情况等通过图形化的方式呈现</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14、系统支持图形化管理和命令行管理两种模式；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15、支持远程图形界面升级，U盘升级，串口升级；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16、支持IP冲突、网口降速、电源故障、风扇故障、电池故障及RAID故障、磁盘故障、降级RAID无热备盘等告警；</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17、支持告警类型：指示灯、蜂鸣器（语音）、邮件、SNMP、短信、数码管；</w:t>
            </w:r>
          </w:p>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18、CPU：Hygon 高性能处理器，最高支持8物理核心/16线程；内存≥32GB，网口：GE×4，硬盘：≥4TB SATA硬盘。</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highlight w:val="none"/>
              </w:rPr>
            </w:pPr>
          </w:p>
        </w:tc>
      </w:tr>
      <w:tr>
        <w:tblPrEx>
          <w:tblCellMar>
            <w:top w:w="0" w:type="dxa"/>
            <w:left w:w="108" w:type="dxa"/>
            <w:bottom w:w="0" w:type="dxa"/>
            <w:right w:w="108" w:type="dxa"/>
          </w:tblCellMar>
        </w:tblPrEx>
        <w:trPr>
          <w:trHeight w:val="264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云存储点播服务器</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云存储点播服务软件：回放性能：并发512路/1024M点播流量；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2、支持负载分担，当系统存在多台回放服务器时，系统可以自动分摊回放的性能压力；</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3、支持灾难备份，当多台回放服务器的一台出现故障时，业务请求会自动切换到其他的服务器上；</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 xml:space="preserve">4、支持多样化回放及下载功能，包括即时回放、分段回放、录像切片、录像预览等； </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 xml:space="preserve">5、支持16倍速的前进和后退，并支持单帧进退回放； </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 xml:space="preserve">6、单台并发支持256路/512M流量的点播路数； </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7、支持多种协议：TCP、RTSP、RTP、UDP、HTTP、Telnet、ICMP、SIP、SNMP、ISCSI、PS、TS、ONVIF、GB28181；</w:t>
            </w:r>
          </w:p>
          <w:p>
            <w:pPr>
              <w:widowControl/>
              <w:numPr>
                <w:ilvl w:val="255"/>
                <w:numId w:val="0"/>
              </w:numPr>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8、CPU：Hygon 高性能处理器，最高支持8物理核心/16线程；内存≥32GB，网口：GE×4，硬盘：≥4TB SATA硬盘。</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摄像机接入授权（500路）</w:t>
            </w:r>
          </w:p>
        </w:tc>
        <w:tc>
          <w:tcPr>
            <w:tcW w:w="65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视频管理服务软件-视频接入许可-500路授权。</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highlight w:val="none"/>
              </w:rPr>
            </w:pPr>
          </w:p>
        </w:tc>
      </w:tr>
    </w:tbl>
    <w:p>
      <w:pPr>
        <w:pStyle w:val="24"/>
        <w:rPr>
          <w:rFonts w:hAnsi="宋体"/>
          <w:bCs/>
          <w:color w:val="auto"/>
          <w:sz w:val="21"/>
          <w:szCs w:val="21"/>
          <w:highlight w:val="none"/>
        </w:rPr>
      </w:pPr>
      <w:r>
        <w:rPr>
          <w:rFonts w:hint="eastAsia" w:hAnsi="宋体"/>
          <w:bCs/>
          <w:color w:val="auto"/>
          <w:sz w:val="21"/>
          <w:szCs w:val="21"/>
          <w:highlight w:val="none"/>
        </w:rPr>
        <w:t>3.5智慧安全监管服务中心平台</w:t>
      </w:r>
    </w:p>
    <w:tbl>
      <w:tblPr>
        <w:tblStyle w:val="47"/>
        <w:tblW w:w="9478" w:type="dxa"/>
        <w:tblInd w:w="93" w:type="dxa"/>
        <w:tblLayout w:type="fixed"/>
        <w:tblCellMar>
          <w:top w:w="0" w:type="dxa"/>
          <w:left w:w="108" w:type="dxa"/>
          <w:bottom w:w="0" w:type="dxa"/>
          <w:right w:w="108" w:type="dxa"/>
        </w:tblCellMar>
      </w:tblPr>
      <w:tblGrid>
        <w:gridCol w:w="680"/>
        <w:gridCol w:w="1080"/>
        <w:gridCol w:w="1326"/>
        <w:gridCol w:w="5372"/>
        <w:gridCol w:w="1020"/>
      </w:tblGrid>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模块名称</w:t>
            </w:r>
          </w:p>
        </w:tc>
        <w:tc>
          <w:tcPr>
            <w:tcW w:w="66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招标技术要求</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响应情况</w:t>
            </w:r>
          </w:p>
        </w:tc>
      </w:tr>
      <w:tr>
        <w:tblPrEx>
          <w:tblCellMar>
            <w:top w:w="0" w:type="dxa"/>
            <w:left w:w="108" w:type="dxa"/>
            <w:bottom w:w="0" w:type="dxa"/>
            <w:right w:w="108" w:type="dxa"/>
          </w:tblCellMar>
        </w:tblPrEx>
        <w:trPr>
          <w:trHeight w:val="405" w:hRule="atLeast"/>
        </w:trPr>
        <w:tc>
          <w:tcPr>
            <w:tcW w:w="94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一、数据驾驶舱</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安全数据驾驶舱</w:t>
            </w: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安全监管实时数据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★监管点位基于地理位置信息的分布情况，通过不同颜色，图标标注监管点位安全状态以及设备状态</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报警信息实时播报并且滚动展示报警设备，报警时间，报警单位，处理状态，处理结果</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地图支持缩放，拖动，同时支持3D地图，卫星影像，平面地图切换</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微型消防站的分布及管理，地图上分布情况，微型消防站配置情况</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物联网设备数据实时展示，包含水压、水位、电压、线路温度、漏电流等</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安全统计类数据展示</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★当日数据展示，包含火警数据、隐患数据、警情处理数量，图表形式展示，直观明了</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历史警情数量展示，包括火警、故障、屏蔽、监管、反馈、告警类型的警情数量、关联设备数量、监管点位数量、点位明细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★报警高发部位信息，按照警情数量进行报警高发部位的展示，包含所属点位、报警次数</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★公共资源数据信息，包含室外消火栓的数量、取水口数量、微型消防站数量、室外消火栓水压趋势、盖帽状态、微型消防站人员配置信息</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人员证书数据，有无证书的人员数量、所属单位、证书编号、证书有效期、联系方式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人员工作完成数据，包含报警处理数量、设备故障处理数量、安全检查进度</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研判分析类数据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设备数量，不同设备类型、设备状态、行政区域的设备数量，各个监管点位内不同设备类型设备的安装数量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近7日内各种设备报警的报警总趋势、月度报警的处理效率、月度隐患整改的处理情况、月度隐患处理环比</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安全宣教数据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★企业员工安全培训完成率、企业总数、已/未完成安全培训企业数、员工总数、已/未完成安全培训员工数</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安全培训理论、实操完成进度展示，包含理论完成率、实操完成率、完成人数</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员工培训趋势（年和月），企业参与安全培训趋势</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安全隐患数据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A、B、C、D不同等级隐患数量分布以及区块隐患色块图，不同区域隐患数量的分布展示</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隐患类别数量展示，饼状图分布占比，隐患企业数量占比</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★隐患排查工作进度数据，包含企业自查进度，巡查进度，完成自查巡查的企业数量及占比，按照柱状图进行展示</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隐患处理状态数量、隐患发现趋势、整改趋势、隐患状态占比</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企业安全画像</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企业关联建筑状态数据展示，包含建筑图纸、建筑基本信息、建筑内风险隐患情况</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企业安评报告展示，企业历史档案数据，物联设备数据，单位周月报，包括本月数据、同比环比的数据信息，以饼状图、柱状图、曲线图不同形式展现企业整体安全趋势</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饼状图展示企业月度报警各类数量并且能够按照时间检索统计数量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展示单位应急灭火预案</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支持事件根据事件类型分类展示，同时支持事件全生命周期（事件上报、事件流转、事件完结，以及事件扭转）记录展示，资源导出，分享</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企业内部视频监控</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视频监控</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消防通道监控、热敏摄像头、高点双光谱监控、消控室监管视频查看，支持搜索查询</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94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二、应用系统</w:t>
            </w:r>
          </w:p>
        </w:tc>
      </w:tr>
      <w:tr>
        <w:tblPrEx>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一站式安全监管服务平台管理中心</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企业信息管理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实现单位名称、所属区域、详细地址、联系人、单位经纬度、单位图片、所属行业、单位简介、法人、法人电话、法人身份证、消防管理人、消防管理人电话、消防管理人身份证等企业信息的创建、修改和删除；</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设备设施管理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★实现对平台内设备的实时状态进行查询、监控及增删改查。主要包括设备安装位置，所属单位，所属区域，通讯地址，设备类型，真实状态，显示状态，电池状态，信号强度，最新数据时间。</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人员账号管理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实现对企业内部员工的基本信息的管理，包括用户姓名、手机号、身份证、岗位、是否为消控室值班人员、证书编号和权限的配置管理。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权限的管理通过角色配置进行维护。</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角色权限管理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实现平台账号的创建以及密码重置和账号相关信息的查询。主要包括手机号，邮箱，姓名，头像的管理。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报警通知配置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★根据报警信息进行报警的通知配置，实现一级通知、二级通知和三级通知的自由配置，主要包括电话通知短信通知。配置参数包括通知级别、通知时间、通知次数、通知启用、通知的报警类型。</w:t>
            </w:r>
            <w:r>
              <w:rPr>
                <w:rFonts w:hint="eastAsia" w:ascii="宋体" w:hAnsi="宋体" w:cs="宋体"/>
                <w:b/>
                <w:bCs/>
                <w:color w:val="auto"/>
                <w:kern w:val="0"/>
                <w:sz w:val="20"/>
                <w:highlight w:val="none"/>
                <w:lang w:bidi="ar"/>
              </w:rPr>
              <w:t>（提供软件截图）</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公共资源管理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实现室外消火栓，微型消防站，取水口等公共消防及应急资源的管理维护</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检查项目配置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实现企业的安全检查项目管理，支持通过行业性质，类型，行政区域进行自定义配置</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学习资料管理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实现视频、文字、题目等安全学习资料的新增，修改，删除维护</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系统设置</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实现行政区域、管理中心人员账号、行业类型、系统服务内容等的管理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安全监管服务移动应用（浙里办）</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报警接收</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支持查询火警、故障、屏蔽、监管、反馈、告警等各类设备的报警信息</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报警处理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可以通过终端应用对报警信息进行处理存档，可历史追溯，查看报警历史记录，发生时间，照片等</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数据查询</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查询单位内安装设备设施情况，用水用电的详细数据，趋势分析</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隐患排查</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根据企业行业性质，扫码完成企业隐患排查工作，并且查询隐患记录，整改记录</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视频监控</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消控室视频,热敏摄像头监控,高位摄像头监控在手机端进行实时视频查看</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联动指挥</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人事物联动</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建立人、事、物三方联动，形成指挥中心、专职消防、企业联动响应</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资源调度</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系统自动判断就近消防力量的位置，救援能力等，平台实现一键调度，在线指挥等功能</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远程视频联动</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如现场发生警情需要指挥，则可以通过携带现场视频监控进行联动，现场通过移动球形视频与凭他进行联动可以直接在平台进行指挥</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GIS调度台联动</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将物联设备预警信息与GIS调度平台进行对接，并且通过对讲，调度台进行人员队伍的联动协同</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94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三、应用支撑系统</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物联接入</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协议解析</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对接入的各类设备，包含智慧烟感、智慧温感、智慧用电、智能充电桩、智慧空开、消防通道监测、电瓶车入梯监控、智能充电桩等数据协议进行解析并且数据结果</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设备模型管理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基于设备产品数据解析情况，建立设备模型，设备情况做完整的展示及管理，包括设备的类型，应用场景，监控画面的实时播放/回放，以及设备当前状态情况。</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视频接入</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与视频综合管控平台进行对接，支持项目接入视频可在指挥中心进行查看</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数据查询</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系统实时在线监测设备的异常情况，出现问题及时推送到维护人员，确保设备保持正常状态。</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人员管理</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专职队伍管理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平台对当前专职消防队伍及兼职队伍，包括村社消防人员，企业消防人员等配备情况做数据呈现，实时掌握当下消防力量分布情况，利于更好的管理及优化</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证书管理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对专职人员及安全责任人的相关证书以及证书有效期进行管理维护和预警</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7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安全责任人管理</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通过对巡查点位进行赋码，对消防巡查人员及企业安全责任人员日常巡查工作数字化，消防检查工作记录电子化，数据存档，职责清晰，效率更高效，考核更加明确，进一步提升日常监管的效果</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学习培训情况</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可展现管理区内各单位学习培训情况，并能看到培训进度、培训项目及全方位培训数据统计。</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工作统计</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设备设施维护统计，统计维保单位，单位内部员工的设备设施维护统计工作量</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统计报警处理的及时性并且生成各类工作人员的工作报告</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94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四、数据资源</w:t>
            </w: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数据采集</w:t>
            </w:r>
          </w:p>
        </w:tc>
        <w:tc>
          <w:tcPr>
            <w:tcW w:w="66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采集各沿街店铺、教育机构、养老机构、公共设备设施等系统数据接入，数据手动导入、手工录入等</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数据治理</w:t>
            </w:r>
          </w:p>
        </w:tc>
        <w:tc>
          <w:tcPr>
            <w:tcW w:w="66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数据清洗、数据校验、数据对比、数据补遗、数据转换、数据关联</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数据库建设</w:t>
            </w:r>
          </w:p>
        </w:tc>
        <w:tc>
          <w:tcPr>
            <w:tcW w:w="66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沿街店铺、教育机构、养老机构、公共设备设施等系列专题数据库</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9478"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五、外部接口</w:t>
            </w: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视频数据接入</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视频综合平台对接</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实现与视频统一管理平台的对接，以便完成现有实时监控与智慧安全监管平台的互动</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短信以及电话</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通知服务</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短信和电话</w:t>
            </w:r>
            <w:r>
              <w:rPr>
                <w:rFonts w:hint="eastAsia" w:ascii="宋体" w:hAnsi="宋体" w:cs="宋体"/>
                <w:color w:val="auto"/>
                <w:kern w:val="0"/>
                <w:sz w:val="20"/>
                <w:highlight w:val="none"/>
                <w:lang w:eastAsia="zh-Hans" w:bidi="ar"/>
              </w:rPr>
              <w:t>，</w:t>
            </w:r>
            <w:r>
              <w:rPr>
                <w:rFonts w:hint="eastAsia"/>
                <w:color w:val="auto"/>
                <w:highlight w:val="none"/>
              </w:rPr>
              <w:t>短信资费</w:t>
            </w:r>
            <w:r>
              <w:rPr>
                <w:rFonts w:hint="eastAsia"/>
                <w:color w:val="auto"/>
                <w:highlight w:val="none"/>
                <w:lang w:eastAsia="zh-Hans"/>
              </w:rPr>
              <w:t>≤</w:t>
            </w:r>
            <w:r>
              <w:rPr>
                <w:color w:val="auto"/>
                <w:highlight w:val="none"/>
              </w:rPr>
              <w:t>0.035元/条，语音</w:t>
            </w:r>
            <w:r>
              <w:rPr>
                <w:rFonts w:hint="eastAsia"/>
                <w:color w:val="auto"/>
                <w:highlight w:val="none"/>
                <w:lang w:eastAsia="zh-Hans"/>
              </w:rPr>
              <w:t>资费</w:t>
            </w:r>
            <w:r>
              <w:rPr>
                <w:color w:val="auto"/>
                <w:highlight w:val="none"/>
              </w:rPr>
              <w:t>每18秒</w:t>
            </w:r>
            <w:r>
              <w:rPr>
                <w:rFonts w:hint="eastAsia"/>
                <w:color w:val="auto"/>
                <w:highlight w:val="none"/>
                <w:lang w:eastAsia="zh-Hans"/>
              </w:rPr>
              <w:t>≤</w:t>
            </w:r>
            <w:r>
              <w:rPr>
                <w:color w:val="auto"/>
                <w:highlight w:val="none"/>
              </w:rPr>
              <w:t>0.03</w:t>
            </w:r>
            <w:r>
              <w:rPr>
                <w:rFonts w:hint="eastAsia"/>
                <w:color w:val="auto"/>
                <w:highlight w:val="none"/>
                <w:lang w:eastAsia="zh-Hans"/>
              </w:rPr>
              <w:t>元</w:t>
            </w:r>
            <w:r>
              <w:rPr>
                <w:color w:val="auto"/>
                <w:highlight w:val="none"/>
              </w:rPr>
              <w:t>，可依次叠加，最长90秒</w:t>
            </w:r>
            <w:r>
              <w:rPr>
                <w:rFonts w:hint="eastAsia"/>
                <w:color w:val="auto"/>
                <w:highlight w:val="none"/>
                <w:lang w:eastAsia="zh-Hans"/>
              </w:rPr>
              <w:t>，</w:t>
            </w:r>
            <w:r>
              <w:rPr>
                <w:rFonts w:hint="eastAsia"/>
                <w:color w:val="auto"/>
                <w:highlight w:val="none"/>
              </w:rPr>
              <w:t>由</w:t>
            </w:r>
            <w:r>
              <w:rPr>
                <w:rFonts w:hint="eastAsia"/>
                <w:color w:val="auto"/>
                <w:highlight w:val="none"/>
                <w:lang w:eastAsia="zh-Hans"/>
              </w:rPr>
              <w:t>业主按实另行结算。</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lang w:eastAsia="zh-Hans"/>
              </w:rPr>
            </w:pPr>
          </w:p>
        </w:tc>
      </w:tr>
      <w:tr>
        <w:tblPrEx>
          <w:tblCellMar>
            <w:top w:w="0" w:type="dxa"/>
            <w:left w:w="108" w:type="dxa"/>
            <w:bottom w:w="0" w:type="dxa"/>
            <w:right w:w="108" w:type="dxa"/>
          </w:tblCellMar>
        </w:tblPrEx>
        <w:trPr>
          <w:trHeight w:val="405"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对接服务</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实现短信电话通知平台独立接入</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r>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外部业务平台对接</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对外接口对接</w:t>
            </w:r>
          </w:p>
        </w:tc>
        <w:tc>
          <w:tcPr>
            <w:tcW w:w="53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完成现有已建智慧消防、智慧烟感等平台的数据业务对接，实现基础数据、业务数据等的归集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r>
    </w:tbl>
    <w:p>
      <w:pPr>
        <w:pStyle w:val="24"/>
        <w:rPr>
          <w:rFonts w:hAnsi="宋体"/>
          <w:bCs/>
          <w:color w:val="auto"/>
          <w:sz w:val="21"/>
          <w:szCs w:val="21"/>
          <w:highlight w:val="none"/>
        </w:rPr>
      </w:pPr>
      <w:r>
        <w:rPr>
          <w:rFonts w:hint="eastAsia" w:hAnsi="宋体"/>
          <w:bCs/>
          <w:color w:val="auto"/>
          <w:sz w:val="21"/>
          <w:szCs w:val="21"/>
          <w:highlight w:val="none"/>
        </w:rPr>
        <w:t>3.6智慧安全监管服务指挥中心</w:t>
      </w:r>
    </w:p>
    <w:tbl>
      <w:tblPr>
        <w:tblStyle w:val="47"/>
        <w:tblW w:w="9561" w:type="dxa"/>
        <w:tblInd w:w="0" w:type="dxa"/>
        <w:tblLayout w:type="fixed"/>
        <w:tblCellMar>
          <w:top w:w="0" w:type="dxa"/>
          <w:left w:w="108" w:type="dxa"/>
          <w:bottom w:w="0" w:type="dxa"/>
          <w:right w:w="108" w:type="dxa"/>
        </w:tblCellMar>
      </w:tblPr>
      <w:tblGrid>
        <w:gridCol w:w="699"/>
        <w:gridCol w:w="1468"/>
        <w:gridCol w:w="5610"/>
        <w:gridCol w:w="1784"/>
      </w:tblGrid>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设备名称</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主要技术参数要求</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响应情况</w:t>
            </w: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一</w:t>
            </w:r>
          </w:p>
        </w:tc>
        <w:tc>
          <w:tcPr>
            <w:tcW w:w="7078" w:type="dxa"/>
            <w:gridSpan w:val="2"/>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指挥中心大厅装修</w:t>
            </w:r>
          </w:p>
        </w:tc>
        <w:tc>
          <w:tcPr>
            <w:tcW w:w="178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多层实木地板</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1、15mm厚多层实木地板铺设；</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2、耐磨等级不小于6500转；</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3、5mm自流平铺设。</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实木踢脚线</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80mm高定制实木踢脚线安装，专用粘胶剂粘胶。</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铝方通吊顶</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定制铝方通吊顶40*100@150，配套卡式龙骨，底部喷黑色涂料。</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电动窗帘</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1、成品电动窗帘卷帘长度3米以内（包含轨道、窗帘、五金等）；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2、操控方式：遥控器控制、语音控制；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3、供电方式：电源供电；</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4、连接方式：蓝牙，Wi-Fi。</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遮光窗帘</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成品阻燃遮光卷帘。</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原顶喷黑</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腻子满刮两遍、黑漆乳胶漆3遍。</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成品玻璃隔墙（内百叶）</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成品定制双钢化内置百叶隔断（6+6）。</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成品门</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成品定制装饰门，含门套、门吸、合页、1500*2100。</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会议室背景装饰墙</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成品定制会议室背景装饰墙。</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会议室轻钢龙骨灯带平顶</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U50轻钢龙骨基层、9.5mm石膏板面层、板缝贴胶带点绣、侧面部分18mm阻燃板加固。</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不锈钢门套</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1.5厚304不锈钢门套面层。</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15㎜玻璃门</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15mm厚钢化玻璃平开门。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拉手</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不锈钢长拉手安装。</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地弹簧</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地弹簧安装。</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灯头线、开关线</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1、2.5mmBV+2.5mmBVR电线安装；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2、PVC套管安装；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3、配套单开、双开安装；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4、顶面6W筒灯安装。</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铝合金窗</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90系列铝合金窗；</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屋面防水</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30mmDSM20.0砂浆找平层，屋面1.5mm厚JS防水；材料均需自行搬运至屋顶。</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30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暖通系统</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1、吸顶式空调；</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2、变频/定频：变频；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3、能效等级：三级能效；</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4、匹数：5匹；</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5、含铜管、冷媒及空调安装等一切配件。</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30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19</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highlight w:val="none"/>
              </w:rPr>
            </w:pP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1、吸顶式空调；</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2、变频/定频：变频；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3、能效等级：三级能效；</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4、匹数：3匹；</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5、含铜管、冷媒及空调安装等一切配件。</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4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会议桌</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1、工作台面板：采用具有耐热、耐烟灼、耐撞击、耐潮湿、防水、耐腐蚀的高强度、高质量的高质量进口品牌高压耐磨板（HPL），厚度不低于25mm；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2、侧板：表面覆盖层均需采用高质量具有耐热、耐烟灼、耐撞击、耐潮湿、防水、耐腐蚀的高强度板材；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3、台面板封边工艺及环保要求：台面边缘以鸭嘴式造型收边，要求宽度不低于30mm；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4、背墙板：平板显示器和桌面的配件可以安装在结构背墙上；</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5、强弱电走线设计：底柜内部有专业的走线槽，设置纵向、横向、竖向三个方向的扎线槽，走线槽附近有足够的布线空间；</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6、颜色: 根据实际效果定制烤漆；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7、尺寸：6M*2M*0.8M。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8、样式由业主最终确认。</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实木椅</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人体功能学座椅，面材：科技布，五星脚材质: 铝合金脚。</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灯具</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成品定制灯具，全铝灯体，8W筒灯</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防静电地毯</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防静电地毯安装。</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平顶墙面乳胶漆</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腻子满刮3遍，乳胶漆3遍。</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墙面粉刷</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墙面粉刷拆除后，界面剂一道，2cm厚DPM20.0砂浆粉刷</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27</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文件资料柜</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成品定制铁皮柜钢制办公柜，柜门类型：平开门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指挥中心防雷接地</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间隔1200mm，规格100*0.3铜带接地。</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拆除项</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1、顶面吊顶拆除，地面地板拆除，地面5CM细石混凝土找平层拆除，立面涂料拆除，粉刷层拆除，立面装饰及门窗拆除；</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2、室内排水管需移至室外，包含垃圾清理下楼。</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电缆暖通配线</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1、5*6mm2 YJV电缆安装；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2、SC32套管安装。</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楼梯背景装饰宣传墙面</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定制宣传墙面，喷绘雪弗板。厚度不小于5mm，高度不小于80cm，数量不少于20块</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垃圾清理及其他</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垃圾清理外运及所有材料设备均需自行搬运上楼，脚手架自行考虑，收口打胶自行考虑。</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卫生清洁</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卫生清理、保洁需达到精保洁标准。</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二</w:t>
            </w:r>
          </w:p>
        </w:tc>
        <w:tc>
          <w:tcPr>
            <w:tcW w:w="7078" w:type="dxa"/>
            <w:gridSpan w:val="2"/>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指挥中心1-3楼装修</w:t>
            </w:r>
          </w:p>
        </w:tc>
        <w:tc>
          <w:tcPr>
            <w:tcW w:w="178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感应门</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含钢化玻璃、感应器、电机、大梁、拉丝不锈钢包饰。</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2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人脸识别门禁一体机</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1、采用7英寸LCD触摸显示屏；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2、200万像素双目摄像头，面部识别距离0.2-3m，支持照片视频防假；</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3、设备容量：支持6000张人脸白名单，1：N人脸比对时间＜0.2S/人，支持6000张卡片，50000条记录；</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4、认证方式：支持人脸、刷卡、密码（超级密码）及其组合的认证方式；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5、可读取Mifare卡（IC卡）、CPU卡序列号/内容、身份证序列号；</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6、通讯方式：上行通讯为TCP/IP；支持外接RS485；</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7、视频对讲：支持主副室内分机、管理机的视频对讲功能；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8、支持远程视频预览功能，可以通过RTSP协议输出视频码流，编码格式H.264；9、工作电压： DC12V/2A，含电源。</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0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管理终端</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1、Hygon 3285（8C 16线程 3.0G)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2、DDR4 16G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3、512G 2.5 SATA，6G R SSD</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4、1TB 3.5吋7.2K 6Gb SATA硬盘</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5、4G单宽显卡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6、300W单电源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7、23.8寸液晶显示器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8、含键盘、鼠标</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416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智慧展厅显示屏</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1、CPU架构：四核A53；</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2、存储内存：32GB；</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3、系统：Android；</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4、背光方式：直下式/DLED；</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5、WIFI频段：2.4G；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6、CPU核心数：四核；</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7、运行内存/RAM：3GB；</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8、色域值：72%；</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9、支持格式（高清）：2160p；</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10、屏幕尺寸：65英寸；</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11、屏幕比例：16:9；</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12、对比度：5000：1；</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13、屏幕分辨率：超高清4K；</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14、屏幕类别：IPS硬屏；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15、响应时间：8ms；</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16、HDR显示：支持HDR。</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终端控制系统</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可控制文宣广告屏同时播放不同的信息画面.</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滚动显示屏</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1、Φ3.75双基色显示屏，尺寸1216mm*152mm；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2、含电源、控制系统、边框等。</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辅材</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含管材、网络线、电源线、各子系统连接线缆等。</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30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468"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一楼至三楼楼梯一楼大厅间装修</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1、1-3层楼梯间地面翻新，两部楼梯翻新（全部栏杆更换为6+12A+6超白钢化304不锈钢栏杆）；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2、墙顶面乳胶漆铲除，新做乳胶漆三底两面；</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3、三层入口位置处新增3面A级30mm大理石干挂背景墙。背景墙处设置暗门一樘。楼层间背景处设置宣传背景墙2处。</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一层大厅</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1、含1层大厅大门更换为2樘感应门，新增两面背景墙，墙面包边；</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2、1-3层楼梯区域墙面、地面、扶梯更换。</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408"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文宣广告屏</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1、工业级原装模组液晶屏≥32英寸,四等边框高光外围；</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2、面板分辨率1920*1080,背光亮度450cd/m²,LED背光源,色彩16.7M,对比度4500:1,透光率：98%,显示比例16:9,响应时间：6ms；</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3、CPU:四核、1.8GHz,内存:DDR3 2/4,解码分辨率：3840X2160；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4、内置存储器：≥16G,内置双环绕立体声音箱,内置1个4G模块PCI-E插座；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5、可安装第三方APP；</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6、支持视频格式:4K/1080P/H.265硬解码/wmv/avi/flv/mpeg/ts/mp4等；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7、支持图片格式:JPG/BMP/PNG等各种图片格式浏览并支持旋转/幻灯片播放；</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8、支持智能远程控制管理,远程信息发布,支持API接口调用,上层应用APP开发；9、具有防水雾/防尘/防刮/防油污/防爆/防震/耐高温防护显示特性。</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三</w:t>
            </w:r>
          </w:p>
        </w:tc>
        <w:tc>
          <w:tcPr>
            <w:tcW w:w="7078" w:type="dxa"/>
            <w:gridSpan w:val="2"/>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指挥中心配套设备设施</w:t>
            </w:r>
          </w:p>
        </w:tc>
        <w:tc>
          <w:tcPr>
            <w:tcW w:w="1784"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236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室内LED全彩显示屏</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1、LED发光二极管：表贴三合一LED，国星金线；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2、像素间距：≤1.5625mm；像素密度：≥409600dots/m²；</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 xml:space="preserve">3、显示单元具备3C认证证书；显示单元的最大亮度应≥1200，水平和垂直视角应≥176°，显示单元应具备较好的对比度，最高对比度应≥10000:1； </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4、输入功率 (最大值)：500W/m²；</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5、箱体结构：压铸铝；</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6、工作温湿度：-20℃~+50℃/10%~90%RH；</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w:t>
            </w:r>
            <w:r>
              <w:rPr>
                <w:rFonts w:ascii="宋体" w:hAnsi="宋体" w:cs="宋体"/>
                <w:color w:val="auto"/>
                <w:kern w:val="0"/>
                <w:sz w:val="20"/>
                <w:highlight w:val="none"/>
                <w:lang w:bidi="ar"/>
              </w:rPr>
              <w:t>7</w:t>
            </w:r>
            <w:r>
              <w:rPr>
                <w:rFonts w:hint="eastAsia" w:ascii="宋体" w:hAnsi="宋体" w:cs="宋体"/>
                <w:color w:val="auto"/>
                <w:kern w:val="0"/>
                <w:sz w:val="20"/>
                <w:highlight w:val="none"/>
                <w:lang w:bidi="ar"/>
              </w:rPr>
              <w:t>、显示屏可以根据环境亮度自动调节显示亮度。（提供封面具备CAL、CMA、CNAS标识的第三方检测机构出具的检测报告复印件并盖鲜章）</w:t>
            </w:r>
            <w:r>
              <w:rPr>
                <w:rFonts w:hint="eastAsia" w:ascii="宋体" w:hAnsi="宋体" w:cs="宋体"/>
                <w:color w:val="auto"/>
                <w:kern w:val="0"/>
                <w:sz w:val="20"/>
                <w:highlight w:val="none"/>
                <w:lang w:bidi="ar"/>
              </w:rPr>
              <w:br w:type="textWrapping"/>
            </w:r>
            <w:r>
              <w:rPr>
                <w:rFonts w:ascii="宋体" w:hAnsi="宋体" w:cs="宋体"/>
                <w:color w:val="auto"/>
                <w:kern w:val="0"/>
                <w:sz w:val="20"/>
                <w:highlight w:val="none"/>
                <w:lang w:bidi="ar"/>
              </w:rPr>
              <w:t>8</w:t>
            </w:r>
            <w:r>
              <w:rPr>
                <w:rFonts w:hint="eastAsia" w:ascii="宋体" w:hAnsi="宋体" w:cs="宋体"/>
                <w:color w:val="auto"/>
                <w:kern w:val="0"/>
                <w:sz w:val="20"/>
                <w:highlight w:val="none"/>
                <w:lang w:bidi="ar"/>
              </w:rPr>
              <w:t>、输入功率 (最大值)：500W/m²；</w:t>
            </w:r>
            <w:r>
              <w:rPr>
                <w:rFonts w:hint="eastAsia" w:ascii="宋体" w:hAnsi="宋体" w:cs="宋体"/>
                <w:color w:val="auto"/>
                <w:kern w:val="0"/>
                <w:sz w:val="20"/>
                <w:highlight w:val="none"/>
                <w:lang w:bidi="ar"/>
              </w:rPr>
              <w:br w:type="textWrapping"/>
            </w:r>
            <w:r>
              <w:rPr>
                <w:rFonts w:ascii="宋体" w:hAnsi="宋体" w:cs="宋体"/>
                <w:color w:val="auto"/>
                <w:kern w:val="0"/>
                <w:sz w:val="20"/>
                <w:highlight w:val="none"/>
                <w:lang w:bidi="ar"/>
              </w:rPr>
              <w:t>9</w:t>
            </w:r>
            <w:r>
              <w:rPr>
                <w:rFonts w:hint="eastAsia" w:ascii="宋体" w:hAnsi="宋体" w:cs="宋体"/>
                <w:color w:val="auto"/>
                <w:kern w:val="0"/>
                <w:sz w:val="20"/>
                <w:highlight w:val="none"/>
                <w:lang w:bidi="ar"/>
              </w:rPr>
              <w:t>、箱体结构：压铸铝；</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0</w:t>
            </w:r>
            <w:r>
              <w:rPr>
                <w:rFonts w:hint="eastAsia" w:ascii="宋体" w:hAnsi="宋体" w:cs="宋体"/>
                <w:color w:val="auto"/>
                <w:kern w:val="0"/>
                <w:sz w:val="20"/>
                <w:highlight w:val="none"/>
                <w:lang w:bidi="ar"/>
              </w:rPr>
              <w:t>、工作温湿度：-20℃~+50℃/10%~90%RH；</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1</w:t>
            </w:r>
            <w:r>
              <w:rPr>
                <w:rFonts w:hint="eastAsia" w:ascii="宋体" w:hAnsi="宋体" w:cs="宋体"/>
                <w:color w:val="auto"/>
                <w:kern w:val="0"/>
                <w:sz w:val="20"/>
                <w:highlight w:val="none"/>
                <w:lang w:bidi="ar"/>
              </w:rPr>
              <w:t>、严格控制波长误差，各基色主波长误差应符合SJ/T 11141-2017中C级要求（提供封面具备CAL、CMA、CNAS标识的第三方检测机构出具的检测报告复印件并盖公章）</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2</w:t>
            </w:r>
            <w:r>
              <w:rPr>
                <w:rFonts w:hint="eastAsia" w:ascii="宋体" w:hAnsi="宋体" w:cs="宋体"/>
                <w:color w:val="auto"/>
                <w:kern w:val="0"/>
                <w:sz w:val="20"/>
                <w:highlight w:val="none"/>
                <w:lang w:bidi="ar"/>
              </w:rPr>
              <w:t xml:space="preserve">、显示屏生产厂家是推动行业绿色发展先进单位；（提供相关证明）  </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w:t>
            </w:r>
            <w:r>
              <w:rPr>
                <w:rFonts w:ascii="宋体" w:hAnsi="宋体" w:cs="宋体"/>
                <w:color w:val="auto"/>
                <w:kern w:val="0"/>
                <w:sz w:val="20"/>
                <w:highlight w:val="none"/>
                <w:lang w:bidi="ar"/>
              </w:rPr>
              <w:t>3</w:t>
            </w:r>
            <w:r>
              <w:rPr>
                <w:rFonts w:hint="eastAsia" w:ascii="宋体" w:hAnsi="宋体" w:cs="宋体"/>
                <w:color w:val="auto"/>
                <w:kern w:val="0"/>
                <w:sz w:val="20"/>
                <w:highlight w:val="none"/>
                <w:lang w:bidi="ar"/>
              </w:rPr>
              <w:t>、在显示屏长时间不用或者环境湿度过大时，通过软件可以自动实现定期开机以灰度渐变方式回温除湿。（提供封面具备CAL、CMA、CNAS标识的第三方检测机构出具的检测报告复印件并盖鲜章）</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大屏发送卡</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1、一路DVI视频输入；一路音频输入；四个网口输出或四路光纤输出；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2、RS232接口控制，可级联多台进行统一控制；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3、最大带载分辨率：2048×1152或1920×1200。</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大屏控制器</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标准19”的4U机架设计，电信运营级机箱系统</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插卡式模块设计，可根据市场需求灵活配置；业务卡支持热插拔，可方便进行维护</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冗余风扇散热系统设计，吹抽两种模式同时工作，智能调控温度，配合机箱结构，形成固定风道，确保机箱内温度平衡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双通道冗余电源设计（标配单电源），支持直流/交流电源，适应于机房等应用环境</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支持模拟，数字视频信号的输入和矩阵输出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支持标清，高清视频信号的矩阵切换和输出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支持模拟/SDI/HDCVI信号无压缩直接输出上墙</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支持网络键盘，客户端等控制切换</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采用H.264或MPEG4视频压缩标准，支持双码流技术，可变码流，支持复合流和视频流编码，复合流编码时音频和视频同步</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80路高清视频编码能力（满配）或320路标清视频编码能力（满配）</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支持VGA、DVI、HDMI、CVBS、HD-SDI、3G-SDI输出显示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支持300W/500W/800W/1200W解码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320路1080p30高清视频解码能力（满配）</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支持视音频同步解码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支持60个显示屏的任意拼接</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支持开窗和漫游功能，单屏支持36个窗口</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支持30个预设场景，用户可以自定义每个场景电视墙布局</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支持高清底图显示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支持高清全景拼接</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支持80路1080P网络视频接入、存储及转发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支持网络级联</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支持TCP/IP协议，支持RTP/RTSP/RTCP/TCP/UDP/DHCP等网络协议</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支持远程控制模拟，数字视频切换上墙</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支持远程获取和配置参数，支持远程导出和导入参数</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支持远程获取系统运行状态、系统日志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支持远程重启，远程升级和恢复默认设置等操作</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支持用户权限管理，支持黑白名单功能</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56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大屏控制器解码卡</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color w:val="auto"/>
                <w:highlight w:val="none"/>
              </w:rPr>
              <w:fldChar w:fldCharType="begin"/>
            </w:r>
            <w:r>
              <w:rPr>
                <w:color w:val="auto"/>
                <w:highlight w:val="none"/>
              </w:rPr>
              <w:instrText xml:space="preserve"> HYPERLINK "mailto:支持8路4096*2160@25fps，8路3840*2160@30fps%20，32路1080p@30fps（H.264、H.265），72路720p@30fps，150路D1解码；支持8路1080P的SVAC解码；支持24路非标D1码流解码；1/4/6/8/9/16/25/36画面分割，自由分割" </w:instrText>
            </w:r>
            <w:r>
              <w:rPr>
                <w:color w:val="auto"/>
                <w:highlight w:val="none"/>
              </w:rPr>
              <w:fldChar w:fldCharType="separate"/>
            </w:r>
            <w:r>
              <w:rPr>
                <w:rFonts w:hint="eastAsia" w:ascii="宋体" w:hAnsi="宋体" w:cs="宋体"/>
                <w:color w:val="auto"/>
                <w:kern w:val="0"/>
                <w:sz w:val="20"/>
                <w:highlight w:val="none"/>
                <w:lang w:bidi="ar"/>
              </w:rPr>
              <w:t>支持8路4096*2160@25fps，8路3840*2160@30fps ，32路1080p@30fps（H.264、H.265），72路720p@30fps，150路D1解码；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支持8路1080P的SVAC解码；支持24路非标D1码流解码；1/4/6/8/9/16/25/36画面分割，自由分割</w:t>
            </w:r>
            <w:r>
              <w:rPr>
                <w:rFonts w:hint="eastAsia" w:ascii="宋体" w:hAnsi="宋体" w:cs="宋体"/>
                <w:color w:val="auto"/>
                <w:kern w:val="0"/>
                <w:sz w:val="20"/>
                <w:highlight w:val="none"/>
                <w:lang w:bidi="ar"/>
              </w:rPr>
              <w:fldChar w:fldCharType="end"/>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大屏控制器编码卡</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4路HDMI编码卡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音频输入接口：无接口，HDMI接口自带音频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编码格式：H.264/MPEG4</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编码能力：单板4路1080P，支持1080P/720P/UXGA/SXGA+ /SXGA/XGA/SVGA/VGA分辨率</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配电箱</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1、10kw配电柜，显示屏配电箱；</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2、含各种电器元件，自动空气开关，熔断器，接触器，铜排，防电磁浪涌；</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3、具有过压、过流保护等。</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管理终端</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1、Hygon 3285（8C 16线程 3.0G)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2、DDR4 16G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3、512G 2.5 SATA，6G R SSD</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4、1TB 3.5吋7.2K 6Gb SATA硬盘</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5、4G单宽显卡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6、300W单电源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7、23.8寸液晶显示器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8、含键盘、鼠标</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吸顶音箱</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6寸定阻天花喇叭，功率10-100W，灵敏度88dB，频率62HZ。</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6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功放</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定阻功放，双声道立体声HIFI会议功放，功率120W*2。</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结构及包边、安装</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镀锌钢结构；304不锈钢包边，含设备及系统安装。</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60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操作台</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1、工作台面板：绿色环保，采用具有耐热、耐烟灼、耐撞击、耐潮湿、防水、耐腐蚀的高强度、高质量的高质量进口品牌高压耐磨板（HPL），厚度不低于25mm；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2、侧板：表面覆盖层均需采用高质量具有耐热、耐烟灼、耐撞击、耐潮湿、防水、耐腐蚀的高强度进口品牌具备防火性能板材；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3、台面板封边工艺要求：台面边缘以鸭嘴式造型收边，要求宽度不低于30mm；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4、强弱电走线设计：底柜内部有专业的走线槽，设置纵向、横向、竖向三个方向的扎线槽；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5、框架：框架结构中各部件使用一级冷轧钢板冲压折弯成型，外表面静电塑粉喷涂，主体框架使用不低于2mm厚的一级冷轧钢板；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6、控制台金属件：采用优质冷轧钢板；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7、散热设计：底柜部分要考虑足够合理的自然散热条件，柜体内应有足够的空间存放主机，需设有通风散热孔，通风率需达到≥35%为合格；</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8、铰链：门铰链采用高档弹性阻尼无声缓冲铰链，安装方式必须为快拆式、方便安装和拆卸；</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9、门板：框架前后门板使用实木颗粒板双帖进口防火板加工，整体厚度不低于20mm；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10、尺寸：3035mm*800mm*740mm。</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265"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观摩席</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1、工作台面板：绿色环保，采用具有耐热、耐烟灼、耐撞击、耐潮湿、防水、耐腐蚀的高强度、高质量的高质量进口品牌高压耐磨板（HPL），厚度不低于25mm；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2、侧板：表面覆盖层均需采用高质量具有耐热、耐烟灼、耐撞击、耐潮湿、防水、耐腐蚀的高强度进口品牌具备防火性能板材；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3、台面板封边工艺要求：台面边缘以鸭嘴式造型收边，要求宽度不低于30mm；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4、强弱电走线设计：底柜内部有专业的走线槽，设置纵向、横向、竖向三个方向的扎线槽；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5、框架：框架结构中各部件使用一级冷轧钢板冲压折弯成型，外表面静电塑粉喷涂，主体框架使用不低于2mm厚的一级冷轧钢板；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6、控制台金属件：采用优质冷轧钢板；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7、散热设计：底柜部分要考虑足够合理的自然散热条件，柜体内应有足够的空间存放主机，需设有通风散热孔，通风率需达到≥35%为合格；</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8、铰链：门铰链采用高档弹性阻尼无声缓冲铰链，安装方式必须为快拆式、方便安装和拆卸；</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9、门板：框架前后门板使用实木颗粒板双帖进口防火板加工，整体厚度不低于20mm；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10、尺寸：5054mm*800mm*740mm。</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观摩坐席椅</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人体功能学座椅，面材：科技布，五星脚材质: 铝合金脚。</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人脸识别门禁一体机</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1、采用7英寸LCD触摸显示屏；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2、200万像素双目摄像头，面部识别距离0.2-3m，支持照片视频防假；</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3、设备容量：支持6000张人脸白名单，1：N人脸比对时间＜0.2S/人，支持6000张卡片，50000条记录；</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4、认证方式：支持人脸、刷卡、密码（超级密码）及其组合的认证方式；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5、可读取Mifare卡（IC卡）、CPU卡序列号/内容、身份证序列号；</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6、通讯方式：上行通讯为TCP/IP；支持外接RS485；</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7、视频对讲：支持主副室内分机、管理机的视频对讲功能；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8、支持远程视频预览功能，可以通过RTSP协议输出视频码流，编码格式H.264；8、工作电压： DC12V/2A，含电源。</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15</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4K激光投影仪</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1、安装方式:吊装正投；桌上正投；</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2、投影光源:激光；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3、尺寸:120英寸；</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4、ANSI亮度:4500lm；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5、梯形校正；四向校正；</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6、对比度:1500：1；</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7、投射比:0.252；</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8、镜头材质：玻璃+树脂；</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9、对焦方式：自动；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10、显示比例：16:10；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11、最大兼容分辨率：3840*2160dpi。</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服务器机柜</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容量：42U，尺寸：600*1000*2055mm。</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17</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UPS主机</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1、20KVA/16KW,三进单出；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2、额定输入电压：380/400/415V，输入电压范围：208-478V，输入频率范围：45-55HZ；</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3、输出电压：220V±1％，输出频率50HZ±1％。</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05"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18</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免维护电池</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12V100AH。</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435"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19</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电池柜</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16节柜。</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99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20</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二层交换机</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1、以太网交换机主机；</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2、24个10/100/1000Base-T电接口、4个SFP+万兆光口；</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3、单交流电源。</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21</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无线AP</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1、室内放装型无线接入点，双路双频，支持2条空间流；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2、整机最大接入速率1167Mbps，双千兆上联；</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3、可支持802.11a/b/g/n和802.11ac Wave2同时工作，胖/瘦模式切换；</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4、支持PoE供电。</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22</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POE交换机</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1、8个千兆电口+2个千兆上联电口；</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2、8个口支持PoE/PoE+供电，最大PoE功率60W。</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23</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AC控制器</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1、无线控制器；5个100/1000Mbps自协商以太网口；</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2、内置固化授权默认40个无线接入点的管理，支持面板翻倍；</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3、支持PPPoE、NAT网关；</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4、实现下发配置、修改相关配置参数、射频智能管理、接入安全控制等集中管理功能。</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24</w:t>
            </w:r>
          </w:p>
        </w:tc>
        <w:tc>
          <w:tcPr>
            <w:tcW w:w="1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辅材</w:t>
            </w:r>
          </w:p>
        </w:tc>
        <w:tc>
          <w:tcPr>
            <w:tcW w:w="5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含管材、网络线、电源线、各子系统连接线缆等</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bl>
    <w:p>
      <w:pPr>
        <w:pStyle w:val="24"/>
        <w:rPr>
          <w:rFonts w:hAnsi="宋体"/>
          <w:bCs/>
          <w:color w:val="auto"/>
          <w:sz w:val="21"/>
          <w:szCs w:val="21"/>
          <w:highlight w:val="none"/>
        </w:rPr>
      </w:pPr>
      <w:r>
        <w:rPr>
          <w:rFonts w:hint="eastAsia" w:hAnsi="宋体"/>
          <w:bCs/>
          <w:color w:val="auto"/>
          <w:sz w:val="21"/>
          <w:szCs w:val="21"/>
          <w:highlight w:val="none"/>
        </w:rPr>
        <w:t>3.7机房建设</w:t>
      </w:r>
    </w:p>
    <w:tbl>
      <w:tblPr>
        <w:tblStyle w:val="47"/>
        <w:tblW w:w="9563" w:type="dxa"/>
        <w:tblInd w:w="0" w:type="dxa"/>
        <w:tblLayout w:type="fixed"/>
        <w:tblCellMar>
          <w:top w:w="0" w:type="dxa"/>
          <w:left w:w="108" w:type="dxa"/>
          <w:bottom w:w="0" w:type="dxa"/>
          <w:right w:w="108" w:type="dxa"/>
        </w:tblCellMar>
      </w:tblPr>
      <w:tblGrid>
        <w:gridCol w:w="760"/>
        <w:gridCol w:w="1423"/>
        <w:gridCol w:w="5548"/>
        <w:gridCol w:w="1832"/>
      </w:tblGrid>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设备名称</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主要技术参数要求</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响应情况</w:t>
            </w: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一</w:t>
            </w:r>
          </w:p>
        </w:tc>
        <w:tc>
          <w:tcPr>
            <w:tcW w:w="6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机房装修</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机房地板铺设</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600*600机房铝质防静电地板，质保时间3年，集中荷载大于6500N</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机房吊顶</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U60主龙，专用配套铝板龙骨，1.5mm厚微孔吸声铝板，内置50厚玻璃丝绵。</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机房新增隔墙</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10cm厚混凝土隔墙，模板、2cm砂浆粉刷。</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新开门洞</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混凝土墙开门洞，边角粉刷，新作700*2000实木暗门。</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乳胶漆</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腻子满刮两遍、防尘乳胶漆3遍。</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隔音防火门</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900*2100甲级钢制隔音防火门。</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地面防水防尘处理</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2CM厚JS防水涂料，4cm厚DSM20.0砂浆保护层。</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墙面防水处理</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2CM厚JS防水涂料上翻置顶。</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9</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机房其他</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机房地板、吊顶、墙面粉刷层拆除以及垃圾外运处理。</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10</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灭火器</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气溶胶灭火器，瓶体材质：铝，保质期4年。</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11</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供配电系统</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500*600钢制配电柜，输出功率小于10KW，断路器：DZ47、C65N电流常规10~63A</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二</w:t>
            </w:r>
          </w:p>
        </w:tc>
        <w:tc>
          <w:tcPr>
            <w:tcW w:w="6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机房设备</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门禁及监控</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摄像机、录像机、门禁电源箱、磁力锁、发卡器、读卡器以及相关辅材。门禁识别方式：动态人脸或手掌，门禁记录容量10万。监控追踪方式：移动追踪，焦距：4mm，像素：400万，报警方式：声光报警，夜视类型：全彩夜视，供网方式：无线Wi-Fi。</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机房照明</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照明配电箱、插座、双联单控开关、安全出口指示灯、安全出口指示灯、金属接线盒、电线管穿线等设备</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925"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服务器机柜</w:t>
            </w:r>
          </w:p>
        </w:tc>
        <w:tc>
          <w:tcPr>
            <w:tcW w:w="5548"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0"/>
                <w:highlight w:val="none"/>
              </w:rPr>
            </w:pPr>
            <w:r>
              <w:rPr>
                <w:rFonts w:hint="eastAsia" w:ascii="宋体" w:hAnsi="宋体" w:cs="宋体"/>
                <w:color w:val="auto"/>
                <w:kern w:val="0"/>
                <w:sz w:val="20"/>
                <w:highlight w:val="none"/>
                <w:lang w:bidi="ar"/>
              </w:rPr>
              <w:t>1、服务器机柜尺寸：600mm*1100mm*2000mm，前真空双层钢化玻璃门；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2、机柜框架要求高强度A级优质碳素冷轧钢板；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3、钢材厚度达到2.0mm，顶和底为1.2mm，前后门为1.5mm，支架为2.0mm，理线架为1.5mm，机柜承重能力不低于1800KG；</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4、机柜外表面静电喷塑，满足A类环境的使用要求，黑色RAL9005；</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5、IP等级：IP20，抗震要求满足；</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6、机柜底部前后预留走线孔位，走线孔位可根据需求任意拆装使用量。</w:t>
            </w:r>
          </w:p>
        </w:tc>
        <w:tc>
          <w:tcPr>
            <w:tcW w:w="183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34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综合机柜</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1、冷电一体化空柜，600mm*1100mm*2000mm，前真空双层钢化玻璃门；</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2、机柜框架要求高强度A级优质碳素冷轧钢板；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3、钢材厚度达到2.0mm，顶和底为1.2mm，前后门为1.5mm，支架为2.0mm，理线架为1.5mm，机柜承重能力不低于1800KG；                                                                                       4、机柜外表面静电喷塑，满足A类环境的使用要求；</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5、IP等级：IP20；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6、含配套的机柜冷通道，封闭通尺寸为：600mm*250mm*2000mm，大于等于250mm的冷通道，通道内保温处理，封密效果可达98%；</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7、冷热通道全密闭，防尘降噪。</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30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机架式UPS主机</w:t>
            </w:r>
          </w:p>
        </w:tc>
        <w:tc>
          <w:tcPr>
            <w:tcW w:w="5548"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0"/>
                <w:highlight w:val="none"/>
              </w:rPr>
            </w:pPr>
            <w:r>
              <w:rPr>
                <w:rFonts w:hint="eastAsia" w:ascii="宋体" w:hAnsi="宋体" w:cs="宋体"/>
                <w:color w:val="auto"/>
                <w:kern w:val="0"/>
                <w:sz w:val="20"/>
                <w:highlight w:val="none"/>
                <w:lang w:bidi="ar"/>
              </w:rPr>
              <w:t>1、输入电压范围：单相80V AC～280V AC（80V AC～176V AC 间，负载在40%～100%间线性降额。）；</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2、含配套电池架,16节-20节，电池开关；</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3、含配套电缆连接线及配套辅材,源线-600V-UL1015-6AWG-黄/绿-90A；</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4、接地线、绝缘子，铜编织带，接地端子箱等WDZA-YJY-3*6mm2。</w:t>
            </w:r>
          </w:p>
        </w:tc>
        <w:tc>
          <w:tcPr>
            <w:tcW w:w="183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30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配电模块</w:t>
            </w:r>
          </w:p>
        </w:tc>
        <w:tc>
          <w:tcPr>
            <w:tcW w:w="5548"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0"/>
                <w:highlight w:val="none"/>
              </w:rPr>
            </w:pPr>
            <w:r>
              <w:rPr>
                <w:rFonts w:hint="eastAsia" w:ascii="宋体" w:hAnsi="宋体" w:cs="宋体"/>
                <w:color w:val="auto"/>
                <w:kern w:val="0"/>
                <w:sz w:val="20"/>
                <w:highlight w:val="none"/>
                <w:lang w:bidi="ar"/>
              </w:rPr>
              <w:t>1、IT8.5k，配电与UPS采用一体式，后续可扩展；</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2、采用的开关，应带智能接口、B级防雷器及防雷保护开关、UPS维修旁路开关、电源指示灯；</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3、空调开关、IT输出回路大于等于8路；</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4、含全高6套PDU，输入电压范围：176V AC～264V AC，输入电压：220V AC。</w:t>
            </w:r>
          </w:p>
        </w:tc>
        <w:tc>
          <w:tcPr>
            <w:tcW w:w="183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56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蓄电池</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1、须采用高性能、高可靠性阀控式密封铅酸蓄电池；</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2、蓄电池额定电压12V，额定容量100Ah；</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3、蓄电池内阻需为4.2Ω，运行温度范围：充电0°C~40°C；放电-20°C~55°C；储存-20°C~55°C，浮充电压13.50V~13.80V，循环使用充电电压14.40V~15.00V，最大充电电流36.0A，最大持续放电电流480A；</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4、蓄电池产品不接受OEM及ODM。</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82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8</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精密空调</w:t>
            </w:r>
          </w:p>
        </w:tc>
        <w:tc>
          <w:tcPr>
            <w:tcW w:w="5548"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0"/>
                <w:highlight w:val="none"/>
              </w:rPr>
            </w:pPr>
            <w:r>
              <w:rPr>
                <w:rFonts w:hint="eastAsia" w:ascii="宋体" w:hAnsi="宋体" w:cs="宋体"/>
                <w:color w:val="auto"/>
                <w:kern w:val="0"/>
                <w:sz w:val="20"/>
                <w:highlight w:val="none"/>
                <w:lang w:bidi="ar"/>
              </w:rPr>
              <w:t>1、12.5KW的精密空调；</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2、制冷量不小于12.5KW，风量不小于2600m3/h、水平送风，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3、供电方式220V/230V/240V，</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4、采用环保高效的R410A制冷剂，含环控通讯软件；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5、可以实现最低10%的IT负载及95%以上室内高湿度的情况下的稳定除湿功能，且除湿量不小于5.5kg/h，降低高湿环境下机房内低载运行的IT设备结露风险；</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6、含空调铜管及制冷剂。</w:t>
            </w:r>
          </w:p>
        </w:tc>
        <w:tc>
          <w:tcPr>
            <w:tcW w:w="183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三</w:t>
            </w:r>
          </w:p>
        </w:tc>
        <w:tc>
          <w:tcPr>
            <w:tcW w:w="6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机房环境监控</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温湿度传感器</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1、工作电压：9V～16V静态电流,＜8mA报警电流,＜35mA；</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2、输出形式：继电器输出、输出触点容量,3A/120V AC或3A/24V AC；</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3、工作温度：－10ºC～+50ºC；</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4、环境湿度,≤95%RH。</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56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漏水传感器</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1、工作电压：12V DC（9V DC～16V DC）；</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2、无被测液体输出,CLOSED，有被测液体输出,OPEN；</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3、绝缘电阻：&gt;500MΩ；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4、工作温度：–20℃～+70℃；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5、存储环境：–40℃～+85℃；</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6、功耗要求：&lt;1W。</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漏水感应绳</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1、默认水浸绳长≥5m；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2、可延长性,支持快接端子连接，支持灵活延长；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3、水浸绳可靠性,水浸绳可安装在金属表面。可靠性,失效率：800fits。</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30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环境监控主机</w:t>
            </w:r>
          </w:p>
        </w:tc>
        <w:tc>
          <w:tcPr>
            <w:tcW w:w="5548"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0"/>
                <w:highlight w:val="none"/>
              </w:rPr>
            </w:pPr>
            <w:r>
              <w:rPr>
                <w:rFonts w:hint="eastAsia" w:ascii="宋体" w:hAnsi="宋体" w:cs="宋体"/>
                <w:color w:val="auto"/>
                <w:kern w:val="0"/>
                <w:sz w:val="20"/>
                <w:highlight w:val="none"/>
                <w:lang w:bidi="ar"/>
              </w:rPr>
              <w:t>1、嵌入式管理软件，可实现本地各监控部件运行状态的实时采集，并可通过远程web界面访问整个模块的动环系统；</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2、本地大屏要求与采集器之间通过无线连接，本地具有wifi功能；                                                                                    3、含配套空调监控和UPS监控软件：UPS串口与环控主机直联，无需另加采集器即可监测UPS；空调485接口与环控主机直联，无需另加采集器即可监测空调。</w:t>
            </w:r>
          </w:p>
        </w:tc>
        <w:tc>
          <w:tcPr>
            <w:tcW w:w="183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短信报警器</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1、短信报警平台可同时发送10人以上；</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2、内置于环控主机，可插2G、3G、4G、5G手机卡。</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触摸屏</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 xml:space="preserve">1、触摸屏为9.6英寸，分辨率：800×1280 </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2、IPS全视角，IPS屏，电容5点触控；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3、人脸识别可以免密登录，本地支持刷脸登录，无需繁杂的手输密码或刷卡操作；</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4、芯片处理器为：MSM8916，四核A53，1.2GHz集成芯片。</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7</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模块化机柜</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1、模块化4联柜（UPS、精密空调、供配电、温湿度、烟感、漏水）等设备；</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2、提供多种报警方式（短信、邮件等）机房智慧显示屏、机房精密空调。</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四</w:t>
            </w:r>
          </w:p>
        </w:tc>
        <w:tc>
          <w:tcPr>
            <w:tcW w:w="69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机房综合布线</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综合布线及桥架</w:t>
            </w:r>
          </w:p>
        </w:tc>
        <w:tc>
          <w:tcPr>
            <w:tcW w:w="5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线缆、配线架、理线架、光纤跳线、网格桥架、转弯加强条、出线板、铝合金固线器等设备。</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bl>
    <w:p>
      <w:pPr>
        <w:pStyle w:val="24"/>
        <w:ind w:firstLine="420" w:firstLineChars="200"/>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3.8安全系统</w:t>
      </w:r>
    </w:p>
    <w:tbl>
      <w:tblPr>
        <w:tblStyle w:val="47"/>
        <w:tblW w:w="9560" w:type="dxa"/>
        <w:tblInd w:w="0" w:type="dxa"/>
        <w:tblLayout w:type="fixed"/>
        <w:tblCellMar>
          <w:top w:w="0" w:type="dxa"/>
          <w:left w:w="108" w:type="dxa"/>
          <w:bottom w:w="0" w:type="dxa"/>
          <w:right w:w="108" w:type="dxa"/>
        </w:tblCellMar>
      </w:tblPr>
      <w:tblGrid>
        <w:gridCol w:w="791"/>
        <w:gridCol w:w="1363"/>
        <w:gridCol w:w="5964"/>
        <w:gridCol w:w="1442"/>
      </w:tblGrid>
      <w:tr>
        <w:tblPrEx>
          <w:tblCellMar>
            <w:top w:w="0" w:type="dxa"/>
            <w:left w:w="108" w:type="dxa"/>
            <w:bottom w:w="0" w:type="dxa"/>
            <w:right w:w="108" w:type="dxa"/>
          </w:tblCellMar>
        </w:tblPrEx>
        <w:trPr>
          <w:trHeight w:val="280"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设备名称</w:t>
            </w:r>
          </w:p>
        </w:tc>
        <w:tc>
          <w:tcPr>
            <w:tcW w:w="5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主要技术参数要求</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响应情况</w:t>
            </w:r>
          </w:p>
        </w:tc>
      </w:tr>
      <w:tr>
        <w:tblPrEx>
          <w:tblCellMar>
            <w:top w:w="0" w:type="dxa"/>
            <w:left w:w="108" w:type="dxa"/>
            <w:bottom w:w="0" w:type="dxa"/>
            <w:right w:w="108" w:type="dxa"/>
          </w:tblCellMar>
        </w:tblPrEx>
        <w:trPr>
          <w:trHeight w:val="2365"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 xml:space="preserve">1 </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防火墙</w:t>
            </w:r>
          </w:p>
        </w:tc>
        <w:tc>
          <w:tcPr>
            <w:tcW w:w="5964"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sz w:val="20"/>
                <w:highlight w:val="none"/>
              </w:rPr>
            </w:pPr>
            <w:r>
              <w:rPr>
                <w:rFonts w:hint="eastAsia" w:ascii="宋体" w:hAnsi="宋体" w:cs="宋体"/>
                <w:color w:val="auto"/>
                <w:kern w:val="0"/>
                <w:sz w:val="20"/>
                <w:highlight w:val="none"/>
                <w:lang w:bidi="ar"/>
              </w:rPr>
              <w:t>1、网络吞吐≥20Gbps，应用层吞吐≥3.5Gbps，并发连接数≥500万，新建连接≥10万；</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2、千兆电口≥8个，万兆光口≥12个，接口扩展槽位≥2个；</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3、支持安全域隔离功能，支持包过滤策略功能，能够针对源地址、目的地址、MAC、应用、服务、时间等多维度进行安全策略控制；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4、支持入侵防御、病毒防护、VPN、URL过滤等功能；5、配置4个40KM万兆单模光模块，配置1TB硬盘，配置双电源；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6、配置3年IPS和AV特征库升级授权，提供3年原厂售后服务。</w:t>
            </w:r>
          </w:p>
        </w:tc>
        <w:tc>
          <w:tcPr>
            <w:tcW w:w="144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20"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日志审计</w:t>
            </w:r>
          </w:p>
        </w:tc>
        <w:tc>
          <w:tcPr>
            <w:tcW w:w="5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1、自带6个千兆电，硬盘容量1T，带有一个扩展槽；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2、日志处理能力2000条/秒、日志存储能力1.7亿条/秒；</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3、支持通过 SSL 加密对数据传输等进行处理、采用 B/S 架构，HTTPS 访问；</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4、支持各类设备的日志采集包括国内外主流网络安全设备；Linux、Windows、Windows Server、Unix 等操作系统；Oracle、MySQL、SQLServer 等数据库；Apache、Tomcat、IIS、Weblogic 等中间件；</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5、支持 Syslog、Syslog-ng、SNMP Trap、文件、WMI、FTP、数据库、镜像流量等方式采集日志，支持日志范式化；</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6、支持对安全事件重新定级、安全事件过滤、归并； 支持根据设备类型，按日期展示日志的接入情况，包含不同级别日志数量统计；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7、支持IPv6部署、自定义报表等；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8、配置日志审计授权60个，提供3年原厂售后服务。</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1040"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 xml:space="preserve">3 </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运维审计</w:t>
            </w:r>
          </w:p>
        </w:tc>
        <w:tc>
          <w:tcPr>
            <w:tcW w:w="5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1、自带6个千兆电，1个扩展槽，硬盘容量1T；</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2、最大字符连接100个，最大图型连接50个。</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3、支持SSH、Telnet、RDP、VNC、FTP、SFTP等协议；支持动作流接入；支持用户批量导入、导出，角色定义等；</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4、支持静态口令、手机动态口令、Ukey、AD域、短信、动态口令、Radius、虹膜等认证方式；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5、支持 unix 资源、windows 资源、网络设备资源、数据库资源、C/S 资源、B/S 资源；</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6、支持多级审批、多人审批；支持自动改密、视频回放、IPv6、虚拟化部署、自定义报表管理。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7、配置运维审计管理点数60个，提供3年原厂售后服务。</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780" w:hRule="atLeast"/>
        </w:trPr>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 xml:space="preserve">4 </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等保测评</w:t>
            </w:r>
          </w:p>
        </w:tc>
        <w:tc>
          <w:tcPr>
            <w:tcW w:w="5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等保二级2.0标准</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20"/>
                <w:highlight w:val="none"/>
                <w:lang w:bidi="ar"/>
              </w:rPr>
            </w:pPr>
          </w:p>
        </w:tc>
      </w:tr>
    </w:tbl>
    <w:p>
      <w:pPr>
        <w:pStyle w:val="24"/>
        <w:ind w:firstLine="420" w:firstLineChars="200"/>
        <w:rPr>
          <w:rFonts w:hAnsi="宋体"/>
          <w:bCs/>
          <w:color w:val="auto"/>
          <w:sz w:val="21"/>
          <w:szCs w:val="21"/>
          <w:highlight w:val="none"/>
        </w:rPr>
      </w:pPr>
    </w:p>
    <w:p>
      <w:pPr>
        <w:pStyle w:val="24"/>
        <w:rPr>
          <w:rFonts w:hAnsi="宋体"/>
          <w:bCs/>
          <w:color w:val="auto"/>
          <w:sz w:val="21"/>
          <w:szCs w:val="21"/>
          <w:highlight w:val="none"/>
        </w:rPr>
      </w:pPr>
      <w:r>
        <w:rPr>
          <w:rFonts w:hint="eastAsia" w:hAnsi="宋体"/>
          <w:bCs/>
          <w:color w:val="auto"/>
          <w:sz w:val="21"/>
          <w:szCs w:val="21"/>
          <w:highlight w:val="none"/>
        </w:rPr>
        <w:t>3.9光纤及高空热成像双光谱云台摄像机租赁</w:t>
      </w:r>
    </w:p>
    <w:tbl>
      <w:tblPr>
        <w:tblStyle w:val="47"/>
        <w:tblW w:w="9563" w:type="dxa"/>
        <w:tblInd w:w="0" w:type="dxa"/>
        <w:tblLayout w:type="fixed"/>
        <w:tblCellMar>
          <w:top w:w="0" w:type="dxa"/>
          <w:left w:w="108" w:type="dxa"/>
          <w:bottom w:w="0" w:type="dxa"/>
          <w:right w:w="108" w:type="dxa"/>
        </w:tblCellMar>
      </w:tblPr>
      <w:tblGrid>
        <w:gridCol w:w="618"/>
        <w:gridCol w:w="416"/>
        <w:gridCol w:w="1089"/>
        <w:gridCol w:w="5941"/>
        <w:gridCol w:w="1499"/>
      </w:tblGrid>
      <w:tr>
        <w:tblPrEx>
          <w:tblCellMar>
            <w:top w:w="0" w:type="dxa"/>
            <w:left w:w="108" w:type="dxa"/>
            <w:bottom w:w="0" w:type="dxa"/>
            <w:right w:w="108" w:type="dxa"/>
          </w:tblCellMar>
        </w:tblPrEx>
        <w:trPr>
          <w:trHeight w:val="27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名称</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主要技术参数</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 w:val="20"/>
                <w:highlight w:val="none"/>
                <w:lang w:bidi="ar"/>
              </w:rPr>
            </w:pPr>
            <w:r>
              <w:rPr>
                <w:rFonts w:hint="eastAsia" w:ascii="宋体" w:hAnsi="宋体" w:cs="宋体"/>
                <w:b/>
                <w:bCs/>
                <w:color w:val="auto"/>
                <w:kern w:val="0"/>
                <w:sz w:val="20"/>
                <w:highlight w:val="none"/>
                <w:lang w:bidi="ar"/>
              </w:rPr>
              <w:t>响应情况</w:t>
            </w:r>
          </w:p>
        </w:tc>
      </w:tr>
      <w:tr>
        <w:tblPrEx>
          <w:tblCellMar>
            <w:top w:w="0" w:type="dxa"/>
            <w:left w:w="108" w:type="dxa"/>
            <w:bottom w:w="0" w:type="dxa"/>
            <w:right w:w="108" w:type="dxa"/>
          </w:tblCellMar>
        </w:tblPrEx>
        <w:trPr>
          <w:trHeight w:val="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1</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高位消防监管服务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高位消防监管服务要求：对于人员最远报警距离要求大于等于750m；对于车辆最远报警距离大于等于2250,；船只最远报警距离大于等于2250m；火点最远探测距离大于等于4500m；烟雾最远探测距离大于等于6km；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服务期3年。</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50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2</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光纤链路租赁服务</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提供网络汇聚服务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网络汇聚服务所需技术参数要求：</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1、OLT设备</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1）业务插槽≥12个；</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2）交换方式 存储-转发；</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3）背板带宽 3.2Tbit/s；</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4）MAC地址表 512K；</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5）支持DHCP option82，增强DHCP的安全性；</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6）支持MAC地址与端口绑定，支持IP地址与端口绑定；</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7）支持防御MAC/IP spoofing攻击；</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8）支持三重搅动（triple churing）加密的方式；</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9）支持针对系统的DoS（Denial of Service）攻击的防御；</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10）支持MAC地址过滤功能；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11）支持防御ICMP/IP报文攻击功能；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12）支持源地址路由过滤功能；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13）支持黑名单功能；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14）配置双电源、双主控板。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2、业务板：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1）≥8个PON SFP接口（单纤双向），配置8块PON光模块；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2）支持Class B+,Class C+光模块,Class C++光模块；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3）支持温度查询和高温关断功能。</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服务期3年。</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3</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主干光纤传输服务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观海卫指挥中心机房到慈溪大数据中心，</w:t>
            </w:r>
            <w:r>
              <w:rPr>
                <w:rFonts w:hint="eastAsia" w:ascii="宋体" w:hAnsi="宋体" w:cs="宋体"/>
                <w:color w:val="auto"/>
                <w:kern w:val="0"/>
                <w:sz w:val="20"/>
                <w:highlight w:val="none"/>
                <w:lang w:eastAsia="zh-Hans" w:bidi="ar"/>
              </w:rPr>
              <w:t>≥</w:t>
            </w:r>
            <w:r>
              <w:rPr>
                <w:rFonts w:ascii="宋体" w:hAnsi="宋体" w:cs="宋体"/>
                <w:color w:val="auto"/>
                <w:kern w:val="0"/>
                <w:sz w:val="20"/>
                <w:highlight w:val="none"/>
                <w:lang w:eastAsia="zh-Hans" w:bidi="ar"/>
              </w:rPr>
              <w:t>10</w:t>
            </w:r>
            <w:r>
              <w:rPr>
                <w:rFonts w:hint="eastAsia" w:ascii="宋体" w:hAnsi="宋体" w:cs="宋体"/>
                <w:color w:val="auto"/>
                <w:kern w:val="0"/>
                <w:sz w:val="20"/>
                <w:highlight w:val="none"/>
                <w:lang w:eastAsia="zh-Hans" w:bidi="ar"/>
              </w:rPr>
              <w:t>G带宽，</w:t>
            </w:r>
            <w:r>
              <w:rPr>
                <w:rFonts w:hint="eastAsia" w:ascii="宋体" w:hAnsi="宋体" w:cs="宋体"/>
                <w:color w:val="auto"/>
                <w:kern w:val="0"/>
                <w:sz w:val="20"/>
                <w:highlight w:val="none"/>
                <w:lang w:bidi="ar"/>
              </w:rPr>
              <w:t>租赁期3年。</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汇聚光纤传输服务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OLT到指挥中心机房，</w:t>
            </w:r>
            <w:r>
              <w:rPr>
                <w:rFonts w:hint="eastAsia" w:ascii="宋体" w:hAnsi="宋体" w:cs="宋体"/>
                <w:color w:val="auto"/>
                <w:kern w:val="0"/>
                <w:sz w:val="20"/>
                <w:highlight w:val="none"/>
                <w:lang w:eastAsia="zh-Hans" w:bidi="ar"/>
              </w:rPr>
              <w:t>≥</w:t>
            </w:r>
            <w:r>
              <w:rPr>
                <w:rFonts w:ascii="宋体" w:hAnsi="宋体" w:cs="宋体"/>
                <w:color w:val="auto"/>
                <w:kern w:val="0"/>
                <w:sz w:val="20"/>
                <w:highlight w:val="none"/>
                <w:lang w:eastAsia="zh-Hans" w:bidi="ar"/>
              </w:rPr>
              <w:t>10</w:t>
            </w:r>
            <w:r>
              <w:rPr>
                <w:rFonts w:hint="eastAsia" w:ascii="宋体" w:hAnsi="宋体" w:cs="宋体"/>
                <w:color w:val="auto"/>
                <w:kern w:val="0"/>
                <w:sz w:val="20"/>
                <w:highlight w:val="none"/>
                <w:lang w:eastAsia="zh-Hans" w:bidi="ar"/>
              </w:rPr>
              <w:t>G带宽，</w:t>
            </w:r>
            <w:r>
              <w:rPr>
                <w:rFonts w:hint="eastAsia" w:ascii="宋体" w:hAnsi="宋体" w:cs="宋体"/>
                <w:color w:val="auto"/>
                <w:kern w:val="0"/>
                <w:sz w:val="20"/>
                <w:highlight w:val="none"/>
                <w:lang w:bidi="ar"/>
              </w:rPr>
              <w:t>租赁期3年。</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2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前端接入光纤传输服务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租赁3年，含分光器，分线箱，光纤等</w:t>
            </w:r>
            <w:r>
              <w:rPr>
                <w:rFonts w:hint="eastAsia" w:ascii="宋体" w:hAnsi="宋体" w:cs="宋体"/>
                <w:color w:val="auto"/>
                <w:kern w:val="0"/>
                <w:sz w:val="20"/>
                <w:highlight w:val="none"/>
                <w:lang w:eastAsia="zh-Hans" w:bidi="ar"/>
              </w:rPr>
              <w:t>，≥</w:t>
            </w:r>
            <w:r>
              <w:rPr>
                <w:rFonts w:ascii="宋体" w:hAnsi="宋体" w:cs="宋体"/>
                <w:color w:val="auto"/>
                <w:kern w:val="0"/>
                <w:sz w:val="20"/>
                <w:highlight w:val="none"/>
                <w:lang w:eastAsia="zh-Hans" w:bidi="ar"/>
              </w:rPr>
              <w:t>1</w:t>
            </w:r>
            <w:r>
              <w:rPr>
                <w:rFonts w:hint="eastAsia" w:ascii="宋体" w:hAnsi="宋体" w:cs="宋体"/>
                <w:color w:val="auto"/>
                <w:kern w:val="0"/>
                <w:sz w:val="20"/>
                <w:highlight w:val="none"/>
                <w:lang w:eastAsia="zh-Hans" w:bidi="ar"/>
              </w:rPr>
              <w:t>G带宽</w:t>
            </w:r>
            <w:r>
              <w:rPr>
                <w:rFonts w:hint="eastAsia" w:ascii="宋体" w:hAnsi="宋体" w:cs="宋体"/>
                <w:color w:val="auto"/>
                <w:kern w:val="0"/>
                <w:sz w:val="20"/>
                <w:highlight w:val="none"/>
                <w:lang w:bidi="ar"/>
              </w:rPr>
              <w:t>。</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0"/>
                <w:highlight w:val="none"/>
                <w:lang w:bidi="ar"/>
              </w:rPr>
            </w:pPr>
          </w:p>
        </w:tc>
      </w:tr>
      <w:tr>
        <w:tblPrEx>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可视化烟感网络传输服务</w:t>
            </w:r>
          </w:p>
        </w:tc>
        <w:tc>
          <w:tcPr>
            <w:tcW w:w="5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租赁3年，100M宽带，公网。</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0"/>
                <w:highlight w:val="none"/>
                <w:lang w:bidi="ar"/>
              </w:rPr>
            </w:pPr>
          </w:p>
        </w:tc>
      </w:tr>
    </w:tbl>
    <w:p>
      <w:pPr>
        <w:pStyle w:val="24"/>
        <w:ind w:firstLine="422" w:firstLineChars="200"/>
        <w:rPr>
          <w:rFonts w:hAnsi="宋体"/>
          <w:b/>
          <w:color w:val="auto"/>
          <w:sz w:val="21"/>
          <w:szCs w:val="21"/>
          <w:highlight w:val="none"/>
        </w:rPr>
        <w:sectPr>
          <w:headerReference r:id="rId12" w:type="default"/>
          <w:footerReference r:id="rId13" w:type="default"/>
          <w:pgSz w:w="11907" w:h="16840"/>
          <w:pgMar w:top="851" w:right="1276" w:bottom="1134" w:left="1276" w:header="285" w:footer="418" w:gutter="0"/>
          <w:cols w:space="720" w:num="1"/>
          <w:docGrid w:linePitch="285" w:charSpace="0"/>
        </w:sectPr>
      </w:pP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 xml:space="preserve">第六章 </w:t>
      </w:r>
      <w:r>
        <w:rPr>
          <w:rFonts w:ascii="宋体" w:hAnsi="宋体"/>
          <w:b/>
          <w:color w:val="auto"/>
          <w:sz w:val="32"/>
          <w:highlight w:val="none"/>
        </w:rPr>
        <w:t xml:space="preserve"> </w:t>
      </w:r>
      <w:r>
        <w:rPr>
          <w:rFonts w:hint="eastAsia" w:ascii="宋体" w:hAnsi="宋体"/>
          <w:b/>
          <w:color w:val="auto"/>
          <w:sz w:val="32"/>
          <w:highlight w:val="none"/>
        </w:rPr>
        <w:t>商务条款</w:t>
      </w:r>
      <w:bookmarkEnd w:id="99"/>
    </w:p>
    <w:tbl>
      <w:tblPr>
        <w:tblStyle w:val="47"/>
        <w:tblW w:w="9072" w:type="dxa"/>
        <w:tblInd w:w="108" w:type="dxa"/>
        <w:tblLayout w:type="fixed"/>
        <w:tblCellMar>
          <w:top w:w="0" w:type="dxa"/>
          <w:left w:w="108" w:type="dxa"/>
          <w:bottom w:w="0" w:type="dxa"/>
          <w:right w:w="108" w:type="dxa"/>
        </w:tblCellMar>
      </w:tblPr>
      <w:tblGrid>
        <w:gridCol w:w="880"/>
        <w:gridCol w:w="8192"/>
      </w:tblGrid>
      <w:tr>
        <w:tblPrEx>
          <w:tblCellMar>
            <w:top w:w="0" w:type="dxa"/>
            <w:left w:w="108" w:type="dxa"/>
            <w:bottom w:w="0" w:type="dxa"/>
            <w:right w:w="108" w:type="dxa"/>
          </w:tblCellMar>
        </w:tblPrEx>
        <w:trPr>
          <w:trHeight w:val="20" w:hRule="atLeast"/>
        </w:trPr>
        <w:tc>
          <w:tcPr>
            <w:tcW w:w="88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
                <w:bCs/>
                <w:color w:val="auto"/>
                <w:szCs w:val="21"/>
                <w:highlight w:val="none"/>
              </w:rPr>
            </w:pPr>
            <w:bookmarkStart w:id="106" w:name="_Hlk43048427"/>
            <w:r>
              <w:rPr>
                <w:rFonts w:hint="eastAsia" w:ascii="宋体" w:hAnsi="宋体" w:cs="宋体"/>
                <w:b/>
                <w:bCs/>
                <w:color w:val="auto"/>
                <w:szCs w:val="21"/>
                <w:highlight w:val="none"/>
              </w:rPr>
              <w:t>序号</w:t>
            </w:r>
          </w:p>
        </w:tc>
        <w:tc>
          <w:tcPr>
            <w:tcW w:w="8192" w:type="dxa"/>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tblPrEx>
          <w:tblCellMar>
            <w:top w:w="0" w:type="dxa"/>
            <w:left w:w="108" w:type="dxa"/>
            <w:bottom w:w="0" w:type="dxa"/>
            <w:right w:w="108" w:type="dxa"/>
          </w:tblCellMar>
        </w:tblPrEx>
        <w:trPr>
          <w:trHeight w:val="20" w:hRule="atLeast"/>
        </w:trPr>
        <w:tc>
          <w:tcPr>
            <w:tcW w:w="88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192"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olor w:val="auto"/>
                <w:szCs w:val="21"/>
                <w:highlight w:val="none"/>
                <w:lang w:val="zh-CN"/>
              </w:rPr>
              <w:t>服务地点：采购人指定地点。</w:t>
            </w:r>
          </w:p>
        </w:tc>
      </w:tr>
      <w:tr>
        <w:tblPrEx>
          <w:tblCellMar>
            <w:top w:w="0" w:type="dxa"/>
            <w:left w:w="108" w:type="dxa"/>
            <w:bottom w:w="0" w:type="dxa"/>
            <w:right w:w="108" w:type="dxa"/>
          </w:tblCellMar>
        </w:tblPrEx>
        <w:trPr>
          <w:trHeight w:val="20" w:hRule="atLeast"/>
        </w:trPr>
        <w:tc>
          <w:tcPr>
            <w:tcW w:w="88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2</w:t>
            </w:r>
          </w:p>
        </w:tc>
        <w:tc>
          <w:tcPr>
            <w:tcW w:w="8192"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olor w:val="auto"/>
                <w:szCs w:val="21"/>
                <w:highlight w:val="none"/>
                <w:lang w:val="zh-CN"/>
              </w:rPr>
              <w:t>实施周期：</w:t>
            </w:r>
            <w:r>
              <w:rPr>
                <w:rFonts w:hint="eastAsia" w:ascii="宋体" w:hAnsi="宋体" w:cs="宋体"/>
                <w:color w:val="auto"/>
                <w:szCs w:val="21"/>
                <w:highlight w:val="none"/>
              </w:rPr>
              <w:t>供应商必须合同签订后120日历天内完成整个项目施工，系统试运行1个月后开始项目终验，30天内通过项目最终验收</w:t>
            </w:r>
            <w:r>
              <w:rPr>
                <w:rFonts w:hint="eastAsia" w:ascii="宋体" w:hAnsi="宋体"/>
                <w:color w:val="auto"/>
                <w:szCs w:val="21"/>
                <w:highlight w:val="none"/>
              </w:rPr>
              <w:t>，经验收合格后，正式提供运维服务。</w:t>
            </w:r>
          </w:p>
        </w:tc>
      </w:tr>
      <w:tr>
        <w:tblPrEx>
          <w:tblCellMar>
            <w:top w:w="0" w:type="dxa"/>
            <w:left w:w="108" w:type="dxa"/>
            <w:bottom w:w="0" w:type="dxa"/>
            <w:right w:w="108" w:type="dxa"/>
          </w:tblCellMar>
        </w:tblPrEx>
        <w:trPr>
          <w:trHeight w:val="120" w:hRule="atLeast"/>
        </w:trPr>
        <w:tc>
          <w:tcPr>
            <w:tcW w:w="88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3</w:t>
            </w:r>
          </w:p>
        </w:tc>
        <w:tc>
          <w:tcPr>
            <w:tcW w:w="8192"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olor w:val="auto"/>
                <w:szCs w:val="21"/>
                <w:highlight w:val="none"/>
                <w:lang w:val="zh-CN"/>
              </w:rPr>
              <w:t>售后服务：</w:t>
            </w:r>
            <w:r>
              <w:rPr>
                <w:rFonts w:hint="eastAsia" w:ascii="宋体" w:hAnsi="宋体"/>
                <w:color w:val="auto"/>
                <w:szCs w:val="21"/>
                <w:highlight w:val="none"/>
              </w:rPr>
              <w:t>详见</w:t>
            </w:r>
            <w:r>
              <w:rPr>
                <w:rFonts w:hint="eastAsia" w:ascii="宋体" w:hAnsi="宋体"/>
                <w:color w:val="auto"/>
                <w:szCs w:val="21"/>
                <w:highlight w:val="none"/>
                <w:lang w:val="zh-CN"/>
              </w:rPr>
              <w:t>合同条款</w:t>
            </w:r>
            <w:r>
              <w:rPr>
                <w:rFonts w:hint="eastAsia" w:ascii="宋体" w:hAnsi="宋体"/>
                <w:color w:val="auto"/>
                <w:szCs w:val="21"/>
                <w:highlight w:val="none"/>
              </w:rPr>
              <w:t>第四条、第五条。</w:t>
            </w:r>
          </w:p>
        </w:tc>
      </w:tr>
      <w:tr>
        <w:tblPrEx>
          <w:tblCellMar>
            <w:top w:w="0" w:type="dxa"/>
            <w:left w:w="108" w:type="dxa"/>
            <w:bottom w:w="0" w:type="dxa"/>
            <w:right w:w="108" w:type="dxa"/>
          </w:tblCellMar>
        </w:tblPrEx>
        <w:trPr>
          <w:trHeight w:val="20" w:hRule="atLeast"/>
        </w:trPr>
        <w:tc>
          <w:tcPr>
            <w:tcW w:w="880"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color w:val="auto"/>
                <w:szCs w:val="21"/>
                <w:highlight w:val="none"/>
              </w:rPr>
              <w:t>4</w:t>
            </w:r>
          </w:p>
        </w:tc>
        <w:tc>
          <w:tcPr>
            <w:tcW w:w="8192" w:type="dxa"/>
            <w:tcBorders>
              <w:top w:val="single" w:color="auto" w:sz="4" w:space="0"/>
              <w:left w:val="single" w:color="000000" w:sz="6" w:space="0"/>
              <w:bottom w:val="single" w:color="000000" w:sz="6"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lang w:val="zh-CN"/>
              </w:rPr>
              <w:t>付款方法和条件：详见合同条款第</w:t>
            </w:r>
            <w:r>
              <w:rPr>
                <w:rFonts w:hint="eastAsia" w:ascii="宋体" w:hAnsi="宋体" w:cs="宋体"/>
                <w:color w:val="auto"/>
                <w:szCs w:val="21"/>
                <w:highlight w:val="none"/>
              </w:rPr>
              <w:t>六</w:t>
            </w:r>
            <w:r>
              <w:rPr>
                <w:rFonts w:hint="eastAsia" w:ascii="宋体" w:hAnsi="宋体" w:cs="宋体"/>
                <w:color w:val="auto"/>
                <w:szCs w:val="21"/>
                <w:highlight w:val="none"/>
                <w:lang w:val="zh-CN"/>
              </w:rPr>
              <w:t>条。</w:t>
            </w:r>
          </w:p>
        </w:tc>
      </w:tr>
      <w:tr>
        <w:tblPrEx>
          <w:tblCellMar>
            <w:top w:w="0" w:type="dxa"/>
            <w:left w:w="108" w:type="dxa"/>
            <w:bottom w:w="0" w:type="dxa"/>
            <w:right w:w="108" w:type="dxa"/>
          </w:tblCellMar>
        </w:tblPrEx>
        <w:trPr>
          <w:trHeight w:val="20" w:hRule="atLeast"/>
        </w:trPr>
        <w:tc>
          <w:tcPr>
            <w:tcW w:w="88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ascii="宋体" w:hAnsi="宋体" w:cs="宋体"/>
                <w:color w:val="auto"/>
                <w:szCs w:val="21"/>
                <w:highlight w:val="none"/>
              </w:rPr>
              <w:t>5</w:t>
            </w:r>
          </w:p>
        </w:tc>
        <w:tc>
          <w:tcPr>
            <w:tcW w:w="8192" w:type="dxa"/>
            <w:tcBorders>
              <w:top w:val="single" w:color="000000" w:sz="6" w:space="0"/>
              <w:left w:val="single" w:color="000000" w:sz="6" w:space="0"/>
              <w:bottom w:val="single" w:color="000000" w:sz="6" w:space="0"/>
              <w:right w:val="single" w:color="auto" w:sz="4" w:space="0"/>
            </w:tcBorders>
            <w:vAlign w:val="center"/>
          </w:tcPr>
          <w:p>
            <w:pPr>
              <w:spacing w:line="400" w:lineRule="exact"/>
              <w:rPr>
                <w:rFonts w:ascii="宋体" w:hAnsi="宋体"/>
                <w:color w:val="auto"/>
                <w:szCs w:val="21"/>
                <w:highlight w:val="none"/>
                <w:lang w:val="zh-CN"/>
              </w:rPr>
            </w:pPr>
            <w:r>
              <w:rPr>
                <w:rFonts w:hint="eastAsia" w:ascii="宋体" w:hAnsi="宋体"/>
                <w:color w:val="auto"/>
                <w:szCs w:val="21"/>
                <w:highlight w:val="none"/>
                <w:lang w:val="zh-CN"/>
              </w:rPr>
              <w:t>履约保证金金额：合同总价的</w:t>
            </w:r>
            <w:r>
              <w:rPr>
                <w:rFonts w:hint="eastAsia" w:ascii="宋体" w:hAnsi="宋体"/>
                <w:color w:val="auto"/>
                <w:szCs w:val="21"/>
                <w:highlight w:val="none"/>
              </w:rPr>
              <w:t>2.</w:t>
            </w:r>
            <w:r>
              <w:rPr>
                <w:rFonts w:hint="eastAsia" w:ascii="宋体" w:hAnsi="宋体"/>
                <w:color w:val="auto"/>
                <w:szCs w:val="21"/>
                <w:highlight w:val="none"/>
                <w:lang w:val="zh-CN"/>
              </w:rPr>
              <w:t>5％，</w:t>
            </w:r>
            <w:r>
              <w:rPr>
                <w:rFonts w:hint="eastAsia" w:ascii="宋体" w:hAnsi="宋体"/>
                <w:color w:val="auto"/>
                <w:szCs w:val="21"/>
                <w:highlight w:val="none"/>
              </w:rPr>
              <w:t>支付预付款前提交采购人，验收合格后五日内无息退还。</w:t>
            </w:r>
          </w:p>
        </w:tc>
      </w:tr>
      <w:tr>
        <w:tblPrEx>
          <w:tblCellMar>
            <w:top w:w="0" w:type="dxa"/>
            <w:left w:w="108" w:type="dxa"/>
            <w:bottom w:w="0" w:type="dxa"/>
            <w:right w:w="108" w:type="dxa"/>
          </w:tblCellMar>
        </w:tblPrEx>
        <w:trPr>
          <w:trHeight w:val="20" w:hRule="atLeast"/>
        </w:trPr>
        <w:tc>
          <w:tcPr>
            <w:tcW w:w="88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ascii="宋体" w:hAnsi="宋体" w:cs="宋体"/>
                <w:color w:val="auto"/>
                <w:szCs w:val="21"/>
                <w:highlight w:val="none"/>
              </w:rPr>
              <w:t>6</w:t>
            </w:r>
          </w:p>
        </w:tc>
        <w:tc>
          <w:tcPr>
            <w:tcW w:w="8192"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履约保证金形式：</w:t>
            </w:r>
          </w:p>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可选择：银行汇票（电汇）、支票（仅限于使用宁波大市区范围内的银行开具的支票）、</w:t>
            </w:r>
            <w:r>
              <w:rPr>
                <w:rFonts w:hint="eastAsia" w:ascii="宋体" w:hAnsi="宋体"/>
                <w:color w:val="auto"/>
                <w:szCs w:val="21"/>
                <w:highlight w:val="none"/>
              </w:rPr>
              <w:t>保函（</w:t>
            </w:r>
            <w:r>
              <w:rPr>
                <w:rFonts w:hint="eastAsia" w:ascii="宋体" w:hAnsi="宋体"/>
                <w:color w:val="auto"/>
                <w:szCs w:val="21"/>
                <w:highlight w:val="none"/>
                <w:lang w:val="zh-CN"/>
              </w:rPr>
              <w:t>仅限于使用宁波大市区范围内的</w:t>
            </w:r>
            <w:r>
              <w:rPr>
                <w:rFonts w:hint="eastAsia" w:ascii="宋体" w:hAnsi="宋体"/>
                <w:color w:val="auto"/>
                <w:szCs w:val="21"/>
                <w:highlight w:val="none"/>
              </w:rPr>
              <w:t>银行、保险公司出具的保函）</w:t>
            </w:r>
            <w:r>
              <w:rPr>
                <w:rFonts w:hint="eastAsia" w:ascii="宋体" w:hAnsi="宋体"/>
                <w:color w:val="auto"/>
                <w:szCs w:val="21"/>
                <w:highlight w:val="none"/>
                <w:lang w:val="zh-CN"/>
              </w:rPr>
              <w:t>。</w:t>
            </w:r>
          </w:p>
        </w:tc>
      </w:tr>
      <w:tr>
        <w:tblPrEx>
          <w:tblCellMar>
            <w:top w:w="0" w:type="dxa"/>
            <w:left w:w="108" w:type="dxa"/>
            <w:bottom w:w="0" w:type="dxa"/>
            <w:right w:w="108" w:type="dxa"/>
          </w:tblCellMar>
        </w:tblPrEx>
        <w:trPr>
          <w:trHeight w:val="20" w:hRule="atLeast"/>
        </w:trPr>
        <w:tc>
          <w:tcPr>
            <w:tcW w:w="88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192" w:type="dxa"/>
            <w:tcBorders>
              <w:top w:val="single" w:color="000000" w:sz="6" w:space="0"/>
              <w:left w:val="single" w:color="000000" w:sz="6" w:space="0"/>
              <w:bottom w:val="single" w:color="000000" w:sz="6" w:space="0"/>
              <w:right w:val="single" w:color="auto" w:sz="4" w:space="0"/>
            </w:tcBorders>
            <w:vAlign w:val="center"/>
          </w:tcPr>
          <w:p>
            <w:pPr>
              <w:autoSpaceDE w:val="0"/>
              <w:autoSpaceDN w:val="0"/>
              <w:adjustRightInd w:val="0"/>
              <w:spacing w:line="36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pPr>
              <w:autoSpaceDE w:val="0"/>
              <w:autoSpaceDN w:val="0"/>
              <w:adjustRightInd w:val="0"/>
              <w:spacing w:line="36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ascii="宋体" w:hAnsi="宋体" w:cs="宋体"/>
                <w:color w:val="auto"/>
                <w:szCs w:val="21"/>
                <w:highlight w:val="none"/>
                <w:lang w:val="zh-CN"/>
              </w:rPr>
            </w:pPr>
            <w:r>
              <w:rPr>
                <w:rFonts w:hint="eastAsia" w:ascii="宋体" w:hAnsi="宋体"/>
                <w:color w:val="auto"/>
                <w:szCs w:val="21"/>
                <w:highlight w:val="none"/>
                <w:lang w:val="zh-CN"/>
              </w:rPr>
              <w:t>②中标供应商如不遵守招标文件或投标文件各项条款的邀约与要约，或在接到中标通知书后借故拖延，拒签合同的，采购人将上报</w:t>
            </w:r>
            <w:r>
              <w:rPr>
                <w:rFonts w:hint="eastAsia" w:ascii="宋体" w:hAnsi="宋体"/>
                <w:color w:val="auto"/>
                <w:szCs w:val="21"/>
                <w:highlight w:val="none"/>
                <w:lang w:val="en-US" w:eastAsia="zh-CN"/>
              </w:rPr>
              <w:t>财政部门</w:t>
            </w:r>
            <w:r>
              <w:rPr>
                <w:rFonts w:hint="eastAsia" w:ascii="宋体" w:hAnsi="宋体"/>
                <w:color w:val="auto"/>
                <w:szCs w:val="21"/>
                <w:highlight w:val="none"/>
                <w:lang w:val="zh-CN"/>
              </w:rPr>
              <w:t>。给采购人造成的损失的还应当予以赔偿。</w:t>
            </w:r>
          </w:p>
        </w:tc>
      </w:tr>
      <w:bookmarkEnd w:id="2"/>
      <w:bookmarkEnd w:id="106"/>
    </w:tbl>
    <w:p>
      <w:pPr>
        <w:spacing w:line="400" w:lineRule="exact"/>
        <w:rPr>
          <w:rFonts w:ascii="宋体" w:hAnsi="宋体"/>
          <w:b/>
          <w:color w:val="auto"/>
          <w:sz w:val="32"/>
          <w:highlight w:val="none"/>
        </w:rPr>
      </w:pPr>
    </w:p>
    <w:p>
      <w:pPr>
        <w:spacing w:line="400" w:lineRule="exact"/>
        <w:jc w:val="center"/>
        <w:rPr>
          <w:rFonts w:ascii="宋体" w:hAnsi="宋体"/>
          <w:b/>
          <w:color w:val="auto"/>
          <w:sz w:val="32"/>
          <w:highlight w:val="none"/>
        </w:rPr>
        <w:sectPr>
          <w:pgSz w:w="11907" w:h="16840"/>
          <w:pgMar w:top="851" w:right="1276" w:bottom="1134" w:left="1276" w:header="285" w:footer="418" w:gutter="0"/>
          <w:cols w:space="720" w:num="1"/>
          <w:docGrid w:linePitch="285" w:charSpace="0"/>
        </w:sectPr>
      </w:pPr>
    </w:p>
    <w:p>
      <w:pPr>
        <w:spacing w:line="400" w:lineRule="exact"/>
        <w:jc w:val="center"/>
        <w:outlineLvl w:val="0"/>
        <w:rPr>
          <w:rFonts w:ascii="宋体" w:hAnsi="宋体"/>
          <w:b/>
          <w:color w:val="auto"/>
          <w:sz w:val="32"/>
          <w:highlight w:val="none"/>
        </w:rPr>
      </w:pPr>
      <w:bookmarkStart w:id="107" w:name="_Toc46014247"/>
      <w:r>
        <w:rPr>
          <w:rFonts w:hint="eastAsia" w:ascii="宋体" w:hAnsi="宋体"/>
          <w:b/>
          <w:color w:val="auto"/>
          <w:sz w:val="32"/>
          <w:highlight w:val="none"/>
        </w:rPr>
        <w:t xml:space="preserve">第七章 </w:t>
      </w:r>
      <w:r>
        <w:rPr>
          <w:rFonts w:ascii="宋体" w:hAnsi="宋体"/>
          <w:b/>
          <w:color w:val="auto"/>
          <w:sz w:val="32"/>
          <w:highlight w:val="none"/>
        </w:rPr>
        <w:t xml:space="preserve"> </w:t>
      </w:r>
      <w:r>
        <w:rPr>
          <w:rFonts w:hint="eastAsia" w:ascii="宋体" w:hAnsi="宋体"/>
          <w:b/>
          <w:color w:val="auto"/>
          <w:sz w:val="32"/>
          <w:highlight w:val="none"/>
        </w:rPr>
        <w:t>附件</w:t>
      </w:r>
      <w:bookmarkEnd w:id="107"/>
    </w:p>
    <w:p>
      <w:pPr>
        <w:autoSpaceDE w:val="0"/>
        <w:autoSpaceDN w:val="0"/>
        <w:adjustRightInd w:val="0"/>
        <w:spacing w:before="960" w:beforeLines="400" w:line="420" w:lineRule="exact"/>
        <w:jc w:val="center"/>
        <w:rPr>
          <w:rStyle w:val="61"/>
          <w:rFonts w:ascii="宋体" w:hAnsi="宋体"/>
          <w:color w:val="auto"/>
          <w:sz w:val="32"/>
          <w:szCs w:val="32"/>
          <w:highlight w:val="none"/>
        </w:rPr>
      </w:pPr>
      <w:r>
        <w:rPr>
          <w:rStyle w:val="61"/>
          <w:rFonts w:ascii="宋体" w:hAnsi="宋体"/>
          <w:color w:val="auto"/>
          <w:sz w:val="32"/>
          <w:szCs w:val="32"/>
          <w:highlight w:val="none"/>
        </w:rPr>
        <w:t>A.</w:t>
      </w:r>
      <w:r>
        <w:rPr>
          <w:rStyle w:val="61"/>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p>
    <w:p>
      <w:pPr>
        <w:spacing w:line="360" w:lineRule="auto"/>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after="120" w:line="900" w:lineRule="exact"/>
        <w:jc w:val="center"/>
        <w:rPr>
          <w:rFonts w:ascii="宋体" w:hAnsi="宋体"/>
          <w:b/>
          <w:color w:val="auto"/>
          <w:sz w:val="48"/>
          <w:szCs w:val="50"/>
          <w:highlight w:val="none"/>
        </w:rPr>
      </w:pPr>
      <w:r>
        <w:rPr>
          <w:rFonts w:hint="eastAsia" w:ascii="宋体" w:hAnsi="宋体"/>
          <w:b/>
          <w:color w:val="auto"/>
          <w:sz w:val="48"/>
          <w:szCs w:val="50"/>
          <w:highlight w:val="none"/>
        </w:rPr>
        <w:t>观海卫镇智慧安全监管服务平台一期项目</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标项：</w:t>
      </w:r>
      <w:r>
        <w:rPr>
          <w:rFonts w:hint="eastAsia" w:ascii="宋体" w:hAnsi="宋体"/>
          <w:color w:val="auto"/>
          <w:sz w:val="36"/>
          <w:szCs w:val="36"/>
          <w:highlight w:val="none"/>
          <w:u w:val="single"/>
        </w:rPr>
        <w:t>（如有多个标项）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6"/>
        <w:ind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 xml:space="preserve">    年  月  日</w:t>
      </w:r>
    </w:p>
    <w:p>
      <w:pPr>
        <w:spacing w:line="360" w:lineRule="auto"/>
        <w:rPr>
          <w:rStyle w:val="61"/>
          <w:rFonts w:ascii="宋体" w:hAnsi="宋体"/>
          <w:color w:val="auto"/>
          <w:szCs w:val="21"/>
          <w:highlight w:val="none"/>
        </w:rPr>
      </w:pPr>
      <w:r>
        <w:rPr>
          <w:rStyle w:val="61"/>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ascii="宋体" w:hAnsi="宋体"/>
          <w:b/>
          <w:color w:val="auto"/>
          <w:szCs w:val="21"/>
          <w:highlight w:val="none"/>
        </w:rPr>
        <w:t>A1</w:t>
      </w:r>
      <w:r>
        <w:rPr>
          <w:rFonts w:hint="eastAsia" w:ascii="宋体" w:hAnsi="宋体"/>
          <w:b/>
          <w:color w:val="auto"/>
          <w:szCs w:val="21"/>
          <w:highlight w:val="none"/>
        </w:rPr>
        <w:t>、营业执照副本（或事业法人登记证副本或其他登记证明材料）复印件加盖供应商公章。</w:t>
      </w:r>
    </w:p>
    <w:p>
      <w:pPr>
        <w:spacing w:line="400" w:lineRule="exact"/>
        <w:jc w:val="center"/>
        <w:rPr>
          <w:rFonts w:ascii="宋体" w:hAnsi="宋体"/>
          <w:b/>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ind w:firstLine="422" w:firstLineChars="200"/>
        <w:rPr>
          <w:rFonts w:ascii="宋体" w:hAnsi="宋体"/>
          <w:b/>
          <w:color w:val="auto"/>
          <w:szCs w:val="21"/>
          <w:highlight w:val="none"/>
        </w:rPr>
      </w:pPr>
    </w:p>
    <w:p>
      <w:pPr>
        <w:spacing w:line="400" w:lineRule="exact"/>
        <w:ind w:firstLine="422" w:firstLineChars="200"/>
        <w:rPr>
          <w:rFonts w:ascii="宋体" w:hAnsi="宋体"/>
          <w:b/>
          <w:color w:val="auto"/>
          <w:szCs w:val="21"/>
          <w:highlight w:val="none"/>
        </w:rPr>
      </w:pPr>
    </w:p>
    <w:p>
      <w:pPr>
        <w:spacing w:line="400" w:lineRule="exact"/>
        <w:jc w:val="center"/>
        <w:rPr>
          <w:rFonts w:ascii="宋体" w:hAnsi="宋体"/>
          <w:b/>
          <w:color w:val="auto"/>
          <w:szCs w:val="21"/>
          <w:highlight w:val="none"/>
        </w:rPr>
      </w:pPr>
      <w:r>
        <w:rPr>
          <w:rStyle w:val="61"/>
          <w:rFonts w:ascii="宋体" w:hAnsi="宋体"/>
          <w:color w:val="auto"/>
          <w:szCs w:val="21"/>
          <w:highlight w:val="none"/>
        </w:rPr>
        <w:br w:type="page"/>
      </w:r>
      <w:r>
        <w:rPr>
          <w:rFonts w:ascii="宋体" w:hAnsi="宋体"/>
          <w:b/>
          <w:color w:val="auto"/>
          <w:szCs w:val="21"/>
          <w:highlight w:val="none"/>
        </w:rPr>
        <w:t>A</w:t>
      </w:r>
      <w:r>
        <w:rPr>
          <w:rFonts w:hint="eastAsia" w:ascii="宋体" w:hAnsi="宋体"/>
          <w:b/>
          <w:color w:val="auto"/>
          <w:szCs w:val="21"/>
          <w:highlight w:val="none"/>
        </w:rPr>
        <w:t>2、</w:t>
      </w:r>
      <w:r>
        <w:rPr>
          <w:rStyle w:val="61"/>
          <w:rFonts w:hint="eastAsia" w:ascii="宋体" w:hAnsi="宋体"/>
          <w:color w:val="auto"/>
          <w:sz w:val="21"/>
          <w:szCs w:val="21"/>
          <w:highlight w:val="none"/>
        </w:rPr>
        <w:t>关于</w:t>
      </w:r>
      <w:r>
        <w:rPr>
          <w:rFonts w:hint="eastAsia" w:ascii="宋体" w:hAnsi="宋体"/>
          <w:b/>
          <w:color w:val="auto"/>
          <w:szCs w:val="21"/>
          <w:highlight w:val="none"/>
        </w:rPr>
        <w:t>资格的承诺函</w:t>
      </w: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rPr>
          <w:rFonts w:ascii="宋体" w:hAnsi="宋体"/>
          <w:color w:val="auto"/>
          <w:kern w:val="0"/>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tabs>
          <w:tab w:val="left" w:pos="4860"/>
        </w:tabs>
        <w:spacing w:line="400" w:lineRule="exact"/>
        <w:rPr>
          <w:rFonts w:ascii="宋体" w:hAnsi="宋体"/>
          <w:color w:val="auto"/>
          <w:szCs w:val="21"/>
          <w:highlight w:val="none"/>
        </w:rPr>
      </w:pPr>
    </w:p>
    <w:p>
      <w:pPr>
        <w:tabs>
          <w:tab w:val="left" w:pos="4860"/>
        </w:tabs>
        <w:spacing w:line="400" w:lineRule="exact"/>
        <w:rPr>
          <w:rFonts w:ascii="宋体" w:hAnsi="宋体"/>
          <w:color w:val="auto"/>
          <w:szCs w:val="21"/>
          <w:highlight w:val="none"/>
        </w:rPr>
      </w:pPr>
      <w:r>
        <w:rPr>
          <w:rFonts w:hint="eastAsia" w:ascii="宋体" w:hAnsi="宋体"/>
          <w:color w:val="auto"/>
          <w:szCs w:val="21"/>
          <w:highlight w:val="none"/>
        </w:rPr>
        <w:t>日            期：</w:t>
      </w:r>
    </w:p>
    <w:p>
      <w:pPr>
        <w:spacing w:line="400" w:lineRule="exact"/>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atLeast"/>
        <w:rPr>
          <w:rFonts w:ascii="宋体" w:hAnsi="宋体"/>
          <w:color w:val="auto"/>
          <w:szCs w:val="21"/>
          <w:highlight w:val="none"/>
        </w:rPr>
      </w:pPr>
    </w:p>
    <w:p>
      <w:pPr>
        <w:spacing w:line="400" w:lineRule="exact"/>
        <w:ind w:firstLine="422" w:firstLineChars="200"/>
        <w:rPr>
          <w:rFonts w:ascii="宋体" w:hAnsi="宋体"/>
          <w:b/>
          <w:color w:val="auto"/>
          <w:szCs w:val="21"/>
          <w:highlight w:val="none"/>
        </w:rPr>
      </w:pPr>
    </w:p>
    <w:p>
      <w:pPr>
        <w:spacing w:line="400" w:lineRule="exact"/>
        <w:ind w:firstLine="422" w:firstLineChars="200"/>
        <w:rPr>
          <w:rFonts w:ascii="宋体" w:hAnsi="宋体"/>
          <w:b/>
          <w:color w:val="auto"/>
          <w:szCs w:val="21"/>
          <w:highlight w:val="none"/>
        </w:rPr>
      </w:pPr>
    </w:p>
    <w:p>
      <w:pPr>
        <w:spacing w:line="400" w:lineRule="exact"/>
        <w:jc w:val="center"/>
        <w:rPr>
          <w:rFonts w:ascii="宋体" w:hAnsi="宋体"/>
          <w:b/>
          <w:color w:val="auto"/>
          <w:szCs w:val="21"/>
          <w:highlight w:val="none"/>
        </w:rPr>
      </w:pPr>
      <w:r>
        <w:rPr>
          <w:rStyle w:val="61"/>
          <w:rFonts w:ascii="宋体" w:hAnsi="宋体"/>
          <w:color w:val="auto"/>
          <w:szCs w:val="21"/>
          <w:highlight w:val="none"/>
        </w:rPr>
        <w:br w:type="page"/>
      </w:r>
      <w:r>
        <w:rPr>
          <w:rFonts w:ascii="宋体" w:hAnsi="宋体"/>
          <w:b/>
          <w:color w:val="auto"/>
          <w:szCs w:val="21"/>
          <w:highlight w:val="none"/>
        </w:rPr>
        <w:t>A</w:t>
      </w:r>
      <w:r>
        <w:rPr>
          <w:rFonts w:hint="eastAsia" w:ascii="宋体" w:hAnsi="宋体"/>
          <w:b/>
          <w:color w:val="auto"/>
          <w:szCs w:val="21"/>
          <w:highlight w:val="none"/>
        </w:rPr>
        <w:t>3无重大违法记录的声明函</w:t>
      </w:r>
    </w:p>
    <w:p>
      <w:pPr>
        <w:spacing w:line="400" w:lineRule="exact"/>
        <w:rPr>
          <w:rFonts w:ascii="宋体" w:hAnsi="宋体"/>
          <w:color w:val="auto"/>
          <w:szCs w:val="21"/>
          <w:highlight w:val="none"/>
        </w:rPr>
      </w:pP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我单位参与本次采购活动前三年内，在经营活动中没有重大违法记录。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我单位对上述声明的真实性负责。如有虚假，将依法承担相应法律责任。</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2"/>
        <w:spacing w:before="0" w:beforeAutospacing="0" w:after="0" w:afterAutospacing="0" w:line="400" w:lineRule="exact"/>
        <w:ind w:firstLine="660"/>
        <w:jc w:val="both"/>
        <w:rPr>
          <w:bCs/>
          <w:color w:val="auto"/>
          <w:sz w:val="21"/>
          <w:szCs w:val="21"/>
          <w:highlight w:val="none"/>
        </w:rPr>
      </w:pPr>
    </w:p>
    <w:p>
      <w:pPr>
        <w:pStyle w:val="42"/>
        <w:spacing w:before="0" w:beforeAutospacing="0" w:after="0" w:afterAutospacing="0" w:line="400" w:lineRule="exact"/>
        <w:ind w:firstLine="660"/>
        <w:jc w:val="both"/>
        <w:rPr>
          <w:bCs/>
          <w:color w:val="auto"/>
          <w:sz w:val="21"/>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pStyle w:val="42"/>
        <w:spacing w:before="0" w:beforeAutospacing="0" w:after="0" w:afterAutospacing="0" w:line="400" w:lineRule="exact"/>
        <w:ind w:firstLine="660"/>
        <w:jc w:val="both"/>
        <w:rPr>
          <w:bCs/>
          <w:color w:val="auto"/>
          <w:sz w:val="21"/>
          <w:szCs w:val="21"/>
          <w:highlight w:val="none"/>
        </w:rPr>
      </w:pPr>
    </w:p>
    <w:p>
      <w:pPr>
        <w:pStyle w:val="42"/>
        <w:spacing w:before="0" w:beforeAutospacing="0" w:after="0" w:afterAutospacing="0" w:line="400" w:lineRule="exact"/>
        <w:ind w:firstLine="660"/>
        <w:jc w:val="both"/>
        <w:rPr>
          <w:bCs/>
          <w:color w:val="auto"/>
          <w:sz w:val="21"/>
          <w:szCs w:val="21"/>
          <w:highlight w:val="none"/>
        </w:rPr>
      </w:pPr>
    </w:p>
    <w:p>
      <w:pPr>
        <w:spacing w:line="400" w:lineRule="exact"/>
        <w:rPr>
          <w:rFonts w:ascii="宋体" w:hAnsi="宋体"/>
          <w:bCs/>
          <w:color w:val="auto"/>
          <w:szCs w:val="21"/>
          <w:highlight w:val="none"/>
        </w:rPr>
      </w:pPr>
      <w:r>
        <w:rPr>
          <w:rFonts w:hint="eastAsia" w:ascii="宋体" w:hAnsi="宋体"/>
          <w:bCs/>
          <w:color w:val="auto"/>
          <w:szCs w:val="21"/>
          <w:highlight w:val="none"/>
        </w:rPr>
        <w:t>注：</w:t>
      </w:r>
      <w:r>
        <w:rPr>
          <w:rFonts w:ascii="宋体" w:hAnsi="宋体"/>
          <w:bCs/>
          <w:color w:val="auto"/>
          <w:szCs w:val="21"/>
          <w:highlight w:val="none"/>
        </w:rPr>
        <w:t>1</w:t>
      </w:r>
      <w:r>
        <w:rPr>
          <w:rFonts w:hint="eastAsia" w:ascii="宋体" w:hAnsi="宋体"/>
          <w:bCs/>
          <w:color w:val="auto"/>
          <w:szCs w:val="21"/>
          <w:highlight w:val="none"/>
        </w:rPr>
        <w:t>、供应商注册成立不足三年的，应就供应商单位成立至参加政府采购活动时段进行承诺。</w:t>
      </w:r>
    </w:p>
    <w:p>
      <w:pPr>
        <w:pStyle w:val="42"/>
        <w:spacing w:before="0" w:beforeAutospacing="0" w:after="0" w:afterAutospacing="0" w:line="400" w:lineRule="exact"/>
        <w:ind w:firstLine="420" w:firstLineChars="200"/>
        <w:jc w:val="both"/>
        <w:rPr>
          <w:bCs/>
          <w:color w:val="auto"/>
          <w:sz w:val="21"/>
          <w:szCs w:val="21"/>
          <w:highlight w:val="none"/>
        </w:rPr>
      </w:pPr>
      <w:r>
        <w:rPr>
          <w:bCs/>
          <w:color w:val="auto"/>
          <w:sz w:val="21"/>
          <w:szCs w:val="21"/>
          <w:highlight w:val="none"/>
        </w:rPr>
        <w:t>2</w:t>
      </w:r>
      <w:r>
        <w:rPr>
          <w:rFonts w:hint="eastAsia"/>
          <w:bCs/>
          <w:color w:val="auto"/>
          <w:sz w:val="21"/>
          <w:szCs w:val="21"/>
          <w:highlight w:val="none"/>
        </w:rPr>
        <w:t>、政府采购法所称重大违法记录：是指供应商因违法经营受到刑事处罚或者责令停产停业、吊销许可证或者执照、较大数额罚款等行政处罚。</w:t>
      </w:r>
    </w:p>
    <w:p>
      <w:pPr>
        <w:spacing w:line="400" w:lineRule="exact"/>
        <w:rPr>
          <w:rFonts w:ascii="宋体" w:hAnsi="宋体"/>
          <w:b/>
          <w:bCs/>
          <w:color w:val="auto"/>
          <w:szCs w:val="21"/>
          <w:highlight w:val="none"/>
        </w:rPr>
      </w:pPr>
    </w:p>
    <w:p>
      <w:pPr>
        <w:spacing w:line="400" w:lineRule="exact"/>
        <w:jc w:val="center"/>
        <w:rPr>
          <w:rFonts w:ascii="宋体" w:hAnsi="宋体"/>
          <w:b/>
          <w:color w:val="auto"/>
          <w:szCs w:val="21"/>
          <w:highlight w:val="none"/>
        </w:rPr>
      </w:pPr>
      <w:r>
        <w:rPr>
          <w:rFonts w:ascii="宋体" w:hAnsi="宋体"/>
          <w:b/>
          <w:color w:val="auto"/>
          <w:szCs w:val="21"/>
          <w:highlight w:val="none"/>
        </w:rPr>
        <w:br w:type="page"/>
      </w:r>
      <w:r>
        <w:rPr>
          <w:rFonts w:ascii="宋体" w:hAnsi="宋体"/>
          <w:b/>
          <w:color w:val="auto"/>
          <w:szCs w:val="21"/>
          <w:highlight w:val="none"/>
        </w:rPr>
        <w:t>A</w:t>
      </w:r>
      <w:r>
        <w:rPr>
          <w:rFonts w:hint="eastAsia" w:ascii="宋体" w:hAnsi="宋体"/>
          <w:b/>
          <w:color w:val="auto"/>
          <w:szCs w:val="21"/>
          <w:highlight w:val="none"/>
        </w:rPr>
        <w:t>4其他资格要求需提供的声明函</w:t>
      </w:r>
    </w:p>
    <w:p>
      <w:pPr>
        <w:spacing w:line="400" w:lineRule="exact"/>
        <w:rPr>
          <w:rFonts w:ascii="宋体" w:hAnsi="宋体"/>
          <w:color w:val="auto"/>
          <w:szCs w:val="21"/>
          <w:highlight w:val="none"/>
        </w:rPr>
      </w:pP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1、我单位符合法律、行政法规规定的其他条件。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2、我单位未被信用中国网站（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color w:val="auto"/>
          <w:szCs w:val="21"/>
          <w:highlight w:val="none"/>
        </w:rPr>
        <w:t>www.creditchina.gov.cn</w:t>
      </w:r>
      <w:r>
        <w:rPr>
          <w:rFonts w:ascii="宋体" w:hAnsi="宋体"/>
          <w:color w:val="auto"/>
          <w:szCs w:val="21"/>
          <w:highlight w:val="none"/>
        </w:rPr>
        <w:fldChar w:fldCharType="end"/>
      </w:r>
      <w:r>
        <w:rPr>
          <w:rFonts w:hint="eastAsia" w:ascii="宋体" w:hAnsi="宋体"/>
          <w:color w:val="auto"/>
          <w:szCs w:val="21"/>
          <w:highlight w:val="none"/>
        </w:rPr>
        <w:t>）列入失信被执行人、重大税收违法案件当事人名单，未被中国政府采购网（</w:t>
      </w:r>
      <w:r>
        <w:rPr>
          <w:rFonts w:ascii="宋体" w:hAnsi="宋体"/>
          <w:color w:val="auto"/>
          <w:szCs w:val="21"/>
          <w:highlight w:val="none"/>
        </w:rPr>
        <w:t>www.ccgp.gov.cn</w:t>
      </w:r>
      <w:r>
        <w:rPr>
          <w:rFonts w:hint="eastAsia" w:ascii="宋体" w:hAnsi="宋体"/>
          <w:color w:val="auto"/>
          <w:szCs w:val="21"/>
          <w:highlight w:val="none"/>
        </w:rPr>
        <w:t>）列入政府采购严重违法失信行为记录名单。</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2"/>
        <w:spacing w:before="0" w:beforeAutospacing="0" w:after="0" w:afterAutospacing="0" w:line="400" w:lineRule="exact"/>
        <w:ind w:firstLine="660"/>
        <w:jc w:val="both"/>
        <w:rPr>
          <w:bCs/>
          <w:color w:val="auto"/>
          <w:sz w:val="21"/>
          <w:szCs w:val="21"/>
          <w:highlight w:val="none"/>
        </w:rPr>
      </w:pPr>
    </w:p>
    <w:p>
      <w:pPr>
        <w:pStyle w:val="42"/>
        <w:spacing w:before="0" w:beforeAutospacing="0" w:after="0" w:afterAutospacing="0" w:line="400" w:lineRule="exact"/>
        <w:ind w:firstLine="660"/>
        <w:jc w:val="both"/>
        <w:rPr>
          <w:bCs/>
          <w:color w:val="auto"/>
          <w:sz w:val="21"/>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400" w:lineRule="atLeast"/>
        <w:rPr>
          <w:rFonts w:ascii="宋体" w:hAnsi="宋体"/>
          <w:color w:val="auto"/>
          <w:szCs w:val="21"/>
          <w:highlight w:val="none"/>
          <w:u w:val="single"/>
        </w:rPr>
      </w:pPr>
    </w:p>
    <w:p>
      <w:pPr>
        <w:pStyle w:val="42"/>
        <w:spacing w:before="0" w:beforeAutospacing="0" w:after="0" w:afterAutospacing="0" w:line="400" w:lineRule="exact"/>
        <w:ind w:firstLine="660"/>
        <w:jc w:val="both"/>
        <w:rPr>
          <w:bCs/>
          <w:color w:val="auto"/>
          <w:sz w:val="21"/>
          <w:szCs w:val="21"/>
          <w:highlight w:val="none"/>
        </w:rPr>
      </w:pPr>
    </w:p>
    <w:p>
      <w:pPr>
        <w:pStyle w:val="42"/>
        <w:spacing w:before="0" w:beforeAutospacing="0" w:after="0" w:afterAutospacing="0" w:line="400" w:lineRule="exact"/>
        <w:ind w:firstLine="660"/>
        <w:jc w:val="both"/>
        <w:rPr>
          <w:bCs/>
          <w:color w:val="auto"/>
          <w:sz w:val="21"/>
          <w:szCs w:val="21"/>
          <w:highlight w:val="none"/>
        </w:rPr>
      </w:pPr>
    </w:p>
    <w:p>
      <w:pPr>
        <w:spacing w:line="440" w:lineRule="exact"/>
        <w:jc w:val="center"/>
        <w:rPr>
          <w:rStyle w:val="61"/>
          <w:rFonts w:ascii="宋体" w:hAnsi="宋体"/>
          <w:color w:val="auto"/>
          <w:szCs w:val="21"/>
          <w:highlight w:val="none"/>
        </w:rPr>
      </w:pPr>
    </w:p>
    <w:p>
      <w:pPr>
        <w:widowControl/>
        <w:jc w:val="left"/>
        <w:rPr>
          <w:rStyle w:val="61"/>
          <w:rFonts w:ascii="宋体" w:hAnsi="宋体"/>
          <w:color w:val="auto"/>
          <w:szCs w:val="21"/>
          <w:highlight w:val="none"/>
        </w:rPr>
      </w:pPr>
      <w:r>
        <w:rPr>
          <w:rStyle w:val="61"/>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hint="eastAsia" w:ascii="宋体" w:hAnsi="宋体"/>
          <w:b/>
          <w:color w:val="auto"/>
          <w:szCs w:val="21"/>
          <w:highlight w:val="none"/>
        </w:rPr>
        <w:t>A5、分支机构投标的（指金融、保险、通讯等特定行业），还须提供总公司（总机构）授权书或房产权证或其他有效财产证明材料复印件加盖供应商公章。</w:t>
      </w:r>
    </w:p>
    <w:p>
      <w:pPr>
        <w:spacing w:line="440" w:lineRule="exact"/>
        <w:rPr>
          <w:rStyle w:val="61"/>
          <w:rFonts w:ascii="宋体" w:hAnsi="宋体"/>
          <w:color w:val="auto"/>
          <w:szCs w:val="21"/>
          <w:highlight w:val="none"/>
        </w:rPr>
      </w:pPr>
      <w:r>
        <w:rPr>
          <w:rStyle w:val="61"/>
          <w:rFonts w:ascii="宋体" w:hAnsi="宋体"/>
          <w:color w:val="auto"/>
          <w:szCs w:val="21"/>
          <w:highlight w:val="none"/>
        </w:rPr>
        <w:br w:type="page"/>
      </w:r>
    </w:p>
    <w:p>
      <w:pPr>
        <w:spacing w:line="400" w:lineRule="exact"/>
        <w:ind w:firstLine="474" w:firstLineChars="200"/>
        <w:jc w:val="left"/>
        <w:rPr>
          <w:rStyle w:val="61"/>
          <w:rFonts w:ascii="宋体" w:hAnsi="宋体"/>
          <w:color w:val="auto"/>
          <w:szCs w:val="21"/>
          <w:highlight w:val="none"/>
        </w:rPr>
      </w:pPr>
    </w:p>
    <w:p>
      <w:pPr>
        <w:spacing w:line="400" w:lineRule="exact"/>
        <w:jc w:val="left"/>
        <w:rPr>
          <w:rStyle w:val="61"/>
          <w:rFonts w:ascii="宋体" w:hAnsi="宋体"/>
          <w:color w:val="auto"/>
          <w:sz w:val="28"/>
          <w:szCs w:val="28"/>
          <w:highlight w:val="none"/>
        </w:rPr>
      </w:pPr>
    </w:p>
    <w:p>
      <w:pPr>
        <w:autoSpaceDE w:val="0"/>
        <w:autoSpaceDN w:val="0"/>
        <w:adjustRightInd w:val="0"/>
        <w:spacing w:before="240" w:beforeLines="100" w:line="400" w:lineRule="exact"/>
        <w:jc w:val="center"/>
        <w:outlineLvl w:val="0"/>
        <w:rPr>
          <w:rStyle w:val="61"/>
          <w:rFonts w:ascii="宋体" w:hAnsi="宋体"/>
          <w:color w:val="auto"/>
          <w:sz w:val="32"/>
          <w:szCs w:val="32"/>
          <w:highlight w:val="none"/>
        </w:rPr>
      </w:pPr>
      <w:bookmarkStart w:id="108" w:name="_Toc46014248"/>
      <w:bookmarkStart w:id="109" w:name="_Toc16913"/>
      <w:bookmarkStart w:id="110" w:name="_Toc46014095"/>
      <w:bookmarkStart w:id="111" w:name="_Toc21541026"/>
      <w:bookmarkStart w:id="112" w:name="_Toc46014205"/>
      <w:r>
        <w:rPr>
          <w:rStyle w:val="61"/>
          <w:rFonts w:ascii="宋体" w:hAnsi="宋体"/>
          <w:color w:val="auto"/>
          <w:sz w:val="32"/>
          <w:szCs w:val="32"/>
          <w:highlight w:val="none"/>
        </w:rPr>
        <w:t>B.</w:t>
      </w:r>
      <w:r>
        <w:rPr>
          <w:rStyle w:val="61"/>
          <w:rFonts w:hint="eastAsia" w:ascii="宋体" w:hAnsi="宋体"/>
          <w:color w:val="auto"/>
          <w:sz w:val="32"/>
          <w:szCs w:val="32"/>
          <w:highlight w:val="none"/>
        </w:rPr>
        <w:t>商务和技术文件</w:t>
      </w:r>
      <w:bookmarkEnd w:id="108"/>
      <w:bookmarkEnd w:id="109"/>
      <w:bookmarkEnd w:id="110"/>
      <w:bookmarkEnd w:id="111"/>
      <w:bookmarkEnd w:id="112"/>
    </w:p>
    <w:p>
      <w:pPr>
        <w:autoSpaceDE w:val="0"/>
        <w:autoSpaceDN w:val="0"/>
        <w:adjustRightInd w:val="0"/>
        <w:spacing w:line="420" w:lineRule="exact"/>
        <w:rPr>
          <w:rStyle w:val="61"/>
          <w:rFonts w:ascii="宋体" w:hAnsi="宋体"/>
          <w:b w:val="0"/>
          <w:color w:val="auto"/>
          <w:highlight w:val="none"/>
          <w:lang w:val="zh-CN"/>
        </w:rPr>
      </w:pPr>
      <w:r>
        <w:rPr>
          <w:rStyle w:val="61"/>
          <w:rFonts w:ascii="宋体" w:hAnsi="宋体"/>
          <w:color w:val="auto"/>
          <w:sz w:val="32"/>
          <w:szCs w:val="32"/>
          <w:highlight w:val="none"/>
        </w:rPr>
        <w:br w:type="page"/>
      </w:r>
      <w:r>
        <w:rPr>
          <w:rStyle w:val="61"/>
          <w:rFonts w:hint="eastAsia" w:ascii="宋体" w:hAnsi="宋体"/>
          <w:color w:val="auto"/>
          <w:szCs w:val="21"/>
          <w:highlight w:val="none"/>
        </w:rPr>
        <w:t>封面</w:t>
      </w:r>
    </w:p>
    <w:p>
      <w:pPr>
        <w:spacing w:line="360" w:lineRule="auto"/>
        <w:ind w:firstLine="1285" w:firstLineChars="400"/>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after="120" w:line="900" w:lineRule="exact"/>
        <w:jc w:val="center"/>
        <w:rPr>
          <w:rFonts w:ascii="宋体" w:hAnsi="宋体"/>
          <w:b/>
          <w:color w:val="auto"/>
          <w:sz w:val="48"/>
          <w:szCs w:val="50"/>
          <w:highlight w:val="none"/>
        </w:rPr>
      </w:pPr>
      <w:r>
        <w:rPr>
          <w:rFonts w:hint="eastAsia" w:ascii="宋体" w:hAnsi="宋体"/>
          <w:b/>
          <w:color w:val="auto"/>
          <w:sz w:val="48"/>
          <w:szCs w:val="50"/>
          <w:highlight w:val="none"/>
        </w:rPr>
        <w:t>观海卫镇智慧安全监管服务平台一期项目</w:t>
      </w:r>
    </w:p>
    <w:p>
      <w:pPr>
        <w:spacing w:line="360" w:lineRule="auto"/>
        <w:jc w:val="center"/>
        <w:rPr>
          <w:rFonts w:ascii="宋体" w:hAnsi="宋体"/>
          <w:color w:val="auto"/>
          <w:sz w:val="36"/>
          <w:szCs w:val="36"/>
          <w:highlight w:val="none"/>
          <w:u w:val="singl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项目编号：</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6"/>
        <w:ind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61"/>
          <w:rFonts w:ascii="宋体" w:hAnsi="宋体"/>
          <w:color w:val="auto"/>
          <w:sz w:val="28"/>
          <w:szCs w:val="28"/>
          <w:highlight w:val="none"/>
        </w:rPr>
      </w:pPr>
      <w:r>
        <w:rPr>
          <w:rFonts w:hint="eastAsia" w:ascii="宋体" w:hAnsi="宋体"/>
          <w:color w:val="auto"/>
          <w:sz w:val="36"/>
          <w:szCs w:val="36"/>
          <w:highlight w:val="none"/>
        </w:rPr>
        <w:t xml:space="preserve">    年  月  日</w:t>
      </w:r>
    </w:p>
    <w:p>
      <w:pPr>
        <w:spacing w:line="360" w:lineRule="auto"/>
        <w:ind w:firstLine="4200" w:firstLineChars="2000"/>
        <w:jc w:val="left"/>
        <w:rPr>
          <w:rFonts w:ascii="宋体" w:hAnsi="宋体"/>
          <w:color w:val="auto"/>
          <w:szCs w:val="21"/>
          <w:highlight w:val="none"/>
        </w:rPr>
      </w:pPr>
    </w:p>
    <w:p>
      <w:pPr>
        <w:spacing w:line="360" w:lineRule="auto"/>
        <w:jc w:val="center"/>
        <w:rPr>
          <w:rFonts w:ascii="宋体" w:hAnsi="宋体"/>
          <w:b/>
          <w:color w:val="auto"/>
          <w:szCs w:val="21"/>
          <w:highlight w:val="none"/>
        </w:rPr>
      </w:pPr>
      <w:r>
        <w:rPr>
          <w:rStyle w:val="61"/>
          <w:rFonts w:ascii="宋体" w:hAnsi="宋体"/>
          <w:color w:val="auto"/>
          <w:szCs w:val="21"/>
          <w:highlight w:val="none"/>
        </w:rPr>
        <w:br w:type="page"/>
      </w:r>
      <w:r>
        <w:rPr>
          <w:rFonts w:hint="eastAsia" w:ascii="宋体" w:hAnsi="宋体"/>
          <w:b/>
          <w:color w:val="auto"/>
          <w:szCs w:val="21"/>
          <w:highlight w:val="none"/>
        </w:rPr>
        <w:t>B1投标书</w:t>
      </w:r>
    </w:p>
    <w:p>
      <w:pPr>
        <w:spacing w:line="400" w:lineRule="exac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 xml:space="preserve">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授权</w:t>
      </w:r>
      <w:r>
        <w:rPr>
          <w:rFonts w:hint="eastAsia" w:ascii="宋体" w:hAnsi="宋体"/>
          <w:color w:val="auto"/>
          <w:szCs w:val="21"/>
          <w:highlight w:val="none"/>
          <w:u w:val="single"/>
        </w:rPr>
        <w:t>（全名、职务）</w:t>
      </w:r>
      <w:r>
        <w:rPr>
          <w:rFonts w:hint="eastAsia" w:ascii="宋体" w:hAnsi="宋体"/>
          <w:color w:val="auto"/>
          <w:szCs w:val="21"/>
          <w:highlight w:val="none"/>
        </w:rPr>
        <w:t>为全权代表，参加贵方组织的</w:t>
      </w:r>
      <w:r>
        <w:rPr>
          <w:rFonts w:hint="eastAsia" w:hAnsi="Times New Roman"/>
          <w:color w:val="auto"/>
          <w:kern w:val="0"/>
          <w:szCs w:val="28"/>
          <w:highlight w:val="none"/>
          <w:u w:val="single"/>
        </w:rPr>
        <w:t>观海卫镇智慧安全监管服务平台一期项目</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CXZFCG[2022]993号</w:t>
      </w:r>
      <w:r>
        <w:rPr>
          <w:rFonts w:hint="eastAsia" w:ascii="宋体" w:hAnsi="宋体"/>
          <w:color w:val="auto"/>
          <w:szCs w:val="21"/>
          <w:highlight w:val="none"/>
          <w:u w:val="single"/>
        </w:rPr>
        <w:t>）</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90</w:t>
      </w:r>
      <w:r>
        <w:rPr>
          <w:rFonts w:hint="eastAsia" w:ascii="宋体" w:hAnsi="宋体"/>
          <w:color w:val="auto"/>
          <w:szCs w:val="21"/>
          <w:highlight w:val="none"/>
        </w:rPr>
        <w:t>个日历日。</w:t>
      </w:r>
    </w:p>
    <w:p>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pPr>
        <w:spacing w:line="400" w:lineRule="exact"/>
        <w:ind w:firstLine="420" w:firstLineChars="200"/>
        <w:jc w:val="left"/>
        <w:rPr>
          <w:rFonts w:ascii="宋体" w:hAnsi="宋体"/>
          <w:color w:val="auto"/>
          <w:szCs w:val="21"/>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邮编：</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传真：</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w:t>
      </w: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spacing w:line="360" w:lineRule="auto"/>
        <w:jc w:val="center"/>
        <w:rPr>
          <w:rFonts w:ascii="宋体" w:hAnsi="宋体"/>
          <w:b/>
          <w:bCs/>
          <w:color w:val="auto"/>
          <w:szCs w:val="21"/>
          <w:highlight w:val="none"/>
        </w:rPr>
      </w:pPr>
      <w:r>
        <w:rPr>
          <w:rStyle w:val="61"/>
          <w:rFonts w:ascii="宋体" w:hAnsi="宋体"/>
          <w:color w:val="auto"/>
          <w:szCs w:val="21"/>
          <w:highlight w:val="none"/>
        </w:rPr>
        <w:br w:type="page"/>
      </w:r>
      <w:r>
        <w:rPr>
          <w:rFonts w:hint="eastAsia" w:ascii="宋体" w:hAnsi="宋体"/>
          <w:b/>
          <w:bCs/>
          <w:color w:val="auto"/>
          <w:highlight w:val="none"/>
        </w:rPr>
        <w:t>B</w:t>
      </w:r>
      <w:r>
        <w:rPr>
          <w:rFonts w:ascii="宋体" w:hAnsi="宋体"/>
          <w:b/>
          <w:bCs/>
          <w:color w:val="auto"/>
          <w:szCs w:val="21"/>
          <w:highlight w:val="none"/>
        </w:rPr>
        <w:t>2</w:t>
      </w:r>
      <w:r>
        <w:rPr>
          <w:rFonts w:hint="eastAsia" w:ascii="宋体" w:hAnsi="宋体"/>
          <w:b/>
          <w:bCs/>
          <w:color w:val="auto"/>
          <w:szCs w:val="21"/>
          <w:highlight w:val="none"/>
        </w:rPr>
        <w:t>法定代表人身份证明</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    年  月  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性别：</w:t>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年龄：</w:t>
      </w:r>
      <w:r>
        <w:rPr>
          <w:rFonts w:ascii="宋体" w:hAnsi="宋体"/>
          <w:color w:val="auto"/>
          <w:szCs w:val="21"/>
          <w:highlight w:val="none"/>
          <w:u w:val="single"/>
        </w:rPr>
        <w:tab/>
      </w:r>
      <w:r>
        <w:rPr>
          <w:rFonts w:ascii="宋体" w:hAnsi="宋体"/>
          <w:color w:val="auto"/>
          <w:szCs w:val="21"/>
          <w:highlight w:val="none"/>
          <w:u w:val="single"/>
        </w:rPr>
        <w:tab/>
      </w:r>
      <w:r>
        <w:rPr>
          <w:rFonts w:hint="eastAsia" w:ascii="宋体" w:hAnsi="宋体"/>
          <w:color w:val="auto"/>
          <w:szCs w:val="21"/>
          <w:highlight w:val="none"/>
        </w:rPr>
        <w:t>职务：</w:t>
      </w:r>
      <w:r>
        <w:rPr>
          <w:rFonts w:ascii="宋体" w:hAnsi="宋体"/>
          <w:color w:val="auto"/>
          <w:szCs w:val="21"/>
          <w:highlight w:val="none"/>
          <w:u w:val="single"/>
        </w:rPr>
        <w:tab/>
      </w:r>
      <w:r>
        <w:rPr>
          <w:rFonts w:ascii="宋体" w:hAnsi="宋体"/>
          <w:color w:val="auto"/>
          <w:szCs w:val="21"/>
          <w:highlight w:val="none"/>
          <w:u w:val="single"/>
        </w:rPr>
        <w:tab/>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后附：法定代表人身份证复印件加盖供应商公章。</w:t>
      </w:r>
    </w:p>
    <w:p>
      <w:pPr>
        <w:spacing w:line="400" w:lineRule="atLeast"/>
        <w:rPr>
          <w:rFonts w:ascii="宋体" w:hAnsi="宋体"/>
          <w:color w:val="auto"/>
          <w:szCs w:val="21"/>
          <w:highlight w:val="none"/>
          <w:u w:val="single"/>
        </w:rPr>
      </w:pPr>
    </w:p>
    <w:p>
      <w:pPr>
        <w:spacing w:line="400" w:lineRule="exact"/>
        <w:jc w:val="center"/>
        <w:rPr>
          <w:rFonts w:ascii="宋体" w:hAnsi="宋体"/>
          <w:b/>
          <w:color w:val="auto"/>
          <w:szCs w:val="21"/>
          <w:highlight w:val="none"/>
        </w:rPr>
      </w:pPr>
      <w:r>
        <w:rPr>
          <w:rStyle w:val="61"/>
          <w:rFonts w:ascii="宋体" w:hAnsi="宋体"/>
          <w:color w:val="auto"/>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hAnsi="Times New Roman"/>
          <w:color w:val="auto"/>
          <w:kern w:val="0"/>
          <w:szCs w:val="28"/>
          <w:highlight w:val="none"/>
          <w:u w:val="single"/>
        </w:rPr>
        <w:t>观海卫镇智慧安全监管服务平台一期项目</w:t>
      </w:r>
      <w:r>
        <w:rPr>
          <w:rFonts w:hint="eastAsia" w:ascii="宋体" w:hAnsi="宋体"/>
          <w:color w:val="auto"/>
          <w:szCs w:val="21"/>
          <w:highlight w:val="none"/>
        </w:rPr>
        <w:t>，项目编号为</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CXZFCG[2022]993号</w:t>
      </w:r>
      <w:r>
        <w:rPr>
          <w:rFonts w:ascii="宋体" w:hAnsi="宋体"/>
          <w:color w:val="auto"/>
          <w:szCs w:val="21"/>
          <w:highlight w:val="none"/>
          <w:u w:val="single"/>
        </w:rPr>
        <w:t xml:space="preserve"> </w:t>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w:t>
      </w:r>
    </w:p>
    <w:p>
      <w:pPr>
        <w:spacing w:line="400" w:lineRule="atLeast"/>
        <w:rPr>
          <w:rFonts w:ascii="宋体" w:hAnsi="宋体"/>
          <w:color w:val="auto"/>
          <w:szCs w:val="21"/>
          <w:highlight w:val="none"/>
          <w:u w:val="single"/>
        </w:rPr>
      </w:pPr>
      <w:r>
        <w:rPr>
          <w:rFonts w:hint="eastAsia" w:ascii="宋体" w:hAnsi="宋体"/>
          <w:color w:val="auto"/>
          <w:szCs w:val="21"/>
          <w:highlight w:val="none"/>
        </w:rPr>
        <w:t>日期：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p>
    <w:p>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、授权代表身份证复印件加盖供应商公章；</w:t>
      </w:r>
    </w:p>
    <w:p>
      <w:pPr>
        <w:spacing w:line="360" w:lineRule="auto"/>
        <w:ind w:firstLine="592" w:firstLineChars="250"/>
        <w:jc w:val="center"/>
        <w:rPr>
          <w:rFonts w:ascii="宋体" w:hAnsi="宋体"/>
          <w:b/>
          <w:color w:val="auto"/>
          <w:szCs w:val="21"/>
          <w:highlight w:val="none"/>
        </w:rPr>
      </w:pPr>
      <w:r>
        <w:rPr>
          <w:rStyle w:val="61"/>
          <w:rFonts w:ascii="宋体" w:hAnsi="宋体"/>
          <w:color w:val="auto"/>
          <w:szCs w:val="21"/>
          <w:highlight w:val="none"/>
        </w:rPr>
        <w:br w:type="page"/>
      </w:r>
    </w:p>
    <w:p>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供应商一般情况表</w:t>
      </w:r>
    </w:p>
    <w:tbl>
      <w:tblPr>
        <w:tblStyle w:val="47"/>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电话：</w:t>
            </w:r>
          </w:p>
        </w:tc>
        <w:tc>
          <w:tcPr>
            <w:tcW w:w="3842"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传真：</w:t>
            </w:r>
          </w:p>
        </w:tc>
        <w:tc>
          <w:tcPr>
            <w:tcW w:w="3842"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pPr>
              <w:spacing w:line="400" w:lineRule="exact"/>
              <w:rPr>
                <w:rFonts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spacing w:line="360" w:lineRule="auto"/>
        <w:rPr>
          <w:rStyle w:val="61"/>
          <w:rFonts w:ascii="宋体" w:hAnsi="宋体"/>
          <w:color w:val="auto"/>
          <w:szCs w:val="21"/>
          <w:highlight w:val="none"/>
        </w:rPr>
      </w:pPr>
      <w:r>
        <w:rPr>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spacing w:line="360" w:lineRule="auto"/>
        <w:jc w:val="center"/>
        <w:rPr>
          <w:rFonts w:ascii="宋体" w:hAnsi="宋体"/>
          <w:b/>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hAnsi="Times New Roman"/>
          <w:color w:val="auto"/>
          <w:kern w:val="0"/>
          <w:szCs w:val="28"/>
          <w:highlight w:val="none"/>
          <w:u w:val="single"/>
        </w:rPr>
        <w:t>观海卫镇智慧安全监管服务平台一期项目</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ascii="宋体" w:hAnsi="宋体"/>
          <w:color w:val="auto"/>
          <w:szCs w:val="21"/>
          <w:highlight w:val="none"/>
          <w:u w:val="single"/>
        </w:rPr>
        <w:t xml:space="preserve">                   </w:t>
      </w:r>
    </w:p>
    <w:tbl>
      <w:tblPr>
        <w:tblStyle w:val="47"/>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pPr>
        <w:adjustRightInd w:val="0"/>
        <w:snapToGrid w:val="0"/>
        <w:spacing w:line="360" w:lineRule="auto"/>
        <w:rPr>
          <w:rFonts w:ascii="宋体" w:hAnsi="宋体"/>
          <w:color w:val="auto"/>
          <w:szCs w:val="21"/>
          <w:highlight w:val="none"/>
        </w:rPr>
      </w:pPr>
    </w:p>
    <w:p>
      <w:pPr>
        <w:spacing w:line="400" w:lineRule="exact"/>
        <w:jc w:val="left"/>
        <w:rPr>
          <w:rFonts w:ascii="宋体" w:hAnsi="宋体"/>
          <w:color w:val="auto"/>
          <w:szCs w:val="21"/>
          <w:highlight w:val="none"/>
        </w:rPr>
      </w:pPr>
      <w:bookmarkStart w:id="113" w:name="_Toc436408720"/>
      <w:bookmarkStart w:id="114" w:name="_Toc441316563"/>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B6</w:t>
      </w:r>
      <w:r>
        <w:rPr>
          <w:rFonts w:hint="eastAsia" w:ascii="宋体" w:hAnsi="宋体"/>
          <w:b/>
          <w:color w:val="auto"/>
          <w:szCs w:val="21"/>
          <w:highlight w:val="none"/>
        </w:rPr>
        <w:t>技术条款响应表</w:t>
      </w:r>
    </w:p>
    <w:p>
      <w:pPr>
        <w:adjustRightInd w:val="0"/>
        <w:snapToGrid w:val="0"/>
        <w:spacing w:line="360" w:lineRule="auto"/>
        <w:jc w:val="center"/>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hAnsi="Times New Roman"/>
          <w:color w:val="auto"/>
          <w:kern w:val="0"/>
          <w:szCs w:val="28"/>
          <w:highlight w:val="none"/>
          <w:u w:val="single"/>
        </w:rPr>
        <w:t>观海卫镇智慧安全监管服务平台一期项目</w:t>
      </w: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ascii="宋体" w:hAnsi="宋体"/>
          <w:color w:val="auto"/>
          <w:szCs w:val="21"/>
          <w:highlight w:val="none"/>
          <w:u w:val="single"/>
        </w:rPr>
        <w:t xml:space="preserve">                 </w:t>
      </w:r>
    </w:p>
    <w:tbl>
      <w:tblPr>
        <w:tblStyle w:val="4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29"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pPr>
              <w:adjustRightInd w:val="0"/>
              <w:snapToGrid w:val="0"/>
              <w:spacing w:line="400" w:lineRule="exact"/>
              <w:jc w:val="center"/>
              <w:rPr>
                <w:rFonts w:ascii="宋体" w:hAnsi="宋体"/>
                <w:color w:val="auto"/>
                <w:szCs w:val="21"/>
                <w:highlight w:val="none"/>
              </w:rPr>
            </w:pPr>
          </w:p>
        </w:tc>
        <w:tc>
          <w:tcPr>
            <w:tcW w:w="2824" w:type="dxa"/>
            <w:vAlign w:val="center"/>
          </w:tcPr>
          <w:p>
            <w:pPr>
              <w:adjustRightInd w:val="0"/>
              <w:snapToGrid w:val="0"/>
              <w:spacing w:line="400" w:lineRule="exact"/>
              <w:jc w:val="center"/>
              <w:rPr>
                <w:rFonts w:ascii="宋体" w:hAnsi="宋体"/>
                <w:color w:val="auto"/>
                <w:szCs w:val="21"/>
                <w:highlight w:val="none"/>
              </w:rPr>
            </w:pPr>
          </w:p>
        </w:tc>
        <w:tc>
          <w:tcPr>
            <w:tcW w:w="2835" w:type="dxa"/>
            <w:vAlign w:val="center"/>
          </w:tcPr>
          <w:p>
            <w:pPr>
              <w:adjustRightInd w:val="0"/>
              <w:snapToGrid w:val="0"/>
              <w:spacing w:line="400" w:lineRule="exact"/>
              <w:jc w:val="center"/>
              <w:rPr>
                <w:rFonts w:ascii="宋体" w:hAnsi="宋体"/>
                <w:color w:val="auto"/>
                <w:szCs w:val="21"/>
                <w:highlight w:val="none"/>
              </w:rPr>
            </w:pPr>
          </w:p>
        </w:tc>
        <w:tc>
          <w:tcPr>
            <w:tcW w:w="2369" w:type="dxa"/>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spacing w:line="400" w:lineRule="exact"/>
        <w:ind w:firstLine="474" w:firstLineChars="200"/>
        <w:jc w:val="left"/>
        <w:rPr>
          <w:rFonts w:ascii="宋体" w:hAnsi="宋体"/>
          <w:color w:val="auto"/>
          <w:szCs w:val="21"/>
          <w:highlight w:val="none"/>
        </w:rPr>
      </w:pPr>
      <w:r>
        <w:rPr>
          <w:rStyle w:val="61"/>
          <w:rFonts w:ascii="宋体" w:hAnsi="宋体"/>
          <w:color w:val="auto"/>
          <w:szCs w:val="21"/>
          <w:highlight w:val="none"/>
        </w:rPr>
        <w:br w:type="page"/>
      </w:r>
      <w:bookmarkEnd w:id="113"/>
      <w:bookmarkStart w:id="115" w:name="_Toc441316564"/>
      <w:r>
        <w:rPr>
          <w:rFonts w:hint="eastAsia" w:ascii="宋体" w:hAnsi="宋体"/>
          <w:color w:val="auto"/>
          <w:szCs w:val="21"/>
          <w:highlight w:val="none"/>
        </w:rPr>
        <w:t>B7、按第五章“招标内容与技术需求”要求做出明确完整的响应性叙述；</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B8、技术方案；</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B9</w:t>
      </w:r>
      <w:r>
        <w:rPr>
          <w:rFonts w:hint="eastAsia" w:ascii="宋体" w:hAnsi="宋体"/>
          <w:color w:val="auto"/>
          <w:szCs w:val="21"/>
          <w:highlight w:val="none"/>
        </w:rPr>
        <w:t>、质保服务承诺书；</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B10</w:t>
      </w:r>
      <w:r>
        <w:rPr>
          <w:rFonts w:hint="eastAsia" w:ascii="宋体" w:hAnsi="宋体"/>
          <w:color w:val="auto"/>
          <w:szCs w:val="21"/>
          <w:highlight w:val="none"/>
        </w:rPr>
        <w:t>、实施方案；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11</w:t>
      </w:r>
      <w:r>
        <w:rPr>
          <w:rFonts w:hint="eastAsia" w:ascii="宋体" w:hAnsi="宋体"/>
          <w:color w:val="auto"/>
          <w:szCs w:val="21"/>
          <w:highlight w:val="none"/>
        </w:rPr>
        <w:t>、拟投入本项目的团队人员情况；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12</w:t>
      </w:r>
      <w:r>
        <w:rPr>
          <w:rFonts w:hint="eastAsia" w:ascii="宋体" w:hAnsi="宋体"/>
          <w:color w:val="auto"/>
          <w:szCs w:val="21"/>
          <w:highlight w:val="none"/>
        </w:rPr>
        <w:t>、售后服务方案；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13</w:t>
      </w:r>
      <w:r>
        <w:rPr>
          <w:rFonts w:hint="eastAsia" w:ascii="宋体" w:hAnsi="宋体" w:cs="宋体"/>
          <w:color w:val="auto"/>
          <w:szCs w:val="21"/>
          <w:highlight w:val="none"/>
        </w:rPr>
        <w:t>、光纤链路资源情况；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1</w:t>
      </w:r>
      <w:r>
        <w:rPr>
          <w:rFonts w:hint="eastAsia" w:ascii="宋体" w:hAnsi="宋体" w:cs="宋体"/>
          <w:color w:val="auto"/>
          <w:szCs w:val="21"/>
          <w:highlight w:val="none"/>
        </w:rPr>
        <w:t>4、</w:t>
      </w:r>
      <w:r>
        <w:rPr>
          <w:rFonts w:hint="eastAsia" w:ascii="宋体" w:hAnsi="宋体"/>
          <w:color w:val="auto"/>
          <w:szCs w:val="21"/>
          <w:highlight w:val="none"/>
        </w:rPr>
        <w:t>合理化建议</w:t>
      </w:r>
      <w:r>
        <w:rPr>
          <w:rFonts w:hint="eastAsia" w:ascii="宋体" w:hAnsi="宋体" w:cs="宋体"/>
          <w:color w:val="auto"/>
          <w:szCs w:val="21"/>
          <w:highlight w:val="none"/>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15</w:t>
      </w:r>
      <w:r>
        <w:rPr>
          <w:rFonts w:hint="eastAsia" w:ascii="宋体" w:hAnsi="宋体"/>
          <w:color w:val="auto"/>
          <w:szCs w:val="21"/>
          <w:highlight w:val="none"/>
        </w:rPr>
        <w:t>、第三章“评标办法及标准”中“商务分”要求提供的资料（如有需提供）；</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16</w:t>
      </w:r>
      <w:r>
        <w:rPr>
          <w:rFonts w:hint="eastAsia" w:ascii="宋体" w:hAnsi="宋体"/>
          <w:color w:val="auto"/>
          <w:szCs w:val="21"/>
          <w:highlight w:val="none"/>
        </w:rPr>
        <w:t>、供应商认为需要的其他资料（如有需提供）。</w:t>
      </w:r>
    </w:p>
    <w:p>
      <w:pPr>
        <w:spacing w:line="400" w:lineRule="exact"/>
        <w:jc w:val="left"/>
        <w:rPr>
          <w:rStyle w:val="61"/>
          <w:rFonts w:ascii="宋体" w:hAnsi="宋体"/>
          <w:color w:val="auto"/>
          <w:szCs w:val="21"/>
          <w:highlight w:val="none"/>
        </w:rPr>
      </w:pPr>
      <w:r>
        <w:rPr>
          <w:rFonts w:ascii="宋体" w:hAnsi="宋体"/>
          <w:b/>
          <w:color w:val="auto"/>
          <w:szCs w:val="21"/>
          <w:highlight w:val="none"/>
        </w:rPr>
        <w:br w:type="page"/>
      </w:r>
    </w:p>
    <w:p>
      <w:pPr>
        <w:spacing w:line="400" w:lineRule="exact"/>
        <w:ind w:firstLine="474" w:firstLineChars="200"/>
        <w:jc w:val="left"/>
        <w:rPr>
          <w:rStyle w:val="61"/>
          <w:rFonts w:ascii="宋体" w:hAnsi="宋体"/>
          <w:color w:val="auto"/>
          <w:szCs w:val="21"/>
          <w:highlight w:val="none"/>
        </w:rPr>
      </w:pPr>
    </w:p>
    <w:p>
      <w:pPr>
        <w:spacing w:line="400" w:lineRule="exact"/>
        <w:jc w:val="left"/>
        <w:rPr>
          <w:rStyle w:val="61"/>
          <w:rFonts w:ascii="宋体" w:hAnsi="宋体"/>
          <w:color w:val="auto"/>
          <w:sz w:val="28"/>
          <w:szCs w:val="28"/>
          <w:highlight w:val="none"/>
        </w:rPr>
      </w:pPr>
    </w:p>
    <w:p>
      <w:pPr>
        <w:autoSpaceDE w:val="0"/>
        <w:autoSpaceDN w:val="0"/>
        <w:adjustRightInd w:val="0"/>
        <w:spacing w:before="240" w:beforeLines="100" w:line="400" w:lineRule="exact"/>
        <w:jc w:val="center"/>
        <w:outlineLvl w:val="0"/>
        <w:rPr>
          <w:rStyle w:val="61"/>
          <w:rFonts w:ascii="宋体" w:hAnsi="宋体"/>
          <w:color w:val="auto"/>
          <w:sz w:val="32"/>
          <w:szCs w:val="32"/>
          <w:highlight w:val="none"/>
        </w:rPr>
      </w:pPr>
      <w:bookmarkStart w:id="116" w:name="_Toc443468293"/>
      <w:bookmarkStart w:id="117" w:name="_Toc46014097"/>
      <w:bookmarkStart w:id="118" w:name="_Toc46014207"/>
      <w:bookmarkStart w:id="119" w:name="_Toc8677"/>
      <w:bookmarkStart w:id="120" w:name="_Toc46014250"/>
      <w:bookmarkStart w:id="121" w:name="_Toc21541028"/>
      <w:r>
        <w:rPr>
          <w:rStyle w:val="61"/>
          <w:rFonts w:ascii="宋体" w:hAnsi="宋体"/>
          <w:color w:val="auto"/>
          <w:sz w:val="32"/>
          <w:szCs w:val="32"/>
          <w:highlight w:val="none"/>
        </w:rPr>
        <w:t>C.</w:t>
      </w:r>
      <w:r>
        <w:rPr>
          <w:rStyle w:val="61"/>
          <w:rFonts w:hint="eastAsia" w:ascii="宋体" w:hAnsi="宋体"/>
          <w:color w:val="auto"/>
          <w:sz w:val="32"/>
          <w:szCs w:val="32"/>
          <w:highlight w:val="none"/>
        </w:rPr>
        <w:t>报价文件</w:t>
      </w:r>
      <w:bookmarkEnd w:id="116"/>
      <w:bookmarkEnd w:id="117"/>
      <w:bookmarkEnd w:id="118"/>
      <w:bookmarkEnd w:id="119"/>
      <w:bookmarkEnd w:id="120"/>
      <w:bookmarkEnd w:id="121"/>
    </w:p>
    <w:p>
      <w:pPr>
        <w:pStyle w:val="46"/>
        <w:ind w:firstLine="400"/>
        <w:rPr>
          <w:color w:val="auto"/>
          <w:highlight w:val="none"/>
        </w:rPr>
      </w:pPr>
    </w:p>
    <w:p>
      <w:pPr>
        <w:autoSpaceDE w:val="0"/>
        <w:autoSpaceDN w:val="0"/>
        <w:adjustRightInd w:val="0"/>
        <w:spacing w:line="420" w:lineRule="exact"/>
        <w:rPr>
          <w:rStyle w:val="61"/>
          <w:rFonts w:ascii="宋体" w:hAnsi="宋体"/>
          <w:b w:val="0"/>
          <w:color w:val="auto"/>
          <w:highlight w:val="none"/>
          <w:lang w:val="zh-CN"/>
        </w:rPr>
      </w:pPr>
      <w:r>
        <w:rPr>
          <w:rStyle w:val="61"/>
          <w:rFonts w:ascii="宋体" w:hAnsi="宋体"/>
          <w:color w:val="auto"/>
          <w:sz w:val="32"/>
          <w:szCs w:val="32"/>
          <w:highlight w:val="none"/>
        </w:rPr>
        <w:br w:type="page"/>
      </w:r>
      <w:r>
        <w:rPr>
          <w:rStyle w:val="61"/>
          <w:rFonts w:hint="eastAsia" w:ascii="宋体" w:hAnsi="宋体"/>
          <w:color w:val="auto"/>
          <w:szCs w:val="21"/>
          <w:highlight w:val="none"/>
        </w:rPr>
        <w:t>封面</w:t>
      </w:r>
    </w:p>
    <w:p>
      <w:pPr>
        <w:spacing w:line="360" w:lineRule="auto"/>
        <w:ind w:firstLine="1285" w:firstLineChars="400"/>
        <w:jc w:val="right"/>
        <w:rPr>
          <w:rFonts w:ascii="宋体" w:hAnsi="宋体"/>
          <w:b/>
          <w:color w:val="auto"/>
          <w:sz w:val="32"/>
          <w:szCs w:val="32"/>
          <w:highlight w:val="none"/>
        </w:rPr>
      </w:pPr>
    </w:p>
    <w:p>
      <w:pPr>
        <w:spacing w:line="360" w:lineRule="auto"/>
        <w:rPr>
          <w:rFonts w:ascii="宋体" w:hAnsi="宋体"/>
          <w:color w:val="auto"/>
          <w:sz w:val="28"/>
          <w:szCs w:val="28"/>
          <w:highlight w:val="none"/>
        </w:rPr>
      </w:pPr>
    </w:p>
    <w:p>
      <w:pPr>
        <w:spacing w:line="360" w:lineRule="auto"/>
        <w:jc w:val="center"/>
        <w:rPr>
          <w:rFonts w:ascii="宋体" w:hAnsi="宋体"/>
          <w:color w:val="auto"/>
          <w:sz w:val="144"/>
          <w:szCs w:val="200"/>
          <w:highlight w:val="none"/>
        </w:rPr>
      </w:pPr>
      <w:r>
        <w:rPr>
          <w:rFonts w:hint="eastAsia" w:hAnsi="Times New Roman"/>
          <w:color w:val="auto"/>
          <w:kern w:val="0"/>
          <w:sz w:val="44"/>
          <w:szCs w:val="56"/>
          <w:highlight w:val="none"/>
        </w:rPr>
        <w:t>观海卫镇智慧安全监管服务平台一期项目</w:t>
      </w: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项目编号：</w:t>
      </w:r>
      <w:r>
        <w:rPr>
          <w:rFonts w:ascii="宋体" w:hAnsi="宋体"/>
          <w:color w:val="auto"/>
          <w:sz w:val="36"/>
          <w:szCs w:val="36"/>
          <w:highlight w:val="none"/>
          <w:u w:val="single"/>
        </w:rPr>
        <w:t xml:space="preserve"> </w:t>
      </w:r>
    </w:p>
    <w:p>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标项：（如有多个标项）</w:t>
      </w:r>
    </w:p>
    <w:p>
      <w:pPr>
        <w:rPr>
          <w:rFonts w:ascii="宋体" w:hAnsi="宋体"/>
          <w:color w:val="auto"/>
          <w:sz w:val="28"/>
          <w:szCs w:val="28"/>
          <w:highlight w:val="non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6"/>
        <w:ind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61"/>
          <w:rFonts w:ascii="宋体" w:hAnsi="宋体"/>
          <w:color w:val="auto"/>
          <w:sz w:val="28"/>
          <w:szCs w:val="28"/>
          <w:highlight w:val="none"/>
        </w:rPr>
      </w:pPr>
      <w:r>
        <w:rPr>
          <w:rFonts w:hint="eastAsia" w:ascii="宋体" w:hAnsi="宋体"/>
          <w:color w:val="auto"/>
          <w:sz w:val="36"/>
          <w:szCs w:val="36"/>
          <w:highlight w:val="none"/>
        </w:rPr>
        <w:t xml:space="preserve">    年  月  日</w:t>
      </w:r>
    </w:p>
    <w:p>
      <w:pPr>
        <w:autoSpaceDE w:val="0"/>
        <w:autoSpaceDN w:val="0"/>
        <w:adjustRightInd w:val="0"/>
        <w:spacing w:line="400" w:lineRule="exact"/>
        <w:jc w:val="center"/>
        <w:outlineLvl w:val="0"/>
        <w:rPr>
          <w:rStyle w:val="61"/>
          <w:rFonts w:ascii="宋体" w:hAnsi="宋体"/>
          <w:color w:val="auto"/>
          <w:sz w:val="28"/>
          <w:szCs w:val="28"/>
          <w:highlight w:val="none"/>
        </w:rPr>
      </w:pPr>
    </w:p>
    <w:p>
      <w:pPr>
        <w:autoSpaceDE w:val="0"/>
        <w:autoSpaceDN w:val="0"/>
        <w:adjustRightInd w:val="0"/>
        <w:spacing w:line="400" w:lineRule="exact"/>
        <w:jc w:val="center"/>
        <w:outlineLvl w:val="0"/>
        <w:rPr>
          <w:rStyle w:val="61"/>
          <w:rFonts w:ascii="宋体" w:hAnsi="宋体"/>
          <w:color w:val="auto"/>
          <w:sz w:val="28"/>
          <w:szCs w:val="28"/>
          <w:highlight w:val="none"/>
        </w:rPr>
      </w:pPr>
    </w:p>
    <w:p>
      <w:pPr>
        <w:autoSpaceDE w:val="0"/>
        <w:autoSpaceDN w:val="0"/>
        <w:adjustRightInd w:val="0"/>
        <w:spacing w:line="400" w:lineRule="exact"/>
        <w:jc w:val="center"/>
        <w:outlineLvl w:val="0"/>
        <w:rPr>
          <w:rFonts w:ascii="宋体" w:hAnsi="宋体"/>
          <w:b/>
          <w:color w:val="auto"/>
          <w:szCs w:val="21"/>
          <w:highlight w:val="none"/>
        </w:rPr>
      </w:pPr>
      <w:r>
        <w:rPr>
          <w:rStyle w:val="61"/>
          <w:rFonts w:ascii="宋体" w:hAnsi="宋体"/>
          <w:color w:val="auto"/>
          <w:sz w:val="28"/>
          <w:szCs w:val="28"/>
          <w:highlight w:val="none"/>
        </w:rPr>
        <w:br w:type="page"/>
      </w:r>
      <w:bookmarkEnd w:id="114"/>
      <w:bookmarkEnd w:id="115"/>
      <w:bookmarkStart w:id="122" w:name="_Toc46014252"/>
      <w:bookmarkStart w:id="123" w:name="_Toc14907"/>
      <w:bookmarkStart w:id="124" w:name="_Toc46014099"/>
      <w:bookmarkStart w:id="125" w:name="_Toc46014209"/>
      <w:bookmarkStart w:id="126" w:name="_Toc21541030"/>
      <w:r>
        <w:rPr>
          <w:rFonts w:ascii="宋体" w:hAnsi="宋体"/>
          <w:b/>
          <w:color w:val="auto"/>
          <w:szCs w:val="21"/>
          <w:highlight w:val="none"/>
        </w:rPr>
        <w:t>C1</w:t>
      </w:r>
      <w:r>
        <w:rPr>
          <w:rFonts w:hint="eastAsia" w:ascii="宋体" w:hAnsi="宋体"/>
          <w:b/>
          <w:color w:val="auto"/>
          <w:szCs w:val="21"/>
          <w:highlight w:val="none"/>
        </w:rPr>
        <w:t>开标一览表</w:t>
      </w:r>
      <w:bookmarkEnd w:id="122"/>
      <w:bookmarkEnd w:id="123"/>
      <w:bookmarkEnd w:id="124"/>
      <w:bookmarkEnd w:id="125"/>
      <w:bookmarkEnd w:id="126"/>
    </w:p>
    <w:p>
      <w:pPr>
        <w:pStyle w:val="20"/>
        <w:spacing w:line="400" w:lineRule="exact"/>
        <w:ind w:firstLine="0"/>
        <w:rPr>
          <w:rFonts w:ascii="宋体" w:hAnsi="宋体" w:eastAsia="宋体"/>
          <w:color w:val="auto"/>
          <w:sz w:val="18"/>
          <w:szCs w:val="18"/>
          <w:highlight w:val="none"/>
        </w:rPr>
      </w:pPr>
      <w:r>
        <w:rPr>
          <w:rFonts w:hint="eastAsia" w:ascii="宋体" w:hAnsi="宋体" w:eastAsia="宋体"/>
          <w:color w:val="auto"/>
          <w:sz w:val="21"/>
          <w:szCs w:val="21"/>
          <w:highlight w:val="none"/>
        </w:rPr>
        <w:t>项目名称：</w:t>
      </w:r>
      <w:r>
        <w:rPr>
          <w:rFonts w:hint="eastAsia" w:hAnsi="Times New Roman" w:eastAsia="宋体"/>
          <w:color w:val="auto"/>
          <w:kern w:val="0"/>
          <w:sz w:val="21"/>
          <w:szCs w:val="22"/>
          <w:highlight w:val="none"/>
          <w:u w:val="single"/>
        </w:rPr>
        <w:t>观海卫镇智慧安全监管服务平台一期项目</w:t>
      </w:r>
    </w:p>
    <w:p>
      <w:pPr>
        <w:pStyle w:val="20"/>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lang w:eastAsia="zh-CN"/>
        </w:rPr>
        <w:t>CXZFCG[2022]993号</w:t>
      </w:r>
    </w:p>
    <w:p>
      <w:pPr>
        <w:pStyle w:val="24"/>
        <w:snapToGrid w:val="0"/>
        <w:spacing w:line="400" w:lineRule="exact"/>
        <w:jc w:val="right"/>
        <w:rPr>
          <w:color w:val="auto"/>
          <w:kern w:val="2"/>
          <w:sz w:val="21"/>
          <w:szCs w:val="21"/>
          <w:highlight w:val="none"/>
        </w:rPr>
      </w:pPr>
      <w:r>
        <w:rPr>
          <w:rFonts w:hint="eastAsia"/>
          <w:color w:val="auto"/>
          <w:kern w:val="2"/>
          <w:sz w:val="21"/>
          <w:szCs w:val="21"/>
          <w:highlight w:val="none"/>
        </w:rPr>
        <w:t>货币单位：人民币（元）</w:t>
      </w:r>
    </w:p>
    <w:tbl>
      <w:tblPr>
        <w:tblStyle w:val="47"/>
        <w:tblW w:w="11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25"/>
        <w:gridCol w:w="2043"/>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50"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标项号</w:t>
            </w:r>
          </w:p>
        </w:tc>
        <w:tc>
          <w:tcPr>
            <w:tcW w:w="3025"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名称</w:t>
            </w:r>
          </w:p>
        </w:tc>
        <w:tc>
          <w:tcPr>
            <w:tcW w:w="2043"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服务期限</w:t>
            </w:r>
          </w:p>
        </w:tc>
        <w:tc>
          <w:tcPr>
            <w:tcW w:w="4906" w:type="dxa"/>
            <w:tcBorders>
              <w:top w:val="single" w:color="000000" w:sz="8" w:space="0"/>
              <w:left w:val="single" w:color="auto" w:sz="4" w:space="0"/>
              <w:bottom w:val="single" w:color="000000" w:sz="8" w:space="0"/>
              <w:right w:val="single" w:color="000000" w:sz="8"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50"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3025"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ascii="宋体" w:hAnsi="宋体" w:cs="宋体"/>
                <w:bCs/>
                <w:color w:val="auto"/>
                <w:szCs w:val="21"/>
                <w:highlight w:val="none"/>
              </w:rPr>
            </w:pPr>
            <w:r>
              <w:rPr>
                <w:rFonts w:hint="eastAsia" w:hAnsi="Times New Roman"/>
                <w:color w:val="auto"/>
                <w:kern w:val="0"/>
                <w:szCs w:val="28"/>
                <w:highlight w:val="none"/>
              </w:rPr>
              <w:t>观海卫镇智慧安全监管服务平台一期项目</w:t>
            </w:r>
          </w:p>
        </w:tc>
        <w:tc>
          <w:tcPr>
            <w:tcW w:w="2043"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三年</w:t>
            </w:r>
          </w:p>
        </w:tc>
        <w:tc>
          <w:tcPr>
            <w:tcW w:w="4906"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Cs/>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118" w:type="dxa"/>
            <w:gridSpan w:val="3"/>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投标总价（大写）</w:t>
            </w:r>
          </w:p>
        </w:tc>
        <w:tc>
          <w:tcPr>
            <w:tcW w:w="4906"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宋体" w:hAnsi="宋体" w:cs="宋体"/>
                <w:bCs/>
                <w:color w:val="auto"/>
                <w:szCs w:val="21"/>
                <w:highlight w:val="none"/>
                <w:u w:val="single"/>
              </w:rPr>
            </w:pPr>
          </w:p>
        </w:tc>
      </w:tr>
    </w:tbl>
    <w:p>
      <w:pPr>
        <w:spacing w:line="400" w:lineRule="exact"/>
        <w:jc w:val="left"/>
        <w:rPr>
          <w:rFonts w:ascii="宋体" w:hAnsi="宋体"/>
          <w:color w:val="auto"/>
          <w:szCs w:val="21"/>
          <w:highlight w:val="none"/>
        </w:rPr>
      </w:pPr>
    </w:p>
    <w:p>
      <w:pPr>
        <w:spacing w:line="360" w:lineRule="auto"/>
        <w:rPr>
          <w:rFonts w:ascii="宋体" w:hAnsi="宋体" w:cs="宋体"/>
          <w:b/>
          <w:color w:val="auto"/>
          <w:highlight w:val="none"/>
        </w:rPr>
      </w:pPr>
    </w:p>
    <w:p>
      <w:pPr>
        <w:pStyle w:val="46"/>
        <w:ind w:left="0" w:firstLine="0" w:firstLineChars="0"/>
        <w:rPr>
          <w:color w:val="auto"/>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autoSpaceDE w:val="0"/>
        <w:autoSpaceDN w:val="0"/>
        <w:adjustRightInd w:val="0"/>
        <w:spacing w:line="400" w:lineRule="exact"/>
        <w:jc w:val="center"/>
        <w:outlineLvl w:val="0"/>
        <w:rPr>
          <w:rFonts w:ascii="宋体" w:hAnsi="宋体"/>
          <w:b/>
          <w:color w:val="auto"/>
          <w:szCs w:val="21"/>
          <w:highlight w:val="none"/>
        </w:rPr>
      </w:pPr>
      <w:r>
        <w:rPr>
          <w:rFonts w:ascii="宋体" w:hAnsi="宋体"/>
          <w:color w:val="auto"/>
          <w:szCs w:val="21"/>
          <w:highlight w:val="none"/>
        </w:rPr>
        <w:br w:type="page"/>
      </w:r>
      <w:bookmarkStart w:id="127" w:name="_Toc46014100"/>
      <w:bookmarkStart w:id="128" w:name="_Toc46014253"/>
      <w:bookmarkStart w:id="129" w:name="_Toc46014210"/>
      <w:r>
        <w:rPr>
          <w:rFonts w:ascii="宋体" w:hAnsi="宋体"/>
          <w:b/>
          <w:color w:val="auto"/>
          <w:szCs w:val="21"/>
          <w:highlight w:val="none"/>
        </w:rPr>
        <w:t>C2</w:t>
      </w:r>
      <w:r>
        <w:rPr>
          <w:rFonts w:hint="eastAsia" w:ascii="宋体" w:hAnsi="宋体"/>
          <w:b/>
          <w:color w:val="auto"/>
          <w:szCs w:val="21"/>
          <w:highlight w:val="none"/>
        </w:rPr>
        <w:t>分项报价表</w:t>
      </w:r>
      <w:bookmarkEnd w:id="127"/>
      <w:bookmarkEnd w:id="128"/>
      <w:bookmarkEnd w:id="129"/>
    </w:p>
    <w:p>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hAnsi="Times New Roman" w:eastAsia="宋体"/>
          <w:color w:val="auto"/>
          <w:kern w:val="0"/>
          <w:sz w:val="21"/>
          <w:szCs w:val="22"/>
          <w:highlight w:val="none"/>
          <w:u w:val="single"/>
        </w:rPr>
        <w:t>观海卫镇智慧安全监管服务平台一期项目</w:t>
      </w:r>
    </w:p>
    <w:p>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eastAsia="zh-CN"/>
        </w:rPr>
        <w:t>CXZFCG[2022]993号</w:t>
      </w:r>
      <w:r>
        <w:rPr>
          <w:rFonts w:ascii="宋体" w:hAnsi="宋体" w:eastAsia="宋体"/>
          <w:color w:val="auto"/>
          <w:sz w:val="21"/>
          <w:szCs w:val="21"/>
          <w:highlight w:val="none"/>
          <w:u w:val="single"/>
        </w:rPr>
        <w:t xml:space="preserve">  </w:t>
      </w:r>
    </w:p>
    <w:p>
      <w:pPr>
        <w:pStyle w:val="24"/>
        <w:snapToGrid w:val="0"/>
        <w:spacing w:before="0" w:beforeAutospacing="0" w:after="0" w:afterAutospacing="0" w:line="400" w:lineRule="exact"/>
        <w:jc w:val="right"/>
        <w:rPr>
          <w:color w:val="auto"/>
          <w:kern w:val="2"/>
          <w:sz w:val="21"/>
          <w:szCs w:val="21"/>
          <w:highlight w:val="none"/>
        </w:rPr>
      </w:pPr>
      <w:bookmarkStart w:id="130" w:name="_Hlk46013442"/>
      <w:r>
        <w:rPr>
          <w:rFonts w:hint="eastAsia"/>
          <w:color w:val="auto"/>
          <w:kern w:val="2"/>
          <w:sz w:val="21"/>
          <w:szCs w:val="21"/>
          <w:highlight w:val="none"/>
        </w:rPr>
        <w:t>货币单位：人民币（元）</w:t>
      </w:r>
      <w:bookmarkEnd w:id="130"/>
    </w:p>
    <w:tbl>
      <w:tblPr>
        <w:tblStyle w:val="47"/>
        <w:tblW w:w="8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418"/>
        <w:gridCol w:w="1701"/>
        <w:gridCol w:w="709"/>
        <w:gridCol w:w="708"/>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bCs/>
                <w:color w:val="auto"/>
                <w:szCs w:val="21"/>
                <w:highlight w:val="none"/>
              </w:rPr>
            </w:pPr>
            <w:bookmarkStart w:id="131" w:name="_Hlk46012888"/>
            <w:r>
              <w:rPr>
                <w:rFonts w:ascii="宋体" w:hAnsi="宋体"/>
                <w:bCs/>
                <w:color w:val="auto"/>
                <w:szCs w:val="21"/>
                <w:highlight w:val="none"/>
              </w:rPr>
              <w:t>序号</w:t>
            </w:r>
          </w:p>
        </w:tc>
        <w:tc>
          <w:tcPr>
            <w:tcW w:w="1418"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名称</w:t>
            </w:r>
          </w:p>
        </w:tc>
        <w:tc>
          <w:tcPr>
            <w:tcW w:w="1701" w:type="dxa"/>
            <w:vAlign w:val="center"/>
          </w:tcPr>
          <w:p>
            <w:pPr>
              <w:spacing w:line="300" w:lineRule="exact"/>
              <w:jc w:val="center"/>
              <w:rPr>
                <w:rFonts w:ascii="宋体" w:hAnsi="宋体"/>
                <w:bCs/>
                <w:color w:val="auto"/>
                <w:szCs w:val="21"/>
                <w:highlight w:val="none"/>
              </w:rPr>
            </w:pPr>
            <w:r>
              <w:rPr>
                <w:rFonts w:hint="eastAsia" w:ascii="宋体" w:hAnsi="宋体"/>
                <w:color w:val="auto"/>
                <w:szCs w:val="21"/>
                <w:highlight w:val="none"/>
              </w:rPr>
              <w:t>技术参数</w:t>
            </w:r>
          </w:p>
        </w:tc>
        <w:tc>
          <w:tcPr>
            <w:tcW w:w="709"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708"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1276"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单价</w:t>
            </w:r>
          </w:p>
        </w:tc>
        <w:tc>
          <w:tcPr>
            <w:tcW w:w="1276" w:type="dxa"/>
            <w:vAlign w:val="center"/>
          </w:tcPr>
          <w:p>
            <w:pPr>
              <w:spacing w:line="300" w:lineRule="exact"/>
              <w:jc w:val="center"/>
              <w:rPr>
                <w:rFonts w:ascii="宋体" w:hAnsi="宋体"/>
                <w:bCs/>
                <w:color w:val="auto"/>
                <w:szCs w:val="21"/>
                <w:highlight w:val="none"/>
              </w:rPr>
            </w:pPr>
            <w:r>
              <w:rPr>
                <w:rFonts w:ascii="宋体" w:hAnsi="宋体"/>
                <w:bCs/>
                <w:color w:val="auto"/>
                <w:szCs w:val="21"/>
                <w:highlight w:val="none"/>
              </w:rPr>
              <w:t>合价</w:t>
            </w:r>
          </w:p>
        </w:tc>
        <w:tc>
          <w:tcPr>
            <w:tcW w:w="1134" w:type="dxa"/>
            <w:vAlign w:val="center"/>
          </w:tcPr>
          <w:p>
            <w:pPr>
              <w:spacing w:line="300" w:lineRule="exact"/>
              <w:jc w:val="center"/>
              <w:rPr>
                <w:rFonts w:ascii="宋体" w:hAnsi="宋体"/>
                <w:bCs/>
                <w:color w:val="auto"/>
                <w:szCs w:val="21"/>
                <w:highlight w:val="none"/>
              </w:rPr>
            </w:pPr>
            <w:r>
              <w:rPr>
                <w:rFonts w:hint="eastAsia" w:ascii="宋体" w:hAnsi="宋体"/>
                <w:bCs/>
                <w:color w:val="auto"/>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caps/>
                <w:color w:val="auto"/>
                <w:szCs w:val="21"/>
                <w:highlight w:val="none"/>
              </w:rPr>
            </w:pPr>
          </w:p>
        </w:tc>
        <w:tc>
          <w:tcPr>
            <w:tcW w:w="1418" w:type="dxa"/>
            <w:vAlign w:val="center"/>
          </w:tcPr>
          <w:p>
            <w:pPr>
              <w:spacing w:line="300" w:lineRule="exact"/>
              <w:jc w:val="center"/>
              <w:rPr>
                <w:rFonts w:ascii="宋体" w:hAnsi="宋体"/>
                <w:color w:val="auto"/>
                <w:szCs w:val="21"/>
                <w:highlight w:val="none"/>
              </w:rPr>
            </w:pPr>
          </w:p>
        </w:tc>
        <w:tc>
          <w:tcPr>
            <w:tcW w:w="1701" w:type="dxa"/>
            <w:vAlign w:val="center"/>
          </w:tcPr>
          <w:p>
            <w:pPr>
              <w:adjustRightInd w:val="0"/>
              <w:spacing w:line="276" w:lineRule="auto"/>
              <w:ind w:left="420" w:hanging="420"/>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708"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spacing w:line="300" w:lineRule="exact"/>
              <w:jc w:val="center"/>
              <w:rPr>
                <w:rFonts w:ascii="宋体" w:hAnsi="宋体"/>
                <w:color w:val="auto"/>
                <w:szCs w:val="21"/>
                <w:highlight w:val="none"/>
              </w:rPr>
            </w:pPr>
          </w:p>
        </w:tc>
        <w:tc>
          <w:tcPr>
            <w:tcW w:w="1134"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caps/>
                <w:color w:val="auto"/>
                <w:szCs w:val="21"/>
                <w:highlight w:val="none"/>
              </w:rPr>
            </w:pPr>
          </w:p>
        </w:tc>
        <w:tc>
          <w:tcPr>
            <w:tcW w:w="1418" w:type="dxa"/>
            <w:vAlign w:val="center"/>
          </w:tcPr>
          <w:p>
            <w:pPr>
              <w:spacing w:line="300" w:lineRule="exact"/>
              <w:jc w:val="center"/>
              <w:rPr>
                <w:rFonts w:ascii="宋体" w:hAnsi="宋体"/>
                <w:color w:val="auto"/>
                <w:szCs w:val="21"/>
                <w:highlight w:val="none"/>
              </w:rPr>
            </w:pPr>
          </w:p>
        </w:tc>
        <w:tc>
          <w:tcPr>
            <w:tcW w:w="1701" w:type="dxa"/>
            <w:vAlign w:val="center"/>
          </w:tcPr>
          <w:p>
            <w:pPr>
              <w:adjustRightInd w:val="0"/>
              <w:spacing w:line="276" w:lineRule="auto"/>
              <w:ind w:left="420" w:hanging="420"/>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708"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spacing w:line="300" w:lineRule="exact"/>
              <w:jc w:val="center"/>
              <w:rPr>
                <w:rFonts w:ascii="宋体" w:hAnsi="宋体"/>
                <w:color w:val="auto"/>
                <w:szCs w:val="21"/>
                <w:highlight w:val="none"/>
              </w:rPr>
            </w:pPr>
          </w:p>
        </w:tc>
        <w:tc>
          <w:tcPr>
            <w:tcW w:w="1134"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color w:val="auto"/>
                <w:szCs w:val="21"/>
                <w:highlight w:val="none"/>
              </w:rPr>
            </w:pPr>
          </w:p>
        </w:tc>
        <w:tc>
          <w:tcPr>
            <w:tcW w:w="1418" w:type="dxa"/>
            <w:vAlign w:val="center"/>
          </w:tcPr>
          <w:p>
            <w:pPr>
              <w:adjustRightInd w:val="0"/>
              <w:spacing w:line="276" w:lineRule="auto"/>
              <w:jc w:val="center"/>
              <w:rPr>
                <w:rFonts w:ascii="宋体" w:hAnsi="宋体" w:cs="宋体"/>
                <w:color w:val="auto"/>
                <w:highlight w:val="none"/>
              </w:rPr>
            </w:pPr>
          </w:p>
        </w:tc>
        <w:tc>
          <w:tcPr>
            <w:tcW w:w="1701" w:type="dxa"/>
            <w:vAlign w:val="center"/>
          </w:tcPr>
          <w:p>
            <w:pPr>
              <w:adjustRightInd w:val="0"/>
              <w:spacing w:line="276" w:lineRule="auto"/>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708"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spacing w:line="300" w:lineRule="exact"/>
              <w:jc w:val="center"/>
              <w:rPr>
                <w:rFonts w:ascii="宋体" w:hAnsi="宋体"/>
                <w:color w:val="auto"/>
                <w:szCs w:val="21"/>
                <w:highlight w:val="none"/>
              </w:rPr>
            </w:pPr>
          </w:p>
        </w:tc>
        <w:tc>
          <w:tcPr>
            <w:tcW w:w="1134"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color w:val="auto"/>
                <w:szCs w:val="21"/>
                <w:highlight w:val="none"/>
              </w:rPr>
            </w:pPr>
          </w:p>
        </w:tc>
        <w:tc>
          <w:tcPr>
            <w:tcW w:w="1418" w:type="dxa"/>
            <w:vAlign w:val="center"/>
          </w:tcPr>
          <w:p>
            <w:pPr>
              <w:adjustRightInd w:val="0"/>
              <w:spacing w:line="276" w:lineRule="auto"/>
              <w:jc w:val="center"/>
              <w:rPr>
                <w:rFonts w:ascii="宋体" w:hAnsi="宋体" w:cs="宋体"/>
                <w:color w:val="auto"/>
                <w:highlight w:val="none"/>
              </w:rPr>
            </w:pPr>
          </w:p>
        </w:tc>
        <w:tc>
          <w:tcPr>
            <w:tcW w:w="1701" w:type="dxa"/>
            <w:vAlign w:val="center"/>
          </w:tcPr>
          <w:p>
            <w:pPr>
              <w:adjustRightInd w:val="0"/>
              <w:spacing w:line="276" w:lineRule="auto"/>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708"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spacing w:line="300" w:lineRule="exact"/>
              <w:jc w:val="center"/>
              <w:rPr>
                <w:rFonts w:ascii="宋体" w:hAnsi="宋体"/>
                <w:color w:val="auto"/>
                <w:szCs w:val="21"/>
                <w:highlight w:val="none"/>
              </w:rPr>
            </w:pPr>
          </w:p>
        </w:tc>
        <w:tc>
          <w:tcPr>
            <w:tcW w:w="1134"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color w:val="auto"/>
                <w:szCs w:val="21"/>
                <w:highlight w:val="none"/>
              </w:rPr>
            </w:pPr>
          </w:p>
        </w:tc>
        <w:tc>
          <w:tcPr>
            <w:tcW w:w="1418" w:type="dxa"/>
            <w:vAlign w:val="center"/>
          </w:tcPr>
          <w:p>
            <w:pPr>
              <w:adjustRightInd w:val="0"/>
              <w:spacing w:line="276" w:lineRule="auto"/>
              <w:jc w:val="center"/>
              <w:rPr>
                <w:rFonts w:ascii="宋体" w:hAnsi="宋体" w:cs="宋体"/>
                <w:color w:val="auto"/>
                <w:highlight w:val="none"/>
              </w:rPr>
            </w:pPr>
          </w:p>
        </w:tc>
        <w:tc>
          <w:tcPr>
            <w:tcW w:w="1701" w:type="dxa"/>
            <w:vAlign w:val="center"/>
          </w:tcPr>
          <w:p>
            <w:pPr>
              <w:adjustRightInd w:val="0"/>
              <w:spacing w:line="276" w:lineRule="auto"/>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708"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spacing w:line="300" w:lineRule="exact"/>
              <w:jc w:val="center"/>
              <w:rPr>
                <w:rFonts w:ascii="宋体" w:hAnsi="宋体"/>
                <w:color w:val="auto"/>
                <w:szCs w:val="21"/>
                <w:highlight w:val="none"/>
              </w:rPr>
            </w:pPr>
          </w:p>
        </w:tc>
        <w:tc>
          <w:tcPr>
            <w:tcW w:w="1134"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0" w:type="dxa"/>
            <w:vAlign w:val="center"/>
          </w:tcPr>
          <w:p>
            <w:pPr>
              <w:spacing w:line="300" w:lineRule="exact"/>
              <w:jc w:val="center"/>
              <w:rPr>
                <w:rFonts w:ascii="宋体" w:hAnsi="宋体"/>
                <w:color w:val="auto"/>
                <w:szCs w:val="21"/>
                <w:highlight w:val="none"/>
              </w:rPr>
            </w:pPr>
          </w:p>
        </w:tc>
        <w:tc>
          <w:tcPr>
            <w:tcW w:w="1418" w:type="dxa"/>
            <w:vAlign w:val="center"/>
          </w:tcPr>
          <w:p>
            <w:pPr>
              <w:adjustRightInd w:val="0"/>
              <w:spacing w:line="276" w:lineRule="auto"/>
              <w:jc w:val="center"/>
              <w:rPr>
                <w:rFonts w:ascii="宋体" w:hAnsi="宋体" w:cs="宋体"/>
                <w:color w:val="auto"/>
                <w:highlight w:val="none"/>
              </w:rPr>
            </w:pPr>
          </w:p>
        </w:tc>
        <w:tc>
          <w:tcPr>
            <w:tcW w:w="1701" w:type="dxa"/>
            <w:vAlign w:val="center"/>
          </w:tcPr>
          <w:p>
            <w:pPr>
              <w:adjustRightInd w:val="0"/>
              <w:spacing w:line="276" w:lineRule="auto"/>
              <w:jc w:val="center"/>
              <w:rPr>
                <w:rFonts w:ascii="宋体" w:hAnsi="宋体" w:cs="宋体"/>
                <w:color w:val="auto"/>
                <w:highlight w:val="none"/>
              </w:rPr>
            </w:pPr>
          </w:p>
        </w:tc>
        <w:tc>
          <w:tcPr>
            <w:tcW w:w="709" w:type="dxa"/>
            <w:vAlign w:val="center"/>
          </w:tcPr>
          <w:p>
            <w:pPr>
              <w:adjustRightInd w:val="0"/>
              <w:spacing w:line="276" w:lineRule="auto"/>
              <w:ind w:left="420" w:hanging="420"/>
              <w:jc w:val="center"/>
              <w:rPr>
                <w:rFonts w:ascii="宋体" w:hAnsi="宋体" w:cs="宋体"/>
                <w:color w:val="auto"/>
                <w:highlight w:val="none"/>
              </w:rPr>
            </w:pPr>
          </w:p>
        </w:tc>
        <w:tc>
          <w:tcPr>
            <w:tcW w:w="708"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adjustRightInd w:val="0"/>
              <w:spacing w:line="276" w:lineRule="auto"/>
              <w:ind w:left="420" w:hanging="420"/>
              <w:jc w:val="center"/>
              <w:rPr>
                <w:rFonts w:ascii="宋体" w:hAnsi="宋体" w:cs="宋体"/>
                <w:color w:val="auto"/>
                <w:highlight w:val="none"/>
              </w:rPr>
            </w:pPr>
          </w:p>
        </w:tc>
        <w:tc>
          <w:tcPr>
            <w:tcW w:w="1276" w:type="dxa"/>
            <w:vAlign w:val="center"/>
          </w:tcPr>
          <w:p>
            <w:pPr>
              <w:spacing w:line="300" w:lineRule="exact"/>
              <w:jc w:val="center"/>
              <w:rPr>
                <w:rFonts w:ascii="宋体" w:hAnsi="宋体"/>
                <w:color w:val="auto"/>
                <w:szCs w:val="21"/>
                <w:highlight w:val="none"/>
              </w:rPr>
            </w:pPr>
          </w:p>
        </w:tc>
        <w:tc>
          <w:tcPr>
            <w:tcW w:w="1134" w:type="dxa"/>
            <w:vAlign w:val="center"/>
          </w:tcPr>
          <w:p>
            <w:pPr>
              <w:spacing w:line="3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206" w:type="dxa"/>
            <w:gridSpan w:val="5"/>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投标价合计</w:t>
            </w:r>
          </w:p>
        </w:tc>
        <w:tc>
          <w:tcPr>
            <w:tcW w:w="3686" w:type="dxa"/>
            <w:gridSpan w:val="3"/>
            <w:vAlign w:val="center"/>
          </w:tcPr>
          <w:p>
            <w:pPr>
              <w:spacing w:line="300" w:lineRule="exact"/>
              <w:rPr>
                <w:rFonts w:ascii="宋体" w:hAnsi="宋体"/>
                <w:color w:val="auto"/>
                <w:szCs w:val="21"/>
                <w:highlight w:val="none"/>
              </w:rPr>
            </w:pPr>
          </w:p>
        </w:tc>
      </w:tr>
    </w:tbl>
    <w:p>
      <w:pPr>
        <w:tabs>
          <w:tab w:val="left" w:pos="426"/>
        </w:tabs>
        <w:snapToGrid w:val="0"/>
        <w:spacing w:line="360" w:lineRule="auto"/>
        <w:ind w:firstLine="140" w:firstLineChars="67"/>
        <w:rPr>
          <w:rFonts w:ascii="宋体" w:hAnsi="宋体"/>
          <w:color w:val="auto"/>
          <w:szCs w:val="21"/>
          <w:highlight w:val="none"/>
        </w:rPr>
      </w:pPr>
      <w:r>
        <w:rPr>
          <w:rFonts w:hint="eastAsia" w:ascii="宋体" w:hAnsi="宋体"/>
          <w:color w:val="auto"/>
          <w:szCs w:val="21"/>
          <w:highlight w:val="none"/>
        </w:rPr>
        <w:t>注：1、</w:t>
      </w:r>
      <w:r>
        <w:rPr>
          <w:color w:val="auto"/>
          <w:highlight w:val="none"/>
        </w:rPr>
        <w:t>供应商应详细列出</w:t>
      </w:r>
      <w:r>
        <w:rPr>
          <w:rFonts w:hint="eastAsia"/>
          <w:color w:val="auto"/>
          <w:highlight w:val="none"/>
        </w:rPr>
        <w:t>招</w:t>
      </w:r>
      <w:r>
        <w:rPr>
          <w:color w:val="auto"/>
          <w:highlight w:val="none"/>
        </w:rPr>
        <w:t>标文件规定的所有费用的明细表</w:t>
      </w:r>
      <w:r>
        <w:rPr>
          <w:rFonts w:hint="eastAsia"/>
          <w:color w:val="auto"/>
          <w:highlight w:val="none"/>
        </w:rPr>
        <w:t>，本表“</w:t>
      </w:r>
      <w:r>
        <w:rPr>
          <w:color w:val="auto"/>
          <w:highlight w:val="none"/>
        </w:rPr>
        <w:t>投标价合计</w:t>
      </w:r>
      <w:r>
        <w:rPr>
          <w:rFonts w:hint="eastAsia"/>
          <w:color w:val="auto"/>
          <w:highlight w:val="none"/>
        </w:rPr>
        <w:t>”应与“开标一览表”中的“</w:t>
      </w:r>
      <w:r>
        <w:rPr>
          <w:color w:val="auto"/>
          <w:highlight w:val="none"/>
        </w:rPr>
        <w:t>投标</w:t>
      </w:r>
      <w:r>
        <w:rPr>
          <w:rFonts w:hint="eastAsia"/>
          <w:color w:val="auto"/>
          <w:highlight w:val="none"/>
        </w:rPr>
        <w:t>报价”保持一致</w:t>
      </w:r>
      <w:r>
        <w:rPr>
          <w:color w:val="auto"/>
          <w:highlight w:val="none"/>
        </w:rPr>
        <w:t>。</w:t>
      </w:r>
    </w:p>
    <w:p>
      <w:pPr>
        <w:spacing w:line="440" w:lineRule="exact"/>
        <w:ind w:firstLine="420"/>
        <w:rPr>
          <w:color w:val="auto"/>
          <w:highlight w:val="none"/>
        </w:rPr>
      </w:pPr>
      <w:r>
        <w:rPr>
          <w:rFonts w:hint="eastAsia" w:ascii="宋体" w:hAnsi="宋体"/>
          <w:color w:val="auto"/>
          <w:highlight w:val="none"/>
        </w:rPr>
        <w:t>2、符合合同条款规定的全部费用应认为已被计入有标价的</w:t>
      </w:r>
      <w:r>
        <w:rPr>
          <w:rFonts w:hint="eastAsia"/>
          <w:color w:val="auto"/>
          <w:highlight w:val="none"/>
        </w:rPr>
        <w:t>清单</w:t>
      </w:r>
      <w:r>
        <w:rPr>
          <w:rFonts w:hint="eastAsia" w:ascii="宋体" w:hAnsi="宋体"/>
          <w:color w:val="auto"/>
          <w:highlight w:val="none"/>
        </w:rPr>
        <w:t>所列各子目之中，未列子目不予计量的工作，其费用应视为已分摊在本合同的有关子目的单价或总额价之中。</w:t>
      </w:r>
    </w:p>
    <w:p>
      <w:pPr>
        <w:spacing w:line="400" w:lineRule="exact"/>
        <w:jc w:val="left"/>
        <w:rPr>
          <w:rFonts w:ascii="宋体" w:hAnsi="宋体"/>
          <w:color w:val="auto"/>
          <w:szCs w:val="21"/>
          <w:highlight w:val="none"/>
        </w:rPr>
      </w:pPr>
      <w:r>
        <w:rPr>
          <w:rFonts w:hint="eastAsia" w:ascii="宋体" w:hAnsi="宋体"/>
          <w:color w:val="auto"/>
          <w:highlight w:val="none"/>
        </w:rPr>
        <w:t>3、</w:t>
      </w:r>
      <w:r>
        <w:rPr>
          <w:rFonts w:ascii="宋体" w:hAnsi="宋体"/>
          <w:color w:val="auto"/>
          <w:highlight w:val="none"/>
        </w:rPr>
        <w:t>此表在不改变表式的情况下，可自行制作扩展。</w:t>
      </w:r>
      <w:bookmarkEnd w:id="131"/>
    </w:p>
    <w:p>
      <w:pPr>
        <w:widowControl/>
        <w:jc w:val="left"/>
        <w:rPr>
          <w:rFonts w:ascii="宋体" w:hAnsi="宋体"/>
          <w:color w:val="auto"/>
          <w:szCs w:val="21"/>
          <w:highlight w:val="none"/>
        </w:rPr>
      </w:pP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pStyle w:val="24"/>
        <w:rPr>
          <w:color w:val="auto"/>
          <w:highlight w:val="none"/>
        </w:rPr>
        <w:sectPr>
          <w:headerReference r:id="rId14" w:type="default"/>
          <w:footerReference r:id="rId15" w:type="default"/>
          <w:pgSz w:w="11907" w:h="16840"/>
          <w:pgMar w:top="851" w:right="1276" w:bottom="1134" w:left="1276" w:header="285" w:footer="990" w:gutter="0"/>
          <w:cols w:space="720" w:num="1"/>
          <w:docGrid w:linePitch="285" w:charSpace="0"/>
        </w:sectPr>
      </w:pPr>
    </w:p>
    <w:p>
      <w:pPr>
        <w:pStyle w:val="24"/>
        <w:rPr>
          <w:color w:val="auto"/>
          <w:highlight w:val="none"/>
        </w:rPr>
      </w:pPr>
    </w:p>
    <w:p>
      <w:pPr>
        <w:pStyle w:val="24"/>
        <w:snapToGrid w:val="0"/>
        <w:spacing w:line="400" w:lineRule="exact"/>
        <w:jc w:val="center"/>
        <w:rPr>
          <w:b/>
          <w:color w:val="auto"/>
          <w:kern w:val="2"/>
          <w:sz w:val="21"/>
          <w:szCs w:val="21"/>
          <w:highlight w:val="none"/>
        </w:rPr>
      </w:pPr>
      <w:bookmarkStart w:id="132" w:name="_Hlk46070199"/>
      <w:r>
        <w:rPr>
          <w:b/>
          <w:color w:val="auto"/>
          <w:kern w:val="2"/>
          <w:sz w:val="21"/>
          <w:szCs w:val="21"/>
          <w:highlight w:val="none"/>
        </w:rPr>
        <w:t>C</w:t>
      </w:r>
      <w:r>
        <w:rPr>
          <w:rFonts w:hint="eastAsia"/>
          <w:b/>
          <w:color w:val="auto"/>
          <w:kern w:val="2"/>
          <w:sz w:val="21"/>
          <w:szCs w:val="21"/>
          <w:highlight w:val="none"/>
        </w:rPr>
        <w:t>3</w:t>
      </w:r>
      <w:r>
        <w:rPr>
          <w:rFonts w:hint="eastAsia"/>
          <w:b/>
          <w:color w:val="auto"/>
          <w:sz w:val="21"/>
          <w:szCs w:val="21"/>
          <w:highlight w:val="none"/>
        </w:rPr>
        <w:t>服务期满后2年内运维费用报价</w:t>
      </w:r>
    </w:p>
    <w:p>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hAnsi="Times New Roman" w:eastAsia="宋体"/>
          <w:color w:val="auto"/>
          <w:kern w:val="0"/>
          <w:sz w:val="21"/>
          <w:szCs w:val="22"/>
          <w:highlight w:val="none"/>
          <w:u w:val="single"/>
        </w:rPr>
        <w:t>观海卫镇智慧安全监管服务平台一期项目</w:t>
      </w:r>
    </w:p>
    <w:p>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eastAsia="zh-CN"/>
        </w:rPr>
        <w:t>CXZFCG[2022]993号</w:t>
      </w:r>
      <w:r>
        <w:rPr>
          <w:rFonts w:ascii="宋体" w:hAnsi="宋体" w:eastAsia="宋体"/>
          <w:color w:val="auto"/>
          <w:sz w:val="21"/>
          <w:szCs w:val="21"/>
          <w:highlight w:val="none"/>
          <w:u w:val="single"/>
        </w:rPr>
        <w:t xml:space="preserve">  </w:t>
      </w:r>
    </w:p>
    <w:p>
      <w:pPr>
        <w:pStyle w:val="24"/>
        <w:snapToGrid w:val="0"/>
        <w:spacing w:before="0" w:beforeAutospacing="0" w:after="0" w:afterAutospacing="0" w:line="400" w:lineRule="exact"/>
        <w:ind w:firstLine="2520" w:firstLineChars="1200"/>
        <w:jc w:val="right"/>
        <w:rPr>
          <w:color w:val="auto"/>
          <w:sz w:val="21"/>
          <w:szCs w:val="21"/>
          <w:highlight w:val="none"/>
        </w:rPr>
      </w:pPr>
      <w:r>
        <w:rPr>
          <w:rFonts w:hint="eastAsia"/>
          <w:color w:val="auto"/>
          <w:sz w:val="21"/>
          <w:szCs w:val="21"/>
          <w:highlight w:val="none"/>
        </w:rPr>
        <w:t>金额单位：人民币（元）</w:t>
      </w:r>
      <w:bookmarkEnd w:id="132"/>
    </w:p>
    <w:tbl>
      <w:tblPr>
        <w:tblStyle w:val="4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29"/>
        <w:gridCol w:w="2568"/>
        <w:gridCol w:w="988"/>
        <w:gridCol w:w="1209"/>
        <w:gridCol w:w="183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ascii="宋体" w:hAnsi="宋体"/>
                <w:bCs/>
                <w:color w:val="auto"/>
                <w:szCs w:val="21"/>
                <w:highlight w:val="none"/>
              </w:rPr>
              <w:t>名称</w:t>
            </w: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技术参数</w:t>
            </w: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合价</w:t>
            </w:r>
          </w:p>
          <w:p>
            <w:pPr>
              <w:spacing w:line="360" w:lineRule="auto"/>
              <w:jc w:val="center"/>
              <w:rPr>
                <w:rFonts w:ascii="宋体" w:hAnsi="宋体"/>
                <w:color w:val="auto"/>
                <w:szCs w:val="21"/>
                <w:highlight w:val="none"/>
              </w:rPr>
            </w:pPr>
            <w:r>
              <w:rPr>
                <w:rFonts w:hint="eastAsia" w:ascii="宋体" w:hAnsi="宋体"/>
                <w:color w:val="auto"/>
                <w:szCs w:val="21"/>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运维服务费合计（元/年）</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bl>
    <w:p>
      <w:pPr>
        <w:spacing w:line="400" w:lineRule="exact"/>
        <w:ind w:right="210"/>
        <w:jc w:val="left"/>
        <w:rPr>
          <w:rFonts w:ascii="宋体" w:hAnsi="宋体"/>
          <w:b/>
          <w:bCs/>
          <w:color w:val="auto"/>
          <w:szCs w:val="21"/>
          <w:highlight w:val="none"/>
        </w:rPr>
      </w:pPr>
      <w:r>
        <w:rPr>
          <w:rFonts w:hint="eastAsia"/>
          <w:b/>
          <w:color w:val="auto"/>
          <w:szCs w:val="21"/>
          <w:highlight w:val="none"/>
        </w:rPr>
        <w:t>服务期满后2年内运维费用最高限价</w:t>
      </w:r>
      <w:r>
        <w:rPr>
          <w:b/>
          <w:color w:val="auto"/>
          <w:szCs w:val="21"/>
          <w:highlight w:val="none"/>
        </w:rPr>
        <w:t>800000</w:t>
      </w:r>
      <w:r>
        <w:rPr>
          <w:rFonts w:hint="eastAsia"/>
          <w:b/>
          <w:color w:val="auto"/>
          <w:szCs w:val="21"/>
          <w:highlight w:val="none"/>
        </w:rPr>
        <w:t>元/年</w:t>
      </w:r>
      <w:r>
        <w:rPr>
          <w:rFonts w:hint="eastAsia" w:ascii="宋体" w:hAnsi="宋体"/>
          <w:b/>
          <w:bCs/>
          <w:color w:val="auto"/>
          <w:szCs w:val="21"/>
          <w:highlight w:val="none"/>
        </w:rPr>
        <w:t>，但本表的价格不包括在投标总价中，仅供招标人在续签合同中参考。</w:t>
      </w:r>
    </w:p>
    <w:p>
      <w:pPr>
        <w:spacing w:line="400" w:lineRule="exact"/>
        <w:jc w:val="left"/>
        <w:rPr>
          <w:rFonts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exact"/>
        <w:rPr>
          <w:rFonts w:ascii="宋体" w:hAnsi="宋体"/>
          <w:color w:val="auto"/>
          <w:szCs w:val="21"/>
          <w:highlight w:val="none"/>
          <w:u w:val="single"/>
        </w:rPr>
      </w:pPr>
      <w:r>
        <w:rPr>
          <w:rFonts w:hint="eastAsia" w:ascii="宋体" w:hAnsi="宋体"/>
          <w:color w:val="auto"/>
          <w:szCs w:val="21"/>
          <w:highlight w:val="none"/>
        </w:rPr>
        <w:t>日期：</w:t>
      </w:r>
    </w:p>
    <w:p>
      <w:pPr>
        <w:spacing w:line="400" w:lineRule="atLeast"/>
        <w:jc w:val="left"/>
        <w:rPr>
          <w:rFonts w:ascii="宋体" w:hAnsi="宋体"/>
          <w:color w:val="auto"/>
          <w:szCs w:val="21"/>
          <w:highlight w:val="none"/>
        </w:rPr>
      </w:pPr>
      <w:r>
        <w:rPr>
          <w:rFonts w:ascii="宋体" w:hAnsi="宋体"/>
          <w:color w:val="auto"/>
          <w:szCs w:val="21"/>
          <w:highlight w:val="none"/>
        </w:rPr>
        <w:br w:type="page"/>
      </w:r>
      <w:bookmarkStart w:id="133" w:name="_Toc443468296"/>
      <w:bookmarkEnd w:id="133"/>
    </w:p>
    <w:p>
      <w:pPr>
        <w:autoSpaceDE w:val="0"/>
        <w:autoSpaceDN w:val="0"/>
        <w:adjustRightInd w:val="0"/>
        <w:spacing w:line="400" w:lineRule="exact"/>
        <w:jc w:val="center"/>
        <w:outlineLvl w:val="0"/>
        <w:rPr>
          <w:rFonts w:ascii="宋体" w:hAnsi="宋体"/>
          <w:b/>
          <w:color w:val="auto"/>
          <w:szCs w:val="21"/>
          <w:highlight w:val="none"/>
        </w:rPr>
      </w:pPr>
      <w:bookmarkStart w:id="134" w:name="_Toc46014101"/>
      <w:bookmarkStart w:id="135" w:name="_Toc46014254"/>
      <w:bookmarkStart w:id="136" w:name="_Toc21541032"/>
      <w:bookmarkStart w:id="137" w:name="_Toc46014211"/>
      <w:bookmarkStart w:id="138" w:name="_Toc14922"/>
      <w:r>
        <w:rPr>
          <w:rFonts w:ascii="宋体" w:hAnsi="宋体"/>
          <w:b/>
          <w:color w:val="auto"/>
          <w:szCs w:val="21"/>
          <w:highlight w:val="none"/>
        </w:rPr>
        <w:t>C4</w:t>
      </w:r>
      <w:r>
        <w:rPr>
          <w:rFonts w:hint="eastAsia" w:ascii="宋体" w:hAnsi="宋体"/>
          <w:b/>
          <w:color w:val="auto"/>
          <w:szCs w:val="21"/>
          <w:highlight w:val="none"/>
        </w:rPr>
        <w:t>中小企业声明函</w:t>
      </w:r>
      <w:bookmarkEnd w:id="134"/>
      <w:bookmarkEnd w:id="135"/>
      <w:bookmarkEnd w:id="136"/>
      <w:bookmarkEnd w:id="137"/>
      <w:bookmarkEnd w:id="138"/>
    </w:p>
    <w:p>
      <w:pPr>
        <w:spacing w:line="400" w:lineRule="exact"/>
        <w:rPr>
          <w:rFonts w:ascii="宋体" w:hAnsi="宋体"/>
          <w:b/>
          <w:color w:val="auto"/>
          <w:szCs w:val="21"/>
          <w:highlight w:val="none"/>
        </w:rPr>
      </w:pP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本公司（联合体）郑重声明，根据《政府采购促进中小企业发展管理办法》（财库[2020]46号）的规定，本公司（联合体）参加</w:t>
      </w:r>
      <w:r>
        <w:rPr>
          <w:rFonts w:hint="eastAsia" w:ascii="宋体" w:hAnsi="宋体"/>
          <w:i/>
          <w:color w:val="auto"/>
          <w:spacing w:val="6"/>
          <w:szCs w:val="21"/>
          <w:highlight w:val="none"/>
          <w:u w:val="single"/>
        </w:rPr>
        <w:t>（单位名称）</w:t>
      </w:r>
      <w:r>
        <w:rPr>
          <w:rFonts w:hint="eastAsia" w:ascii="宋体" w:hAnsi="宋体"/>
          <w:color w:val="auto"/>
          <w:spacing w:val="6"/>
          <w:szCs w:val="21"/>
          <w:highlight w:val="none"/>
        </w:rPr>
        <w:t>的</w:t>
      </w:r>
      <w:r>
        <w:rPr>
          <w:rFonts w:hint="eastAsia" w:ascii="宋体" w:hAnsi="宋体"/>
          <w:i/>
          <w:color w:val="auto"/>
          <w:spacing w:val="6"/>
          <w:szCs w:val="21"/>
          <w:highlight w:val="none"/>
          <w:u w:val="single"/>
        </w:rPr>
        <w:t>（项目名称）</w:t>
      </w:r>
      <w:r>
        <w:rPr>
          <w:rFonts w:hint="eastAsia" w:ascii="宋体" w:hAnsi="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4" w:firstLineChars="200"/>
        <w:rPr>
          <w:rFonts w:ascii="宋体" w:hAnsi="宋体"/>
          <w:color w:val="auto"/>
          <w:spacing w:val="6"/>
          <w:szCs w:val="21"/>
          <w:highlight w:val="none"/>
          <w:u w:val="single"/>
        </w:rPr>
      </w:pPr>
      <w:r>
        <w:rPr>
          <w:rFonts w:hint="eastAsia" w:ascii="宋体" w:hAnsi="宋体"/>
          <w:color w:val="auto"/>
          <w:spacing w:val="6"/>
          <w:szCs w:val="21"/>
          <w:highlight w:val="none"/>
        </w:rPr>
        <w:t>1.</w:t>
      </w:r>
      <w:r>
        <w:rPr>
          <w:rFonts w:hint="eastAsia" w:ascii="宋体" w:hAnsi="宋体"/>
          <w:color w:val="auto"/>
          <w:spacing w:val="6"/>
          <w:szCs w:val="21"/>
          <w:highlight w:val="none"/>
          <w:u w:val="single"/>
        </w:rPr>
        <w:t>（标的名称）</w:t>
      </w:r>
      <w:r>
        <w:rPr>
          <w:rFonts w:hint="eastAsia" w:ascii="宋体" w:hAnsi="宋体"/>
          <w:color w:val="auto"/>
          <w:spacing w:val="6"/>
          <w:szCs w:val="21"/>
          <w:highlight w:val="none"/>
        </w:rPr>
        <w:t>，属于</w:t>
      </w:r>
      <w:r>
        <w:rPr>
          <w:rFonts w:hint="eastAsia" w:ascii="宋体" w:hAnsi="宋体"/>
          <w:i/>
          <w:color w:val="auto"/>
          <w:spacing w:val="6"/>
          <w:szCs w:val="21"/>
          <w:highlight w:val="none"/>
          <w:u w:val="single"/>
        </w:rPr>
        <w:t>（采购文件中明确的所属行业）行业</w:t>
      </w:r>
      <w:r>
        <w:rPr>
          <w:rFonts w:hint="eastAsia" w:ascii="宋体" w:hAnsi="宋体"/>
          <w:color w:val="auto"/>
          <w:spacing w:val="6"/>
          <w:szCs w:val="21"/>
          <w:highlight w:val="none"/>
        </w:rPr>
        <w:t>；承建（承接）企业为</w:t>
      </w:r>
      <w:r>
        <w:rPr>
          <w:rFonts w:hint="eastAsia" w:ascii="宋体" w:hAnsi="宋体"/>
          <w:i/>
          <w:color w:val="auto"/>
          <w:spacing w:val="6"/>
          <w:szCs w:val="21"/>
          <w:highlight w:val="none"/>
          <w:u w:val="single"/>
        </w:rPr>
        <w:t>（企业名称）</w:t>
      </w:r>
      <w:r>
        <w:rPr>
          <w:rFonts w:hint="eastAsia"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万元，资产总额为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万元，属于</w:t>
      </w:r>
      <w:r>
        <w:rPr>
          <w:rFonts w:hint="eastAsia" w:ascii="宋体" w:hAnsi="宋体"/>
          <w:i/>
          <w:color w:val="auto"/>
          <w:spacing w:val="6"/>
          <w:szCs w:val="21"/>
          <w:highlight w:val="none"/>
          <w:u w:val="single"/>
        </w:rPr>
        <w:t>（中型企业、小型企业、微型企业）</w:t>
      </w:r>
      <w:r>
        <w:rPr>
          <w:rFonts w:hint="eastAsia" w:ascii="宋体" w:hAnsi="宋体"/>
          <w:color w:val="auto"/>
          <w:spacing w:val="6"/>
          <w:szCs w:val="21"/>
          <w:highlight w:val="none"/>
        </w:rPr>
        <w:t>；</w:t>
      </w:r>
    </w:p>
    <w:p>
      <w:pPr>
        <w:spacing w:line="360" w:lineRule="auto"/>
        <w:ind w:firstLine="444" w:firstLineChars="200"/>
        <w:rPr>
          <w:rFonts w:ascii="宋体" w:hAnsi="宋体"/>
          <w:color w:val="auto"/>
          <w:spacing w:val="6"/>
          <w:szCs w:val="21"/>
          <w:highlight w:val="none"/>
          <w:u w:val="single"/>
        </w:rPr>
      </w:pPr>
      <w:r>
        <w:rPr>
          <w:rFonts w:hint="eastAsia" w:ascii="宋体" w:hAnsi="宋体"/>
          <w:color w:val="auto"/>
          <w:spacing w:val="6"/>
          <w:szCs w:val="21"/>
          <w:highlight w:val="none"/>
        </w:rPr>
        <w:t>2.</w:t>
      </w:r>
      <w:r>
        <w:rPr>
          <w:rFonts w:hint="eastAsia" w:ascii="宋体" w:hAnsi="宋体"/>
          <w:color w:val="auto"/>
          <w:spacing w:val="6"/>
          <w:szCs w:val="21"/>
          <w:highlight w:val="none"/>
          <w:u w:val="single"/>
        </w:rPr>
        <w:t>（标的名称）</w:t>
      </w:r>
      <w:r>
        <w:rPr>
          <w:rFonts w:hint="eastAsia" w:ascii="宋体" w:hAnsi="宋体"/>
          <w:color w:val="auto"/>
          <w:spacing w:val="6"/>
          <w:szCs w:val="21"/>
          <w:highlight w:val="none"/>
        </w:rPr>
        <w:t>，属于</w:t>
      </w:r>
      <w:r>
        <w:rPr>
          <w:rFonts w:hint="eastAsia" w:ascii="宋体" w:hAnsi="宋体"/>
          <w:i/>
          <w:color w:val="auto"/>
          <w:spacing w:val="6"/>
          <w:szCs w:val="21"/>
          <w:highlight w:val="none"/>
          <w:u w:val="single"/>
        </w:rPr>
        <w:t>（采购文件中明确的所属行业）行业</w:t>
      </w:r>
      <w:r>
        <w:rPr>
          <w:rFonts w:hint="eastAsia" w:ascii="宋体" w:hAnsi="宋体"/>
          <w:color w:val="auto"/>
          <w:spacing w:val="6"/>
          <w:szCs w:val="21"/>
          <w:highlight w:val="none"/>
        </w:rPr>
        <w:t>；承建（承接）企业为</w:t>
      </w:r>
      <w:r>
        <w:rPr>
          <w:rFonts w:hint="eastAsia" w:ascii="宋体" w:hAnsi="宋体"/>
          <w:i/>
          <w:color w:val="auto"/>
          <w:spacing w:val="6"/>
          <w:szCs w:val="21"/>
          <w:highlight w:val="none"/>
          <w:u w:val="single"/>
        </w:rPr>
        <w:t>（企业名称）</w:t>
      </w:r>
      <w:r>
        <w:rPr>
          <w:rFonts w:hint="eastAsia"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人，营业收入为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万元，资产总额为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万元，属于</w:t>
      </w:r>
      <w:r>
        <w:rPr>
          <w:rFonts w:hint="eastAsia" w:ascii="宋体" w:hAnsi="宋体"/>
          <w:i/>
          <w:color w:val="auto"/>
          <w:spacing w:val="6"/>
          <w:szCs w:val="21"/>
          <w:highlight w:val="none"/>
          <w:u w:val="single"/>
        </w:rPr>
        <w:t>（中型企业、小型企业、微型企业）</w:t>
      </w:r>
      <w:r>
        <w:rPr>
          <w:rFonts w:hint="eastAsia" w:ascii="宋体" w:hAnsi="宋体"/>
          <w:color w:val="auto"/>
          <w:spacing w:val="6"/>
          <w:szCs w:val="21"/>
          <w:highlight w:val="none"/>
        </w:rPr>
        <w:t>；</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本企业对上述声明内容的真实性负责。如有虚假，将依法承担相应责任。</w:t>
      </w:r>
    </w:p>
    <w:p>
      <w:pPr>
        <w:tabs>
          <w:tab w:val="left" w:pos="4860"/>
        </w:tabs>
        <w:spacing w:line="360" w:lineRule="auto"/>
        <w:ind w:right="-58" w:firstLine="999" w:firstLineChars="450"/>
        <w:rPr>
          <w:rFonts w:ascii="宋体" w:hAnsi="宋体"/>
          <w:color w:val="auto"/>
          <w:spacing w:val="6"/>
          <w:szCs w:val="21"/>
          <w:highlight w:val="none"/>
        </w:rPr>
      </w:pPr>
    </w:p>
    <w:p>
      <w:pPr>
        <w:tabs>
          <w:tab w:val="left" w:pos="4860"/>
        </w:tabs>
        <w:spacing w:line="360" w:lineRule="auto"/>
        <w:ind w:right="-58" w:firstLine="4773" w:firstLineChars="2150"/>
        <w:rPr>
          <w:rFonts w:ascii="宋体" w:hAnsi="宋体"/>
          <w:color w:val="auto"/>
          <w:spacing w:val="6"/>
          <w:szCs w:val="21"/>
          <w:highlight w:val="none"/>
        </w:rPr>
      </w:pPr>
      <w:r>
        <w:rPr>
          <w:rFonts w:hint="eastAsia" w:ascii="宋体" w:hAnsi="宋体"/>
          <w:color w:val="auto"/>
          <w:spacing w:val="6"/>
          <w:szCs w:val="21"/>
          <w:highlight w:val="none"/>
        </w:rPr>
        <w:t xml:space="preserve">企业名称（盖章）：                </w:t>
      </w:r>
    </w:p>
    <w:p>
      <w:pPr>
        <w:tabs>
          <w:tab w:val="left" w:pos="4860"/>
        </w:tabs>
        <w:spacing w:line="360" w:lineRule="auto"/>
        <w:ind w:right="-58" w:firstLine="4773" w:firstLineChars="2150"/>
        <w:rPr>
          <w:rFonts w:ascii="宋体" w:hAnsi="宋体"/>
          <w:color w:val="auto"/>
          <w:spacing w:val="6"/>
          <w:szCs w:val="21"/>
          <w:highlight w:val="none"/>
        </w:rPr>
      </w:pPr>
      <w:r>
        <w:rPr>
          <w:rFonts w:hint="eastAsia" w:ascii="宋体" w:hAnsi="宋体"/>
          <w:color w:val="auto"/>
          <w:spacing w:val="6"/>
          <w:szCs w:val="21"/>
          <w:highlight w:val="none"/>
        </w:rPr>
        <w:t xml:space="preserve">日期：  </w:t>
      </w:r>
    </w:p>
    <w:p>
      <w:pPr>
        <w:spacing w:line="360" w:lineRule="auto"/>
        <w:ind w:left="2" w:leftChars="1" w:right="46"/>
        <w:rPr>
          <w:rFonts w:ascii="宋体" w:hAnsi="宋体"/>
          <w:color w:val="auto"/>
          <w:spacing w:val="6"/>
          <w:szCs w:val="21"/>
          <w:highlight w:val="none"/>
        </w:rPr>
      </w:pPr>
    </w:p>
    <w:p>
      <w:pPr>
        <w:spacing w:line="360" w:lineRule="auto"/>
        <w:ind w:left="2" w:leftChars="1" w:right="46"/>
        <w:rPr>
          <w:rFonts w:ascii="宋体" w:hAnsi="宋体"/>
          <w:color w:val="auto"/>
          <w:spacing w:val="6"/>
          <w:szCs w:val="21"/>
          <w:highlight w:val="none"/>
        </w:rPr>
      </w:pPr>
    </w:p>
    <w:p>
      <w:pPr>
        <w:spacing w:line="360" w:lineRule="auto"/>
        <w:ind w:left="2" w:leftChars="1" w:right="46"/>
        <w:rPr>
          <w:rFonts w:ascii="宋体" w:hAnsi="宋体"/>
          <w:color w:val="auto"/>
          <w:spacing w:val="6"/>
          <w:szCs w:val="21"/>
          <w:highlight w:val="none"/>
        </w:rPr>
      </w:pPr>
    </w:p>
    <w:p>
      <w:pPr>
        <w:spacing w:line="360" w:lineRule="auto"/>
        <w:ind w:left="2" w:leftChars="1" w:right="46"/>
        <w:rPr>
          <w:rFonts w:ascii="宋体" w:hAnsi="宋体"/>
          <w:color w:val="auto"/>
          <w:spacing w:val="6"/>
          <w:szCs w:val="21"/>
          <w:highlight w:val="none"/>
        </w:rPr>
      </w:pPr>
      <w:r>
        <w:rPr>
          <w:rFonts w:hint="eastAsia" w:ascii="宋体" w:hAnsi="宋体"/>
          <w:color w:val="auto"/>
          <w:spacing w:val="6"/>
          <w:szCs w:val="21"/>
          <w:highlight w:val="none"/>
        </w:rPr>
        <w:t>注：从业人员、营业收入、资产总额填报上一年度数据，无上一年度数据的新成立企业可不填报。</w:t>
      </w:r>
    </w:p>
    <w:p>
      <w:pPr>
        <w:spacing w:line="588" w:lineRule="exact"/>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C5</w:t>
      </w:r>
      <w:r>
        <w:rPr>
          <w:rFonts w:hint="eastAsia" w:ascii="宋体" w:hAnsi="宋体"/>
          <w:b/>
          <w:color w:val="auto"/>
          <w:szCs w:val="21"/>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firstLine="420" w:firstLineChars="200"/>
        <w:jc w:val="center"/>
        <w:rPr>
          <w:rFonts w:ascii="宋体" w:hAnsi="宋体"/>
          <w:color w:val="auto"/>
          <w:szCs w:val="21"/>
          <w:highlight w:val="none"/>
        </w:rPr>
      </w:pPr>
      <w:r>
        <w:rPr>
          <w:rFonts w:hint="eastAsia" w:ascii="宋体" w:hAnsi="宋体"/>
          <w:color w:val="auto"/>
          <w:szCs w:val="21"/>
          <w:highlight w:val="none"/>
        </w:rPr>
        <w:t>单位名称（盖章）：</w:t>
      </w:r>
    </w:p>
    <w:p>
      <w:pPr>
        <w:tabs>
          <w:tab w:val="left" w:pos="4860"/>
        </w:tabs>
        <w:spacing w:line="588" w:lineRule="exact"/>
        <w:ind w:firstLine="420" w:firstLineChars="200"/>
        <w:jc w:val="center"/>
        <w:rPr>
          <w:rFonts w:ascii="宋体" w:hAnsi="宋体"/>
          <w:color w:val="auto"/>
          <w:szCs w:val="21"/>
          <w:highlight w:val="none"/>
        </w:rPr>
      </w:pPr>
      <w:r>
        <w:rPr>
          <w:rFonts w:hint="eastAsia" w:ascii="宋体" w:hAnsi="宋体"/>
          <w:color w:val="auto"/>
          <w:szCs w:val="21"/>
          <w:highlight w:val="none"/>
        </w:rPr>
        <w:t>日期：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 w:val="44"/>
          <w:szCs w:val="44"/>
          <w:highlight w:val="none"/>
        </w:rPr>
      </w:pPr>
    </w:p>
    <w:p>
      <w:pPr>
        <w:autoSpaceDE w:val="0"/>
        <w:autoSpaceDN w:val="0"/>
        <w:adjustRightInd w:val="0"/>
        <w:spacing w:line="400" w:lineRule="exact"/>
        <w:jc w:val="center"/>
        <w:outlineLvl w:val="0"/>
        <w:rPr>
          <w:rFonts w:ascii="宋体" w:hAnsi="宋体"/>
          <w:b/>
          <w:color w:val="auto"/>
          <w:szCs w:val="21"/>
          <w:highlight w:val="none"/>
        </w:rPr>
      </w:pPr>
      <w:r>
        <w:rPr>
          <w:rStyle w:val="61"/>
          <w:rFonts w:ascii="宋体" w:hAnsi="宋体"/>
          <w:color w:val="auto"/>
          <w:szCs w:val="21"/>
          <w:highlight w:val="none"/>
        </w:rPr>
        <w:br w:type="page"/>
      </w:r>
      <w:bookmarkStart w:id="139" w:name="_Toc46014212"/>
      <w:bookmarkStart w:id="140" w:name="_Toc21541033"/>
      <w:bookmarkStart w:id="141" w:name="_Toc26806"/>
      <w:bookmarkStart w:id="142" w:name="_Toc46014255"/>
      <w:bookmarkStart w:id="143" w:name="_Toc46014102"/>
      <w:r>
        <w:rPr>
          <w:rFonts w:ascii="宋体" w:hAnsi="宋体"/>
          <w:b/>
          <w:color w:val="auto"/>
          <w:szCs w:val="21"/>
          <w:highlight w:val="none"/>
        </w:rPr>
        <w:t>C6</w:t>
      </w:r>
      <w:r>
        <w:rPr>
          <w:rFonts w:hint="eastAsia" w:ascii="宋体" w:hAnsi="宋体"/>
          <w:b/>
          <w:color w:val="auto"/>
          <w:szCs w:val="21"/>
          <w:highlight w:val="none"/>
        </w:rPr>
        <w:t>供应商认为需要的其他资料（如有需提供）</w:t>
      </w:r>
      <w:bookmarkEnd w:id="139"/>
      <w:bookmarkEnd w:id="140"/>
      <w:bookmarkEnd w:id="141"/>
      <w:bookmarkEnd w:id="142"/>
      <w:bookmarkEnd w:id="143"/>
    </w:p>
    <w:p>
      <w:pPr>
        <w:autoSpaceDE w:val="0"/>
        <w:autoSpaceDN w:val="0"/>
        <w:adjustRightInd w:val="0"/>
        <w:spacing w:line="400" w:lineRule="exact"/>
        <w:outlineLvl w:val="0"/>
        <w:rPr>
          <w:rFonts w:ascii="宋体" w:hAnsi="宋体"/>
          <w:b/>
          <w:color w:val="auto"/>
          <w:szCs w:val="21"/>
          <w:highlight w:val="none"/>
        </w:rPr>
      </w:pPr>
    </w:p>
    <w:p>
      <w:pPr>
        <w:autoSpaceDE w:val="0"/>
        <w:autoSpaceDN w:val="0"/>
        <w:adjustRightInd w:val="0"/>
        <w:spacing w:line="400" w:lineRule="exact"/>
        <w:jc w:val="center"/>
        <w:outlineLvl w:val="0"/>
        <w:rPr>
          <w:b/>
          <w:color w:val="auto"/>
          <w:highlight w:val="none"/>
        </w:rPr>
      </w:pPr>
      <w:r>
        <w:rPr>
          <w:rStyle w:val="61"/>
          <w:rFonts w:ascii="宋体" w:hAnsi="宋体"/>
          <w:color w:val="auto"/>
          <w:szCs w:val="21"/>
          <w:highlight w:val="none"/>
        </w:rPr>
        <w:br w:type="page"/>
      </w:r>
      <w:bookmarkStart w:id="144" w:name="_Toc28120"/>
      <w:bookmarkStart w:id="145" w:name="_Toc46014103"/>
      <w:bookmarkStart w:id="146" w:name="_Toc46014213"/>
      <w:bookmarkStart w:id="147" w:name="_Toc46014256"/>
      <w:r>
        <w:rPr>
          <w:rFonts w:hint="eastAsia"/>
          <w:b/>
          <w:color w:val="auto"/>
          <w:highlight w:val="none"/>
        </w:rPr>
        <w:t>政府采购活动现场确认声明书</w:t>
      </w:r>
      <w:bookmarkEnd w:id="144"/>
      <w:bookmarkEnd w:id="145"/>
      <w:bookmarkEnd w:id="146"/>
      <w:bookmarkEnd w:id="147"/>
    </w:p>
    <w:p>
      <w:pPr>
        <w:pStyle w:val="86"/>
        <w:snapToGrid w:val="0"/>
        <w:spacing w:line="400" w:lineRule="exact"/>
        <w:rPr>
          <w:rFonts w:hAnsi="宋体"/>
          <w:color w:val="auto"/>
          <w:szCs w:val="21"/>
          <w:highlight w:val="none"/>
        </w:rPr>
      </w:pPr>
      <w:r>
        <w:rPr>
          <w:rFonts w:hint="eastAsia" w:hAnsi="宋体"/>
          <w:color w:val="auto"/>
          <w:szCs w:val="21"/>
          <w:highlight w:val="none"/>
        </w:rPr>
        <w:t>致：采购人</w:t>
      </w:r>
    </w:p>
    <w:p>
      <w:pPr>
        <w:pStyle w:val="86"/>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（项目编号：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）政府采购活动，经与本单位法人代表（负责人）联系确认，现就有关公平竞争事项郑重声明如下：</w:t>
      </w:r>
    </w:p>
    <w:p>
      <w:pPr>
        <w:pStyle w:val="345"/>
        <w:widowControl/>
        <w:numPr>
          <w:ilvl w:val="0"/>
          <w:numId w:val="14"/>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345"/>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345"/>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345"/>
        <w:widowControl/>
        <w:snapToGrid w:val="0"/>
        <w:spacing w:line="400" w:lineRule="exact"/>
        <w:ind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B.</w:t>
      </w:r>
      <w:r>
        <w:rPr>
          <w:rFonts w:hint="eastAsia" w:ascii="宋体" w:hAnsi="宋体"/>
          <w:color w:val="auto"/>
          <w:szCs w:val="21"/>
          <w:highlight w:val="none"/>
        </w:rPr>
        <w:t>行政隶属关系</w:t>
      </w:r>
      <w:r>
        <w:rPr>
          <w:rFonts w:ascii="宋体" w:hAnsi="宋体"/>
          <w:color w:val="auto"/>
          <w:szCs w:val="21"/>
          <w:highlight w:val="none"/>
        </w:rPr>
        <w:t>C.</w:t>
      </w:r>
      <w:r>
        <w:rPr>
          <w:rFonts w:hint="eastAsia" w:ascii="宋体" w:hAnsi="宋体"/>
          <w:color w:val="auto"/>
          <w:szCs w:val="21"/>
          <w:highlight w:val="none"/>
        </w:rPr>
        <w:t>业务指导关系</w:t>
      </w:r>
    </w:p>
    <w:p>
      <w:pPr>
        <w:pStyle w:val="345"/>
        <w:widowControl/>
        <w:snapToGrid w:val="0"/>
        <w:spacing w:line="400" w:lineRule="exact"/>
        <w:ind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hint="eastAsia" w:ascii="宋体" w:hAnsi="宋体"/>
          <w:color w:val="auto"/>
          <w:szCs w:val="21"/>
          <w:highlight w:val="none"/>
        </w:rPr>
        <w:t>。</w:t>
      </w:r>
    </w:p>
    <w:p>
      <w:pPr>
        <w:pStyle w:val="345"/>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345"/>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345"/>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345"/>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345"/>
        <w:widowControl/>
        <w:numPr>
          <w:ilvl w:val="0"/>
          <w:numId w:val="15"/>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345"/>
        <w:widowControl/>
        <w:numPr>
          <w:ilvl w:val="0"/>
          <w:numId w:val="15"/>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hint="eastAsia" w:ascii="宋体" w:hAnsi="宋体"/>
          <w:color w:val="auto"/>
          <w:szCs w:val="21"/>
          <w:highlight w:val="none"/>
          <w:u w:val="single"/>
        </w:rPr>
        <w:t>供应商</w:t>
      </w:r>
      <w:r>
        <w:rPr>
          <w:rFonts w:hint="eastAsia" w:ascii="宋体" w:hAnsi="宋体"/>
          <w:color w:val="auto"/>
          <w:szCs w:val="21"/>
          <w:highlight w:val="none"/>
        </w:rPr>
        <w:t>之间存在或可能存在上述第二条第项利害关系。</w:t>
      </w:r>
    </w:p>
    <w:p>
      <w:pPr>
        <w:pStyle w:val="86"/>
        <w:snapToGrid w:val="0"/>
        <w:spacing w:line="400" w:lineRule="exact"/>
        <w:ind w:firstLine="420" w:firstLineChars="200"/>
        <w:rPr>
          <w:rFonts w:hAnsi="宋体"/>
          <w:color w:val="auto"/>
          <w:szCs w:val="21"/>
          <w:highlight w:val="none"/>
        </w:rPr>
      </w:pPr>
    </w:p>
    <w:p>
      <w:pPr>
        <w:pStyle w:val="86"/>
        <w:snapToGrid w:val="0"/>
        <w:spacing w:line="400" w:lineRule="exact"/>
        <w:ind w:firstLine="1365" w:firstLineChars="650"/>
        <w:rPr>
          <w:rFonts w:hAnsi="宋体"/>
          <w:color w:val="auto"/>
          <w:szCs w:val="21"/>
          <w:highlight w:val="none"/>
        </w:rPr>
      </w:pP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hint="eastAsia" w:ascii="宋体" w:hAnsi="宋体"/>
          <w:color w:val="auto"/>
          <w:szCs w:val="21"/>
          <w:highlight w:val="none"/>
        </w:rPr>
        <w:t xml:space="preserve">    年  月  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、由各供应商签署，开标后以PDF形式或纸质形式递交给招标代理;以PDF形式递交的，发送至邮箱844793647@qq.com。</w:t>
      </w:r>
    </w:p>
    <w:p>
      <w:pPr>
        <w:spacing w:line="500" w:lineRule="exact"/>
        <w:ind w:firstLine="548" w:firstLineChars="195"/>
        <w:rPr>
          <w:rFonts w:ascii="宋体" w:hAnsi="宋体"/>
          <w:b/>
          <w:color w:val="auto"/>
          <w:sz w:val="28"/>
          <w:szCs w:val="28"/>
          <w:highlight w:val="none"/>
        </w:rPr>
      </w:pPr>
    </w:p>
    <w:p>
      <w:pPr>
        <w:pStyle w:val="26"/>
        <w:spacing w:line="360" w:lineRule="auto"/>
        <w:ind w:firstLine="2880" w:firstLineChars="800"/>
        <w:jc w:val="left"/>
        <w:rPr>
          <w:rFonts w:hAnsi="宋体"/>
          <w:color w:val="auto"/>
          <w:sz w:val="36"/>
          <w:szCs w:val="36"/>
          <w:highlight w:val="none"/>
        </w:rPr>
        <w:sectPr>
          <w:pgSz w:w="11907" w:h="16840"/>
          <w:pgMar w:top="851" w:right="1276" w:bottom="1134" w:left="1276" w:header="285" w:footer="990" w:gutter="0"/>
          <w:cols w:space="720" w:num="1"/>
          <w:docGrid w:linePitch="285" w:charSpace="0"/>
        </w:sectPr>
      </w:pPr>
    </w:p>
    <w:tbl>
      <w:tblPr>
        <w:tblStyle w:val="4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677"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536"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highlight w:val="none"/>
              </w:rPr>
            </w:pPr>
          </w:p>
        </w:tc>
        <w:tc>
          <w:tcPr>
            <w:tcW w:w="1234" w:type="dxa"/>
            <w:tcBorders>
              <w:top w:val="nil"/>
              <w:left w:val="nil"/>
              <w:bottom w:val="single" w:color="auto" w:sz="4" w:space="0"/>
              <w:right w:val="single" w:color="auto" w:sz="8"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p>
        </w:tc>
        <w:tc>
          <w:tcPr>
            <w:tcW w:w="1677"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p>
        </w:tc>
        <w:tc>
          <w:tcPr>
            <w:tcW w:w="1252"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p>
        </w:tc>
        <w:tc>
          <w:tcPr>
            <w:tcW w:w="1536"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p>
        </w:tc>
        <w:tc>
          <w:tcPr>
            <w:tcW w:w="1297"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pPr>
              <w:widowControl/>
              <w:rPr>
                <w:rFonts w:ascii="宋体" w:hAnsi="宋体" w:cs="宋体"/>
                <w:color w:val="auto"/>
                <w:kern w:val="0"/>
                <w:sz w:val="20"/>
                <w:highlight w:val="none"/>
              </w:rPr>
            </w:pPr>
          </w:p>
        </w:tc>
        <w:tc>
          <w:tcPr>
            <w:tcW w:w="1234" w:type="dxa"/>
            <w:tcBorders>
              <w:top w:val="nil"/>
              <w:left w:val="nil"/>
              <w:bottom w:val="single" w:color="auto" w:sz="8" w:space="0"/>
              <w:right w:val="single" w:color="auto" w:sz="8" w:space="0"/>
            </w:tcBorders>
            <w:vAlign w:val="center"/>
          </w:tcPr>
          <w:p>
            <w:pPr>
              <w:widowControl/>
              <w:rPr>
                <w:rFonts w:ascii="宋体" w:hAnsi="宋体" w:cs="宋体"/>
                <w:color w:val="auto"/>
                <w:kern w:val="0"/>
                <w:sz w:val="20"/>
                <w:highlight w:val="none"/>
              </w:rPr>
            </w:pP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6"/>
        <w:tabs>
          <w:tab w:val="left" w:pos="3450"/>
        </w:tabs>
        <w:spacing w:line="20" w:lineRule="exact"/>
        <w:jc w:val="left"/>
        <w:rPr>
          <w:rFonts w:hAnsi="宋体"/>
          <w:color w:val="auto"/>
          <w:sz w:val="36"/>
          <w:szCs w:val="36"/>
          <w:highlight w:val="none"/>
        </w:rPr>
      </w:pPr>
    </w:p>
    <w:sectPr>
      <w:pgSz w:w="16840" w:h="11907" w:orient="landscape"/>
      <w:pgMar w:top="1276" w:right="851" w:bottom="1276" w:left="1134" w:header="737"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10" w:usb3="00000000" w:csb0="00000000"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21</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107"/>
      <w:jc w:val="center"/>
    </w:pPr>
    <w:r>
      <w:fldChar w:fldCharType="begin"/>
    </w:r>
    <w:r>
      <w:instrText xml:space="preserve"> PAGE   \* MERGEFORMAT </w:instrText>
    </w:r>
    <w:r>
      <w:fldChar w:fldCharType="separate"/>
    </w:r>
    <w:r>
      <w:rPr>
        <w:rFonts w:ascii="宋体" w:hAnsi="宋体" w:cs="宋体"/>
        <w:sz w:val="18"/>
      </w:rPr>
      <w:t>35</w:t>
    </w:r>
    <w:r>
      <w:rPr>
        <w:rFonts w:ascii="宋体" w:hAnsi="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107"/>
      <w:jc w:val="center"/>
    </w:pPr>
    <w:r>
      <w:fldChar w:fldCharType="begin"/>
    </w:r>
    <w:r>
      <w:instrText xml:space="preserve"> PAGE   \* MERGEFORMAT </w:instrText>
    </w:r>
    <w:r>
      <w:fldChar w:fldCharType="separate"/>
    </w:r>
    <w:r>
      <w:rPr>
        <w:rFonts w:ascii="宋体" w:hAnsi="宋体" w:cs="宋体"/>
        <w:sz w:val="18"/>
      </w:rPr>
      <w:t>14</w:t>
    </w:r>
    <w:r>
      <w:rPr>
        <w:rFonts w:ascii="宋体" w:hAnsi="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107"/>
      <w:jc w:val="center"/>
    </w:pPr>
    <w:r>
      <w:fldChar w:fldCharType="begin"/>
    </w:r>
    <w:r>
      <w:instrText xml:space="preserve"> PAGE   \* MERGEFORMAT </w:instrText>
    </w:r>
    <w:r>
      <w:fldChar w:fldCharType="separate"/>
    </w:r>
    <w:r>
      <w:rPr>
        <w:rFonts w:ascii="宋体" w:hAnsi="宋体" w:cs="宋体"/>
        <w:sz w:val="18"/>
      </w:rPr>
      <w:t>14</w:t>
    </w:r>
    <w:r>
      <w:rPr>
        <w:rFonts w:ascii="宋体" w:hAnsi="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107"/>
      <w:jc w:val="center"/>
    </w:pPr>
    <w:r>
      <w:fldChar w:fldCharType="begin"/>
    </w:r>
    <w:r>
      <w:instrText xml:space="preserve"> PAGE   \* MERGEFORMAT </w:instrText>
    </w:r>
    <w:r>
      <w:fldChar w:fldCharType="separate"/>
    </w:r>
    <w:r>
      <w:rPr>
        <w:rFonts w:ascii="宋体" w:hAnsi="宋体" w:cs="宋体"/>
        <w:sz w:val="18"/>
      </w:rPr>
      <w:t>50</w:t>
    </w:r>
    <w:r>
      <w:rPr>
        <w:rFonts w:ascii="宋体" w:hAnsi="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h="850" w:hRule="exact" w:wrap="around" w:vAnchor="text" w:hAnchor="margin" w:xAlign="center" w:y="348"/>
      <w:jc w:val="center"/>
      <w:rPr>
        <w:rStyle w:val="51"/>
      </w:rPr>
    </w:pPr>
    <w:r>
      <w:fldChar w:fldCharType="begin"/>
    </w:r>
    <w:r>
      <w:rPr>
        <w:rStyle w:val="51"/>
      </w:rPr>
      <w:instrText xml:space="preserve">PAGE  </w:instrText>
    </w:r>
    <w:r>
      <w:fldChar w:fldCharType="separate"/>
    </w:r>
    <w:r>
      <w:rPr>
        <w:rStyle w:val="51"/>
      </w:rPr>
      <w:t>83</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73755"/>
    <w:multiLevelType w:val="singleLevel"/>
    <w:tmpl w:val="9E973755"/>
    <w:lvl w:ilvl="0" w:tentative="0">
      <w:start w:val="1"/>
      <w:numFmt w:val="bullet"/>
      <w:lvlText w:val=""/>
      <w:lvlJc w:val="left"/>
      <w:pPr>
        <w:ind w:left="420" w:hanging="420"/>
      </w:pPr>
      <w:rPr>
        <w:rFonts w:hint="default" w:ascii="Wingdings" w:hAnsi="Wingdings"/>
      </w:rPr>
    </w:lvl>
  </w:abstractNum>
  <w:abstractNum w:abstractNumId="1">
    <w:nsid w:val="BE4E1EC3"/>
    <w:multiLevelType w:val="singleLevel"/>
    <w:tmpl w:val="BE4E1EC3"/>
    <w:lvl w:ilvl="0" w:tentative="0">
      <w:start w:val="1"/>
      <w:numFmt w:val="decimal"/>
      <w:suff w:val="nothing"/>
      <w:lvlText w:val="（%1）"/>
      <w:lvlJc w:val="left"/>
    </w:lvl>
  </w:abstractNum>
  <w:abstractNum w:abstractNumId="2">
    <w:nsid w:val="CF9D11FB"/>
    <w:multiLevelType w:val="singleLevel"/>
    <w:tmpl w:val="CF9D11FB"/>
    <w:lvl w:ilvl="0" w:tentative="0">
      <w:start w:val="2"/>
      <w:numFmt w:val="decimal"/>
      <w:suff w:val="nothing"/>
      <w:lvlText w:val="%1、"/>
      <w:lvlJc w:val="left"/>
    </w:lvl>
  </w:abstractNum>
  <w:abstractNum w:abstractNumId="3">
    <w:nsid w:val="D547C95C"/>
    <w:multiLevelType w:val="singleLevel"/>
    <w:tmpl w:val="D547C95C"/>
    <w:lvl w:ilvl="0" w:tentative="0">
      <w:start w:val="1"/>
      <w:numFmt w:val="decimal"/>
      <w:suff w:val="nothing"/>
      <w:lvlText w:val="%1、"/>
      <w:lvlJc w:val="left"/>
    </w:lvl>
  </w:abstractNum>
  <w:abstractNum w:abstractNumId="4">
    <w:nsid w:val="F08148A0"/>
    <w:multiLevelType w:val="singleLevel"/>
    <w:tmpl w:val="F08148A0"/>
    <w:lvl w:ilvl="0" w:tentative="0">
      <w:start w:val="1"/>
      <w:numFmt w:val="decimal"/>
      <w:suff w:val="nothing"/>
      <w:lvlText w:val="（%1）"/>
      <w:lvlJc w:val="left"/>
    </w:lvl>
  </w:abstractNum>
  <w:abstractNum w:abstractNumId="5">
    <w:nsid w:val="06330A3F"/>
    <w:multiLevelType w:val="multilevel"/>
    <w:tmpl w:val="06330A3F"/>
    <w:lvl w:ilvl="0" w:tentative="0">
      <w:start w:val="1"/>
      <w:numFmt w:val="bullet"/>
      <w:lvlText w:val=""/>
      <w:lvlJc w:val="left"/>
      <w:pPr>
        <w:ind w:left="664" w:hanging="420"/>
      </w:pPr>
      <w:rPr>
        <w:rFonts w:hint="default" w:ascii="Wingdings" w:hAnsi="Wingdings"/>
      </w:rPr>
    </w:lvl>
    <w:lvl w:ilvl="1" w:tentative="0">
      <w:start w:val="1"/>
      <w:numFmt w:val="bullet"/>
      <w:lvlText w:val=""/>
      <w:lvlJc w:val="left"/>
      <w:pPr>
        <w:ind w:left="1084" w:hanging="420"/>
      </w:pPr>
      <w:rPr>
        <w:rFonts w:hint="default" w:ascii="Wingdings" w:hAnsi="Wingdings"/>
      </w:rPr>
    </w:lvl>
    <w:lvl w:ilvl="2" w:tentative="0">
      <w:start w:val="1"/>
      <w:numFmt w:val="bullet"/>
      <w:lvlText w:val=""/>
      <w:lvlJc w:val="left"/>
      <w:pPr>
        <w:ind w:left="1504" w:hanging="420"/>
      </w:pPr>
      <w:rPr>
        <w:rFonts w:hint="default" w:ascii="Wingdings" w:hAnsi="Wingdings"/>
      </w:rPr>
    </w:lvl>
    <w:lvl w:ilvl="3" w:tentative="0">
      <w:start w:val="1"/>
      <w:numFmt w:val="bullet"/>
      <w:lvlText w:val=""/>
      <w:lvlJc w:val="left"/>
      <w:pPr>
        <w:ind w:left="1924" w:hanging="420"/>
      </w:pPr>
      <w:rPr>
        <w:rFonts w:hint="default" w:ascii="Wingdings" w:hAnsi="Wingdings"/>
      </w:rPr>
    </w:lvl>
    <w:lvl w:ilvl="4" w:tentative="0">
      <w:start w:val="1"/>
      <w:numFmt w:val="bullet"/>
      <w:lvlText w:val=""/>
      <w:lvlJc w:val="left"/>
      <w:pPr>
        <w:ind w:left="2344" w:hanging="420"/>
      </w:pPr>
      <w:rPr>
        <w:rFonts w:hint="default" w:ascii="Wingdings" w:hAnsi="Wingdings"/>
      </w:rPr>
    </w:lvl>
    <w:lvl w:ilvl="5" w:tentative="0">
      <w:start w:val="1"/>
      <w:numFmt w:val="bullet"/>
      <w:lvlText w:val=""/>
      <w:lvlJc w:val="left"/>
      <w:pPr>
        <w:ind w:left="2764" w:hanging="420"/>
      </w:pPr>
      <w:rPr>
        <w:rFonts w:hint="default" w:ascii="Wingdings" w:hAnsi="Wingdings"/>
      </w:rPr>
    </w:lvl>
    <w:lvl w:ilvl="6" w:tentative="0">
      <w:start w:val="1"/>
      <w:numFmt w:val="bullet"/>
      <w:lvlText w:val=""/>
      <w:lvlJc w:val="left"/>
      <w:pPr>
        <w:ind w:left="3184" w:hanging="420"/>
      </w:pPr>
      <w:rPr>
        <w:rFonts w:hint="default" w:ascii="Wingdings" w:hAnsi="Wingdings"/>
      </w:rPr>
    </w:lvl>
    <w:lvl w:ilvl="7" w:tentative="0">
      <w:start w:val="1"/>
      <w:numFmt w:val="bullet"/>
      <w:lvlText w:val=""/>
      <w:lvlJc w:val="left"/>
      <w:pPr>
        <w:ind w:left="3604" w:hanging="420"/>
      </w:pPr>
      <w:rPr>
        <w:rFonts w:hint="default" w:ascii="Wingdings" w:hAnsi="Wingdings"/>
      </w:rPr>
    </w:lvl>
    <w:lvl w:ilvl="8" w:tentative="0">
      <w:start w:val="1"/>
      <w:numFmt w:val="bullet"/>
      <w:lvlText w:val=""/>
      <w:lvlJc w:val="left"/>
      <w:pPr>
        <w:ind w:left="4024" w:hanging="420"/>
      </w:pPr>
      <w:rPr>
        <w:rFonts w:hint="default" w:ascii="Wingdings" w:hAnsi="Wingdings"/>
      </w:rPr>
    </w:lvl>
  </w:abstractNum>
  <w:abstractNum w:abstractNumId="6">
    <w:nsid w:val="10385B7C"/>
    <w:multiLevelType w:val="multilevel"/>
    <w:tmpl w:val="10385B7C"/>
    <w:lvl w:ilvl="0" w:tentative="0">
      <w:start w:val="1"/>
      <w:numFmt w:val="bullet"/>
      <w:lvlText w:val=""/>
      <w:lvlJc w:val="left"/>
      <w:pPr>
        <w:ind w:left="664" w:hanging="420"/>
      </w:pPr>
      <w:rPr>
        <w:rFonts w:hint="default" w:ascii="Wingdings" w:hAnsi="Wingdings"/>
      </w:rPr>
    </w:lvl>
    <w:lvl w:ilvl="1" w:tentative="0">
      <w:start w:val="1"/>
      <w:numFmt w:val="bullet"/>
      <w:lvlText w:val=""/>
      <w:lvlJc w:val="left"/>
      <w:pPr>
        <w:ind w:left="1084" w:hanging="420"/>
      </w:pPr>
      <w:rPr>
        <w:rFonts w:hint="default" w:ascii="Wingdings" w:hAnsi="Wingdings"/>
      </w:rPr>
    </w:lvl>
    <w:lvl w:ilvl="2" w:tentative="0">
      <w:start w:val="1"/>
      <w:numFmt w:val="bullet"/>
      <w:lvlText w:val=""/>
      <w:lvlJc w:val="left"/>
      <w:pPr>
        <w:ind w:left="1504" w:hanging="420"/>
      </w:pPr>
      <w:rPr>
        <w:rFonts w:hint="default" w:ascii="Wingdings" w:hAnsi="Wingdings"/>
      </w:rPr>
    </w:lvl>
    <w:lvl w:ilvl="3" w:tentative="0">
      <w:start w:val="1"/>
      <w:numFmt w:val="bullet"/>
      <w:lvlText w:val=""/>
      <w:lvlJc w:val="left"/>
      <w:pPr>
        <w:ind w:left="1924" w:hanging="420"/>
      </w:pPr>
      <w:rPr>
        <w:rFonts w:hint="default" w:ascii="Wingdings" w:hAnsi="Wingdings"/>
      </w:rPr>
    </w:lvl>
    <w:lvl w:ilvl="4" w:tentative="0">
      <w:start w:val="1"/>
      <w:numFmt w:val="bullet"/>
      <w:lvlText w:val=""/>
      <w:lvlJc w:val="left"/>
      <w:pPr>
        <w:ind w:left="2344" w:hanging="420"/>
      </w:pPr>
      <w:rPr>
        <w:rFonts w:hint="default" w:ascii="Wingdings" w:hAnsi="Wingdings"/>
      </w:rPr>
    </w:lvl>
    <w:lvl w:ilvl="5" w:tentative="0">
      <w:start w:val="1"/>
      <w:numFmt w:val="bullet"/>
      <w:lvlText w:val=""/>
      <w:lvlJc w:val="left"/>
      <w:pPr>
        <w:ind w:left="2764" w:hanging="420"/>
      </w:pPr>
      <w:rPr>
        <w:rFonts w:hint="default" w:ascii="Wingdings" w:hAnsi="Wingdings"/>
      </w:rPr>
    </w:lvl>
    <w:lvl w:ilvl="6" w:tentative="0">
      <w:start w:val="1"/>
      <w:numFmt w:val="bullet"/>
      <w:lvlText w:val=""/>
      <w:lvlJc w:val="left"/>
      <w:pPr>
        <w:ind w:left="3184" w:hanging="420"/>
      </w:pPr>
      <w:rPr>
        <w:rFonts w:hint="default" w:ascii="Wingdings" w:hAnsi="Wingdings"/>
      </w:rPr>
    </w:lvl>
    <w:lvl w:ilvl="7" w:tentative="0">
      <w:start w:val="1"/>
      <w:numFmt w:val="bullet"/>
      <w:lvlText w:val=""/>
      <w:lvlJc w:val="left"/>
      <w:pPr>
        <w:ind w:left="3604" w:hanging="420"/>
      </w:pPr>
      <w:rPr>
        <w:rFonts w:hint="default" w:ascii="Wingdings" w:hAnsi="Wingdings"/>
      </w:rPr>
    </w:lvl>
    <w:lvl w:ilvl="8" w:tentative="0">
      <w:start w:val="1"/>
      <w:numFmt w:val="bullet"/>
      <w:lvlText w:val=""/>
      <w:lvlJc w:val="left"/>
      <w:pPr>
        <w:ind w:left="4024" w:hanging="420"/>
      </w:pPr>
      <w:rPr>
        <w:rFonts w:hint="default" w:ascii="Wingdings" w:hAnsi="Wingdings"/>
      </w:rPr>
    </w:lvl>
  </w:abstractNum>
  <w:abstractNum w:abstractNumId="7">
    <w:nsid w:val="349AFCEA"/>
    <w:multiLevelType w:val="singleLevel"/>
    <w:tmpl w:val="349AFCEA"/>
    <w:lvl w:ilvl="0" w:tentative="0">
      <w:start w:val="1"/>
      <w:numFmt w:val="decimal"/>
      <w:suff w:val="nothing"/>
      <w:lvlText w:val="（%1）"/>
      <w:lvlJc w:val="left"/>
    </w:lvl>
  </w:abstractNum>
  <w:abstractNum w:abstractNumId="8">
    <w:nsid w:val="543D6979"/>
    <w:multiLevelType w:val="multilevel"/>
    <w:tmpl w:val="543D6979"/>
    <w:lvl w:ilvl="0" w:tentative="0">
      <w:start w:val="1"/>
      <w:numFmt w:val="decimal"/>
      <w:pStyle w:val="256"/>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4F403B5"/>
    <w:multiLevelType w:val="singleLevel"/>
    <w:tmpl w:val="54F403B5"/>
    <w:lvl w:ilvl="0" w:tentative="0">
      <w:start w:val="1"/>
      <w:numFmt w:val="chineseCounting"/>
      <w:suff w:val="nothing"/>
      <w:lvlText w:val="%1、"/>
      <w:lvlJc w:val="left"/>
      <w:rPr>
        <w:rFonts w:cs="Times New Roman"/>
      </w:rPr>
    </w:lvl>
  </w:abstractNum>
  <w:abstractNum w:abstractNumId="10">
    <w:nsid w:val="557FD3DA"/>
    <w:multiLevelType w:val="singleLevel"/>
    <w:tmpl w:val="557FD3DA"/>
    <w:lvl w:ilvl="0" w:tentative="0">
      <w:start w:val="3"/>
      <w:numFmt w:val="chineseCounting"/>
      <w:suff w:val="nothing"/>
      <w:lvlText w:val="%1、"/>
      <w:lvlJc w:val="left"/>
      <w:rPr>
        <w:rFonts w:cs="Times New Roman"/>
      </w:rPr>
    </w:lvl>
  </w:abstractNum>
  <w:abstractNum w:abstractNumId="11">
    <w:nsid w:val="57A74C8F"/>
    <w:multiLevelType w:val="singleLevel"/>
    <w:tmpl w:val="57A74C8F"/>
    <w:lvl w:ilvl="0" w:tentative="0">
      <w:start w:val="1"/>
      <w:numFmt w:val="chineseCounting"/>
      <w:pStyle w:val="123"/>
      <w:suff w:val="nothing"/>
      <w:lvlText w:val="%1、"/>
      <w:lvlJc w:val="left"/>
      <w:rPr>
        <w:rFonts w:hint="eastAsia" w:cs="Times New Roman"/>
      </w:rPr>
    </w:lvl>
  </w:abstractNum>
  <w:abstractNum w:abstractNumId="12">
    <w:nsid w:val="6F1F5871"/>
    <w:multiLevelType w:val="multilevel"/>
    <w:tmpl w:val="6F1F5871"/>
    <w:lvl w:ilvl="0" w:tentative="0">
      <w:start w:val="1"/>
      <w:numFmt w:val="bullet"/>
      <w:lvlText w:val=""/>
      <w:lvlJc w:val="left"/>
      <w:pPr>
        <w:ind w:left="664" w:hanging="420"/>
      </w:pPr>
      <w:rPr>
        <w:rFonts w:hint="default" w:ascii="Wingdings" w:hAnsi="Wingdings"/>
      </w:rPr>
    </w:lvl>
    <w:lvl w:ilvl="1" w:tentative="0">
      <w:start w:val="1"/>
      <w:numFmt w:val="bullet"/>
      <w:lvlText w:val=""/>
      <w:lvlJc w:val="left"/>
      <w:pPr>
        <w:ind w:left="1084" w:hanging="420"/>
      </w:pPr>
      <w:rPr>
        <w:rFonts w:hint="default" w:ascii="Wingdings" w:hAnsi="Wingdings"/>
      </w:rPr>
    </w:lvl>
    <w:lvl w:ilvl="2" w:tentative="0">
      <w:start w:val="1"/>
      <w:numFmt w:val="bullet"/>
      <w:lvlText w:val=""/>
      <w:lvlJc w:val="left"/>
      <w:pPr>
        <w:ind w:left="1504" w:hanging="420"/>
      </w:pPr>
      <w:rPr>
        <w:rFonts w:hint="default" w:ascii="Wingdings" w:hAnsi="Wingdings"/>
      </w:rPr>
    </w:lvl>
    <w:lvl w:ilvl="3" w:tentative="0">
      <w:start w:val="1"/>
      <w:numFmt w:val="bullet"/>
      <w:lvlText w:val=""/>
      <w:lvlJc w:val="left"/>
      <w:pPr>
        <w:ind w:left="1924" w:hanging="420"/>
      </w:pPr>
      <w:rPr>
        <w:rFonts w:hint="default" w:ascii="Wingdings" w:hAnsi="Wingdings"/>
      </w:rPr>
    </w:lvl>
    <w:lvl w:ilvl="4" w:tentative="0">
      <w:start w:val="1"/>
      <w:numFmt w:val="bullet"/>
      <w:lvlText w:val=""/>
      <w:lvlJc w:val="left"/>
      <w:pPr>
        <w:ind w:left="2344" w:hanging="420"/>
      </w:pPr>
      <w:rPr>
        <w:rFonts w:hint="default" w:ascii="Wingdings" w:hAnsi="Wingdings"/>
      </w:rPr>
    </w:lvl>
    <w:lvl w:ilvl="5" w:tentative="0">
      <w:start w:val="1"/>
      <w:numFmt w:val="bullet"/>
      <w:lvlText w:val=""/>
      <w:lvlJc w:val="left"/>
      <w:pPr>
        <w:ind w:left="2764" w:hanging="420"/>
      </w:pPr>
      <w:rPr>
        <w:rFonts w:hint="default" w:ascii="Wingdings" w:hAnsi="Wingdings"/>
      </w:rPr>
    </w:lvl>
    <w:lvl w:ilvl="6" w:tentative="0">
      <w:start w:val="1"/>
      <w:numFmt w:val="bullet"/>
      <w:lvlText w:val=""/>
      <w:lvlJc w:val="left"/>
      <w:pPr>
        <w:ind w:left="3184" w:hanging="420"/>
      </w:pPr>
      <w:rPr>
        <w:rFonts w:hint="default" w:ascii="Wingdings" w:hAnsi="Wingdings"/>
      </w:rPr>
    </w:lvl>
    <w:lvl w:ilvl="7" w:tentative="0">
      <w:start w:val="1"/>
      <w:numFmt w:val="bullet"/>
      <w:lvlText w:val=""/>
      <w:lvlJc w:val="left"/>
      <w:pPr>
        <w:ind w:left="3604" w:hanging="420"/>
      </w:pPr>
      <w:rPr>
        <w:rFonts w:hint="default" w:ascii="Wingdings" w:hAnsi="Wingdings"/>
      </w:rPr>
    </w:lvl>
    <w:lvl w:ilvl="8" w:tentative="0">
      <w:start w:val="1"/>
      <w:numFmt w:val="bullet"/>
      <w:lvlText w:val=""/>
      <w:lvlJc w:val="left"/>
      <w:pPr>
        <w:ind w:left="4024" w:hanging="420"/>
      </w:pPr>
      <w:rPr>
        <w:rFonts w:hint="default" w:ascii="Wingdings" w:hAnsi="Wingdings"/>
      </w:rPr>
    </w:lvl>
  </w:abstractNum>
  <w:abstractNum w:abstractNumId="13">
    <w:nsid w:val="70A9468B"/>
    <w:multiLevelType w:val="multilevel"/>
    <w:tmpl w:val="70A9468B"/>
    <w:lvl w:ilvl="0" w:tentative="0">
      <w:start w:val="1"/>
      <w:numFmt w:val="bullet"/>
      <w:lvlText w:val=""/>
      <w:lvlJc w:val="left"/>
      <w:pPr>
        <w:ind w:left="664" w:hanging="420"/>
      </w:pPr>
      <w:rPr>
        <w:rFonts w:hint="default" w:ascii="Wingdings" w:hAnsi="Wingdings"/>
      </w:rPr>
    </w:lvl>
    <w:lvl w:ilvl="1" w:tentative="0">
      <w:start w:val="1"/>
      <w:numFmt w:val="bullet"/>
      <w:lvlText w:val=""/>
      <w:lvlJc w:val="left"/>
      <w:pPr>
        <w:ind w:left="1084" w:hanging="420"/>
      </w:pPr>
      <w:rPr>
        <w:rFonts w:hint="default" w:ascii="Wingdings" w:hAnsi="Wingdings"/>
      </w:rPr>
    </w:lvl>
    <w:lvl w:ilvl="2" w:tentative="0">
      <w:start w:val="1"/>
      <w:numFmt w:val="bullet"/>
      <w:lvlText w:val=""/>
      <w:lvlJc w:val="left"/>
      <w:pPr>
        <w:ind w:left="1504" w:hanging="420"/>
      </w:pPr>
      <w:rPr>
        <w:rFonts w:hint="default" w:ascii="Wingdings" w:hAnsi="Wingdings"/>
      </w:rPr>
    </w:lvl>
    <w:lvl w:ilvl="3" w:tentative="0">
      <w:start w:val="1"/>
      <w:numFmt w:val="bullet"/>
      <w:lvlText w:val=""/>
      <w:lvlJc w:val="left"/>
      <w:pPr>
        <w:ind w:left="1924" w:hanging="420"/>
      </w:pPr>
      <w:rPr>
        <w:rFonts w:hint="default" w:ascii="Wingdings" w:hAnsi="Wingdings"/>
      </w:rPr>
    </w:lvl>
    <w:lvl w:ilvl="4" w:tentative="0">
      <w:start w:val="1"/>
      <w:numFmt w:val="bullet"/>
      <w:lvlText w:val=""/>
      <w:lvlJc w:val="left"/>
      <w:pPr>
        <w:ind w:left="2344" w:hanging="420"/>
      </w:pPr>
      <w:rPr>
        <w:rFonts w:hint="default" w:ascii="Wingdings" w:hAnsi="Wingdings"/>
      </w:rPr>
    </w:lvl>
    <w:lvl w:ilvl="5" w:tentative="0">
      <w:start w:val="1"/>
      <w:numFmt w:val="bullet"/>
      <w:lvlText w:val=""/>
      <w:lvlJc w:val="left"/>
      <w:pPr>
        <w:ind w:left="2764" w:hanging="420"/>
      </w:pPr>
      <w:rPr>
        <w:rFonts w:hint="default" w:ascii="Wingdings" w:hAnsi="Wingdings"/>
      </w:rPr>
    </w:lvl>
    <w:lvl w:ilvl="6" w:tentative="0">
      <w:start w:val="1"/>
      <w:numFmt w:val="bullet"/>
      <w:lvlText w:val=""/>
      <w:lvlJc w:val="left"/>
      <w:pPr>
        <w:ind w:left="3184" w:hanging="420"/>
      </w:pPr>
      <w:rPr>
        <w:rFonts w:hint="default" w:ascii="Wingdings" w:hAnsi="Wingdings"/>
      </w:rPr>
    </w:lvl>
    <w:lvl w:ilvl="7" w:tentative="0">
      <w:start w:val="1"/>
      <w:numFmt w:val="bullet"/>
      <w:lvlText w:val=""/>
      <w:lvlJc w:val="left"/>
      <w:pPr>
        <w:ind w:left="3604" w:hanging="420"/>
      </w:pPr>
      <w:rPr>
        <w:rFonts w:hint="default" w:ascii="Wingdings" w:hAnsi="Wingdings"/>
      </w:rPr>
    </w:lvl>
    <w:lvl w:ilvl="8" w:tentative="0">
      <w:start w:val="1"/>
      <w:numFmt w:val="bullet"/>
      <w:lvlText w:val=""/>
      <w:lvlJc w:val="left"/>
      <w:pPr>
        <w:ind w:left="4024" w:hanging="420"/>
      </w:pPr>
      <w:rPr>
        <w:rFonts w:hint="default" w:ascii="Wingdings" w:hAnsi="Wingdings"/>
      </w:rPr>
    </w:lvl>
  </w:abstractNum>
  <w:abstractNum w:abstractNumId="14">
    <w:nsid w:val="7D334DC1"/>
    <w:multiLevelType w:val="singleLevel"/>
    <w:tmpl w:val="7D334DC1"/>
    <w:lvl w:ilvl="0" w:tentative="0">
      <w:start w:val="1"/>
      <w:numFmt w:val="decimal"/>
      <w:suff w:val="nothing"/>
      <w:lvlText w:val="%1、"/>
      <w:lvlJc w:val="left"/>
    </w:lvl>
  </w:abstractNum>
  <w:num w:numId="1">
    <w:abstractNumId w:val="11"/>
  </w:num>
  <w:num w:numId="2">
    <w:abstractNumId w:val="8"/>
  </w:num>
  <w:num w:numId="3">
    <w:abstractNumId w:val="5"/>
  </w:num>
  <w:num w:numId="4">
    <w:abstractNumId w:val="12"/>
  </w:num>
  <w:num w:numId="5">
    <w:abstractNumId w:val="13"/>
  </w:num>
  <w:num w:numId="6">
    <w:abstractNumId w:val="6"/>
  </w:num>
  <w:num w:numId="7">
    <w:abstractNumId w:val="2"/>
  </w:num>
  <w:num w:numId="8">
    <w:abstractNumId w:val="4"/>
  </w:num>
  <w:num w:numId="9">
    <w:abstractNumId w:val="1"/>
  </w:num>
  <w:num w:numId="10">
    <w:abstractNumId w:val="7"/>
  </w:num>
  <w:num w:numId="11">
    <w:abstractNumId w:val="0"/>
  </w:num>
  <w:num w:numId="12">
    <w:abstractNumId w:val="3"/>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Mjg1YTNiZmE3MzdkZTNiZmEzMjc2MTFiYTQyZTYifQ=="/>
  </w:docVars>
  <w:rsids>
    <w:rsidRoot w:val="00D719E6"/>
    <w:rsid w:val="00001A82"/>
    <w:rsid w:val="00002288"/>
    <w:rsid w:val="00002B25"/>
    <w:rsid w:val="00003757"/>
    <w:rsid w:val="0000377D"/>
    <w:rsid w:val="000037AD"/>
    <w:rsid w:val="0000380B"/>
    <w:rsid w:val="00003965"/>
    <w:rsid w:val="000039EB"/>
    <w:rsid w:val="00003E11"/>
    <w:rsid w:val="00005374"/>
    <w:rsid w:val="00005A87"/>
    <w:rsid w:val="00005AD2"/>
    <w:rsid w:val="00007CF3"/>
    <w:rsid w:val="00007D74"/>
    <w:rsid w:val="00007FB4"/>
    <w:rsid w:val="00011313"/>
    <w:rsid w:val="00012585"/>
    <w:rsid w:val="0001364D"/>
    <w:rsid w:val="00013C9A"/>
    <w:rsid w:val="00013D65"/>
    <w:rsid w:val="0001464E"/>
    <w:rsid w:val="0001475D"/>
    <w:rsid w:val="00014763"/>
    <w:rsid w:val="000147A6"/>
    <w:rsid w:val="000147E2"/>
    <w:rsid w:val="000156FC"/>
    <w:rsid w:val="000161E6"/>
    <w:rsid w:val="000171FF"/>
    <w:rsid w:val="00017391"/>
    <w:rsid w:val="000212AE"/>
    <w:rsid w:val="000217E4"/>
    <w:rsid w:val="00022DC6"/>
    <w:rsid w:val="00024548"/>
    <w:rsid w:val="0002570D"/>
    <w:rsid w:val="00026061"/>
    <w:rsid w:val="0002646B"/>
    <w:rsid w:val="0002795F"/>
    <w:rsid w:val="00027E74"/>
    <w:rsid w:val="00030242"/>
    <w:rsid w:val="00032826"/>
    <w:rsid w:val="000328FE"/>
    <w:rsid w:val="0003306F"/>
    <w:rsid w:val="000334D1"/>
    <w:rsid w:val="00034204"/>
    <w:rsid w:val="000344B9"/>
    <w:rsid w:val="00034745"/>
    <w:rsid w:val="00035959"/>
    <w:rsid w:val="00035A8D"/>
    <w:rsid w:val="00036CCF"/>
    <w:rsid w:val="000378FE"/>
    <w:rsid w:val="00037CE4"/>
    <w:rsid w:val="000414C4"/>
    <w:rsid w:val="00041A39"/>
    <w:rsid w:val="00041B3B"/>
    <w:rsid w:val="00043143"/>
    <w:rsid w:val="00043490"/>
    <w:rsid w:val="00043715"/>
    <w:rsid w:val="000437D4"/>
    <w:rsid w:val="00044435"/>
    <w:rsid w:val="00044E77"/>
    <w:rsid w:val="00045CE3"/>
    <w:rsid w:val="00046F89"/>
    <w:rsid w:val="000475F3"/>
    <w:rsid w:val="00047990"/>
    <w:rsid w:val="00050357"/>
    <w:rsid w:val="00050DE7"/>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3FD"/>
    <w:rsid w:val="000617D3"/>
    <w:rsid w:val="00061A87"/>
    <w:rsid w:val="000622A2"/>
    <w:rsid w:val="00062316"/>
    <w:rsid w:val="00063327"/>
    <w:rsid w:val="00064121"/>
    <w:rsid w:val="00065622"/>
    <w:rsid w:val="000668BE"/>
    <w:rsid w:val="00066D8F"/>
    <w:rsid w:val="00067502"/>
    <w:rsid w:val="000675B4"/>
    <w:rsid w:val="0007088F"/>
    <w:rsid w:val="00070ADE"/>
    <w:rsid w:val="0007129B"/>
    <w:rsid w:val="00071A74"/>
    <w:rsid w:val="00071AB2"/>
    <w:rsid w:val="000726A2"/>
    <w:rsid w:val="00074517"/>
    <w:rsid w:val="00074FCC"/>
    <w:rsid w:val="00075D1D"/>
    <w:rsid w:val="00075F63"/>
    <w:rsid w:val="000766AD"/>
    <w:rsid w:val="0007681A"/>
    <w:rsid w:val="00076EAC"/>
    <w:rsid w:val="000770AD"/>
    <w:rsid w:val="000775E3"/>
    <w:rsid w:val="00077864"/>
    <w:rsid w:val="00077F66"/>
    <w:rsid w:val="00077FAF"/>
    <w:rsid w:val="000804E4"/>
    <w:rsid w:val="000816EB"/>
    <w:rsid w:val="00081DAC"/>
    <w:rsid w:val="0008275C"/>
    <w:rsid w:val="00083CA0"/>
    <w:rsid w:val="0008426D"/>
    <w:rsid w:val="000846B2"/>
    <w:rsid w:val="0008644B"/>
    <w:rsid w:val="000871B3"/>
    <w:rsid w:val="000876CB"/>
    <w:rsid w:val="00087E79"/>
    <w:rsid w:val="0009066F"/>
    <w:rsid w:val="00090836"/>
    <w:rsid w:val="00090F18"/>
    <w:rsid w:val="000912BA"/>
    <w:rsid w:val="00091A35"/>
    <w:rsid w:val="000945F2"/>
    <w:rsid w:val="00096587"/>
    <w:rsid w:val="00096C6C"/>
    <w:rsid w:val="000A01C4"/>
    <w:rsid w:val="000A057B"/>
    <w:rsid w:val="000A05CB"/>
    <w:rsid w:val="000A0A04"/>
    <w:rsid w:val="000A1109"/>
    <w:rsid w:val="000A1614"/>
    <w:rsid w:val="000A2586"/>
    <w:rsid w:val="000A30E4"/>
    <w:rsid w:val="000A3175"/>
    <w:rsid w:val="000A387A"/>
    <w:rsid w:val="000A3CD8"/>
    <w:rsid w:val="000A412C"/>
    <w:rsid w:val="000A55C9"/>
    <w:rsid w:val="000A5C01"/>
    <w:rsid w:val="000B1362"/>
    <w:rsid w:val="000B1619"/>
    <w:rsid w:val="000B1AFE"/>
    <w:rsid w:val="000B1B5F"/>
    <w:rsid w:val="000B2117"/>
    <w:rsid w:val="000B4168"/>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451"/>
    <w:rsid w:val="000C3688"/>
    <w:rsid w:val="000C3E16"/>
    <w:rsid w:val="000C509A"/>
    <w:rsid w:val="000C5943"/>
    <w:rsid w:val="000C596C"/>
    <w:rsid w:val="000C59C2"/>
    <w:rsid w:val="000C7792"/>
    <w:rsid w:val="000C793B"/>
    <w:rsid w:val="000D06A6"/>
    <w:rsid w:val="000D24F3"/>
    <w:rsid w:val="000D2D36"/>
    <w:rsid w:val="000D3064"/>
    <w:rsid w:val="000D377A"/>
    <w:rsid w:val="000D5612"/>
    <w:rsid w:val="000D5F1A"/>
    <w:rsid w:val="000D6223"/>
    <w:rsid w:val="000D766C"/>
    <w:rsid w:val="000D7EB0"/>
    <w:rsid w:val="000E07CB"/>
    <w:rsid w:val="000E16EE"/>
    <w:rsid w:val="000E1D05"/>
    <w:rsid w:val="000E2E16"/>
    <w:rsid w:val="000E2FFC"/>
    <w:rsid w:val="000E3656"/>
    <w:rsid w:val="000E3836"/>
    <w:rsid w:val="000E3906"/>
    <w:rsid w:val="000E4721"/>
    <w:rsid w:val="000E4D1F"/>
    <w:rsid w:val="000E50C6"/>
    <w:rsid w:val="000E72B7"/>
    <w:rsid w:val="000E77CE"/>
    <w:rsid w:val="000E7D4D"/>
    <w:rsid w:val="000F03E6"/>
    <w:rsid w:val="000F0C81"/>
    <w:rsid w:val="000F0F1E"/>
    <w:rsid w:val="000F22BF"/>
    <w:rsid w:val="000F4832"/>
    <w:rsid w:val="000F4CEE"/>
    <w:rsid w:val="000F52F1"/>
    <w:rsid w:val="000F5C44"/>
    <w:rsid w:val="000F5E59"/>
    <w:rsid w:val="000F6493"/>
    <w:rsid w:val="000F6CBF"/>
    <w:rsid w:val="000F76B2"/>
    <w:rsid w:val="000F7B7C"/>
    <w:rsid w:val="00100738"/>
    <w:rsid w:val="0010128D"/>
    <w:rsid w:val="00102A0A"/>
    <w:rsid w:val="0010481A"/>
    <w:rsid w:val="001049AF"/>
    <w:rsid w:val="00106100"/>
    <w:rsid w:val="001062FF"/>
    <w:rsid w:val="00106308"/>
    <w:rsid w:val="00110480"/>
    <w:rsid w:val="00110FE8"/>
    <w:rsid w:val="00112CD7"/>
    <w:rsid w:val="00112E8D"/>
    <w:rsid w:val="00113033"/>
    <w:rsid w:val="0011397C"/>
    <w:rsid w:val="0011637E"/>
    <w:rsid w:val="001178EF"/>
    <w:rsid w:val="00117BF7"/>
    <w:rsid w:val="00117C5C"/>
    <w:rsid w:val="00121861"/>
    <w:rsid w:val="00123213"/>
    <w:rsid w:val="00123E67"/>
    <w:rsid w:val="00124275"/>
    <w:rsid w:val="0012455A"/>
    <w:rsid w:val="00124F2B"/>
    <w:rsid w:val="00125836"/>
    <w:rsid w:val="00125DA2"/>
    <w:rsid w:val="00125DFE"/>
    <w:rsid w:val="00130106"/>
    <w:rsid w:val="001305AF"/>
    <w:rsid w:val="00130723"/>
    <w:rsid w:val="001310CF"/>
    <w:rsid w:val="0013128B"/>
    <w:rsid w:val="0013208E"/>
    <w:rsid w:val="0013209A"/>
    <w:rsid w:val="001321AC"/>
    <w:rsid w:val="0013310B"/>
    <w:rsid w:val="00133AAC"/>
    <w:rsid w:val="00133F6B"/>
    <w:rsid w:val="00134562"/>
    <w:rsid w:val="0013482F"/>
    <w:rsid w:val="00134B6C"/>
    <w:rsid w:val="001358A1"/>
    <w:rsid w:val="001358BE"/>
    <w:rsid w:val="00135D87"/>
    <w:rsid w:val="0013625F"/>
    <w:rsid w:val="0013757D"/>
    <w:rsid w:val="00137933"/>
    <w:rsid w:val="001416A1"/>
    <w:rsid w:val="00141A3D"/>
    <w:rsid w:val="00141DA4"/>
    <w:rsid w:val="00141FD2"/>
    <w:rsid w:val="00143987"/>
    <w:rsid w:val="0014627F"/>
    <w:rsid w:val="0014631B"/>
    <w:rsid w:val="0014669B"/>
    <w:rsid w:val="0014709C"/>
    <w:rsid w:val="001474EC"/>
    <w:rsid w:val="0015014F"/>
    <w:rsid w:val="001511A8"/>
    <w:rsid w:val="001515A3"/>
    <w:rsid w:val="0015242E"/>
    <w:rsid w:val="00152A25"/>
    <w:rsid w:val="00152D09"/>
    <w:rsid w:val="0015323D"/>
    <w:rsid w:val="00153474"/>
    <w:rsid w:val="00154B21"/>
    <w:rsid w:val="00155DD1"/>
    <w:rsid w:val="0015656F"/>
    <w:rsid w:val="00157814"/>
    <w:rsid w:val="00157AC5"/>
    <w:rsid w:val="00160AEE"/>
    <w:rsid w:val="0016197A"/>
    <w:rsid w:val="00162074"/>
    <w:rsid w:val="00162216"/>
    <w:rsid w:val="00162340"/>
    <w:rsid w:val="001627A8"/>
    <w:rsid w:val="00162D8C"/>
    <w:rsid w:val="001635BE"/>
    <w:rsid w:val="00164368"/>
    <w:rsid w:val="0016437F"/>
    <w:rsid w:val="00164BD5"/>
    <w:rsid w:val="00165710"/>
    <w:rsid w:val="001657E4"/>
    <w:rsid w:val="001659BA"/>
    <w:rsid w:val="00165F65"/>
    <w:rsid w:val="00166365"/>
    <w:rsid w:val="00167F08"/>
    <w:rsid w:val="00170FC3"/>
    <w:rsid w:val="0017115D"/>
    <w:rsid w:val="0017189E"/>
    <w:rsid w:val="00171CC9"/>
    <w:rsid w:val="00172D38"/>
    <w:rsid w:val="00172D6A"/>
    <w:rsid w:val="00172F64"/>
    <w:rsid w:val="0017334F"/>
    <w:rsid w:val="00173821"/>
    <w:rsid w:val="00173A5D"/>
    <w:rsid w:val="00173E29"/>
    <w:rsid w:val="00174277"/>
    <w:rsid w:val="00174EFC"/>
    <w:rsid w:val="0017524D"/>
    <w:rsid w:val="00175A54"/>
    <w:rsid w:val="00175F46"/>
    <w:rsid w:val="00176341"/>
    <w:rsid w:val="00176CA5"/>
    <w:rsid w:val="00176F31"/>
    <w:rsid w:val="00180472"/>
    <w:rsid w:val="00180668"/>
    <w:rsid w:val="00181048"/>
    <w:rsid w:val="00181422"/>
    <w:rsid w:val="00181450"/>
    <w:rsid w:val="00181697"/>
    <w:rsid w:val="001819B0"/>
    <w:rsid w:val="00181B60"/>
    <w:rsid w:val="00182B02"/>
    <w:rsid w:val="00182BB0"/>
    <w:rsid w:val="0018342B"/>
    <w:rsid w:val="001837F7"/>
    <w:rsid w:val="00183839"/>
    <w:rsid w:val="001843A4"/>
    <w:rsid w:val="00184B46"/>
    <w:rsid w:val="00184CCA"/>
    <w:rsid w:val="00184DDF"/>
    <w:rsid w:val="0018503F"/>
    <w:rsid w:val="001854F3"/>
    <w:rsid w:val="001854FC"/>
    <w:rsid w:val="00185801"/>
    <w:rsid w:val="0018608B"/>
    <w:rsid w:val="0018614A"/>
    <w:rsid w:val="00186DA3"/>
    <w:rsid w:val="00187452"/>
    <w:rsid w:val="00187636"/>
    <w:rsid w:val="00187B3F"/>
    <w:rsid w:val="00191184"/>
    <w:rsid w:val="00191C5D"/>
    <w:rsid w:val="00192116"/>
    <w:rsid w:val="001945DD"/>
    <w:rsid w:val="00194FA2"/>
    <w:rsid w:val="00195381"/>
    <w:rsid w:val="001967E0"/>
    <w:rsid w:val="00196C38"/>
    <w:rsid w:val="0019734D"/>
    <w:rsid w:val="00197E3B"/>
    <w:rsid w:val="001A0DA6"/>
    <w:rsid w:val="001A111B"/>
    <w:rsid w:val="001A2482"/>
    <w:rsid w:val="001A263B"/>
    <w:rsid w:val="001A2952"/>
    <w:rsid w:val="001A2E73"/>
    <w:rsid w:val="001A3122"/>
    <w:rsid w:val="001A34EA"/>
    <w:rsid w:val="001A4A94"/>
    <w:rsid w:val="001A4B78"/>
    <w:rsid w:val="001A4F5D"/>
    <w:rsid w:val="001A6DE5"/>
    <w:rsid w:val="001A6EF8"/>
    <w:rsid w:val="001A71F6"/>
    <w:rsid w:val="001A7B64"/>
    <w:rsid w:val="001B0193"/>
    <w:rsid w:val="001B2042"/>
    <w:rsid w:val="001B20C1"/>
    <w:rsid w:val="001B26F5"/>
    <w:rsid w:val="001B2E12"/>
    <w:rsid w:val="001B4088"/>
    <w:rsid w:val="001B4173"/>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0DE9"/>
    <w:rsid w:val="001D17B4"/>
    <w:rsid w:val="001D26E1"/>
    <w:rsid w:val="001D2D73"/>
    <w:rsid w:val="001D3990"/>
    <w:rsid w:val="001D4289"/>
    <w:rsid w:val="001D501E"/>
    <w:rsid w:val="001D50A0"/>
    <w:rsid w:val="001D523E"/>
    <w:rsid w:val="001D667A"/>
    <w:rsid w:val="001D6DA4"/>
    <w:rsid w:val="001D7120"/>
    <w:rsid w:val="001D799D"/>
    <w:rsid w:val="001D79FA"/>
    <w:rsid w:val="001E1055"/>
    <w:rsid w:val="001E1B7A"/>
    <w:rsid w:val="001E2F61"/>
    <w:rsid w:val="001E42EE"/>
    <w:rsid w:val="001E4614"/>
    <w:rsid w:val="001E47D7"/>
    <w:rsid w:val="001E4B3F"/>
    <w:rsid w:val="001E4B42"/>
    <w:rsid w:val="001E5B5D"/>
    <w:rsid w:val="001E6DA3"/>
    <w:rsid w:val="001E7BBF"/>
    <w:rsid w:val="001F17B7"/>
    <w:rsid w:val="001F183C"/>
    <w:rsid w:val="001F216C"/>
    <w:rsid w:val="001F2619"/>
    <w:rsid w:val="001F261C"/>
    <w:rsid w:val="001F3379"/>
    <w:rsid w:val="001F3C7A"/>
    <w:rsid w:val="001F41D3"/>
    <w:rsid w:val="001F44E5"/>
    <w:rsid w:val="001F47C8"/>
    <w:rsid w:val="001F4F3B"/>
    <w:rsid w:val="001F50F7"/>
    <w:rsid w:val="001F5D5D"/>
    <w:rsid w:val="001F617B"/>
    <w:rsid w:val="001F6DCC"/>
    <w:rsid w:val="001F708B"/>
    <w:rsid w:val="001F7945"/>
    <w:rsid w:val="00201011"/>
    <w:rsid w:val="0020109A"/>
    <w:rsid w:val="002022BA"/>
    <w:rsid w:val="0020244F"/>
    <w:rsid w:val="00204CB4"/>
    <w:rsid w:val="00205CA2"/>
    <w:rsid w:val="0020679D"/>
    <w:rsid w:val="002069A1"/>
    <w:rsid w:val="00206AE7"/>
    <w:rsid w:val="00207AD7"/>
    <w:rsid w:val="00210108"/>
    <w:rsid w:val="002110F1"/>
    <w:rsid w:val="002113AD"/>
    <w:rsid w:val="00211625"/>
    <w:rsid w:val="00211AFC"/>
    <w:rsid w:val="00211FB8"/>
    <w:rsid w:val="00212BC1"/>
    <w:rsid w:val="00213582"/>
    <w:rsid w:val="0021517E"/>
    <w:rsid w:val="00215858"/>
    <w:rsid w:val="00216684"/>
    <w:rsid w:val="00216ACC"/>
    <w:rsid w:val="002170C4"/>
    <w:rsid w:val="00217322"/>
    <w:rsid w:val="002212F0"/>
    <w:rsid w:val="00222606"/>
    <w:rsid w:val="00222719"/>
    <w:rsid w:val="002231F4"/>
    <w:rsid w:val="002234A0"/>
    <w:rsid w:val="00223A87"/>
    <w:rsid w:val="00223D32"/>
    <w:rsid w:val="00224483"/>
    <w:rsid w:val="00224993"/>
    <w:rsid w:val="00225068"/>
    <w:rsid w:val="00225714"/>
    <w:rsid w:val="0022684D"/>
    <w:rsid w:val="00227126"/>
    <w:rsid w:val="0022733D"/>
    <w:rsid w:val="00227D69"/>
    <w:rsid w:val="002305FF"/>
    <w:rsid w:val="00230F5B"/>
    <w:rsid w:val="00231710"/>
    <w:rsid w:val="002327D0"/>
    <w:rsid w:val="002329AA"/>
    <w:rsid w:val="0023320E"/>
    <w:rsid w:val="00233995"/>
    <w:rsid w:val="00233B45"/>
    <w:rsid w:val="00234379"/>
    <w:rsid w:val="002347FB"/>
    <w:rsid w:val="00235203"/>
    <w:rsid w:val="00235AA1"/>
    <w:rsid w:val="00235EBA"/>
    <w:rsid w:val="002361D9"/>
    <w:rsid w:val="002365A9"/>
    <w:rsid w:val="0023679F"/>
    <w:rsid w:val="0023726C"/>
    <w:rsid w:val="00237752"/>
    <w:rsid w:val="00237F21"/>
    <w:rsid w:val="00240FE8"/>
    <w:rsid w:val="002418E8"/>
    <w:rsid w:val="002430F9"/>
    <w:rsid w:val="002438A9"/>
    <w:rsid w:val="00243AF1"/>
    <w:rsid w:val="00243CA8"/>
    <w:rsid w:val="00244AF8"/>
    <w:rsid w:val="0024539B"/>
    <w:rsid w:val="002457BC"/>
    <w:rsid w:val="00246B1F"/>
    <w:rsid w:val="00246E6A"/>
    <w:rsid w:val="002472EF"/>
    <w:rsid w:val="00247521"/>
    <w:rsid w:val="00247835"/>
    <w:rsid w:val="0025033A"/>
    <w:rsid w:val="002506A1"/>
    <w:rsid w:val="0025122B"/>
    <w:rsid w:val="002521E4"/>
    <w:rsid w:val="002529CD"/>
    <w:rsid w:val="00252A15"/>
    <w:rsid w:val="002531AA"/>
    <w:rsid w:val="002534DC"/>
    <w:rsid w:val="002535FF"/>
    <w:rsid w:val="002536AF"/>
    <w:rsid w:val="00253BB7"/>
    <w:rsid w:val="002541E7"/>
    <w:rsid w:val="0025473D"/>
    <w:rsid w:val="00254784"/>
    <w:rsid w:val="002547F1"/>
    <w:rsid w:val="00254A64"/>
    <w:rsid w:val="00254AB4"/>
    <w:rsid w:val="00254BAC"/>
    <w:rsid w:val="00254C67"/>
    <w:rsid w:val="00256AC1"/>
    <w:rsid w:val="00257B77"/>
    <w:rsid w:val="00257DA9"/>
    <w:rsid w:val="00260368"/>
    <w:rsid w:val="00260CF0"/>
    <w:rsid w:val="00261030"/>
    <w:rsid w:val="0026211A"/>
    <w:rsid w:val="0026256B"/>
    <w:rsid w:val="00263008"/>
    <w:rsid w:val="0026311C"/>
    <w:rsid w:val="0026320F"/>
    <w:rsid w:val="002635B0"/>
    <w:rsid w:val="002638DB"/>
    <w:rsid w:val="00263996"/>
    <w:rsid w:val="0026505F"/>
    <w:rsid w:val="002659F2"/>
    <w:rsid w:val="00265A13"/>
    <w:rsid w:val="00265F60"/>
    <w:rsid w:val="00267A1C"/>
    <w:rsid w:val="00272DD0"/>
    <w:rsid w:val="002738BA"/>
    <w:rsid w:val="002739A0"/>
    <w:rsid w:val="00273BF6"/>
    <w:rsid w:val="00273DEA"/>
    <w:rsid w:val="00273FC8"/>
    <w:rsid w:val="002761E0"/>
    <w:rsid w:val="00276783"/>
    <w:rsid w:val="002779BA"/>
    <w:rsid w:val="00277C3C"/>
    <w:rsid w:val="002804F4"/>
    <w:rsid w:val="002806AE"/>
    <w:rsid w:val="002806D0"/>
    <w:rsid w:val="002807FE"/>
    <w:rsid w:val="00280BE7"/>
    <w:rsid w:val="00281E7F"/>
    <w:rsid w:val="002823A4"/>
    <w:rsid w:val="00282E77"/>
    <w:rsid w:val="002837B8"/>
    <w:rsid w:val="00283F5A"/>
    <w:rsid w:val="00285374"/>
    <w:rsid w:val="00285914"/>
    <w:rsid w:val="00286691"/>
    <w:rsid w:val="00286910"/>
    <w:rsid w:val="002878A8"/>
    <w:rsid w:val="00287D44"/>
    <w:rsid w:val="002909BC"/>
    <w:rsid w:val="00291376"/>
    <w:rsid w:val="0029141C"/>
    <w:rsid w:val="0029226B"/>
    <w:rsid w:val="00292750"/>
    <w:rsid w:val="00293373"/>
    <w:rsid w:val="002937BE"/>
    <w:rsid w:val="002951E1"/>
    <w:rsid w:val="0029533D"/>
    <w:rsid w:val="002957BD"/>
    <w:rsid w:val="0029585D"/>
    <w:rsid w:val="002963A6"/>
    <w:rsid w:val="00297B92"/>
    <w:rsid w:val="002A07FF"/>
    <w:rsid w:val="002A0FC3"/>
    <w:rsid w:val="002A13D8"/>
    <w:rsid w:val="002A1D3C"/>
    <w:rsid w:val="002A3436"/>
    <w:rsid w:val="002A4DC5"/>
    <w:rsid w:val="002A5301"/>
    <w:rsid w:val="002A65DA"/>
    <w:rsid w:val="002A74CF"/>
    <w:rsid w:val="002B0267"/>
    <w:rsid w:val="002B2BC5"/>
    <w:rsid w:val="002B3309"/>
    <w:rsid w:val="002B3469"/>
    <w:rsid w:val="002B37E3"/>
    <w:rsid w:val="002B4DA2"/>
    <w:rsid w:val="002B65D6"/>
    <w:rsid w:val="002B6E8B"/>
    <w:rsid w:val="002B752C"/>
    <w:rsid w:val="002B7A93"/>
    <w:rsid w:val="002C00F0"/>
    <w:rsid w:val="002C01B1"/>
    <w:rsid w:val="002C0D9B"/>
    <w:rsid w:val="002C0E7C"/>
    <w:rsid w:val="002C0FEA"/>
    <w:rsid w:val="002C171C"/>
    <w:rsid w:val="002C2A7F"/>
    <w:rsid w:val="002C2B1E"/>
    <w:rsid w:val="002C31FB"/>
    <w:rsid w:val="002C3694"/>
    <w:rsid w:val="002C480A"/>
    <w:rsid w:val="002C4F35"/>
    <w:rsid w:val="002C520C"/>
    <w:rsid w:val="002C5234"/>
    <w:rsid w:val="002C5956"/>
    <w:rsid w:val="002C5EF9"/>
    <w:rsid w:val="002C6C35"/>
    <w:rsid w:val="002C76C7"/>
    <w:rsid w:val="002C76FC"/>
    <w:rsid w:val="002D0A70"/>
    <w:rsid w:val="002D1C15"/>
    <w:rsid w:val="002D30F5"/>
    <w:rsid w:val="002D4657"/>
    <w:rsid w:val="002D465F"/>
    <w:rsid w:val="002D4757"/>
    <w:rsid w:val="002D4D0A"/>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5B6D"/>
    <w:rsid w:val="002E5D59"/>
    <w:rsid w:val="002E6A87"/>
    <w:rsid w:val="002E7DD7"/>
    <w:rsid w:val="002F0A9A"/>
    <w:rsid w:val="002F0C9C"/>
    <w:rsid w:val="002F125E"/>
    <w:rsid w:val="002F12B2"/>
    <w:rsid w:val="002F1CCB"/>
    <w:rsid w:val="002F37D5"/>
    <w:rsid w:val="002F4187"/>
    <w:rsid w:val="002F4337"/>
    <w:rsid w:val="002F4344"/>
    <w:rsid w:val="002F46C6"/>
    <w:rsid w:val="002F4A7A"/>
    <w:rsid w:val="002F4E75"/>
    <w:rsid w:val="002F51A1"/>
    <w:rsid w:val="002F51EC"/>
    <w:rsid w:val="002F5F0F"/>
    <w:rsid w:val="002F62A3"/>
    <w:rsid w:val="0030026F"/>
    <w:rsid w:val="00300AA7"/>
    <w:rsid w:val="00300E6D"/>
    <w:rsid w:val="00302055"/>
    <w:rsid w:val="00302955"/>
    <w:rsid w:val="00302AFA"/>
    <w:rsid w:val="00302C4D"/>
    <w:rsid w:val="00302E84"/>
    <w:rsid w:val="003036FD"/>
    <w:rsid w:val="00303BD2"/>
    <w:rsid w:val="00303C59"/>
    <w:rsid w:val="00304CC5"/>
    <w:rsid w:val="00304D6F"/>
    <w:rsid w:val="003071F9"/>
    <w:rsid w:val="003073BF"/>
    <w:rsid w:val="003074F4"/>
    <w:rsid w:val="00307D1F"/>
    <w:rsid w:val="0031116B"/>
    <w:rsid w:val="0031199C"/>
    <w:rsid w:val="00312165"/>
    <w:rsid w:val="00312450"/>
    <w:rsid w:val="00312D44"/>
    <w:rsid w:val="00313831"/>
    <w:rsid w:val="00313D22"/>
    <w:rsid w:val="003148A4"/>
    <w:rsid w:val="00315053"/>
    <w:rsid w:val="00316C82"/>
    <w:rsid w:val="0031720C"/>
    <w:rsid w:val="003206D5"/>
    <w:rsid w:val="003214B7"/>
    <w:rsid w:val="003218A1"/>
    <w:rsid w:val="00322215"/>
    <w:rsid w:val="00322470"/>
    <w:rsid w:val="00322624"/>
    <w:rsid w:val="003236DB"/>
    <w:rsid w:val="0032410F"/>
    <w:rsid w:val="00324461"/>
    <w:rsid w:val="00324DCC"/>
    <w:rsid w:val="0032763D"/>
    <w:rsid w:val="00327F40"/>
    <w:rsid w:val="00331721"/>
    <w:rsid w:val="003317AA"/>
    <w:rsid w:val="00331E6E"/>
    <w:rsid w:val="003320CD"/>
    <w:rsid w:val="0033339D"/>
    <w:rsid w:val="00333DFB"/>
    <w:rsid w:val="00334479"/>
    <w:rsid w:val="003354C9"/>
    <w:rsid w:val="00335CEF"/>
    <w:rsid w:val="003361E3"/>
    <w:rsid w:val="00336CB5"/>
    <w:rsid w:val="003371C1"/>
    <w:rsid w:val="003372D4"/>
    <w:rsid w:val="00337FBC"/>
    <w:rsid w:val="00340418"/>
    <w:rsid w:val="00340E0C"/>
    <w:rsid w:val="003411B4"/>
    <w:rsid w:val="00342002"/>
    <w:rsid w:val="0034201B"/>
    <w:rsid w:val="00342220"/>
    <w:rsid w:val="00342813"/>
    <w:rsid w:val="003430BC"/>
    <w:rsid w:val="003431C2"/>
    <w:rsid w:val="00343284"/>
    <w:rsid w:val="00343640"/>
    <w:rsid w:val="00343815"/>
    <w:rsid w:val="00343B6E"/>
    <w:rsid w:val="00343C82"/>
    <w:rsid w:val="003451DE"/>
    <w:rsid w:val="003453F1"/>
    <w:rsid w:val="00345964"/>
    <w:rsid w:val="00345A89"/>
    <w:rsid w:val="003468ED"/>
    <w:rsid w:val="00351E59"/>
    <w:rsid w:val="00352D19"/>
    <w:rsid w:val="00354A7F"/>
    <w:rsid w:val="00355752"/>
    <w:rsid w:val="00355F9F"/>
    <w:rsid w:val="003563F4"/>
    <w:rsid w:val="003569A1"/>
    <w:rsid w:val="003569B8"/>
    <w:rsid w:val="00357508"/>
    <w:rsid w:val="003605F2"/>
    <w:rsid w:val="0036109D"/>
    <w:rsid w:val="003619CE"/>
    <w:rsid w:val="00361E3B"/>
    <w:rsid w:val="0036202A"/>
    <w:rsid w:val="0036223C"/>
    <w:rsid w:val="00362DE0"/>
    <w:rsid w:val="00363343"/>
    <w:rsid w:val="003634BD"/>
    <w:rsid w:val="00364211"/>
    <w:rsid w:val="00364836"/>
    <w:rsid w:val="003648B6"/>
    <w:rsid w:val="003655CA"/>
    <w:rsid w:val="003658CF"/>
    <w:rsid w:val="00366A1A"/>
    <w:rsid w:val="00367609"/>
    <w:rsid w:val="00367912"/>
    <w:rsid w:val="00367C97"/>
    <w:rsid w:val="00370043"/>
    <w:rsid w:val="0037007E"/>
    <w:rsid w:val="00370D87"/>
    <w:rsid w:val="00370E83"/>
    <w:rsid w:val="00370F37"/>
    <w:rsid w:val="00372DB9"/>
    <w:rsid w:val="00373AB6"/>
    <w:rsid w:val="00373C35"/>
    <w:rsid w:val="00374082"/>
    <w:rsid w:val="0037468C"/>
    <w:rsid w:val="00374F02"/>
    <w:rsid w:val="0037594D"/>
    <w:rsid w:val="00376B09"/>
    <w:rsid w:val="00376F95"/>
    <w:rsid w:val="003777DC"/>
    <w:rsid w:val="003779B8"/>
    <w:rsid w:val="00377C39"/>
    <w:rsid w:val="00377F3F"/>
    <w:rsid w:val="003806D3"/>
    <w:rsid w:val="00381439"/>
    <w:rsid w:val="00381E97"/>
    <w:rsid w:val="00381ED9"/>
    <w:rsid w:val="0038252D"/>
    <w:rsid w:val="00382579"/>
    <w:rsid w:val="00384555"/>
    <w:rsid w:val="003852D9"/>
    <w:rsid w:val="0038624A"/>
    <w:rsid w:val="00386529"/>
    <w:rsid w:val="003913E8"/>
    <w:rsid w:val="003914CA"/>
    <w:rsid w:val="00391E3F"/>
    <w:rsid w:val="00392038"/>
    <w:rsid w:val="00392176"/>
    <w:rsid w:val="003927F9"/>
    <w:rsid w:val="00392FA6"/>
    <w:rsid w:val="003932EC"/>
    <w:rsid w:val="00394ACB"/>
    <w:rsid w:val="00394E72"/>
    <w:rsid w:val="00395DF9"/>
    <w:rsid w:val="00396096"/>
    <w:rsid w:val="0039658D"/>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0D9E"/>
    <w:rsid w:val="003B10C4"/>
    <w:rsid w:val="003B1395"/>
    <w:rsid w:val="003B14BF"/>
    <w:rsid w:val="003B1E93"/>
    <w:rsid w:val="003B26FD"/>
    <w:rsid w:val="003B3E34"/>
    <w:rsid w:val="003B430C"/>
    <w:rsid w:val="003B58C2"/>
    <w:rsid w:val="003B5C8A"/>
    <w:rsid w:val="003B69B9"/>
    <w:rsid w:val="003B6ACF"/>
    <w:rsid w:val="003B7092"/>
    <w:rsid w:val="003B7869"/>
    <w:rsid w:val="003B7B18"/>
    <w:rsid w:val="003C0D8F"/>
    <w:rsid w:val="003C109F"/>
    <w:rsid w:val="003C1669"/>
    <w:rsid w:val="003C1F05"/>
    <w:rsid w:val="003C221A"/>
    <w:rsid w:val="003C22E8"/>
    <w:rsid w:val="003C23B0"/>
    <w:rsid w:val="003C3C69"/>
    <w:rsid w:val="003C52C6"/>
    <w:rsid w:val="003C5618"/>
    <w:rsid w:val="003C5E1D"/>
    <w:rsid w:val="003C68B9"/>
    <w:rsid w:val="003C6B3B"/>
    <w:rsid w:val="003C6BAB"/>
    <w:rsid w:val="003C72D1"/>
    <w:rsid w:val="003D1B33"/>
    <w:rsid w:val="003D1C4F"/>
    <w:rsid w:val="003D240C"/>
    <w:rsid w:val="003D26B5"/>
    <w:rsid w:val="003D273C"/>
    <w:rsid w:val="003D2BB6"/>
    <w:rsid w:val="003D384C"/>
    <w:rsid w:val="003D4367"/>
    <w:rsid w:val="003D52A8"/>
    <w:rsid w:val="003D5CA9"/>
    <w:rsid w:val="003D7A7A"/>
    <w:rsid w:val="003D7D66"/>
    <w:rsid w:val="003E0228"/>
    <w:rsid w:val="003E10D3"/>
    <w:rsid w:val="003E1590"/>
    <w:rsid w:val="003E1D1E"/>
    <w:rsid w:val="003E1D20"/>
    <w:rsid w:val="003E1E8E"/>
    <w:rsid w:val="003E2CA0"/>
    <w:rsid w:val="003E3731"/>
    <w:rsid w:val="003E419F"/>
    <w:rsid w:val="003E5165"/>
    <w:rsid w:val="003E5461"/>
    <w:rsid w:val="003E57E0"/>
    <w:rsid w:val="003E5F37"/>
    <w:rsid w:val="003F04D7"/>
    <w:rsid w:val="003F0AEF"/>
    <w:rsid w:val="003F2081"/>
    <w:rsid w:val="003F2594"/>
    <w:rsid w:val="003F25DC"/>
    <w:rsid w:val="003F2D13"/>
    <w:rsid w:val="003F2EB2"/>
    <w:rsid w:val="003F2FB9"/>
    <w:rsid w:val="003F2FDF"/>
    <w:rsid w:val="003F3133"/>
    <w:rsid w:val="003F33AC"/>
    <w:rsid w:val="003F3D6B"/>
    <w:rsid w:val="003F4306"/>
    <w:rsid w:val="003F50FC"/>
    <w:rsid w:val="003F6A89"/>
    <w:rsid w:val="003F6C5B"/>
    <w:rsid w:val="003F7510"/>
    <w:rsid w:val="003F7600"/>
    <w:rsid w:val="003F79C5"/>
    <w:rsid w:val="00400384"/>
    <w:rsid w:val="00403024"/>
    <w:rsid w:val="00403C43"/>
    <w:rsid w:val="00403EEF"/>
    <w:rsid w:val="00406C01"/>
    <w:rsid w:val="00406E4D"/>
    <w:rsid w:val="00407587"/>
    <w:rsid w:val="0040787F"/>
    <w:rsid w:val="0041058F"/>
    <w:rsid w:val="0041070C"/>
    <w:rsid w:val="0041188A"/>
    <w:rsid w:val="00412704"/>
    <w:rsid w:val="00412C55"/>
    <w:rsid w:val="00412F00"/>
    <w:rsid w:val="0041398D"/>
    <w:rsid w:val="00413C17"/>
    <w:rsid w:val="004145B6"/>
    <w:rsid w:val="00414E3D"/>
    <w:rsid w:val="00415189"/>
    <w:rsid w:val="0041524D"/>
    <w:rsid w:val="00415957"/>
    <w:rsid w:val="00416BE2"/>
    <w:rsid w:val="004171EE"/>
    <w:rsid w:val="00417ED4"/>
    <w:rsid w:val="00420E9B"/>
    <w:rsid w:val="00420F3A"/>
    <w:rsid w:val="0042278D"/>
    <w:rsid w:val="004239FB"/>
    <w:rsid w:val="004248ED"/>
    <w:rsid w:val="00424F58"/>
    <w:rsid w:val="0042564D"/>
    <w:rsid w:val="004259A1"/>
    <w:rsid w:val="00425CB8"/>
    <w:rsid w:val="0042622A"/>
    <w:rsid w:val="00426536"/>
    <w:rsid w:val="00427636"/>
    <w:rsid w:val="00427669"/>
    <w:rsid w:val="00427E8A"/>
    <w:rsid w:val="00427F4F"/>
    <w:rsid w:val="00431F15"/>
    <w:rsid w:val="004323A6"/>
    <w:rsid w:val="0043383D"/>
    <w:rsid w:val="004339E5"/>
    <w:rsid w:val="00433D68"/>
    <w:rsid w:val="00434096"/>
    <w:rsid w:val="004341F7"/>
    <w:rsid w:val="00435142"/>
    <w:rsid w:val="00435B9F"/>
    <w:rsid w:val="004364F1"/>
    <w:rsid w:val="00436A31"/>
    <w:rsid w:val="004375C6"/>
    <w:rsid w:val="00437FDB"/>
    <w:rsid w:val="00440340"/>
    <w:rsid w:val="00440689"/>
    <w:rsid w:val="00440BE4"/>
    <w:rsid w:val="004410E9"/>
    <w:rsid w:val="00441703"/>
    <w:rsid w:val="00441DDA"/>
    <w:rsid w:val="00441FBA"/>
    <w:rsid w:val="00442763"/>
    <w:rsid w:val="00442E01"/>
    <w:rsid w:val="00445448"/>
    <w:rsid w:val="00446870"/>
    <w:rsid w:val="00446C56"/>
    <w:rsid w:val="00446D0A"/>
    <w:rsid w:val="0045039B"/>
    <w:rsid w:val="00450AE3"/>
    <w:rsid w:val="00450C96"/>
    <w:rsid w:val="00451850"/>
    <w:rsid w:val="00451AAC"/>
    <w:rsid w:val="00451EFC"/>
    <w:rsid w:val="00452121"/>
    <w:rsid w:val="004526A4"/>
    <w:rsid w:val="00452E92"/>
    <w:rsid w:val="0045336C"/>
    <w:rsid w:val="0045385F"/>
    <w:rsid w:val="00453AB9"/>
    <w:rsid w:val="004552EF"/>
    <w:rsid w:val="00457097"/>
    <w:rsid w:val="00457244"/>
    <w:rsid w:val="00457C5D"/>
    <w:rsid w:val="0046045F"/>
    <w:rsid w:val="00460679"/>
    <w:rsid w:val="00461101"/>
    <w:rsid w:val="004622CB"/>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5BB1"/>
    <w:rsid w:val="00476259"/>
    <w:rsid w:val="0047676E"/>
    <w:rsid w:val="0047725E"/>
    <w:rsid w:val="00481546"/>
    <w:rsid w:val="00482425"/>
    <w:rsid w:val="004824DA"/>
    <w:rsid w:val="00483016"/>
    <w:rsid w:val="004836A3"/>
    <w:rsid w:val="00483BD4"/>
    <w:rsid w:val="00484E4A"/>
    <w:rsid w:val="00485283"/>
    <w:rsid w:val="004874D1"/>
    <w:rsid w:val="004879D6"/>
    <w:rsid w:val="00490F5A"/>
    <w:rsid w:val="004916A6"/>
    <w:rsid w:val="004917C1"/>
    <w:rsid w:val="00491D45"/>
    <w:rsid w:val="00491DA3"/>
    <w:rsid w:val="00492C5A"/>
    <w:rsid w:val="00493C1D"/>
    <w:rsid w:val="00494293"/>
    <w:rsid w:val="00494355"/>
    <w:rsid w:val="00495268"/>
    <w:rsid w:val="004966B6"/>
    <w:rsid w:val="004A02F6"/>
    <w:rsid w:val="004A06AD"/>
    <w:rsid w:val="004A2126"/>
    <w:rsid w:val="004A2FF5"/>
    <w:rsid w:val="004A35EE"/>
    <w:rsid w:val="004A3779"/>
    <w:rsid w:val="004A3856"/>
    <w:rsid w:val="004A4AE2"/>
    <w:rsid w:val="004A4FFB"/>
    <w:rsid w:val="004A506A"/>
    <w:rsid w:val="004A509D"/>
    <w:rsid w:val="004A51E1"/>
    <w:rsid w:val="004A5AF5"/>
    <w:rsid w:val="004A5D2C"/>
    <w:rsid w:val="004A68C6"/>
    <w:rsid w:val="004A7C61"/>
    <w:rsid w:val="004B03C1"/>
    <w:rsid w:val="004B13D7"/>
    <w:rsid w:val="004B1B7E"/>
    <w:rsid w:val="004B3B24"/>
    <w:rsid w:val="004B3D1A"/>
    <w:rsid w:val="004B56DC"/>
    <w:rsid w:val="004B61EC"/>
    <w:rsid w:val="004B7215"/>
    <w:rsid w:val="004B73C7"/>
    <w:rsid w:val="004B7928"/>
    <w:rsid w:val="004C0059"/>
    <w:rsid w:val="004C1B89"/>
    <w:rsid w:val="004C2BE9"/>
    <w:rsid w:val="004C3FAC"/>
    <w:rsid w:val="004C427B"/>
    <w:rsid w:val="004C47DC"/>
    <w:rsid w:val="004C4840"/>
    <w:rsid w:val="004C59CB"/>
    <w:rsid w:val="004C6878"/>
    <w:rsid w:val="004C6A78"/>
    <w:rsid w:val="004C7A29"/>
    <w:rsid w:val="004C7C7A"/>
    <w:rsid w:val="004D0179"/>
    <w:rsid w:val="004D0EF2"/>
    <w:rsid w:val="004D0FD2"/>
    <w:rsid w:val="004D31F5"/>
    <w:rsid w:val="004D3210"/>
    <w:rsid w:val="004D3217"/>
    <w:rsid w:val="004D3248"/>
    <w:rsid w:val="004D362D"/>
    <w:rsid w:val="004D3F71"/>
    <w:rsid w:val="004D4CFE"/>
    <w:rsid w:val="004D5025"/>
    <w:rsid w:val="004D5876"/>
    <w:rsid w:val="004D5EEF"/>
    <w:rsid w:val="004D637F"/>
    <w:rsid w:val="004D67B3"/>
    <w:rsid w:val="004D6EA3"/>
    <w:rsid w:val="004E01A1"/>
    <w:rsid w:val="004E0C8E"/>
    <w:rsid w:val="004E1700"/>
    <w:rsid w:val="004E2CDE"/>
    <w:rsid w:val="004E2DE0"/>
    <w:rsid w:val="004E302F"/>
    <w:rsid w:val="004E467B"/>
    <w:rsid w:val="004E4B7E"/>
    <w:rsid w:val="004E4EE5"/>
    <w:rsid w:val="004E543E"/>
    <w:rsid w:val="004E6151"/>
    <w:rsid w:val="004E66A2"/>
    <w:rsid w:val="004E6D19"/>
    <w:rsid w:val="004E6E47"/>
    <w:rsid w:val="004E75A9"/>
    <w:rsid w:val="004E7D78"/>
    <w:rsid w:val="004F0BA4"/>
    <w:rsid w:val="004F1A80"/>
    <w:rsid w:val="004F1A98"/>
    <w:rsid w:val="004F2C97"/>
    <w:rsid w:val="004F35DD"/>
    <w:rsid w:val="004F40DF"/>
    <w:rsid w:val="004F4C0A"/>
    <w:rsid w:val="004F4C92"/>
    <w:rsid w:val="004F5EE7"/>
    <w:rsid w:val="004F5F21"/>
    <w:rsid w:val="004F607A"/>
    <w:rsid w:val="004F64AE"/>
    <w:rsid w:val="004F6C06"/>
    <w:rsid w:val="004F70C6"/>
    <w:rsid w:val="004F7612"/>
    <w:rsid w:val="004F7871"/>
    <w:rsid w:val="005001AF"/>
    <w:rsid w:val="005009E2"/>
    <w:rsid w:val="00500A26"/>
    <w:rsid w:val="00500B26"/>
    <w:rsid w:val="00500E29"/>
    <w:rsid w:val="00501195"/>
    <w:rsid w:val="005013C7"/>
    <w:rsid w:val="00501BB2"/>
    <w:rsid w:val="0050231C"/>
    <w:rsid w:val="00502379"/>
    <w:rsid w:val="005027CE"/>
    <w:rsid w:val="00505225"/>
    <w:rsid w:val="00505D41"/>
    <w:rsid w:val="00505FA4"/>
    <w:rsid w:val="00507499"/>
    <w:rsid w:val="0051108B"/>
    <w:rsid w:val="00511A26"/>
    <w:rsid w:val="005131E8"/>
    <w:rsid w:val="00515B04"/>
    <w:rsid w:val="00515CDD"/>
    <w:rsid w:val="005172FF"/>
    <w:rsid w:val="00517EAD"/>
    <w:rsid w:val="00517FF6"/>
    <w:rsid w:val="005217C7"/>
    <w:rsid w:val="00521F1C"/>
    <w:rsid w:val="00522F1F"/>
    <w:rsid w:val="00524515"/>
    <w:rsid w:val="00524BE9"/>
    <w:rsid w:val="00525023"/>
    <w:rsid w:val="005250E8"/>
    <w:rsid w:val="0052699B"/>
    <w:rsid w:val="005272DA"/>
    <w:rsid w:val="0052745D"/>
    <w:rsid w:val="00527F8E"/>
    <w:rsid w:val="00530680"/>
    <w:rsid w:val="00530800"/>
    <w:rsid w:val="005310D8"/>
    <w:rsid w:val="00531D6D"/>
    <w:rsid w:val="00531D8A"/>
    <w:rsid w:val="0053236F"/>
    <w:rsid w:val="00533BA2"/>
    <w:rsid w:val="00533E41"/>
    <w:rsid w:val="005340A2"/>
    <w:rsid w:val="0053485C"/>
    <w:rsid w:val="00534D6D"/>
    <w:rsid w:val="005370FD"/>
    <w:rsid w:val="00537149"/>
    <w:rsid w:val="00537229"/>
    <w:rsid w:val="00537238"/>
    <w:rsid w:val="005373E6"/>
    <w:rsid w:val="00537DC6"/>
    <w:rsid w:val="00540B79"/>
    <w:rsid w:val="00540C21"/>
    <w:rsid w:val="00541F2F"/>
    <w:rsid w:val="00541FD1"/>
    <w:rsid w:val="00542D58"/>
    <w:rsid w:val="00543631"/>
    <w:rsid w:val="0054364A"/>
    <w:rsid w:val="00543788"/>
    <w:rsid w:val="00543DDF"/>
    <w:rsid w:val="0054496B"/>
    <w:rsid w:val="00544E80"/>
    <w:rsid w:val="0054505B"/>
    <w:rsid w:val="0054554C"/>
    <w:rsid w:val="0054569D"/>
    <w:rsid w:val="00546434"/>
    <w:rsid w:val="00546728"/>
    <w:rsid w:val="00546B85"/>
    <w:rsid w:val="00546FE3"/>
    <w:rsid w:val="00547036"/>
    <w:rsid w:val="005473FE"/>
    <w:rsid w:val="005474AE"/>
    <w:rsid w:val="00547DA6"/>
    <w:rsid w:val="00547FD6"/>
    <w:rsid w:val="005507D1"/>
    <w:rsid w:val="00551357"/>
    <w:rsid w:val="0055223F"/>
    <w:rsid w:val="00552710"/>
    <w:rsid w:val="00552AA8"/>
    <w:rsid w:val="00553C61"/>
    <w:rsid w:val="00553D1A"/>
    <w:rsid w:val="00553ECC"/>
    <w:rsid w:val="005541A1"/>
    <w:rsid w:val="00556401"/>
    <w:rsid w:val="0056056A"/>
    <w:rsid w:val="00560B7C"/>
    <w:rsid w:val="00561255"/>
    <w:rsid w:val="00562773"/>
    <w:rsid w:val="00562CEC"/>
    <w:rsid w:val="00563022"/>
    <w:rsid w:val="0056328D"/>
    <w:rsid w:val="00563A9C"/>
    <w:rsid w:val="00563F9F"/>
    <w:rsid w:val="0056467F"/>
    <w:rsid w:val="005649A9"/>
    <w:rsid w:val="00564E8F"/>
    <w:rsid w:val="0056501F"/>
    <w:rsid w:val="00565536"/>
    <w:rsid w:val="005660BA"/>
    <w:rsid w:val="00566AFE"/>
    <w:rsid w:val="005672FE"/>
    <w:rsid w:val="00567D95"/>
    <w:rsid w:val="00571E51"/>
    <w:rsid w:val="00571F04"/>
    <w:rsid w:val="00572B4E"/>
    <w:rsid w:val="005732CA"/>
    <w:rsid w:val="00573E77"/>
    <w:rsid w:val="00574BC7"/>
    <w:rsid w:val="005760E2"/>
    <w:rsid w:val="00577025"/>
    <w:rsid w:val="00577B65"/>
    <w:rsid w:val="0058066E"/>
    <w:rsid w:val="00580676"/>
    <w:rsid w:val="00580AEB"/>
    <w:rsid w:val="00580FE1"/>
    <w:rsid w:val="00581806"/>
    <w:rsid w:val="00582B4C"/>
    <w:rsid w:val="00582D0B"/>
    <w:rsid w:val="00583263"/>
    <w:rsid w:val="00583416"/>
    <w:rsid w:val="00583938"/>
    <w:rsid w:val="00584620"/>
    <w:rsid w:val="005847B0"/>
    <w:rsid w:val="005849D1"/>
    <w:rsid w:val="00584ABA"/>
    <w:rsid w:val="00586232"/>
    <w:rsid w:val="005863B7"/>
    <w:rsid w:val="00586D08"/>
    <w:rsid w:val="0058703E"/>
    <w:rsid w:val="00587169"/>
    <w:rsid w:val="005871EE"/>
    <w:rsid w:val="00590B28"/>
    <w:rsid w:val="00593A1A"/>
    <w:rsid w:val="00593A49"/>
    <w:rsid w:val="00593CD4"/>
    <w:rsid w:val="00594459"/>
    <w:rsid w:val="005944E8"/>
    <w:rsid w:val="005944EE"/>
    <w:rsid w:val="00595320"/>
    <w:rsid w:val="00595D4B"/>
    <w:rsid w:val="00595ECE"/>
    <w:rsid w:val="0059630A"/>
    <w:rsid w:val="005966BA"/>
    <w:rsid w:val="00596790"/>
    <w:rsid w:val="005968EC"/>
    <w:rsid w:val="005979FA"/>
    <w:rsid w:val="00597AE7"/>
    <w:rsid w:val="00597B5B"/>
    <w:rsid w:val="00597D4B"/>
    <w:rsid w:val="005A0004"/>
    <w:rsid w:val="005A0186"/>
    <w:rsid w:val="005A1291"/>
    <w:rsid w:val="005A2304"/>
    <w:rsid w:val="005A231A"/>
    <w:rsid w:val="005A24F5"/>
    <w:rsid w:val="005A2919"/>
    <w:rsid w:val="005A2F39"/>
    <w:rsid w:val="005A301D"/>
    <w:rsid w:val="005A335A"/>
    <w:rsid w:val="005A39A4"/>
    <w:rsid w:val="005A3BD8"/>
    <w:rsid w:val="005A3E1C"/>
    <w:rsid w:val="005A4495"/>
    <w:rsid w:val="005A46CA"/>
    <w:rsid w:val="005A63AC"/>
    <w:rsid w:val="005A6432"/>
    <w:rsid w:val="005A6765"/>
    <w:rsid w:val="005A7841"/>
    <w:rsid w:val="005A78A1"/>
    <w:rsid w:val="005B121B"/>
    <w:rsid w:val="005B1CE1"/>
    <w:rsid w:val="005B2850"/>
    <w:rsid w:val="005B28C3"/>
    <w:rsid w:val="005B35B4"/>
    <w:rsid w:val="005B36A9"/>
    <w:rsid w:val="005B37CC"/>
    <w:rsid w:val="005B3B51"/>
    <w:rsid w:val="005B3C2B"/>
    <w:rsid w:val="005B40C2"/>
    <w:rsid w:val="005B4539"/>
    <w:rsid w:val="005B4EDC"/>
    <w:rsid w:val="005B56B6"/>
    <w:rsid w:val="005B5FBF"/>
    <w:rsid w:val="005B657B"/>
    <w:rsid w:val="005B70D7"/>
    <w:rsid w:val="005C044C"/>
    <w:rsid w:val="005C1416"/>
    <w:rsid w:val="005C14BB"/>
    <w:rsid w:val="005C18E6"/>
    <w:rsid w:val="005C1FCC"/>
    <w:rsid w:val="005C2424"/>
    <w:rsid w:val="005C29C4"/>
    <w:rsid w:val="005C5DD2"/>
    <w:rsid w:val="005C5E64"/>
    <w:rsid w:val="005C5F9B"/>
    <w:rsid w:val="005C6A0B"/>
    <w:rsid w:val="005C77AE"/>
    <w:rsid w:val="005C7F37"/>
    <w:rsid w:val="005D03A3"/>
    <w:rsid w:val="005D0CDD"/>
    <w:rsid w:val="005D15DA"/>
    <w:rsid w:val="005D1A91"/>
    <w:rsid w:val="005D1AA4"/>
    <w:rsid w:val="005D1AE8"/>
    <w:rsid w:val="005D1CED"/>
    <w:rsid w:val="005D47A8"/>
    <w:rsid w:val="005D579D"/>
    <w:rsid w:val="005D5A66"/>
    <w:rsid w:val="005D5C81"/>
    <w:rsid w:val="005D6408"/>
    <w:rsid w:val="005D7A32"/>
    <w:rsid w:val="005E0B69"/>
    <w:rsid w:val="005E0DBD"/>
    <w:rsid w:val="005E1214"/>
    <w:rsid w:val="005E2397"/>
    <w:rsid w:val="005E2CC6"/>
    <w:rsid w:val="005E336B"/>
    <w:rsid w:val="005E3538"/>
    <w:rsid w:val="005E3906"/>
    <w:rsid w:val="005E3B01"/>
    <w:rsid w:val="005E3D61"/>
    <w:rsid w:val="005E4745"/>
    <w:rsid w:val="005E4E92"/>
    <w:rsid w:val="005E6E4B"/>
    <w:rsid w:val="005E7604"/>
    <w:rsid w:val="005E7AFC"/>
    <w:rsid w:val="005F0331"/>
    <w:rsid w:val="005F0341"/>
    <w:rsid w:val="005F0E9B"/>
    <w:rsid w:val="005F1614"/>
    <w:rsid w:val="005F1729"/>
    <w:rsid w:val="005F1D3C"/>
    <w:rsid w:val="005F27F0"/>
    <w:rsid w:val="005F4897"/>
    <w:rsid w:val="005F5253"/>
    <w:rsid w:val="005F590A"/>
    <w:rsid w:val="005F63FF"/>
    <w:rsid w:val="005F66EC"/>
    <w:rsid w:val="005F6C32"/>
    <w:rsid w:val="005F75D0"/>
    <w:rsid w:val="005F7C9A"/>
    <w:rsid w:val="00600A45"/>
    <w:rsid w:val="00600E96"/>
    <w:rsid w:val="00600F2D"/>
    <w:rsid w:val="00601DB3"/>
    <w:rsid w:val="00601E67"/>
    <w:rsid w:val="00602549"/>
    <w:rsid w:val="00602DD9"/>
    <w:rsid w:val="006038CB"/>
    <w:rsid w:val="00604092"/>
    <w:rsid w:val="00605749"/>
    <w:rsid w:val="006060A9"/>
    <w:rsid w:val="006105B6"/>
    <w:rsid w:val="006108A1"/>
    <w:rsid w:val="00610B93"/>
    <w:rsid w:val="00610C19"/>
    <w:rsid w:val="00611D7A"/>
    <w:rsid w:val="006125AA"/>
    <w:rsid w:val="006130DB"/>
    <w:rsid w:val="0061392A"/>
    <w:rsid w:val="00613F01"/>
    <w:rsid w:val="0061654E"/>
    <w:rsid w:val="006173A4"/>
    <w:rsid w:val="006208B0"/>
    <w:rsid w:val="00620DEA"/>
    <w:rsid w:val="0062122B"/>
    <w:rsid w:val="00622FD3"/>
    <w:rsid w:val="00623A1B"/>
    <w:rsid w:val="00624B54"/>
    <w:rsid w:val="00625858"/>
    <w:rsid w:val="00626815"/>
    <w:rsid w:val="00626E3D"/>
    <w:rsid w:val="00627C66"/>
    <w:rsid w:val="00627F3F"/>
    <w:rsid w:val="00630430"/>
    <w:rsid w:val="00630500"/>
    <w:rsid w:val="006309D3"/>
    <w:rsid w:val="0063190B"/>
    <w:rsid w:val="0063287B"/>
    <w:rsid w:val="00632BD2"/>
    <w:rsid w:val="006334E3"/>
    <w:rsid w:val="0063362B"/>
    <w:rsid w:val="00634148"/>
    <w:rsid w:val="00634E9E"/>
    <w:rsid w:val="00635A04"/>
    <w:rsid w:val="00636535"/>
    <w:rsid w:val="00637EB5"/>
    <w:rsid w:val="00640052"/>
    <w:rsid w:val="00640068"/>
    <w:rsid w:val="00640994"/>
    <w:rsid w:val="00641213"/>
    <w:rsid w:val="00641624"/>
    <w:rsid w:val="00641B3A"/>
    <w:rsid w:val="00641D0C"/>
    <w:rsid w:val="00642920"/>
    <w:rsid w:val="006433E7"/>
    <w:rsid w:val="006435A5"/>
    <w:rsid w:val="006436BB"/>
    <w:rsid w:val="006440EE"/>
    <w:rsid w:val="006455B4"/>
    <w:rsid w:val="00645758"/>
    <w:rsid w:val="00645DDE"/>
    <w:rsid w:val="00647B4C"/>
    <w:rsid w:val="00647BA9"/>
    <w:rsid w:val="00647DC0"/>
    <w:rsid w:val="006501DF"/>
    <w:rsid w:val="00650490"/>
    <w:rsid w:val="00650C16"/>
    <w:rsid w:val="00651206"/>
    <w:rsid w:val="006513B5"/>
    <w:rsid w:val="00651463"/>
    <w:rsid w:val="0065146D"/>
    <w:rsid w:val="00651595"/>
    <w:rsid w:val="00652428"/>
    <w:rsid w:val="00652C88"/>
    <w:rsid w:val="00653C4A"/>
    <w:rsid w:val="00653DDC"/>
    <w:rsid w:val="00654D85"/>
    <w:rsid w:val="00656D8A"/>
    <w:rsid w:val="00657D80"/>
    <w:rsid w:val="00660372"/>
    <w:rsid w:val="0066117E"/>
    <w:rsid w:val="006613F6"/>
    <w:rsid w:val="00661986"/>
    <w:rsid w:val="006620BB"/>
    <w:rsid w:val="00662470"/>
    <w:rsid w:val="00663289"/>
    <w:rsid w:val="00663D54"/>
    <w:rsid w:val="00666630"/>
    <w:rsid w:val="00666806"/>
    <w:rsid w:val="00666E56"/>
    <w:rsid w:val="00666F7A"/>
    <w:rsid w:val="006678BA"/>
    <w:rsid w:val="00667C02"/>
    <w:rsid w:val="00670113"/>
    <w:rsid w:val="00670124"/>
    <w:rsid w:val="00672BD2"/>
    <w:rsid w:val="00673088"/>
    <w:rsid w:val="0067314B"/>
    <w:rsid w:val="0067332D"/>
    <w:rsid w:val="006740E1"/>
    <w:rsid w:val="006743E0"/>
    <w:rsid w:val="00674689"/>
    <w:rsid w:val="00674C12"/>
    <w:rsid w:val="00674FE2"/>
    <w:rsid w:val="006757CE"/>
    <w:rsid w:val="00676A92"/>
    <w:rsid w:val="0067702D"/>
    <w:rsid w:val="0067710C"/>
    <w:rsid w:val="00677F71"/>
    <w:rsid w:val="00680569"/>
    <w:rsid w:val="00680A8F"/>
    <w:rsid w:val="00680F9E"/>
    <w:rsid w:val="00680FAC"/>
    <w:rsid w:val="00681179"/>
    <w:rsid w:val="00681F0C"/>
    <w:rsid w:val="0068217A"/>
    <w:rsid w:val="0068246A"/>
    <w:rsid w:val="00682558"/>
    <w:rsid w:val="00683DB5"/>
    <w:rsid w:val="00684B8C"/>
    <w:rsid w:val="006864DE"/>
    <w:rsid w:val="00687121"/>
    <w:rsid w:val="006908C4"/>
    <w:rsid w:val="00690A97"/>
    <w:rsid w:val="0069178D"/>
    <w:rsid w:val="00691B5E"/>
    <w:rsid w:val="00691DED"/>
    <w:rsid w:val="00691FC7"/>
    <w:rsid w:val="00692386"/>
    <w:rsid w:val="00692D95"/>
    <w:rsid w:val="00692FA7"/>
    <w:rsid w:val="006934B8"/>
    <w:rsid w:val="00693CCD"/>
    <w:rsid w:val="00694173"/>
    <w:rsid w:val="00694B73"/>
    <w:rsid w:val="0069514E"/>
    <w:rsid w:val="00695F1C"/>
    <w:rsid w:val="006966EC"/>
    <w:rsid w:val="006970E6"/>
    <w:rsid w:val="00697AC4"/>
    <w:rsid w:val="006A0671"/>
    <w:rsid w:val="006A07A8"/>
    <w:rsid w:val="006A0A97"/>
    <w:rsid w:val="006A0F4D"/>
    <w:rsid w:val="006A1366"/>
    <w:rsid w:val="006A1808"/>
    <w:rsid w:val="006A187B"/>
    <w:rsid w:val="006A1939"/>
    <w:rsid w:val="006A1DD0"/>
    <w:rsid w:val="006A36DE"/>
    <w:rsid w:val="006A3FD6"/>
    <w:rsid w:val="006A4079"/>
    <w:rsid w:val="006A4FD8"/>
    <w:rsid w:val="006A5B07"/>
    <w:rsid w:val="006A5DBD"/>
    <w:rsid w:val="006A5DC0"/>
    <w:rsid w:val="006A6BE6"/>
    <w:rsid w:val="006A72D8"/>
    <w:rsid w:val="006A74A3"/>
    <w:rsid w:val="006A766B"/>
    <w:rsid w:val="006B032A"/>
    <w:rsid w:val="006B0AE0"/>
    <w:rsid w:val="006B198E"/>
    <w:rsid w:val="006B1A95"/>
    <w:rsid w:val="006B2315"/>
    <w:rsid w:val="006B269D"/>
    <w:rsid w:val="006B2CFF"/>
    <w:rsid w:val="006B2D05"/>
    <w:rsid w:val="006B2E58"/>
    <w:rsid w:val="006B31ED"/>
    <w:rsid w:val="006B3261"/>
    <w:rsid w:val="006B3600"/>
    <w:rsid w:val="006B3B0B"/>
    <w:rsid w:val="006B3D9C"/>
    <w:rsid w:val="006B45E9"/>
    <w:rsid w:val="006B4924"/>
    <w:rsid w:val="006B4AD5"/>
    <w:rsid w:val="006B682C"/>
    <w:rsid w:val="006B7133"/>
    <w:rsid w:val="006B738C"/>
    <w:rsid w:val="006C080F"/>
    <w:rsid w:val="006C1812"/>
    <w:rsid w:val="006C25D1"/>
    <w:rsid w:val="006C270A"/>
    <w:rsid w:val="006C2BA3"/>
    <w:rsid w:val="006C3528"/>
    <w:rsid w:val="006C3826"/>
    <w:rsid w:val="006C4F3D"/>
    <w:rsid w:val="006C5400"/>
    <w:rsid w:val="006C6936"/>
    <w:rsid w:val="006C69E1"/>
    <w:rsid w:val="006C7061"/>
    <w:rsid w:val="006C737B"/>
    <w:rsid w:val="006D0B78"/>
    <w:rsid w:val="006D0E11"/>
    <w:rsid w:val="006D1930"/>
    <w:rsid w:val="006D19B6"/>
    <w:rsid w:val="006D2261"/>
    <w:rsid w:val="006D2A98"/>
    <w:rsid w:val="006D2E3E"/>
    <w:rsid w:val="006D4107"/>
    <w:rsid w:val="006D416F"/>
    <w:rsid w:val="006D68C1"/>
    <w:rsid w:val="006D7986"/>
    <w:rsid w:val="006D7AC6"/>
    <w:rsid w:val="006D7FF5"/>
    <w:rsid w:val="006E0E47"/>
    <w:rsid w:val="006E1054"/>
    <w:rsid w:val="006E1460"/>
    <w:rsid w:val="006E158F"/>
    <w:rsid w:val="006E27BD"/>
    <w:rsid w:val="006E31E2"/>
    <w:rsid w:val="006E4BC0"/>
    <w:rsid w:val="006E516D"/>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3D3"/>
    <w:rsid w:val="006F4C07"/>
    <w:rsid w:val="006F4E58"/>
    <w:rsid w:val="006F6B67"/>
    <w:rsid w:val="006F7EA9"/>
    <w:rsid w:val="00701C06"/>
    <w:rsid w:val="00702B71"/>
    <w:rsid w:val="00703084"/>
    <w:rsid w:val="0070347F"/>
    <w:rsid w:val="007035CE"/>
    <w:rsid w:val="00703794"/>
    <w:rsid w:val="00704DB4"/>
    <w:rsid w:val="00705561"/>
    <w:rsid w:val="007055A2"/>
    <w:rsid w:val="00706457"/>
    <w:rsid w:val="00706554"/>
    <w:rsid w:val="00706D20"/>
    <w:rsid w:val="00710B0E"/>
    <w:rsid w:val="00710B6E"/>
    <w:rsid w:val="007114DB"/>
    <w:rsid w:val="00712CBE"/>
    <w:rsid w:val="00713782"/>
    <w:rsid w:val="00713CC1"/>
    <w:rsid w:val="007141F6"/>
    <w:rsid w:val="00714794"/>
    <w:rsid w:val="007159E8"/>
    <w:rsid w:val="00715B1D"/>
    <w:rsid w:val="007163B4"/>
    <w:rsid w:val="0071675A"/>
    <w:rsid w:val="00716AB7"/>
    <w:rsid w:val="007212CC"/>
    <w:rsid w:val="0072135A"/>
    <w:rsid w:val="00721F96"/>
    <w:rsid w:val="007224A1"/>
    <w:rsid w:val="00722C0C"/>
    <w:rsid w:val="00723528"/>
    <w:rsid w:val="00723566"/>
    <w:rsid w:val="00723FF9"/>
    <w:rsid w:val="00724372"/>
    <w:rsid w:val="007243CD"/>
    <w:rsid w:val="007303F0"/>
    <w:rsid w:val="00731667"/>
    <w:rsid w:val="007316BE"/>
    <w:rsid w:val="0073179A"/>
    <w:rsid w:val="0073190F"/>
    <w:rsid w:val="00733949"/>
    <w:rsid w:val="00733A7A"/>
    <w:rsid w:val="00734CC7"/>
    <w:rsid w:val="00734FC2"/>
    <w:rsid w:val="007357E1"/>
    <w:rsid w:val="007359AE"/>
    <w:rsid w:val="007359E9"/>
    <w:rsid w:val="00736605"/>
    <w:rsid w:val="00736B2E"/>
    <w:rsid w:val="00737738"/>
    <w:rsid w:val="00740DDE"/>
    <w:rsid w:val="0074246D"/>
    <w:rsid w:val="007427F5"/>
    <w:rsid w:val="007428AC"/>
    <w:rsid w:val="00742FFB"/>
    <w:rsid w:val="00743433"/>
    <w:rsid w:val="00743A4C"/>
    <w:rsid w:val="00744211"/>
    <w:rsid w:val="00744607"/>
    <w:rsid w:val="007459EE"/>
    <w:rsid w:val="0074608C"/>
    <w:rsid w:val="00746CBC"/>
    <w:rsid w:val="00746DAF"/>
    <w:rsid w:val="00746EBE"/>
    <w:rsid w:val="00747399"/>
    <w:rsid w:val="0074764D"/>
    <w:rsid w:val="00747791"/>
    <w:rsid w:val="00747CEC"/>
    <w:rsid w:val="007504E1"/>
    <w:rsid w:val="007507C4"/>
    <w:rsid w:val="00750DE8"/>
    <w:rsid w:val="00751571"/>
    <w:rsid w:val="00751B1C"/>
    <w:rsid w:val="00753534"/>
    <w:rsid w:val="00753639"/>
    <w:rsid w:val="00756A2A"/>
    <w:rsid w:val="00757270"/>
    <w:rsid w:val="007575F7"/>
    <w:rsid w:val="007579D2"/>
    <w:rsid w:val="00760437"/>
    <w:rsid w:val="00760ADF"/>
    <w:rsid w:val="00760F4E"/>
    <w:rsid w:val="00761AC8"/>
    <w:rsid w:val="00762063"/>
    <w:rsid w:val="00764784"/>
    <w:rsid w:val="00765FC0"/>
    <w:rsid w:val="0076665F"/>
    <w:rsid w:val="007668E7"/>
    <w:rsid w:val="007675AD"/>
    <w:rsid w:val="00770726"/>
    <w:rsid w:val="00770DC0"/>
    <w:rsid w:val="007727A7"/>
    <w:rsid w:val="00772DD1"/>
    <w:rsid w:val="00775023"/>
    <w:rsid w:val="00775E38"/>
    <w:rsid w:val="007760F9"/>
    <w:rsid w:val="007768B8"/>
    <w:rsid w:val="00777DB8"/>
    <w:rsid w:val="00777F0D"/>
    <w:rsid w:val="0078064D"/>
    <w:rsid w:val="00780F55"/>
    <w:rsid w:val="00781BDA"/>
    <w:rsid w:val="007823BA"/>
    <w:rsid w:val="00782855"/>
    <w:rsid w:val="007837ED"/>
    <w:rsid w:val="00785A23"/>
    <w:rsid w:val="0078657C"/>
    <w:rsid w:val="00786B2C"/>
    <w:rsid w:val="007872A6"/>
    <w:rsid w:val="00787367"/>
    <w:rsid w:val="00787487"/>
    <w:rsid w:val="007876AF"/>
    <w:rsid w:val="00790052"/>
    <w:rsid w:val="0079083D"/>
    <w:rsid w:val="00791498"/>
    <w:rsid w:val="00794A98"/>
    <w:rsid w:val="00795112"/>
    <w:rsid w:val="00795175"/>
    <w:rsid w:val="007953EE"/>
    <w:rsid w:val="00795501"/>
    <w:rsid w:val="00795C2F"/>
    <w:rsid w:val="00796586"/>
    <w:rsid w:val="007978FF"/>
    <w:rsid w:val="00797FC1"/>
    <w:rsid w:val="007A22D1"/>
    <w:rsid w:val="007A2ABE"/>
    <w:rsid w:val="007A2BC3"/>
    <w:rsid w:val="007A2C9E"/>
    <w:rsid w:val="007A322F"/>
    <w:rsid w:val="007A33A7"/>
    <w:rsid w:val="007A3BEB"/>
    <w:rsid w:val="007A4437"/>
    <w:rsid w:val="007A44D3"/>
    <w:rsid w:val="007A4641"/>
    <w:rsid w:val="007A4AAF"/>
    <w:rsid w:val="007A5B21"/>
    <w:rsid w:val="007A5EBB"/>
    <w:rsid w:val="007A603B"/>
    <w:rsid w:val="007A6CE5"/>
    <w:rsid w:val="007A6FDB"/>
    <w:rsid w:val="007A714D"/>
    <w:rsid w:val="007A77A8"/>
    <w:rsid w:val="007B055B"/>
    <w:rsid w:val="007B0D46"/>
    <w:rsid w:val="007B14EE"/>
    <w:rsid w:val="007B32DB"/>
    <w:rsid w:val="007B37E7"/>
    <w:rsid w:val="007B4C34"/>
    <w:rsid w:val="007B548B"/>
    <w:rsid w:val="007B629A"/>
    <w:rsid w:val="007B7471"/>
    <w:rsid w:val="007B7897"/>
    <w:rsid w:val="007B7903"/>
    <w:rsid w:val="007B7D60"/>
    <w:rsid w:val="007C0A4E"/>
    <w:rsid w:val="007C1025"/>
    <w:rsid w:val="007C1536"/>
    <w:rsid w:val="007C193F"/>
    <w:rsid w:val="007C1A74"/>
    <w:rsid w:val="007C268C"/>
    <w:rsid w:val="007C2CDB"/>
    <w:rsid w:val="007C2E96"/>
    <w:rsid w:val="007C3719"/>
    <w:rsid w:val="007C374A"/>
    <w:rsid w:val="007C3884"/>
    <w:rsid w:val="007C5CFB"/>
    <w:rsid w:val="007C7C36"/>
    <w:rsid w:val="007C7DCB"/>
    <w:rsid w:val="007D0679"/>
    <w:rsid w:val="007D0E7B"/>
    <w:rsid w:val="007D1BF2"/>
    <w:rsid w:val="007D1D31"/>
    <w:rsid w:val="007D2949"/>
    <w:rsid w:val="007D2AD3"/>
    <w:rsid w:val="007D3714"/>
    <w:rsid w:val="007D3845"/>
    <w:rsid w:val="007D3AD2"/>
    <w:rsid w:val="007D437A"/>
    <w:rsid w:val="007D4F47"/>
    <w:rsid w:val="007D5311"/>
    <w:rsid w:val="007D5A0C"/>
    <w:rsid w:val="007D5A1E"/>
    <w:rsid w:val="007D5ADD"/>
    <w:rsid w:val="007D67BA"/>
    <w:rsid w:val="007D770C"/>
    <w:rsid w:val="007E12DD"/>
    <w:rsid w:val="007E1EE6"/>
    <w:rsid w:val="007E1FFB"/>
    <w:rsid w:val="007E2285"/>
    <w:rsid w:val="007E2518"/>
    <w:rsid w:val="007E2903"/>
    <w:rsid w:val="007E293B"/>
    <w:rsid w:val="007E3B4D"/>
    <w:rsid w:val="007E3BA2"/>
    <w:rsid w:val="007E43AF"/>
    <w:rsid w:val="007E4595"/>
    <w:rsid w:val="007E4F32"/>
    <w:rsid w:val="007E5D42"/>
    <w:rsid w:val="007E5DAF"/>
    <w:rsid w:val="007E637A"/>
    <w:rsid w:val="007E6EE2"/>
    <w:rsid w:val="007F216A"/>
    <w:rsid w:val="007F2377"/>
    <w:rsid w:val="007F2DF2"/>
    <w:rsid w:val="007F3DD9"/>
    <w:rsid w:val="007F44DF"/>
    <w:rsid w:val="007F4CAC"/>
    <w:rsid w:val="007F571F"/>
    <w:rsid w:val="007F5950"/>
    <w:rsid w:val="007F6DDE"/>
    <w:rsid w:val="007F71A1"/>
    <w:rsid w:val="007F7770"/>
    <w:rsid w:val="007F7BA5"/>
    <w:rsid w:val="0080015F"/>
    <w:rsid w:val="008013CC"/>
    <w:rsid w:val="0080162A"/>
    <w:rsid w:val="008017DE"/>
    <w:rsid w:val="00801ADE"/>
    <w:rsid w:val="00801CF4"/>
    <w:rsid w:val="0080292D"/>
    <w:rsid w:val="0080309E"/>
    <w:rsid w:val="00804926"/>
    <w:rsid w:val="00805517"/>
    <w:rsid w:val="00805603"/>
    <w:rsid w:val="00807BC1"/>
    <w:rsid w:val="00807C5A"/>
    <w:rsid w:val="008114AA"/>
    <w:rsid w:val="008122FD"/>
    <w:rsid w:val="00814B71"/>
    <w:rsid w:val="00814F1E"/>
    <w:rsid w:val="0081552A"/>
    <w:rsid w:val="0081566C"/>
    <w:rsid w:val="00815B84"/>
    <w:rsid w:val="00817233"/>
    <w:rsid w:val="008173DD"/>
    <w:rsid w:val="00817A9B"/>
    <w:rsid w:val="00821358"/>
    <w:rsid w:val="008219F9"/>
    <w:rsid w:val="00821AAE"/>
    <w:rsid w:val="00821EED"/>
    <w:rsid w:val="00822327"/>
    <w:rsid w:val="00822398"/>
    <w:rsid w:val="00822A3E"/>
    <w:rsid w:val="00822B95"/>
    <w:rsid w:val="00823262"/>
    <w:rsid w:val="00824794"/>
    <w:rsid w:val="00824900"/>
    <w:rsid w:val="00824DB5"/>
    <w:rsid w:val="00824FC2"/>
    <w:rsid w:val="00825CF0"/>
    <w:rsid w:val="00825DD2"/>
    <w:rsid w:val="00826E04"/>
    <w:rsid w:val="00826F72"/>
    <w:rsid w:val="00827E95"/>
    <w:rsid w:val="0083068C"/>
    <w:rsid w:val="00831067"/>
    <w:rsid w:val="00831183"/>
    <w:rsid w:val="00831647"/>
    <w:rsid w:val="00831817"/>
    <w:rsid w:val="008319B5"/>
    <w:rsid w:val="008319CA"/>
    <w:rsid w:val="00831A4D"/>
    <w:rsid w:val="00831F82"/>
    <w:rsid w:val="00832304"/>
    <w:rsid w:val="008324BE"/>
    <w:rsid w:val="00833036"/>
    <w:rsid w:val="00834261"/>
    <w:rsid w:val="008342CE"/>
    <w:rsid w:val="0083431C"/>
    <w:rsid w:val="00834CCF"/>
    <w:rsid w:val="0083532A"/>
    <w:rsid w:val="00835575"/>
    <w:rsid w:val="00835F04"/>
    <w:rsid w:val="0083622F"/>
    <w:rsid w:val="00836B62"/>
    <w:rsid w:val="0083732F"/>
    <w:rsid w:val="008374CD"/>
    <w:rsid w:val="00837A21"/>
    <w:rsid w:val="008412F8"/>
    <w:rsid w:val="00841A5B"/>
    <w:rsid w:val="0084242F"/>
    <w:rsid w:val="00842467"/>
    <w:rsid w:val="008435BB"/>
    <w:rsid w:val="00844316"/>
    <w:rsid w:val="0084510B"/>
    <w:rsid w:val="00845E89"/>
    <w:rsid w:val="00846712"/>
    <w:rsid w:val="00846731"/>
    <w:rsid w:val="008468A4"/>
    <w:rsid w:val="008468CD"/>
    <w:rsid w:val="008469C3"/>
    <w:rsid w:val="00846B20"/>
    <w:rsid w:val="008474A1"/>
    <w:rsid w:val="008477D7"/>
    <w:rsid w:val="00847EEB"/>
    <w:rsid w:val="008501EF"/>
    <w:rsid w:val="0085060F"/>
    <w:rsid w:val="0085112B"/>
    <w:rsid w:val="0085168A"/>
    <w:rsid w:val="00851C40"/>
    <w:rsid w:val="00852677"/>
    <w:rsid w:val="00852939"/>
    <w:rsid w:val="00852DC8"/>
    <w:rsid w:val="0085357A"/>
    <w:rsid w:val="008537AA"/>
    <w:rsid w:val="00854BB7"/>
    <w:rsid w:val="00854C8D"/>
    <w:rsid w:val="00855429"/>
    <w:rsid w:val="00855D24"/>
    <w:rsid w:val="0085682F"/>
    <w:rsid w:val="008570C8"/>
    <w:rsid w:val="00857957"/>
    <w:rsid w:val="008607A6"/>
    <w:rsid w:val="00860CBB"/>
    <w:rsid w:val="00860E63"/>
    <w:rsid w:val="00860E6D"/>
    <w:rsid w:val="00860F35"/>
    <w:rsid w:val="0086286D"/>
    <w:rsid w:val="00862C8C"/>
    <w:rsid w:val="00863562"/>
    <w:rsid w:val="008646FD"/>
    <w:rsid w:val="00864F1E"/>
    <w:rsid w:val="00865870"/>
    <w:rsid w:val="00866C1B"/>
    <w:rsid w:val="00867143"/>
    <w:rsid w:val="0086742B"/>
    <w:rsid w:val="00870528"/>
    <w:rsid w:val="008708E1"/>
    <w:rsid w:val="00870A26"/>
    <w:rsid w:val="008710DC"/>
    <w:rsid w:val="00871E41"/>
    <w:rsid w:val="00871F97"/>
    <w:rsid w:val="008735D6"/>
    <w:rsid w:val="0087371F"/>
    <w:rsid w:val="00873A7D"/>
    <w:rsid w:val="00873DCA"/>
    <w:rsid w:val="00875EA8"/>
    <w:rsid w:val="0087677A"/>
    <w:rsid w:val="0087780A"/>
    <w:rsid w:val="00877B4B"/>
    <w:rsid w:val="00877ED4"/>
    <w:rsid w:val="00880F8A"/>
    <w:rsid w:val="00881AA1"/>
    <w:rsid w:val="00881CDA"/>
    <w:rsid w:val="00883375"/>
    <w:rsid w:val="00883525"/>
    <w:rsid w:val="00884644"/>
    <w:rsid w:val="00884C8C"/>
    <w:rsid w:val="00885189"/>
    <w:rsid w:val="00885803"/>
    <w:rsid w:val="008861AF"/>
    <w:rsid w:val="008862E0"/>
    <w:rsid w:val="008864BE"/>
    <w:rsid w:val="00887821"/>
    <w:rsid w:val="00887A9A"/>
    <w:rsid w:val="00887B9C"/>
    <w:rsid w:val="00887D35"/>
    <w:rsid w:val="00891975"/>
    <w:rsid w:val="00891E1D"/>
    <w:rsid w:val="00891F7F"/>
    <w:rsid w:val="008927E8"/>
    <w:rsid w:val="0089324D"/>
    <w:rsid w:val="00893888"/>
    <w:rsid w:val="00893892"/>
    <w:rsid w:val="00893D31"/>
    <w:rsid w:val="00894C87"/>
    <w:rsid w:val="00894DE8"/>
    <w:rsid w:val="00895D63"/>
    <w:rsid w:val="00895D7E"/>
    <w:rsid w:val="0089683D"/>
    <w:rsid w:val="008968CF"/>
    <w:rsid w:val="00896E8D"/>
    <w:rsid w:val="00897289"/>
    <w:rsid w:val="00897BF1"/>
    <w:rsid w:val="00897DD4"/>
    <w:rsid w:val="008A137C"/>
    <w:rsid w:val="008A26B3"/>
    <w:rsid w:val="008A2B1A"/>
    <w:rsid w:val="008A2DA3"/>
    <w:rsid w:val="008A3023"/>
    <w:rsid w:val="008A33B1"/>
    <w:rsid w:val="008A5713"/>
    <w:rsid w:val="008A5C31"/>
    <w:rsid w:val="008A63D7"/>
    <w:rsid w:val="008A6A57"/>
    <w:rsid w:val="008A6DA8"/>
    <w:rsid w:val="008A6F6D"/>
    <w:rsid w:val="008B0827"/>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702E"/>
    <w:rsid w:val="008B73C3"/>
    <w:rsid w:val="008C01F9"/>
    <w:rsid w:val="008C0EBA"/>
    <w:rsid w:val="008C0F6E"/>
    <w:rsid w:val="008C117F"/>
    <w:rsid w:val="008C11D0"/>
    <w:rsid w:val="008C1FDA"/>
    <w:rsid w:val="008C2C2C"/>
    <w:rsid w:val="008C381D"/>
    <w:rsid w:val="008C4081"/>
    <w:rsid w:val="008C533F"/>
    <w:rsid w:val="008C64A6"/>
    <w:rsid w:val="008C678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3184"/>
    <w:rsid w:val="008E3589"/>
    <w:rsid w:val="008E380B"/>
    <w:rsid w:val="008E383C"/>
    <w:rsid w:val="008E4148"/>
    <w:rsid w:val="008E5134"/>
    <w:rsid w:val="008E7940"/>
    <w:rsid w:val="008E7F9D"/>
    <w:rsid w:val="008E7FD5"/>
    <w:rsid w:val="008F0293"/>
    <w:rsid w:val="008F19C4"/>
    <w:rsid w:val="008F256B"/>
    <w:rsid w:val="008F2684"/>
    <w:rsid w:val="008F3BB2"/>
    <w:rsid w:val="008F441E"/>
    <w:rsid w:val="008F4866"/>
    <w:rsid w:val="008F4912"/>
    <w:rsid w:val="008F4A2A"/>
    <w:rsid w:val="008F538B"/>
    <w:rsid w:val="008F55BC"/>
    <w:rsid w:val="008F597E"/>
    <w:rsid w:val="008F5BEC"/>
    <w:rsid w:val="008F610A"/>
    <w:rsid w:val="008F6211"/>
    <w:rsid w:val="008F709B"/>
    <w:rsid w:val="008F765D"/>
    <w:rsid w:val="008F7E22"/>
    <w:rsid w:val="00900240"/>
    <w:rsid w:val="009009C1"/>
    <w:rsid w:val="00902FB2"/>
    <w:rsid w:val="00904BB5"/>
    <w:rsid w:val="00905548"/>
    <w:rsid w:val="0090674A"/>
    <w:rsid w:val="009072BC"/>
    <w:rsid w:val="00907D16"/>
    <w:rsid w:val="00910BBC"/>
    <w:rsid w:val="00910CFA"/>
    <w:rsid w:val="00910EAC"/>
    <w:rsid w:val="00912219"/>
    <w:rsid w:val="009124A8"/>
    <w:rsid w:val="00912864"/>
    <w:rsid w:val="00913134"/>
    <w:rsid w:val="009133EB"/>
    <w:rsid w:val="00914847"/>
    <w:rsid w:val="0091499B"/>
    <w:rsid w:val="00915149"/>
    <w:rsid w:val="0091517B"/>
    <w:rsid w:val="009169F8"/>
    <w:rsid w:val="00917957"/>
    <w:rsid w:val="0092083E"/>
    <w:rsid w:val="00920B36"/>
    <w:rsid w:val="00921F2B"/>
    <w:rsid w:val="00922058"/>
    <w:rsid w:val="0092283F"/>
    <w:rsid w:val="00923638"/>
    <w:rsid w:val="009244EE"/>
    <w:rsid w:val="00924BED"/>
    <w:rsid w:val="00924DF4"/>
    <w:rsid w:val="00925095"/>
    <w:rsid w:val="009252BA"/>
    <w:rsid w:val="009262E0"/>
    <w:rsid w:val="00926D0F"/>
    <w:rsid w:val="0092728E"/>
    <w:rsid w:val="00931776"/>
    <w:rsid w:val="00932FB6"/>
    <w:rsid w:val="0093374B"/>
    <w:rsid w:val="00934DB6"/>
    <w:rsid w:val="00935041"/>
    <w:rsid w:val="00935928"/>
    <w:rsid w:val="00936631"/>
    <w:rsid w:val="00936BB4"/>
    <w:rsid w:val="00936C0A"/>
    <w:rsid w:val="00936CB6"/>
    <w:rsid w:val="00936CBC"/>
    <w:rsid w:val="009371B3"/>
    <w:rsid w:val="009373CB"/>
    <w:rsid w:val="00937735"/>
    <w:rsid w:val="00941234"/>
    <w:rsid w:val="00942128"/>
    <w:rsid w:val="00942B10"/>
    <w:rsid w:val="00943A78"/>
    <w:rsid w:val="00943E32"/>
    <w:rsid w:val="00944306"/>
    <w:rsid w:val="00944AB3"/>
    <w:rsid w:val="0094523F"/>
    <w:rsid w:val="00947409"/>
    <w:rsid w:val="00950609"/>
    <w:rsid w:val="00950839"/>
    <w:rsid w:val="0095209D"/>
    <w:rsid w:val="009535E3"/>
    <w:rsid w:val="00953602"/>
    <w:rsid w:val="009545A3"/>
    <w:rsid w:val="009551F2"/>
    <w:rsid w:val="00955245"/>
    <w:rsid w:val="00955846"/>
    <w:rsid w:val="00955D75"/>
    <w:rsid w:val="00957370"/>
    <w:rsid w:val="009573CA"/>
    <w:rsid w:val="00957F15"/>
    <w:rsid w:val="00957F30"/>
    <w:rsid w:val="00960896"/>
    <w:rsid w:val="00960C07"/>
    <w:rsid w:val="00960C10"/>
    <w:rsid w:val="00960DD2"/>
    <w:rsid w:val="0096141F"/>
    <w:rsid w:val="0096270A"/>
    <w:rsid w:val="00963072"/>
    <w:rsid w:val="0096341C"/>
    <w:rsid w:val="00963D08"/>
    <w:rsid w:val="00964554"/>
    <w:rsid w:val="00964ADF"/>
    <w:rsid w:val="009659EC"/>
    <w:rsid w:val="009660DE"/>
    <w:rsid w:val="009661BD"/>
    <w:rsid w:val="009667DF"/>
    <w:rsid w:val="00967234"/>
    <w:rsid w:val="00967279"/>
    <w:rsid w:val="00967580"/>
    <w:rsid w:val="0096766C"/>
    <w:rsid w:val="00970BAB"/>
    <w:rsid w:val="0097131F"/>
    <w:rsid w:val="00972EA4"/>
    <w:rsid w:val="00972F59"/>
    <w:rsid w:val="00973172"/>
    <w:rsid w:val="00973FA3"/>
    <w:rsid w:val="00974361"/>
    <w:rsid w:val="009743F4"/>
    <w:rsid w:val="0097618F"/>
    <w:rsid w:val="00976475"/>
    <w:rsid w:val="0097722D"/>
    <w:rsid w:val="00977708"/>
    <w:rsid w:val="00977A1C"/>
    <w:rsid w:val="009816B2"/>
    <w:rsid w:val="0098170D"/>
    <w:rsid w:val="00981E47"/>
    <w:rsid w:val="009826DC"/>
    <w:rsid w:val="00982FAC"/>
    <w:rsid w:val="00983363"/>
    <w:rsid w:val="009834A0"/>
    <w:rsid w:val="00983E39"/>
    <w:rsid w:val="009845C6"/>
    <w:rsid w:val="009858CF"/>
    <w:rsid w:val="00985D19"/>
    <w:rsid w:val="00986FC9"/>
    <w:rsid w:val="00987B4A"/>
    <w:rsid w:val="0099020D"/>
    <w:rsid w:val="0099073D"/>
    <w:rsid w:val="00992DBB"/>
    <w:rsid w:val="00994ACD"/>
    <w:rsid w:val="00996B94"/>
    <w:rsid w:val="009A01F5"/>
    <w:rsid w:val="009A035D"/>
    <w:rsid w:val="009A06E4"/>
    <w:rsid w:val="009A0978"/>
    <w:rsid w:val="009A0B64"/>
    <w:rsid w:val="009A0DE5"/>
    <w:rsid w:val="009A0F46"/>
    <w:rsid w:val="009A1B5D"/>
    <w:rsid w:val="009A21DA"/>
    <w:rsid w:val="009A2740"/>
    <w:rsid w:val="009A2840"/>
    <w:rsid w:val="009A289D"/>
    <w:rsid w:val="009A3A3A"/>
    <w:rsid w:val="009A4249"/>
    <w:rsid w:val="009A4649"/>
    <w:rsid w:val="009A47DB"/>
    <w:rsid w:val="009A511B"/>
    <w:rsid w:val="009A6307"/>
    <w:rsid w:val="009A63F9"/>
    <w:rsid w:val="009A655B"/>
    <w:rsid w:val="009A6AA5"/>
    <w:rsid w:val="009A71CF"/>
    <w:rsid w:val="009A7892"/>
    <w:rsid w:val="009B1C49"/>
    <w:rsid w:val="009B36D5"/>
    <w:rsid w:val="009B4795"/>
    <w:rsid w:val="009B48CA"/>
    <w:rsid w:val="009B48E8"/>
    <w:rsid w:val="009B49D6"/>
    <w:rsid w:val="009B72FB"/>
    <w:rsid w:val="009C0968"/>
    <w:rsid w:val="009C0CFC"/>
    <w:rsid w:val="009C0D4F"/>
    <w:rsid w:val="009C11B4"/>
    <w:rsid w:val="009C15E8"/>
    <w:rsid w:val="009C1697"/>
    <w:rsid w:val="009C1A48"/>
    <w:rsid w:val="009C1E8C"/>
    <w:rsid w:val="009C2D54"/>
    <w:rsid w:val="009C36B6"/>
    <w:rsid w:val="009C3877"/>
    <w:rsid w:val="009C3E5F"/>
    <w:rsid w:val="009C3EAB"/>
    <w:rsid w:val="009C4E42"/>
    <w:rsid w:val="009C4FA9"/>
    <w:rsid w:val="009C52E2"/>
    <w:rsid w:val="009C5487"/>
    <w:rsid w:val="009C6400"/>
    <w:rsid w:val="009C6662"/>
    <w:rsid w:val="009C6E84"/>
    <w:rsid w:val="009D0490"/>
    <w:rsid w:val="009D0A06"/>
    <w:rsid w:val="009D0B1E"/>
    <w:rsid w:val="009D153F"/>
    <w:rsid w:val="009D337F"/>
    <w:rsid w:val="009D3685"/>
    <w:rsid w:val="009D3735"/>
    <w:rsid w:val="009D3E38"/>
    <w:rsid w:val="009D4DF1"/>
    <w:rsid w:val="009D738D"/>
    <w:rsid w:val="009D73C4"/>
    <w:rsid w:val="009D7594"/>
    <w:rsid w:val="009D7C10"/>
    <w:rsid w:val="009E10CA"/>
    <w:rsid w:val="009E2935"/>
    <w:rsid w:val="009E392C"/>
    <w:rsid w:val="009E4CF7"/>
    <w:rsid w:val="009E4F89"/>
    <w:rsid w:val="009E5195"/>
    <w:rsid w:val="009E5DBB"/>
    <w:rsid w:val="009E6BEA"/>
    <w:rsid w:val="009E6CB3"/>
    <w:rsid w:val="009E7509"/>
    <w:rsid w:val="009E7955"/>
    <w:rsid w:val="009F0646"/>
    <w:rsid w:val="009F07CB"/>
    <w:rsid w:val="009F1492"/>
    <w:rsid w:val="009F2548"/>
    <w:rsid w:val="009F27D9"/>
    <w:rsid w:val="009F3529"/>
    <w:rsid w:val="009F3A7D"/>
    <w:rsid w:val="009F4D04"/>
    <w:rsid w:val="009F56F4"/>
    <w:rsid w:val="009F5E18"/>
    <w:rsid w:val="009F63A0"/>
    <w:rsid w:val="009F649C"/>
    <w:rsid w:val="009F68C7"/>
    <w:rsid w:val="009F709D"/>
    <w:rsid w:val="00A006D8"/>
    <w:rsid w:val="00A00E28"/>
    <w:rsid w:val="00A00E8E"/>
    <w:rsid w:val="00A016DA"/>
    <w:rsid w:val="00A01779"/>
    <w:rsid w:val="00A018DB"/>
    <w:rsid w:val="00A02130"/>
    <w:rsid w:val="00A025A0"/>
    <w:rsid w:val="00A02DBB"/>
    <w:rsid w:val="00A03175"/>
    <w:rsid w:val="00A0470C"/>
    <w:rsid w:val="00A0493F"/>
    <w:rsid w:val="00A051A8"/>
    <w:rsid w:val="00A05868"/>
    <w:rsid w:val="00A0681D"/>
    <w:rsid w:val="00A069B5"/>
    <w:rsid w:val="00A075BF"/>
    <w:rsid w:val="00A07C80"/>
    <w:rsid w:val="00A10033"/>
    <w:rsid w:val="00A10C65"/>
    <w:rsid w:val="00A11079"/>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0DF"/>
    <w:rsid w:val="00A221B0"/>
    <w:rsid w:val="00A225A5"/>
    <w:rsid w:val="00A22616"/>
    <w:rsid w:val="00A23979"/>
    <w:rsid w:val="00A23B7E"/>
    <w:rsid w:val="00A2422B"/>
    <w:rsid w:val="00A24622"/>
    <w:rsid w:val="00A247F6"/>
    <w:rsid w:val="00A24BD8"/>
    <w:rsid w:val="00A24DA0"/>
    <w:rsid w:val="00A25158"/>
    <w:rsid w:val="00A27303"/>
    <w:rsid w:val="00A27629"/>
    <w:rsid w:val="00A300A6"/>
    <w:rsid w:val="00A30524"/>
    <w:rsid w:val="00A31B3C"/>
    <w:rsid w:val="00A323D5"/>
    <w:rsid w:val="00A32D6A"/>
    <w:rsid w:val="00A3510D"/>
    <w:rsid w:val="00A35C15"/>
    <w:rsid w:val="00A36E32"/>
    <w:rsid w:val="00A37E36"/>
    <w:rsid w:val="00A40023"/>
    <w:rsid w:val="00A41403"/>
    <w:rsid w:val="00A42D20"/>
    <w:rsid w:val="00A437C5"/>
    <w:rsid w:val="00A44207"/>
    <w:rsid w:val="00A444E7"/>
    <w:rsid w:val="00A44AB0"/>
    <w:rsid w:val="00A45429"/>
    <w:rsid w:val="00A4581E"/>
    <w:rsid w:val="00A46C1C"/>
    <w:rsid w:val="00A46C2A"/>
    <w:rsid w:val="00A47C7E"/>
    <w:rsid w:val="00A503EA"/>
    <w:rsid w:val="00A509A7"/>
    <w:rsid w:val="00A50BCF"/>
    <w:rsid w:val="00A50D1E"/>
    <w:rsid w:val="00A50E95"/>
    <w:rsid w:val="00A51898"/>
    <w:rsid w:val="00A526C6"/>
    <w:rsid w:val="00A52732"/>
    <w:rsid w:val="00A5401D"/>
    <w:rsid w:val="00A5434E"/>
    <w:rsid w:val="00A5475B"/>
    <w:rsid w:val="00A54A27"/>
    <w:rsid w:val="00A54A39"/>
    <w:rsid w:val="00A54A3F"/>
    <w:rsid w:val="00A550D5"/>
    <w:rsid w:val="00A55169"/>
    <w:rsid w:val="00A551DD"/>
    <w:rsid w:val="00A553D2"/>
    <w:rsid w:val="00A55ACC"/>
    <w:rsid w:val="00A56399"/>
    <w:rsid w:val="00A5672F"/>
    <w:rsid w:val="00A567D4"/>
    <w:rsid w:val="00A56AB9"/>
    <w:rsid w:val="00A57246"/>
    <w:rsid w:val="00A57DFA"/>
    <w:rsid w:val="00A60F0B"/>
    <w:rsid w:val="00A61BB0"/>
    <w:rsid w:val="00A627BD"/>
    <w:rsid w:val="00A631C3"/>
    <w:rsid w:val="00A6371C"/>
    <w:rsid w:val="00A642B4"/>
    <w:rsid w:val="00A64FBC"/>
    <w:rsid w:val="00A65BE9"/>
    <w:rsid w:val="00A66F40"/>
    <w:rsid w:val="00A66FF4"/>
    <w:rsid w:val="00A67789"/>
    <w:rsid w:val="00A6791D"/>
    <w:rsid w:val="00A7027F"/>
    <w:rsid w:val="00A714B4"/>
    <w:rsid w:val="00A7249D"/>
    <w:rsid w:val="00A72AB3"/>
    <w:rsid w:val="00A734C0"/>
    <w:rsid w:val="00A74A1B"/>
    <w:rsid w:val="00A74A72"/>
    <w:rsid w:val="00A763B2"/>
    <w:rsid w:val="00A76B0C"/>
    <w:rsid w:val="00A806F1"/>
    <w:rsid w:val="00A80BB5"/>
    <w:rsid w:val="00A818A9"/>
    <w:rsid w:val="00A81D07"/>
    <w:rsid w:val="00A8286B"/>
    <w:rsid w:val="00A83204"/>
    <w:rsid w:val="00A83C83"/>
    <w:rsid w:val="00A83CD9"/>
    <w:rsid w:val="00A83FB5"/>
    <w:rsid w:val="00A8443F"/>
    <w:rsid w:val="00A847E6"/>
    <w:rsid w:val="00A8496C"/>
    <w:rsid w:val="00A855F4"/>
    <w:rsid w:val="00A87B87"/>
    <w:rsid w:val="00A87CC2"/>
    <w:rsid w:val="00A9060A"/>
    <w:rsid w:val="00A91447"/>
    <w:rsid w:val="00A91456"/>
    <w:rsid w:val="00A920FC"/>
    <w:rsid w:val="00A92265"/>
    <w:rsid w:val="00A92624"/>
    <w:rsid w:val="00A92B1A"/>
    <w:rsid w:val="00A93831"/>
    <w:rsid w:val="00A946B4"/>
    <w:rsid w:val="00A95799"/>
    <w:rsid w:val="00A95B04"/>
    <w:rsid w:val="00A96117"/>
    <w:rsid w:val="00A96296"/>
    <w:rsid w:val="00A963FA"/>
    <w:rsid w:val="00A964D5"/>
    <w:rsid w:val="00A96540"/>
    <w:rsid w:val="00A9687F"/>
    <w:rsid w:val="00AA041B"/>
    <w:rsid w:val="00AA08E1"/>
    <w:rsid w:val="00AA1D75"/>
    <w:rsid w:val="00AA2097"/>
    <w:rsid w:val="00AA3CEF"/>
    <w:rsid w:val="00AA436D"/>
    <w:rsid w:val="00AA48BE"/>
    <w:rsid w:val="00AA73CD"/>
    <w:rsid w:val="00AA79E3"/>
    <w:rsid w:val="00AB0891"/>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06DC"/>
    <w:rsid w:val="00AC0D7A"/>
    <w:rsid w:val="00AC1A3C"/>
    <w:rsid w:val="00AC37FA"/>
    <w:rsid w:val="00AC4026"/>
    <w:rsid w:val="00AC4072"/>
    <w:rsid w:val="00AC4288"/>
    <w:rsid w:val="00AC4812"/>
    <w:rsid w:val="00AC48E4"/>
    <w:rsid w:val="00AC573E"/>
    <w:rsid w:val="00AC5B4C"/>
    <w:rsid w:val="00AC64B2"/>
    <w:rsid w:val="00AC7193"/>
    <w:rsid w:val="00AC7A65"/>
    <w:rsid w:val="00AC7F97"/>
    <w:rsid w:val="00AD0EC4"/>
    <w:rsid w:val="00AD172B"/>
    <w:rsid w:val="00AD2572"/>
    <w:rsid w:val="00AD26D8"/>
    <w:rsid w:val="00AD2733"/>
    <w:rsid w:val="00AD2776"/>
    <w:rsid w:val="00AD2A4A"/>
    <w:rsid w:val="00AD2E84"/>
    <w:rsid w:val="00AD39CE"/>
    <w:rsid w:val="00AD3A72"/>
    <w:rsid w:val="00AD4185"/>
    <w:rsid w:val="00AD433F"/>
    <w:rsid w:val="00AD4F47"/>
    <w:rsid w:val="00AD6508"/>
    <w:rsid w:val="00AD68EF"/>
    <w:rsid w:val="00AD69F5"/>
    <w:rsid w:val="00AE0214"/>
    <w:rsid w:val="00AE0389"/>
    <w:rsid w:val="00AE0BB2"/>
    <w:rsid w:val="00AE0BFC"/>
    <w:rsid w:val="00AE10F5"/>
    <w:rsid w:val="00AE11DC"/>
    <w:rsid w:val="00AE14B2"/>
    <w:rsid w:val="00AE2022"/>
    <w:rsid w:val="00AE268E"/>
    <w:rsid w:val="00AE4C00"/>
    <w:rsid w:val="00AE5B8E"/>
    <w:rsid w:val="00AE69EE"/>
    <w:rsid w:val="00AE6D5F"/>
    <w:rsid w:val="00AE6E7D"/>
    <w:rsid w:val="00AE7052"/>
    <w:rsid w:val="00AE778D"/>
    <w:rsid w:val="00AE7C3D"/>
    <w:rsid w:val="00AE7FF1"/>
    <w:rsid w:val="00AF03C1"/>
    <w:rsid w:val="00AF0674"/>
    <w:rsid w:val="00AF097A"/>
    <w:rsid w:val="00AF0E1E"/>
    <w:rsid w:val="00AF14FB"/>
    <w:rsid w:val="00AF1D77"/>
    <w:rsid w:val="00AF2467"/>
    <w:rsid w:val="00AF25AA"/>
    <w:rsid w:val="00AF4074"/>
    <w:rsid w:val="00AF4864"/>
    <w:rsid w:val="00AF5981"/>
    <w:rsid w:val="00AF6545"/>
    <w:rsid w:val="00AF7285"/>
    <w:rsid w:val="00AF7655"/>
    <w:rsid w:val="00B000EB"/>
    <w:rsid w:val="00B00105"/>
    <w:rsid w:val="00B00279"/>
    <w:rsid w:val="00B00707"/>
    <w:rsid w:val="00B012A6"/>
    <w:rsid w:val="00B01965"/>
    <w:rsid w:val="00B01FA7"/>
    <w:rsid w:val="00B030E7"/>
    <w:rsid w:val="00B037E1"/>
    <w:rsid w:val="00B0399B"/>
    <w:rsid w:val="00B039EC"/>
    <w:rsid w:val="00B03C72"/>
    <w:rsid w:val="00B048D3"/>
    <w:rsid w:val="00B04DDE"/>
    <w:rsid w:val="00B055AD"/>
    <w:rsid w:val="00B0607B"/>
    <w:rsid w:val="00B103BD"/>
    <w:rsid w:val="00B10DF2"/>
    <w:rsid w:val="00B115F0"/>
    <w:rsid w:val="00B11A15"/>
    <w:rsid w:val="00B12355"/>
    <w:rsid w:val="00B12B95"/>
    <w:rsid w:val="00B133B6"/>
    <w:rsid w:val="00B13E03"/>
    <w:rsid w:val="00B13E92"/>
    <w:rsid w:val="00B145A8"/>
    <w:rsid w:val="00B146D5"/>
    <w:rsid w:val="00B1504F"/>
    <w:rsid w:val="00B15653"/>
    <w:rsid w:val="00B1588A"/>
    <w:rsid w:val="00B15980"/>
    <w:rsid w:val="00B1623C"/>
    <w:rsid w:val="00B1737E"/>
    <w:rsid w:val="00B201C0"/>
    <w:rsid w:val="00B236E8"/>
    <w:rsid w:val="00B239A9"/>
    <w:rsid w:val="00B23A93"/>
    <w:rsid w:val="00B24055"/>
    <w:rsid w:val="00B24A45"/>
    <w:rsid w:val="00B24AD1"/>
    <w:rsid w:val="00B24B34"/>
    <w:rsid w:val="00B253A6"/>
    <w:rsid w:val="00B256A7"/>
    <w:rsid w:val="00B25889"/>
    <w:rsid w:val="00B263D3"/>
    <w:rsid w:val="00B27668"/>
    <w:rsid w:val="00B278A8"/>
    <w:rsid w:val="00B3005F"/>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2FA"/>
    <w:rsid w:val="00B579E9"/>
    <w:rsid w:val="00B57B4C"/>
    <w:rsid w:val="00B57E30"/>
    <w:rsid w:val="00B626EA"/>
    <w:rsid w:val="00B62720"/>
    <w:rsid w:val="00B62875"/>
    <w:rsid w:val="00B6287B"/>
    <w:rsid w:val="00B62E51"/>
    <w:rsid w:val="00B62F42"/>
    <w:rsid w:val="00B62FB9"/>
    <w:rsid w:val="00B63128"/>
    <w:rsid w:val="00B637A7"/>
    <w:rsid w:val="00B645B0"/>
    <w:rsid w:val="00B646A5"/>
    <w:rsid w:val="00B64E05"/>
    <w:rsid w:val="00B64F92"/>
    <w:rsid w:val="00B665B8"/>
    <w:rsid w:val="00B677E5"/>
    <w:rsid w:val="00B702B1"/>
    <w:rsid w:val="00B70810"/>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E21"/>
    <w:rsid w:val="00B8411E"/>
    <w:rsid w:val="00B84427"/>
    <w:rsid w:val="00B857C8"/>
    <w:rsid w:val="00B85BE3"/>
    <w:rsid w:val="00B86086"/>
    <w:rsid w:val="00B86626"/>
    <w:rsid w:val="00B86B2F"/>
    <w:rsid w:val="00B87525"/>
    <w:rsid w:val="00B87B63"/>
    <w:rsid w:val="00B90A1F"/>
    <w:rsid w:val="00B90EA1"/>
    <w:rsid w:val="00B91436"/>
    <w:rsid w:val="00B91915"/>
    <w:rsid w:val="00B921E7"/>
    <w:rsid w:val="00B92943"/>
    <w:rsid w:val="00B92E2F"/>
    <w:rsid w:val="00B9354F"/>
    <w:rsid w:val="00B94979"/>
    <w:rsid w:val="00B94AC6"/>
    <w:rsid w:val="00B953D7"/>
    <w:rsid w:val="00B96152"/>
    <w:rsid w:val="00B9621A"/>
    <w:rsid w:val="00B9755C"/>
    <w:rsid w:val="00BA01EE"/>
    <w:rsid w:val="00BA147B"/>
    <w:rsid w:val="00BA1C45"/>
    <w:rsid w:val="00BA3A5C"/>
    <w:rsid w:val="00BA4BEA"/>
    <w:rsid w:val="00BA4E0A"/>
    <w:rsid w:val="00BA5C8F"/>
    <w:rsid w:val="00BA6950"/>
    <w:rsid w:val="00BA762E"/>
    <w:rsid w:val="00BA7D7B"/>
    <w:rsid w:val="00BB06C1"/>
    <w:rsid w:val="00BB090D"/>
    <w:rsid w:val="00BB0EEF"/>
    <w:rsid w:val="00BB0FAE"/>
    <w:rsid w:val="00BB1914"/>
    <w:rsid w:val="00BB1AE2"/>
    <w:rsid w:val="00BB2294"/>
    <w:rsid w:val="00BB3C2D"/>
    <w:rsid w:val="00BB714A"/>
    <w:rsid w:val="00BC1037"/>
    <w:rsid w:val="00BC1109"/>
    <w:rsid w:val="00BC2CD0"/>
    <w:rsid w:val="00BC2CD3"/>
    <w:rsid w:val="00BC365C"/>
    <w:rsid w:val="00BC4C4D"/>
    <w:rsid w:val="00BC4C75"/>
    <w:rsid w:val="00BC4DAF"/>
    <w:rsid w:val="00BC5005"/>
    <w:rsid w:val="00BC5CED"/>
    <w:rsid w:val="00BC5E32"/>
    <w:rsid w:val="00BC6022"/>
    <w:rsid w:val="00BD0F15"/>
    <w:rsid w:val="00BD2074"/>
    <w:rsid w:val="00BD216D"/>
    <w:rsid w:val="00BD2506"/>
    <w:rsid w:val="00BD28DE"/>
    <w:rsid w:val="00BD477B"/>
    <w:rsid w:val="00BD488C"/>
    <w:rsid w:val="00BD4CB9"/>
    <w:rsid w:val="00BD4E3B"/>
    <w:rsid w:val="00BD5459"/>
    <w:rsid w:val="00BD73E6"/>
    <w:rsid w:val="00BD7FAE"/>
    <w:rsid w:val="00BE09C8"/>
    <w:rsid w:val="00BE0A92"/>
    <w:rsid w:val="00BE0DA9"/>
    <w:rsid w:val="00BE1850"/>
    <w:rsid w:val="00BE1B6C"/>
    <w:rsid w:val="00BE2C25"/>
    <w:rsid w:val="00BE2CAA"/>
    <w:rsid w:val="00BE2D02"/>
    <w:rsid w:val="00BE2E37"/>
    <w:rsid w:val="00BE3060"/>
    <w:rsid w:val="00BE336E"/>
    <w:rsid w:val="00BE342F"/>
    <w:rsid w:val="00BE3984"/>
    <w:rsid w:val="00BE3B57"/>
    <w:rsid w:val="00BE4624"/>
    <w:rsid w:val="00BE51D8"/>
    <w:rsid w:val="00BE5F8D"/>
    <w:rsid w:val="00BE6273"/>
    <w:rsid w:val="00BE6FB7"/>
    <w:rsid w:val="00BF0273"/>
    <w:rsid w:val="00BF10B3"/>
    <w:rsid w:val="00BF1635"/>
    <w:rsid w:val="00BF1C11"/>
    <w:rsid w:val="00BF253B"/>
    <w:rsid w:val="00BF2B9A"/>
    <w:rsid w:val="00BF2C07"/>
    <w:rsid w:val="00BF2C4C"/>
    <w:rsid w:val="00BF39D4"/>
    <w:rsid w:val="00BF3A01"/>
    <w:rsid w:val="00BF3CF7"/>
    <w:rsid w:val="00BF3E1B"/>
    <w:rsid w:val="00BF4F6E"/>
    <w:rsid w:val="00BF52D6"/>
    <w:rsid w:val="00BF6210"/>
    <w:rsid w:val="00BF6DC2"/>
    <w:rsid w:val="00BF7044"/>
    <w:rsid w:val="00BF7202"/>
    <w:rsid w:val="00C00DD2"/>
    <w:rsid w:val="00C02164"/>
    <w:rsid w:val="00C02B6B"/>
    <w:rsid w:val="00C034FE"/>
    <w:rsid w:val="00C045DE"/>
    <w:rsid w:val="00C04F94"/>
    <w:rsid w:val="00C069B4"/>
    <w:rsid w:val="00C0761F"/>
    <w:rsid w:val="00C076D1"/>
    <w:rsid w:val="00C07DF9"/>
    <w:rsid w:val="00C11103"/>
    <w:rsid w:val="00C116F0"/>
    <w:rsid w:val="00C117C5"/>
    <w:rsid w:val="00C11EE2"/>
    <w:rsid w:val="00C13F6C"/>
    <w:rsid w:val="00C143B9"/>
    <w:rsid w:val="00C16024"/>
    <w:rsid w:val="00C161B7"/>
    <w:rsid w:val="00C16894"/>
    <w:rsid w:val="00C17880"/>
    <w:rsid w:val="00C17B59"/>
    <w:rsid w:val="00C17BB0"/>
    <w:rsid w:val="00C17D29"/>
    <w:rsid w:val="00C2011C"/>
    <w:rsid w:val="00C205D4"/>
    <w:rsid w:val="00C22786"/>
    <w:rsid w:val="00C2366F"/>
    <w:rsid w:val="00C244DE"/>
    <w:rsid w:val="00C2587B"/>
    <w:rsid w:val="00C25DF8"/>
    <w:rsid w:val="00C267D7"/>
    <w:rsid w:val="00C26A67"/>
    <w:rsid w:val="00C27C89"/>
    <w:rsid w:val="00C27E35"/>
    <w:rsid w:val="00C3052F"/>
    <w:rsid w:val="00C31E6E"/>
    <w:rsid w:val="00C332B3"/>
    <w:rsid w:val="00C337F5"/>
    <w:rsid w:val="00C33C90"/>
    <w:rsid w:val="00C357E6"/>
    <w:rsid w:val="00C36090"/>
    <w:rsid w:val="00C36176"/>
    <w:rsid w:val="00C368E7"/>
    <w:rsid w:val="00C36AAB"/>
    <w:rsid w:val="00C36D89"/>
    <w:rsid w:val="00C37103"/>
    <w:rsid w:val="00C37D3E"/>
    <w:rsid w:val="00C407D4"/>
    <w:rsid w:val="00C407E5"/>
    <w:rsid w:val="00C40FBE"/>
    <w:rsid w:val="00C41A04"/>
    <w:rsid w:val="00C43CCF"/>
    <w:rsid w:val="00C43F7E"/>
    <w:rsid w:val="00C44CAE"/>
    <w:rsid w:val="00C44D29"/>
    <w:rsid w:val="00C46508"/>
    <w:rsid w:val="00C47C92"/>
    <w:rsid w:val="00C47DB5"/>
    <w:rsid w:val="00C507CD"/>
    <w:rsid w:val="00C50C71"/>
    <w:rsid w:val="00C50E01"/>
    <w:rsid w:val="00C526E0"/>
    <w:rsid w:val="00C54805"/>
    <w:rsid w:val="00C551C4"/>
    <w:rsid w:val="00C55202"/>
    <w:rsid w:val="00C554BC"/>
    <w:rsid w:val="00C55E57"/>
    <w:rsid w:val="00C56068"/>
    <w:rsid w:val="00C56CAB"/>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EFA"/>
    <w:rsid w:val="00C703F6"/>
    <w:rsid w:val="00C71083"/>
    <w:rsid w:val="00C71A81"/>
    <w:rsid w:val="00C71B85"/>
    <w:rsid w:val="00C71DCC"/>
    <w:rsid w:val="00C73E70"/>
    <w:rsid w:val="00C73E90"/>
    <w:rsid w:val="00C74C8E"/>
    <w:rsid w:val="00C750C4"/>
    <w:rsid w:val="00C751FB"/>
    <w:rsid w:val="00C75272"/>
    <w:rsid w:val="00C759CF"/>
    <w:rsid w:val="00C75D46"/>
    <w:rsid w:val="00C77136"/>
    <w:rsid w:val="00C77700"/>
    <w:rsid w:val="00C778AE"/>
    <w:rsid w:val="00C77BB7"/>
    <w:rsid w:val="00C814DC"/>
    <w:rsid w:val="00C81A64"/>
    <w:rsid w:val="00C82073"/>
    <w:rsid w:val="00C82540"/>
    <w:rsid w:val="00C8273A"/>
    <w:rsid w:val="00C82C9C"/>
    <w:rsid w:val="00C83210"/>
    <w:rsid w:val="00C833C8"/>
    <w:rsid w:val="00C83A98"/>
    <w:rsid w:val="00C83D6A"/>
    <w:rsid w:val="00C84EE8"/>
    <w:rsid w:val="00C85957"/>
    <w:rsid w:val="00C86F06"/>
    <w:rsid w:val="00C87B96"/>
    <w:rsid w:val="00C87CE5"/>
    <w:rsid w:val="00C9022C"/>
    <w:rsid w:val="00C902CD"/>
    <w:rsid w:val="00C903A8"/>
    <w:rsid w:val="00C91702"/>
    <w:rsid w:val="00C9183A"/>
    <w:rsid w:val="00C91E57"/>
    <w:rsid w:val="00C921AA"/>
    <w:rsid w:val="00C92CF0"/>
    <w:rsid w:val="00C9323E"/>
    <w:rsid w:val="00C936F8"/>
    <w:rsid w:val="00C9436F"/>
    <w:rsid w:val="00C9463E"/>
    <w:rsid w:val="00C94CE5"/>
    <w:rsid w:val="00C953AB"/>
    <w:rsid w:val="00C95AE9"/>
    <w:rsid w:val="00C97488"/>
    <w:rsid w:val="00C97AB4"/>
    <w:rsid w:val="00CA0173"/>
    <w:rsid w:val="00CA0325"/>
    <w:rsid w:val="00CA0B22"/>
    <w:rsid w:val="00CA0CA1"/>
    <w:rsid w:val="00CA105A"/>
    <w:rsid w:val="00CA16B2"/>
    <w:rsid w:val="00CA1B7D"/>
    <w:rsid w:val="00CA1D84"/>
    <w:rsid w:val="00CA21F4"/>
    <w:rsid w:val="00CA3732"/>
    <w:rsid w:val="00CA37B4"/>
    <w:rsid w:val="00CA37C4"/>
    <w:rsid w:val="00CA44B3"/>
    <w:rsid w:val="00CA5032"/>
    <w:rsid w:val="00CA53A4"/>
    <w:rsid w:val="00CA54E5"/>
    <w:rsid w:val="00CA7921"/>
    <w:rsid w:val="00CB0500"/>
    <w:rsid w:val="00CB06BD"/>
    <w:rsid w:val="00CB07E7"/>
    <w:rsid w:val="00CB1285"/>
    <w:rsid w:val="00CB1ACA"/>
    <w:rsid w:val="00CB26EA"/>
    <w:rsid w:val="00CB3B59"/>
    <w:rsid w:val="00CB3C30"/>
    <w:rsid w:val="00CB44C3"/>
    <w:rsid w:val="00CB4672"/>
    <w:rsid w:val="00CB4CD5"/>
    <w:rsid w:val="00CB56B8"/>
    <w:rsid w:val="00CB61CC"/>
    <w:rsid w:val="00CB691B"/>
    <w:rsid w:val="00CB6C30"/>
    <w:rsid w:val="00CC0092"/>
    <w:rsid w:val="00CC03D9"/>
    <w:rsid w:val="00CC161C"/>
    <w:rsid w:val="00CC1834"/>
    <w:rsid w:val="00CC2183"/>
    <w:rsid w:val="00CC28BF"/>
    <w:rsid w:val="00CC28C3"/>
    <w:rsid w:val="00CC2BD8"/>
    <w:rsid w:val="00CC307C"/>
    <w:rsid w:val="00CC32F6"/>
    <w:rsid w:val="00CC4EE7"/>
    <w:rsid w:val="00CC5C4C"/>
    <w:rsid w:val="00CC723C"/>
    <w:rsid w:val="00CD15D6"/>
    <w:rsid w:val="00CD1660"/>
    <w:rsid w:val="00CD16F8"/>
    <w:rsid w:val="00CD174C"/>
    <w:rsid w:val="00CD1BD8"/>
    <w:rsid w:val="00CD2FBC"/>
    <w:rsid w:val="00CD31C4"/>
    <w:rsid w:val="00CD32A6"/>
    <w:rsid w:val="00CD3479"/>
    <w:rsid w:val="00CD3F01"/>
    <w:rsid w:val="00CD5159"/>
    <w:rsid w:val="00CD67C4"/>
    <w:rsid w:val="00CD6C10"/>
    <w:rsid w:val="00CE09C0"/>
    <w:rsid w:val="00CE0DE1"/>
    <w:rsid w:val="00CE1D5E"/>
    <w:rsid w:val="00CE1E16"/>
    <w:rsid w:val="00CE3F47"/>
    <w:rsid w:val="00CE6AE0"/>
    <w:rsid w:val="00CE72FD"/>
    <w:rsid w:val="00CE7678"/>
    <w:rsid w:val="00CE792A"/>
    <w:rsid w:val="00CE7C23"/>
    <w:rsid w:val="00CF06E5"/>
    <w:rsid w:val="00CF07F5"/>
    <w:rsid w:val="00CF0D08"/>
    <w:rsid w:val="00CF0F13"/>
    <w:rsid w:val="00CF2721"/>
    <w:rsid w:val="00CF34E1"/>
    <w:rsid w:val="00CF3779"/>
    <w:rsid w:val="00CF3C14"/>
    <w:rsid w:val="00CF49F3"/>
    <w:rsid w:val="00CF5ACA"/>
    <w:rsid w:val="00CF621E"/>
    <w:rsid w:val="00CF75B9"/>
    <w:rsid w:val="00CF76BB"/>
    <w:rsid w:val="00CF7800"/>
    <w:rsid w:val="00D00776"/>
    <w:rsid w:val="00D02389"/>
    <w:rsid w:val="00D0247C"/>
    <w:rsid w:val="00D029D5"/>
    <w:rsid w:val="00D02AA0"/>
    <w:rsid w:val="00D03918"/>
    <w:rsid w:val="00D047C9"/>
    <w:rsid w:val="00D0589F"/>
    <w:rsid w:val="00D05B19"/>
    <w:rsid w:val="00D069B9"/>
    <w:rsid w:val="00D070A3"/>
    <w:rsid w:val="00D070FE"/>
    <w:rsid w:val="00D07480"/>
    <w:rsid w:val="00D07525"/>
    <w:rsid w:val="00D07D9A"/>
    <w:rsid w:val="00D104E8"/>
    <w:rsid w:val="00D1056B"/>
    <w:rsid w:val="00D119E2"/>
    <w:rsid w:val="00D11BEF"/>
    <w:rsid w:val="00D12C34"/>
    <w:rsid w:val="00D130B0"/>
    <w:rsid w:val="00D134D2"/>
    <w:rsid w:val="00D14DC9"/>
    <w:rsid w:val="00D155A0"/>
    <w:rsid w:val="00D16374"/>
    <w:rsid w:val="00D16581"/>
    <w:rsid w:val="00D16F0E"/>
    <w:rsid w:val="00D1738F"/>
    <w:rsid w:val="00D2003D"/>
    <w:rsid w:val="00D21046"/>
    <w:rsid w:val="00D2142C"/>
    <w:rsid w:val="00D21527"/>
    <w:rsid w:val="00D21FAF"/>
    <w:rsid w:val="00D22123"/>
    <w:rsid w:val="00D22DFE"/>
    <w:rsid w:val="00D234FF"/>
    <w:rsid w:val="00D23E5C"/>
    <w:rsid w:val="00D2477B"/>
    <w:rsid w:val="00D24B3D"/>
    <w:rsid w:val="00D25077"/>
    <w:rsid w:val="00D25190"/>
    <w:rsid w:val="00D25B9A"/>
    <w:rsid w:val="00D264D7"/>
    <w:rsid w:val="00D268A6"/>
    <w:rsid w:val="00D26E9E"/>
    <w:rsid w:val="00D27604"/>
    <w:rsid w:val="00D27990"/>
    <w:rsid w:val="00D27A35"/>
    <w:rsid w:val="00D3177D"/>
    <w:rsid w:val="00D31AC7"/>
    <w:rsid w:val="00D31DA5"/>
    <w:rsid w:val="00D31F94"/>
    <w:rsid w:val="00D3206E"/>
    <w:rsid w:val="00D32234"/>
    <w:rsid w:val="00D322C9"/>
    <w:rsid w:val="00D32E89"/>
    <w:rsid w:val="00D3361F"/>
    <w:rsid w:val="00D343BE"/>
    <w:rsid w:val="00D34D8E"/>
    <w:rsid w:val="00D353E4"/>
    <w:rsid w:val="00D35497"/>
    <w:rsid w:val="00D35795"/>
    <w:rsid w:val="00D36141"/>
    <w:rsid w:val="00D3639F"/>
    <w:rsid w:val="00D369A6"/>
    <w:rsid w:val="00D37703"/>
    <w:rsid w:val="00D37DFB"/>
    <w:rsid w:val="00D40666"/>
    <w:rsid w:val="00D40A33"/>
    <w:rsid w:val="00D40AED"/>
    <w:rsid w:val="00D4262E"/>
    <w:rsid w:val="00D446AB"/>
    <w:rsid w:val="00D448A5"/>
    <w:rsid w:val="00D44B89"/>
    <w:rsid w:val="00D44DA6"/>
    <w:rsid w:val="00D45D31"/>
    <w:rsid w:val="00D46010"/>
    <w:rsid w:val="00D46F90"/>
    <w:rsid w:val="00D4714F"/>
    <w:rsid w:val="00D47DF7"/>
    <w:rsid w:val="00D5009B"/>
    <w:rsid w:val="00D504A5"/>
    <w:rsid w:val="00D50F41"/>
    <w:rsid w:val="00D5156D"/>
    <w:rsid w:val="00D52A67"/>
    <w:rsid w:val="00D5324A"/>
    <w:rsid w:val="00D5377A"/>
    <w:rsid w:val="00D53E68"/>
    <w:rsid w:val="00D5420E"/>
    <w:rsid w:val="00D55224"/>
    <w:rsid w:val="00D552CE"/>
    <w:rsid w:val="00D5596C"/>
    <w:rsid w:val="00D56A27"/>
    <w:rsid w:val="00D61082"/>
    <w:rsid w:val="00D61432"/>
    <w:rsid w:val="00D61CF9"/>
    <w:rsid w:val="00D62B3D"/>
    <w:rsid w:val="00D630DD"/>
    <w:rsid w:val="00D6313F"/>
    <w:rsid w:val="00D64005"/>
    <w:rsid w:val="00D654D0"/>
    <w:rsid w:val="00D665CB"/>
    <w:rsid w:val="00D66978"/>
    <w:rsid w:val="00D66B84"/>
    <w:rsid w:val="00D66CFB"/>
    <w:rsid w:val="00D7066C"/>
    <w:rsid w:val="00D7197D"/>
    <w:rsid w:val="00D719E6"/>
    <w:rsid w:val="00D71EC2"/>
    <w:rsid w:val="00D7209B"/>
    <w:rsid w:val="00D72381"/>
    <w:rsid w:val="00D723F6"/>
    <w:rsid w:val="00D72984"/>
    <w:rsid w:val="00D7357C"/>
    <w:rsid w:val="00D7567F"/>
    <w:rsid w:val="00D75FB8"/>
    <w:rsid w:val="00D76732"/>
    <w:rsid w:val="00D76C89"/>
    <w:rsid w:val="00D76EC5"/>
    <w:rsid w:val="00D770D9"/>
    <w:rsid w:val="00D774E0"/>
    <w:rsid w:val="00D813C3"/>
    <w:rsid w:val="00D81657"/>
    <w:rsid w:val="00D81C4F"/>
    <w:rsid w:val="00D82413"/>
    <w:rsid w:val="00D8257B"/>
    <w:rsid w:val="00D84F7E"/>
    <w:rsid w:val="00D851EE"/>
    <w:rsid w:val="00D85A35"/>
    <w:rsid w:val="00D85DAF"/>
    <w:rsid w:val="00D86DE7"/>
    <w:rsid w:val="00D90D82"/>
    <w:rsid w:val="00D91101"/>
    <w:rsid w:val="00D91D06"/>
    <w:rsid w:val="00D922FE"/>
    <w:rsid w:val="00D92492"/>
    <w:rsid w:val="00D9335A"/>
    <w:rsid w:val="00D9454F"/>
    <w:rsid w:val="00D95C91"/>
    <w:rsid w:val="00D95EC6"/>
    <w:rsid w:val="00D95F84"/>
    <w:rsid w:val="00D979E2"/>
    <w:rsid w:val="00DA0512"/>
    <w:rsid w:val="00DA2939"/>
    <w:rsid w:val="00DA2BF0"/>
    <w:rsid w:val="00DA2CA1"/>
    <w:rsid w:val="00DA2CCF"/>
    <w:rsid w:val="00DA2E20"/>
    <w:rsid w:val="00DA3581"/>
    <w:rsid w:val="00DA3E7E"/>
    <w:rsid w:val="00DA4D73"/>
    <w:rsid w:val="00DA5AA6"/>
    <w:rsid w:val="00DA6141"/>
    <w:rsid w:val="00DA6798"/>
    <w:rsid w:val="00DA6B8E"/>
    <w:rsid w:val="00DA6EC1"/>
    <w:rsid w:val="00DA70CD"/>
    <w:rsid w:val="00DA745F"/>
    <w:rsid w:val="00DA76F0"/>
    <w:rsid w:val="00DB0067"/>
    <w:rsid w:val="00DB0362"/>
    <w:rsid w:val="00DB0ABB"/>
    <w:rsid w:val="00DB0F71"/>
    <w:rsid w:val="00DB11A3"/>
    <w:rsid w:val="00DB1F53"/>
    <w:rsid w:val="00DB30DD"/>
    <w:rsid w:val="00DB368A"/>
    <w:rsid w:val="00DB374D"/>
    <w:rsid w:val="00DB432F"/>
    <w:rsid w:val="00DB447A"/>
    <w:rsid w:val="00DB4BBE"/>
    <w:rsid w:val="00DB5644"/>
    <w:rsid w:val="00DB56A4"/>
    <w:rsid w:val="00DB5911"/>
    <w:rsid w:val="00DB594F"/>
    <w:rsid w:val="00DB5D7B"/>
    <w:rsid w:val="00DB6659"/>
    <w:rsid w:val="00DB6B36"/>
    <w:rsid w:val="00DB7588"/>
    <w:rsid w:val="00DC029C"/>
    <w:rsid w:val="00DC088D"/>
    <w:rsid w:val="00DC2873"/>
    <w:rsid w:val="00DC2B8A"/>
    <w:rsid w:val="00DC2F67"/>
    <w:rsid w:val="00DC35A7"/>
    <w:rsid w:val="00DC37C2"/>
    <w:rsid w:val="00DC3D2E"/>
    <w:rsid w:val="00DC3E43"/>
    <w:rsid w:val="00DC4C0B"/>
    <w:rsid w:val="00DD01A5"/>
    <w:rsid w:val="00DD110A"/>
    <w:rsid w:val="00DD1A4C"/>
    <w:rsid w:val="00DD2BDE"/>
    <w:rsid w:val="00DD313A"/>
    <w:rsid w:val="00DD3311"/>
    <w:rsid w:val="00DD35C9"/>
    <w:rsid w:val="00DD3E7C"/>
    <w:rsid w:val="00DD460A"/>
    <w:rsid w:val="00DD4AE0"/>
    <w:rsid w:val="00DD5562"/>
    <w:rsid w:val="00DD56F6"/>
    <w:rsid w:val="00DD60B7"/>
    <w:rsid w:val="00DD73AA"/>
    <w:rsid w:val="00DD7494"/>
    <w:rsid w:val="00DD79EE"/>
    <w:rsid w:val="00DD7A43"/>
    <w:rsid w:val="00DE0919"/>
    <w:rsid w:val="00DE11DC"/>
    <w:rsid w:val="00DE1B1B"/>
    <w:rsid w:val="00DE1BD7"/>
    <w:rsid w:val="00DE2460"/>
    <w:rsid w:val="00DE3E3B"/>
    <w:rsid w:val="00DE54BE"/>
    <w:rsid w:val="00DE5B1F"/>
    <w:rsid w:val="00DE695E"/>
    <w:rsid w:val="00DF00D6"/>
    <w:rsid w:val="00DF0577"/>
    <w:rsid w:val="00DF0709"/>
    <w:rsid w:val="00DF0A6C"/>
    <w:rsid w:val="00DF0C06"/>
    <w:rsid w:val="00DF14B0"/>
    <w:rsid w:val="00DF1D64"/>
    <w:rsid w:val="00DF2104"/>
    <w:rsid w:val="00DF31CF"/>
    <w:rsid w:val="00DF344B"/>
    <w:rsid w:val="00DF3B54"/>
    <w:rsid w:val="00DF4277"/>
    <w:rsid w:val="00DF46AB"/>
    <w:rsid w:val="00DF47D2"/>
    <w:rsid w:val="00DF4E7F"/>
    <w:rsid w:val="00DF5F23"/>
    <w:rsid w:val="00DF5F90"/>
    <w:rsid w:val="00DF65B6"/>
    <w:rsid w:val="00DF7350"/>
    <w:rsid w:val="00DF7DDB"/>
    <w:rsid w:val="00E00FC2"/>
    <w:rsid w:val="00E0102C"/>
    <w:rsid w:val="00E03036"/>
    <w:rsid w:val="00E036D4"/>
    <w:rsid w:val="00E03E74"/>
    <w:rsid w:val="00E042B1"/>
    <w:rsid w:val="00E049CC"/>
    <w:rsid w:val="00E04AD1"/>
    <w:rsid w:val="00E054EF"/>
    <w:rsid w:val="00E0597B"/>
    <w:rsid w:val="00E05A05"/>
    <w:rsid w:val="00E06420"/>
    <w:rsid w:val="00E06551"/>
    <w:rsid w:val="00E069F7"/>
    <w:rsid w:val="00E06F20"/>
    <w:rsid w:val="00E06F8C"/>
    <w:rsid w:val="00E0781F"/>
    <w:rsid w:val="00E07C1B"/>
    <w:rsid w:val="00E10760"/>
    <w:rsid w:val="00E11476"/>
    <w:rsid w:val="00E11E8F"/>
    <w:rsid w:val="00E12845"/>
    <w:rsid w:val="00E12A43"/>
    <w:rsid w:val="00E13A3B"/>
    <w:rsid w:val="00E1423A"/>
    <w:rsid w:val="00E145F0"/>
    <w:rsid w:val="00E14C73"/>
    <w:rsid w:val="00E1539E"/>
    <w:rsid w:val="00E15E54"/>
    <w:rsid w:val="00E167C8"/>
    <w:rsid w:val="00E16CC5"/>
    <w:rsid w:val="00E1759C"/>
    <w:rsid w:val="00E20157"/>
    <w:rsid w:val="00E205B1"/>
    <w:rsid w:val="00E211F9"/>
    <w:rsid w:val="00E215AE"/>
    <w:rsid w:val="00E21939"/>
    <w:rsid w:val="00E222F5"/>
    <w:rsid w:val="00E2268B"/>
    <w:rsid w:val="00E24CAA"/>
    <w:rsid w:val="00E251E2"/>
    <w:rsid w:val="00E256EB"/>
    <w:rsid w:val="00E25FD6"/>
    <w:rsid w:val="00E27AA5"/>
    <w:rsid w:val="00E27ACD"/>
    <w:rsid w:val="00E27E2D"/>
    <w:rsid w:val="00E303B2"/>
    <w:rsid w:val="00E30D22"/>
    <w:rsid w:val="00E315A9"/>
    <w:rsid w:val="00E325EC"/>
    <w:rsid w:val="00E32A83"/>
    <w:rsid w:val="00E336EA"/>
    <w:rsid w:val="00E340C8"/>
    <w:rsid w:val="00E3442B"/>
    <w:rsid w:val="00E34B7D"/>
    <w:rsid w:val="00E36BBB"/>
    <w:rsid w:val="00E37096"/>
    <w:rsid w:val="00E375D4"/>
    <w:rsid w:val="00E403DC"/>
    <w:rsid w:val="00E40AD6"/>
    <w:rsid w:val="00E40DF4"/>
    <w:rsid w:val="00E40E58"/>
    <w:rsid w:val="00E40F43"/>
    <w:rsid w:val="00E413A1"/>
    <w:rsid w:val="00E41637"/>
    <w:rsid w:val="00E43594"/>
    <w:rsid w:val="00E44F52"/>
    <w:rsid w:val="00E4566B"/>
    <w:rsid w:val="00E4621D"/>
    <w:rsid w:val="00E46FE7"/>
    <w:rsid w:val="00E471C4"/>
    <w:rsid w:val="00E478F3"/>
    <w:rsid w:val="00E50C88"/>
    <w:rsid w:val="00E5130B"/>
    <w:rsid w:val="00E53AC7"/>
    <w:rsid w:val="00E53F28"/>
    <w:rsid w:val="00E55A56"/>
    <w:rsid w:val="00E5603B"/>
    <w:rsid w:val="00E560A5"/>
    <w:rsid w:val="00E56D09"/>
    <w:rsid w:val="00E5757D"/>
    <w:rsid w:val="00E57CB4"/>
    <w:rsid w:val="00E6082D"/>
    <w:rsid w:val="00E60E58"/>
    <w:rsid w:val="00E61391"/>
    <w:rsid w:val="00E61689"/>
    <w:rsid w:val="00E63034"/>
    <w:rsid w:val="00E63B5A"/>
    <w:rsid w:val="00E66714"/>
    <w:rsid w:val="00E66CC8"/>
    <w:rsid w:val="00E704DC"/>
    <w:rsid w:val="00E70CE9"/>
    <w:rsid w:val="00E72987"/>
    <w:rsid w:val="00E734DB"/>
    <w:rsid w:val="00E735A8"/>
    <w:rsid w:val="00E73681"/>
    <w:rsid w:val="00E73C6B"/>
    <w:rsid w:val="00E76A2A"/>
    <w:rsid w:val="00E76B64"/>
    <w:rsid w:val="00E80BEB"/>
    <w:rsid w:val="00E8201A"/>
    <w:rsid w:val="00E822CA"/>
    <w:rsid w:val="00E82AC7"/>
    <w:rsid w:val="00E82B99"/>
    <w:rsid w:val="00E82C8A"/>
    <w:rsid w:val="00E83A38"/>
    <w:rsid w:val="00E83CF7"/>
    <w:rsid w:val="00E84E31"/>
    <w:rsid w:val="00E859DF"/>
    <w:rsid w:val="00E87465"/>
    <w:rsid w:val="00E8791B"/>
    <w:rsid w:val="00E91697"/>
    <w:rsid w:val="00E9225C"/>
    <w:rsid w:val="00E9251F"/>
    <w:rsid w:val="00E9321E"/>
    <w:rsid w:val="00E93F63"/>
    <w:rsid w:val="00E9422F"/>
    <w:rsid w:val="00E94255"/>
    <w:rsid w:val="00E94EAE"/>
    <w:rsid w:val="00E96A00"/>
    <w:rsid w:val="00E97128"/>
    <w:rsid w:val="00E9774D"/>
    <w:rsid w:val="00EA0050"/>
    <w:rsid w:val="00EA08B9"/>
    <w:rsid w:val="00EA0C88"/>
    <w:rsid w:val="00EA14BA"/>
    <w:rsid w:val="00EA1E06"/>
    <w:rsid w:val="00EA2941"/>
    <w:rsid w:val="00EA2E76"/>
    <w:rsid w:val="00EA3DB0"/>
    <w:rsid w:val="00EA3FCA"/>
    <w:rsid w:val="00EA413C"/>
    <w:rsid w:val="00EA4463"/>
    <w:rsid w:val="00EA4526"/>
    <w:rsid w:val="00EA46F2"/>
    <w:rsid w:val="00EA4BC4"/>
    <w:rsid w:val="00EA4FFC"/>
    <w:rsid w:val="00EA5688"/>
    <w:rsid w:val="00EA5D4F"/>
    <w:rsid w:val="00EA5EE5"/>
    <w:rsid w:val="00EA7BD2"/>
    <w:rsid w:val="00EA7CA5"/>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C13B2"/>
    <w:rsid w:val="00EC13BA"/>
    <w:rsid w:val="00EC1D0E"/>
    <w:rsid w:val="00EC2084"/>
    <w:rsid w:val="00EC2732"/>
    <w:rsid w:val="00EC3910"/>
    <w:rsid w:val="00EC39B9"/>
    <w:rsid w:val="00EC3A3B"/>
    <w:rsid w:val="00EC3DA1"/>
    <w:rsid w:val="00EC47C3"/>
    <w:rsid w:val="00EC498E"/>
    <w:rsid w:val="00EC4C9C"/>
    <w:rsid w:val="00EC51A7"/>
    <w:rsid w:val="00EC558E"/>
    <w:rsid w:val="00EC5CEE"/>
    <w:rsid w:val="00EC61F5"/>
    <w:rsid w:val="00EC7DE9"/>
    <w:rsid w:val="00ED033D"/>
    <w:rsid w:val="00ED0B34"/>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BEC"/>
    <w:rsid w:val="00ED6CDA"/>
    <w:rsid w:val="00ED6CFC"/>
    <w:rsid w:val="00ED71AF"/>
    <w:rsid w:val="00ED71B4"/>
    <w:rsid w:val="00ED7887"/>
    <w:rsid w:val="00ED797B"/>
    <w:rsid w:val="00ED7BF6"/>
    <w:rsid w:val="00ED7D81"/>
    <w:rsid w:val="00ED7E95"/>
    <w:rsid w:val="00EE18C7"/>
    <w:rsid w:val="00EE21B5"/>
    <w:rsid w:val="00EE2D0F"/>
    <w:rsid w:val="00EE3557"/>
    <w:rsid w:val="00EE370E"/>
    <w:rsid w:val="00EE3C21"/>
    <w:rsid w:val="00EE4F8D"/>
    <w:rsid w:val="00EE523A"/>
    <w:rsid w:val="00EE59B1"/>
    <w:rsid w:val="00EE618F"/>
    <w:rsid w:val="00EE6857"/>
    <w:rsid w:val="00EE7C77"/>
    <w:rsid w:val="00EF01D6"/>
    <w:rsid w:val="00EF042C"/>
    <w:rsid w:val="00EF0B99"/>
    <w:rsid w:val="00EF11F7"/>
    <w:rsid w:val="00EF317F"/>
    <w:rsid w:val="00EF3775"/>
    <w:rsid w:val="00EF3CD1"/>
    <w:rsid w:val="00EF405B"/>
    <w:rsid w:val="00EF5CD4"/>
    <w:rsid w:val="00EF7B69"/>
    <w:rsid w:val="00F0038C"/>
    <w:rsid w:val="00F00881"/>
    <w:rsid w:val="00F0122C"/>
    <w:rsid w:val="00F017BD"/>
    <w:rsid w:val="00F01D89"/>
    <w:rsid w:val="00F021F3"/>
    <w:rsid w:val="00F03AA9"/>
    <w:rsid w:val="00F03B45"/>
    <w:rsid w:val="00F03C02"/>
    <w:rsid w:val="00F043BC"/>
    <w:rsid w:val="00F057D5"/>
    <w:rsid w:val="00F05EB8"/>
    <w:rsid w:val="00F05F5E"/>
    <w:rsid w:val="00F066FD"/>
    <w:rsid w:val="00F06AA6"/>
    <w:rsid w:val="00F06DB4"/>
    <w:rsid w:val="00F0716D"/>
    <w:rsid w:val="00F073A9"/>
    <w:rsid w:val="00F10691"/>
    <w:rsid w:val="00F110A0"/>
    <w:rsid w:val="00F110DF"/>
    <w:rsid w:val="00F12010"/>
    <w:rsid w:val="00F145BB"/>
    <w:rsid w:val="00F1475C"/>
    <w:rsid w:val="00F147AF"/>
    <w:rsid w:val="00F14893"/>
    <w:rsid w:val="00F15D5E"/>
    <w:rsid w:val="00F166C2"/>
    <w:rsid w:val="00F1732B"/>
    <w:rsid w:val="00F173CE"/>
    <w:rsid w:val="00F201E6"/>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0BB"/>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706D"/>
    <w:rsid w:val="00F51AC0"/>
    <w:rsid w:val="00F51F41"/>
    <w:rsid w:val="00F52022"/>
    <w:rsid w:val="00F52251"/>
    <w:rsid w:val="00F53D5F"/>
    <w:rsid w:val="00F54A0B"/>
    <w:rsid w:val="00F54CA7"/>
    <w:rsid w:val="00F5515F"/>
    <w:rsid w:val="00F562CC"/>
    <w:rsid w:val="00F5665A"/>
    <w:rsid w:val="00F5743B"/>
    <w:rsid w:val="00F574E9"/>
    <w:rsid w:val="00F60A0A"/>
    <w:rsid w:val="00F60C13"/>
    <w:rsid w:val="00F60CE4"/>
    <w:rsid w:val="00F6111E"/>
    <w:rsid w:val="00F61301"/>
    <w:rsid w:val="00F61424"/>
    <w:rsid w:val="00F61BA3"/>
    <w:rsid w:val="00F62036"/>
    <w:rsid w:val="00F6204D"/>
    <w:rsid w:val="00F62287"/>
    <w:rsid w:val="00F6238B"/>
    <w:rsid w:val="00F624B4"/>
    <w:rsid w:val="00F62C2F"/>
    <w:rsid w:val="00F63086"/>
    <w:rsid w:val="00F63720"/>
    <w:rsid w:val="00F63741"/>
    <w:rsid w:val="00F653B5"/>
    <w:rsid w:val="00F659F2"/>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685A"/>
    <w:rsid w:val="00F775BD"/>
    <w:rsid w:val="00F7766B"/>
    <w:rsid w:val="00F77BA6"/>
    <w:rsid w:val="00F803C5"/>
    <w:rsid w:val="00F81309"/>
    <w:rsid w:val="00F81B08"/>
    <w:rsid w:val="00F81B6E"/>
    <w:rsid w:val="00F8266E"/>
    <w:rsid w:val="00F82D07"/>
    <w:rsid w:val="00F835E7"/>
    <w:rsid w:val="00F84441"/>
    <w:rsid w:val="00F84D12"/>
    <w:rsid w:val="00F861E7"/>
    <w:rsid w:val="00F866B0"/>
    <w:rsid w:val="00F876E7"/>
    <w:rsid w:val="00F87AFA"/>
    <w:rsid w:val="00F91A57"/>
    <w:rsid w:val="00F933DF"/>
    <w:rsid w:val="00F93698"/>
    <w:rsid w:val="00F94191"/>
    <w:rsid w:val="00F9431E"/>
    <w:rsid w:val="00F9478A"/>
    <w:rsid w:val="00F95997"/>
    <w:rsid w:val="00F96C53"/>
    <w:rsid w:val="00F97D51"/>
    <w:rsid w:val="00FA070C"/>
    <w:rsid w:val="00FA147A"/>
    <w:rsid w:val="00FA184F"/>
    <w:rsid w:val="00FA25D4"/>
    <w:rsid w:val="00FA29A9"/>
    <w:rsid w:val="00FA2CE7"/>
    <w:rsid w:val="00FA2D45"/>
    <w:rsid w:val="00FA3027"/>
    <w:rsid w:val="00FA3757"/>
    <w:rsid w:val="00FA3E6D"/>
    <w:rsid w:val="00FA439F"/>
    <w:rsid w:val="00FA4880"/>
    <w:rsid w:val="00FA4BF0"/>
    <w:rsid w:val="00FA5295"/>
    <w:rsid w:val="00FA5B6B"/>
    <w:rsid w:val="00FA64DB"/>
    <w:rsid w:val="00FA65D1"/>
    <w:rsid w:val="00FA7F68"/>
    <w:rsid w:val="00FB03DA"/>
    <w:rsid w:val="00FB0B3B"/>
    <w:rsid w:val="00FB1051"/>
    <w:rsid w:val="00FB356D"/>
    <w:rsid w:val="00FB4CD4"/>
    <w:rsid w:val="00FB63F8"/>
    <w:rsid w:val="00FB74AC"/>
    <w:rsid w:val="00FC0401"/>
    <w:rsid w:val="00FC2129"/>
    <w:rsid w:val="00FC24A9"/>
    <w:rsid w:val="00FC2F4B"/>
    <w:rsid w:val="00FC3B03"/>
    <w:rsid w:val="00FC3C05"/>
    <w:rsid w:val="00FC40F4"/>
    <w:rsid w:val="00FC45D3"/>
    <w:rsid w:val="00FC654E"/>
    <w:rsid w:val="00FC7280"/>
    <w:rsid w:val="00FD0760"/>
    <w:rsid w:val="00FD1216"/>
    <w:rsid w:val="00FD2161"/>
    <w:rsid w:val="00FD379B"/>
    <w:rsid w:val="00FD3AF2"/>
    <w:rsid w:val="00FD4012"/>
    <w:rsid w:val="00FD42C7"/>
    <w:rsid w:val="00FD455B"/>
    <w:rsid w:val="00FD4650"/>
    <w:rsid w:val="00FD4D08"/>
    <w:rsid w:val="00FD4F86"/>
    <w:rsid w:val="00FD5AE9"/>
    <w:rsid w:val="00FD708B"/>
    <w:rsid w:val="00FD7271"/>
    <w:rsid w:val="00FD7B05"/>
    <w:rsid w:val="00FD7FB4"/>
    <w:rsid w:val="00FE09A1"/>
    <w:rsid w:val="00FE14E6"/>
    <w:rsid w:val="00FE2419"/>
    <w:rsid w:val="00FE2E16"/>
    <w:rsid w:val="00FE4039"/>
    <w:rsid w:val="00FE5998"/>
    <w:rsid w:val="00FE5D98"/>
    <w:rsid w:val="00FE5FDB"/>
    <w:rsid w:val="00FE66AC"/>
    <w:rsid w:val="00FE78E5"/>
    <w:rsid w:val="00FF02DB"/>
    <w:rsid w:val="00FF0FAB"/>
    <w:rsid w:val="00FF111B"/>
    <w:rsid w:val="00FF1421"/>
    <w:rsid w:val="00FF16FD"/>
    <w:rsid w:val="00FF1A6F"/>
    <w:rsid w:val="00FF2982"/>
    <w:rsid w:val="00FF2990"/>
    <w:rsid w:val="00FF2B8A"/>
    <w:rsid w:val="00FF2B8E"/>
    <w:rsid w:val="00FF2D8B"/>
    <w:rsid w:val="00FF2E79"/>
    <w:rsid w:val="00FF2F4C"/>
    <w:rsid w:val="00FF4202"/>
    <w:rsid w:val="00FF472C"/>
    <w:rsid w:val="00FF4A0A"/>
    <w:rsid w:val="00FF4A3E"/>
    <w:rsid w:val="00FF4B29"/>
    <w:rsid w:val="00FF4F5E"/>
    <w:rsid w:val="00FF5BA0"/>
    <w:rsid w:val="00FF67DE"/>
    <w:rsid w:val="01284C10"/>
    <w:rsid w:val="01326F7C"/>
    <w:rsid w:val="0147760A"/>
    <w:rsid w:val="015025B4"/>
    <w:rsid w:val="01521906"/>
    <w:rsid w:val="01FB34BA"/>
    <w:rsid w:val="0209330B"/>
    <w:rsid w:val="02366906"/>
    <w:rsid w:val="02380E83"/>
    <w:rsid w:val="02866093"/>
    <w:rsid w:val="02A12537"/>
    <w:rsid w:val="02B35D48"/>
    <w:rsid w:val="02D0381A"/>
    <w:rsid w:val="02DB6087"/>
    <w:rsid w:val="02FF7A7B"/>
    <w:rsid w:val="03437DB8"/>
    <w:rsid w:val="03965B21"/>
    <w:rsid w:val="03970EF3"/>
    <w:rsid w:val="03A4004F"/>
    <w:rsid w:val="04287075"/>
    <w:rsid w:val="042F62B6"/>
    <w:rsid w:val="04472142"/>
    <w:rsid w:val="046643CE"/>
    <w:rsid w:val="04664A43"/>
    <w:rsid w:val="04823DD8"/>
    <w:rsid w:val="04953EA9"/>
    <w:rsid w:val="04AE7B23"/>
    <w:rsid w:val="04FF3EFD"/>
    <w:rsid w:val="0510721F"/>
    <w:rsid w:val="05110340"/>
    <w:rsid w:val="051F24F6"/>
    <w:rsid w:val="05940AC6"/>
    <w:rsid w:val="05A334AB"/>
    <w:rsid w:val="05AA02EA"/>
    <w:rsid w:val="05C313AC"/>
    <w:rsid w:val="05E742EE"/>
    <w:rsid w:val="06113CB0"/>
    <w:rsid w:val="065906F6"/>
    <w:rsid w:val="06D01F26"/>
    <w:rsid w:val="06D03D80"/>
    <w:rsid w:val="06E56A90"/>
    <w:rsid w:val="074F739B"/>
    <w:rsid w:val="0782154C"/>
    <w:rsid w:val="07A76C22"/>
    <w:rsid w:val="07AB2720"/>
    <w:rsid w:val="07FE6A2D"/>
    <w:rsid w:val="084367D4"/>
    <w:rsid w:val="0865499C"/>
    <w:rsid w:val="087F1626"/>
    <w:rsid w:val="08971C0E"/>
    <w:rsid w:val="08B17BE1"/>
    <w:rsid w:val="08BC3BC4"/>
    <w:rsid w:val="08C7632B"/>
    <w:rsid w:val="08EF7436"/>
    <w:rsid w:val="09224D06"/>
    <w:rsid w:val="092F3068"/>
    <w:rsid w:val="09354B3F"/>
    <w:rsid w:val="09CA5B4D"/>
    <w:rsid w:val="0A6509C8"/>
    <w:rsid w:val="0A7B596B"/>
    <w:rsid w:val="0A9A1F14"/>
    <w:rsid w:val="0AB17A25"/>
    <w:rsid w:val="0AE95D14"/>
    <w:rsid w:val="0AF0225B"/>
    <w:rsid w:val="0AFD2C6A"/>
    <w:rsid w:val="0B0E7430"/>
    <w:rsid w:val="0B2C354F"/>
    <w:rsid w:val="0B686126"/>
    <w:rsid w:val="0B717DAB"/>
    <w:rsid w:val="0BE42FC7"/>
    <w:rsid w:val="0C19710E"/>
    <w:rsid w:val="0C774C9E"/>
    <w:rsid w:val="0CEA2936"/>
    <w:rsid w:val="0D5364A5"/>
    <w:rsid w:val="0D5545EE"/>
    <w:rsid w:val="0D704A07"/>
    <w:rsid w:val="0D8F362E"/>
    <w:rsid w:val="0D9553DC"/>
    <w:rsid w:val="0DF012B2"/>
    <w:rsid w:val="0E3829A2"/>
    <w:rsid w:val="0E525B15"/>
    <w:rsid w:val="0E5E4367"/>
    <w:rsid w:val="0E691A30"/>
    <w:rsid w:val="0E794CFD"/>
    <w:rsid w:val="0E9438E5"/>
    <w:rsid w:val="0E963B01"/>
    <w:rsid w:val="0E9F1384"/>
    <w:rsid w:val="0EAC50D3"/>
    <w:rsid w:val="0ED15F2C"/>
    <w:rsid w:val="0ED65CAC"/>
    <w:rsid w:val="0EDA6E5D"/>
    <w:rsid w:val="0EEC454B"/>
    <w:rsid w:val="0EF820C6"/>
    <w:rsid w:val="0F3450C5"/>
    <w:rsid w:val="0F5D5A42"/>
    <w:rsid w:val="0F663403"/>
    <w:rsid w:val="0F6F6384"/>
    <w:rsid w:val="0F823811"/>
    <w:rsid w:val="0F95499A"/>
    <w:rsid w:val="0F980C7B"/>
    <w:rsid w:val="0FCD3553"/>
    <w:rsid w:val="0FF24D67"/>
    <w:rsid w:val="10093AA8"/>
    <w:rsid w:val="1068039B"/>
    <w:rsid w:val="1074471A"/>
    <w:rsid w:val="10A65B52"/>
    <w:rsid w:val="10DF4693"/>
    <w:rsid w:val="11164A85"/>
    <w:rsid w:val="112F4439"/>
    <w:rsid w:val="11476092"/>
    <w:rsid w:val="11C86E50"/>
    <w:rsid w:val="12160F3D"/>
    <w:rsid w:val="12241424"/>
    <w:rsid w:val="122671ED"/>
    <w:rsid w:val="12383670"/>
    <w:rsid w:val="125D34BF"/>
    <w:rsid w:val="126F50A7"/>
    <w:rsid w:val="128403B0"/>
    <w:rsid w:val="12E54A8E"/>
    <w:rsid w:val="12F51898"/>
    <w:rsid w:val="13116153"/>
    <w:rsid w:val="139C7A55"/>
    <w:rsid w:val="14056BDC"/>
    <w:rsid w:val="14241255"/>
    <w:rsid w:val="143119FB"/>
    <w:rsid w:val="144640EA"/>
    <w:rsid w:val="147815B3"/>
    <w:rsid w:val="147C72F5"/>
    <w:rsid w:val="153473BF"/>
    <w:rsid w:val="15633BC1"/>
    <w:rsid w:val="15FC2479"/>
    <w:rsid w:val="16210154"/>
    <w:rsid w:val="16BA1030"/>
    <w:rsid w:val="16BD0D7D"/>
    <w:rsid w:val="16BE43A5"/>
    <w:rsid w:val="17435EA8"/>
    <w:rsid w:val="174E29BF"/>
    <w:rsid w:val="177D059E"/>
    <w:rsid w:val="17893D8A"/>
    <w:rsid w:val="17DC4231"/>
    <w:rsid w:val="180C273E"/>
    <w:rsid w:val="18626802"/>
    <w:rsid w:val="18BD45BE"/>
    <w:rsid w:val="19353F17"/>
    <w:rsid w:val="19510D51"/>
    <w:rsid w:val="19A35D26"/>
    <w:rsid w:val="19BE45EC"/>
    <w:rsid w:val="19E219A9"/>
    <w:rsid w:val="1A07140F"/>
    <w:rsid w:val="1A2521DD"/>
    <w:rsid w:val="1A7A6085"/>
    <w:rsid w:val="1AD710D6"/>
    <w:rsid w:val="1B0C62A0"/>
    <w:rsid w:val="1B0F197B"/>
    <w:rsid w:val="1B6028EE"/>
    <w:rsid w:val="1B86771A"/>
    <w:rsid w:val="1BE03612"/>
    <w:rsid w:val="1BE65325"/>
    <w:rsid w:val="1C197B20"/>
    <w:rsid w:val="1C2608C8"/>
    <w:rsid w:val="1C3D6C1B"/>
    <w:rsid w:val="1C6528D1"/>
    <w:rsid w:val="1C685702"/>
    <w:rsid w:val="1CBD6A19"/>
    <w:rsid w:val="1CD65909"/>
    <w:rsid w:val="1CF43F8C"/>
    <w:rsid w:val="1CF77E61"/>
    <w:rsid w:val="1CFD009B"/>
    <w:rsid w:val="1D0B56BA"/>
    <w:rsid w:val="1D7F23F9"/>
    <w:rsid w:val="1E017B93"/>
    <w:rsid w:val="1E0A5972"/>
    <w:rsid w:val="1E0C16EA"/>
    <w:rsid w:val="1E0E6D20"/>
    <w:rsid w:val="1E564FB3"/>
    <w:rsid w:val="1E714D2B"/>
    <w:rsid w:val="1E867A20"/>
    <w:rsid w:val="1EA71413"/>
    <w:rsid w:val="1EAA62E9"/>
    <w:rsid w:val="1EFC175F"/>
    <w:rsid w:val="1F1C0096"/>
    <w:rsid w:val="1F310A8C"/>
    <w:rsid w:val="1F533349"/>
    <w:rsid w:val="1F7D0691"/>
    <w:rsid w:val="1FCA1E75"/>
    <w:rsid w:val="1FD840FD"/>
    <w:rsid w:val="1FE976BE"/>
    <w:rsid w:val="20132728"/>
    <w:rsid w:val="20196340"/>
    <w:rsid w:val="204D2F02"/>
    <w:rsid w:val="206D5FFB"/>
    <w:rsid w:val="20775EDA"/>
    <w:rsid w:val="207F4BDE"/>
    <w:rsid w:val="2080014B"/>
    <w:rsid w:val="20BB63FF"/>
    <w:rsid w:val="20E56222"/>
    <w:rsid w:val="20EC5803"/>
    <w:rsid w:val="214F03B6"/>
    <w:rsid w:val="217355DC"/>
    <w:rsid w:val="21837F15"/>
    <w:rsid w:val="219510F4"/>
    <w:rsid w:val="21D544E9"/>
    <w:rsid w:val="220E1656"/>
    <w:rsid w:val="22480BB9"/>
    <w:rsid w:val="226A69DF"/>
    <w:rsid w:val="226C09A9"/>
    <w:rsid w:val="228026A7"/>
    <w:rsid w:val="228F28EA"/>
    <w:rsid w:val="22917B4B"/>
    <w:rsid w:val="22954421"/>
    <w:rsid w:val="23026849"/>
    <w:rsid w:val="23107E11"/>
    <w:rsid w:val="23111B23"/>
    <w:rsid w:val="23175BB9"/>
    <w:rsid w:val="232C09CB"/>
    <w:rsid w:val="236A4A10"/>
    <w:rsid w:val="23DF51AB"/>
    <w:rsid w:val="24545B99"/>
    <w:rsid w:val="24764DC1"/>
    <w:rsid w:val="24967662"/>
    <w:rsid w:val="24F57B87"/>
    <w:rsid w:val="24FB1422"/>
    <w:rsid w:val="24FB7AC2"/>
    <w:rsid w:val="250276C1"/>
    <w:rsid w:val="25115244"/>
    <w:rsid w:val="253F3C34"/>
    <w:rsid w:val="255140EF"/>
    <w:rsid w:val="2581355B"/>
    <w:rsid w:val="25AA584B"/>
    <w:rsid w:val="25B82500"/>
    <w:rsid w:val="2611515D"/>
    <w:rsid w:val="262827A7"/>
    <w:rsid w:val="264163E8"/>
    <w:rsid w:val="265359DC"/>
    <w:rsid w:val="26681488"/>
    <w:rsid w:val="2677365B"/>
    <w:rsid w:val="26832E3C"/>
    <w:rsid w:val="26C35C95"/>
    <w:rsid w:val="26CA29BC"/>
    <w:rsid w:val="279E3C38"/>
    <w:rsid w:val="27C052F3"/>
    <w:rsid w:val="27CC5A46"/>
    <w:rsid w:val="27F37477"/>
    <w:rsid w:val="280478D6"/>
    <w:rsid w:val="28104D40"/>
    <w:rsid w:val="2811082C"/>
    <w:rsid w:val="281C73B2"/>
    <w:rsid w:val="285919D0"/>
    <w:rsid w:val="285F1E1A"/>
    <w:rsid w:val="28737276"/>
    <w:rsid w:val="28FE2E1B"/>
    <w:rsid w:val="292869D3"/>
    <w:rsid w:val="29353928"/>
    <w:rsid w:val="296C74E1"/>
    <w:rsid w:val="299308AD"/>
    <w:rsid w:val="29FB0865"/>
    <w:rsid w:val="29FB2613"/>
    <w:rsid w:val="2A4370E4"/>
    <w:rsid w:val="2A920384"/>
    <w:rsid w:val="2A922F77"/>
    <w:rsid w:val="2AA228FC"/>
    <w:rsid w:val="2ACF254B"/>
    <w:rsid w:val="2AE54D42"/>
    <w:rsid w:val="2B136BDF"/>
    <w:rsid w:val="2B395AE8"/>
    <w:rsid w:val="2B4C3B06"/>
    <w:rsid w:val="2B551B9A"/>
    <w:rsid w:val="2B9D32F3"/>
    <w:rsid w:val="2BC453B2"/>
    <w:rsid w:val="2BCD5A3D"/>
    <w:rsid w:val="2BF96489"/>
    <w:rsid w:val="2C1106C8"/>
    <w:rsid w:val="2C404347"/>
    <w:rsid w:val="2C70040C"/>
    <w:rsid w:val="2C775C21"/>
    <w:rsid w:val="2C9723C1"/>
    <w:rsid w:val="2C9A4365"/>
    <w:rsid w:val="2CAE4A0E"/>
    <w:rsid w:val="2CB2345D"/>
    <w:rsid w:val="2CBE1C3F"/>
    <w:rsid w:val="2CC714B4"/>
    <w:rsid w:val="2CDA6E57"/>
    <w:rsid w:val="2CDD4252"/>
    <w:rsid w:val="2D0C35F5"/>
    <w:rsid w:val="2D564730"/>
    <w:rsid w:val="2D60735C"/>
    <w:rsid w:val="2D666329"/>
    <w:rsid w:val="2D6C5D01"/>
    <w:rsid w:val="2D884B6F"/>
    <w:rsid w:val="2D915768"/>
    <w:rsid w:val="2DB2355B"/>
    <w:rsid w:val="2DDD6BFF"/>
    <w:rsid w:val="2E3371E0"/>
    <w:rsid w:val="2E39285A"/>
    <w:rsid w:val="2E501B91"/>
    <w:rsid w:val="2E687519"/>
    <w:rsid w:val="2E7447DA"/>
    <w:rsid w:val="2E975000"/>
    <w:rsid w:val="2EB536D8"/>
    <w:rsid w:val="2EC94A38"/>
    <w:rsid w:val="2EE31EEF"/>
    <w:rsid w:val="2EF5471C"/>
    <w:rsid w:val="2F0D2540"/>
    <w:rsid w:val="2F165A4A"/>
    <w:rsid w:val="2F2F5880"/>
    <w:rsid w:val="2F391C13"/>
    <w:rsid w:val="2F4773E5"/>
    <w:rsid w:val="2F5348AD"/>
    <w:rsid w:val="2F542EF1"/>
    <w:rsid w:val="2F656EAC"/>
    <w:rsid w:val="2F770EFB"/>
    <w:rsid w:val="2FC00586"/>
    <w:rsid w:val="2FFC7BB4"/>
    <w:rsid w:val="30491724"/>
    <w:rsid w:val="30863BAF"/>
    <w:rsid w:val="30CB5A1E"/>
    <w:rsid w:val="30D602A1"/>
    <w:rsid w:val="30DF048B"/>
    <w:rsid w:val="313708CB"/>
    <w:rsid w:val="314241FA"/>
    <w:rsid w:val="314B493B"/>
    <w:rsid w:val="31CA3B8D"/>
    <w:rsid w:val="322E2CC1"/>
    <w:rsid w:val="32430FFB"/>
    <w:rsid w:val="32744B8F"/>
    <w:rsid w:val="329A3370"/>
    <w:rsid w:val="32BF2514"/>
    <w:rsid w:val="3310085D"/>
    <w:rsid w:val="33436241"/>
    <w:rsid w:val="33B13B30"/>
    <w:rsid w:val="33BB353F"/>
    <w:rsid w:val="340E3115"/>
    <w:rsid w:val="340F2632"/>
    <w:rsid w:val="34192738"/>
    <w:rsid w:val="3424001A"/>
    <w:rsid w:val="34642326"/>
    <w:rsid w:val="346D49E1"/>
    <w:rsid w:val="34784F8C"/>
    <w:rsid w:val="34EB09E3"/>
    <w:rsid w:val="351647A5"/>
    <w:rsid w:val="35487054"/>
    <w:rsid w:val="356928AF"/>
    <w:rsid w:val="356E45E1"/>
    <w:rsid w:val="358C288B"/>
    <w:rsid w:val="35BA47F3"/>
    <w:rsid w:val="35C577F0"/>
    <w:rsid w:val="35D208EE"/>
    <w:rsid w:val="35DC70DB"/>
    <w:rsid w:val="35FC1619"/>
    <w:rsid w:val="36034D29"/>
    <w:rsid w:val="36934F68"/>
    <w:rsid w:val="36A82BCC"/>
    <w:rsid w:val="36DF7544"/>
    <w:rsid w:val="36FB77C2"/>
    <w:rsid w:val="372F1DB6"/>
    <w:rsid w:val="373A1EFF"/>
    <w:rsid w:val="37467A89"/>
    <w:rsid w:val="374857F5"/>
    <w:rsid w:val="374E30C2"/>
    <w:rsid w:val="376161AB"/>
    <w:rsid w:val="37900479"/>
    <w:rsid w:val="37D320B4"/>
    <w:rsid w:val="37DB415E"/>
    <w:rsid w:val="3823305A"/>
    <w:rsid w:val="38234436"/>
    <w:rsid w:val="38807E5C"/>
    <w:rsid w:val="38D62BC9"/>
    <w:rsid w:val="39042AE6"/>
    <w:rsid w:val="39255B4E"/>
    <w:rsid w:val="393A3157"/>
    <w:rsid w:val="394F6D84"/>
    <w:rsid w:val="395163A4"/>
    <w:rsid w:val="3957180B"/>
    <w:rsid w:val="395E3E7F"/>
    <w:rsid w:val="398268AC"/>
    <w:rsid w:val="398B1EBE"/>
    <w:rsid w:val="3A642EBF"/>
    <w:rsid w:val="3A7235C7"/>
    <w:rsid w:val="3A9C2D71"/>
    <w:rsid w:val="3ADC3677"/>
    <w:rsid w:val="3B273C25"/>
    <w:rsid w:val="3B547DD5"/>
    <w:rsid w:val="3B55139D"/>
    <w:rsid w:val="3B5B68B6"/>
    <w:rsid w:val="3B5D312D"/>
    <w:rsid w:val="3BAF1030"/>
    <w:rsid w:val="3C2D2B00"/>
    <w:rsid w:val="3C6D2FB9"/>
    <w:rsid w:val="3C7C2505"/>
    <w:rsid w:val="3CE305A4"/>
    <w:rsid w:val="3CF1294A"/>
    <w:rsid w:val="3CFD70B0"/>
    <w:rsid w:val="3D7A2ADA"/>
    <w:rsid w:val="3DA407FF"/>
    <w:rsid w:val="3DD75419"/>
    <w:rsid w:val="3E0C56F4"/>
    <w:rsid w:val="3E1201FF"/>
    <w:rsid w:val="3E640B6F"/>
    <w:rsid w:val="3E8A1174"/>
    <w:rsid w:val="3ED35DF4"/>
    <w:rsid w:val="3F1735F3"/>
    <w:rsid w:val="3F3C2572"/>
    <w:rsid w:val="3FED2FEE"/>
    <w:rsid w:val="3FFE5B0D"/>
    <w:rsid w:val="40525C71"/>
    <w:rsid w:val="407E58AC"/>
    <w:rsid w:val="40D01062"/>
    <w:rsid w:val="40E439A9"/>
    <w:rsid w:val="41037814"/>
    <w:rsid w:val="410D59C9"/>
    <w:rsid w:val="417562F0"/>
    <w:rsid w:val="41786CC9"/>
    <w:rsid w:val="41E55C2A"/>
    <w:rsid w:val="421A0976"/>
    <w:rsid w:val="424C70D6"/>
    <w:rsid w:val="42542524"/>
    <w:rsid w:val="425C0553"/>
    <w:rsid w:val="42824702"/>
    <w:rsid w:val="429B378C"/>
    <w:rsid w:val="42E209C4"/>
    <w:rsid w:val="430739B9"/>
    <w:rsid w:val="4338309D"/>
    <w:rsid w:val="4355293C"/>
    <w:rsid w:val="446901E8"/>
    <w:rsid w:val="447569F3"/>
    <w:rsid w:val="44B422A7"/>
    <w:rsid w:val="44D83825"/>
    <w:rsid w:val="44E601FA"/>
    <w:rsid w:val="452B6C36"/>
    <w:rsid w:val="45365B70"/>
    <w:rsid w:val="45642956"/>
    <w:rsid w:val="458B3240"/>
    <w:rsid w:val="45D67943"/>
    <w:rsid w:val="45FC0CDF"/>
    <w:rsid w:val="462E7BA0"/>
    <w:rsid w:val="46875502"/>
    <w:rsid w:val="46CC7CBB"/>
    <w:rsid w:val="46CE30E3"/>
    <w:rsid w:val="46ED7799"/>
    <w:rsid w:val="46F22B79"/>
    <w:rsid w:val="470D1EAB"/>
    <w:rsid w:val="472B0583"/>
    <w:rsid w:val="47470193"/>
    <w:rsid w:val="47B82944"/>
    <w:rsid w:val="48180B08"/>
    <w:rsid w:val="48270D4B"/>
    <w:rsid w:val="48356A91"/>
    <w:rsid w:val="487C37CC"/>
    <w:rsid w:val="488355B6"/>
    <w:rsid w:val="48946E28"/>
    <w:rsid w:val="48D87FD4"/>
    <w:rsid w:val="49353926"/>
    <w:rsid w:val="49626EB3"/>
    <w:rsid w:val="49A3785C"/>
    <w:rsid w:val="4A161077"/>
    <w:rsid w:val="4A481D20"/>
    <w:rsid w:val="4A7F6029"/>
    <w:rsid w:val="4AB915D4"/>
    <w:rsid w:val="4AE868AB"/>
    <w:rsid w:val="4B2102A8"/>
    <w:rsid w:val="4B4B5BA4"/>
    <w:rsid w:val="4B602D7A"/>
    <w:rsid w:val="4B951E51"/>
    <w:rsid w:val="4BBC1737"/>
    <w:rsid w:val="4BC863A1"/>
    <w:rsid w:val="4C06196F"/>
    <w:rsid w:val="4C1D08E3"/>
    <w:rsid w:val="4C4773C1"/>
    <w:rsid w:val="4C9269AF"/>
    <w:rsid w:val="4CCE4AB9"/>
    <w:rsid w:val="4CE2694B"/>
    <w:rsid w:val="4CFFB5CA"/>
    <w:rsid w:val="4D157CEB"/>
    <w:rsid w:val="4D2B5810"/>
    <w:rsid w:val="4D9E1AAF"/>
    <w:rsid w:val="4E031912"/>
    <w:rsid w:val="4E30647F"/>
    <w:rsid w:val="4E5E2854"/>
    <w:rsid w:val="4E676237"/>
    <w:rsid w:val="4EC03258"/>
    <w:rsid w:val="4ECD1F20"/>
    <w:rsid w:val="4F035D1F"/>
    <w:rsid w:val="4F45079D"/>
    <w:rsid w:val="4FA113E3"/>
    <w:rsid w:val="4FFF5657"/>
    <w:rsid w:val="501C4F0D"/>
    <w:rsid w:val="503812F8"/>
    <w:rsid w:val="50464A35"/>
    <w:rsid w:val="50567CE2"/>
    <w:rsid w:val="508C4D70"/>
    <w:rsid w:val="50D63F70"/>
    <w:rsid w:val="510A24B2"/>
    <w:rsid w:val="511F540B"/>
    <w:rsid w:val="513B40E8"/>
    <w:rsid w:val="518D196C"/>
    <w:rsid w:val="51F37EF0"/>
    <w:rsid w:val="52045C59"/>
    <w:rsid w:val="52207C02"/>
    <w:rsid w:val="52715451"/>
    <w:rsid w:val="52943481"/>
    <w:rsid w:val="529B5416"/>
    <w:rsid w:val="52C57C7B"/>
    <w:rsid w:val="52FF6532"/>
    <w:rsid w:val="53746E0E"/>
    <w:rsid w:val="537C2B00"/>
    <w:rsid w:val="539A4F6F"/>
    <w:rsid w:val="540C7DB2"/>
    <w:rsid w:val="543143F7"/>
    <w:rsid w:val="544B05B4"/>
    <w:rsid w:val="546F76C8"/>
    <w:rsid w:val="549D792C"/>
    <w:rsid w:val="54EF0E42"/>
    <w:rsid w:val="550D180D"/>
    <w:rsid w:val="551212BD"/>
    <w:rsid w:val="55180E58"/>
    <w:rsid w:val="551924A8"/>
    <w:rsid w:val="554B78CD"/>
    <w:rsid w:val="556B73D6"/>
    <w:rsid w:val="558772CD"/>
    <w:rsid w:val="5597157A"/>
    <w:rsid w:val="559840EB"/>
    <w:rsid w:val="55F54981"/>
    <w:rsid w:val="5604752C"/>
    <w:rsid w:val="5618675D"/>
    <w:rsid w:val="56633896"/>
    <w:rsid w:val="569D7701"/>
    <w:rsid w:val="56F42740"/>
    <w:rsid w:val="570063CB"/>
    <w:rsid w:val="57233025"/>
    <w:rsid w:val="574134AB"/>
    <w:rsid w:val="5754574B"/>
    <w:rsid w:val="57631674"/>
    <w:rsid w:val="57BB24C7"/>
    <w:rsid w:val="57E1531B"/>
    <w:rsid w:val="583F52BD"/>
    <w:rsid w:val="584D1551"/>
    <w:rsid w:val="58575D94"/>
    <w:rsid w:val="586E0172"/>
    <w:rsid w:val="58C60904"/>
    <w:rsid w:val="58CE429C"/>
    <w:rsid w:val="59172716"/>
    <w:rsid w:val="591935E3"/>
    <w:rsid w:val="591F28A5"/>
    <w:rsid w:val="59210642"/>
    <w:rsid w:val="596A7D11"/>
    <w:rsid w:val="5982098D"/>
    <w:rsid w:val="59875AED"/>
    <w:rsid w:val="599D6C00"/>
    <w:rsid w:val="59AE2298"/>
    <w:rsid w:val="59F150DC"/>
    <w:rsid w:val="5A303EE5"/>
    <w:rsid w:val="5A663A32"/>
    <w:rsid w:val="5A9056E2"/>
    <w:rsid w:val="5B1909C7"/>
    <w:rsid w:val="5B24736C"/>
    <w:rsid w:val="5B5B6114"/>
    <w:rsid w:val="5B7368D8"/>
    <w:rsid w:val="5BA10461"/>
    <w:rsid w:val="5BAA15A6"/>
    <w:rsid w:val="5BEA3E40"/>
    <w:rsid w:val="5C60789B"/>
    <w:rsid w:val="5C7C1702"/>
    <w:rsid w:val="5C926B4F"/>
    <w:rsid w:val="5C9C18B0"/>
    <w:rsid w:val="5CCA6F24"/>
    <w:rsid w:val="5CCC7514"/>
    <w:rsid w:val="5D7719D5"/>
    <w:rsid w:val="5D875753"/>
    <w:rsid w:val="5DBA2C96"/>
    <w:rsid w:val="5DED2A30"/>
    <w:rsid w:val="5E12202C"/>
    <w:rsid w:val="5E2F6FB7"/>
    <w:rsid w:val="5E353CAE"/>
    <w:rsid w:val="5E551618"/>
    <w:rsid w:val="5E564705"/>
    <w:rsid w:val="5F7F5858"/>
    <w:rsid w:val="5F8915E8"/>
    <w:rsid w:val="5FA34D03"/>
    <w:rsid w:val="5FBC5208"/>
    <w:rsid w:val="5FC324AB"/>
    <w:rsid w:val="5FC96C97"/>
    <w:rsid w:val="5FCB57A4"/>
    <w:rsid w:val="5FCD689D"/>
    <w:rsid w:val="5FEC48FC"/>
    <w:rsid w:val="5FF067F2"/>
    <w:rsid w:val="6019389F"/>
    <w:rsid w:val="601D188F"/>
    <w:rsid w:val="6021444F"/>
    <w:rsid w:val="6025268F"/>
    <w:rsid w:val="60442979"/>
    <w:rsid w:val="605E7121"/>
    <w:rsid w:val="60C70EC5"/>
    <w:rsid w:val="60CC2038"/>
    <w:rsid w:val="60FE69AF"/>
    <w:rsid w:val="61080561"/>
    <w:rsid w:val="61151959"/>
    <w:rsid w:val="61506FE6"/>
    <w:rsid w:val="615F2D1F"/>
    <w:rsid w:val="619568CD"/>
    <w:rsid w:val="61B53552"/>
    <w:rsid w:val="62165216"/>
    <w:rsid w:val="6232643F"/>
    <w:rsid w:val="629B76DE"/>
    <w:rsid w:val="62EA49F7"/>
    <w:rsid w:val="62F26F2B"/>
    <w:rsid w:val="633C7EA6"/>
    <w:rsid w:val="633D16E7"/>
    <w:rsid w:val="63662BC7"/>
    <w:rsid w:val="6399300F"/>
    <w:rsid w:val="639C0B31"/>
    <w:rsid w:val="63A972B9"/>
    <w:rsid w:val="63C162C7"/>
    <w:rsid w:val="63FE69AC"/>
    <w:rsid w:val="64357EF4"/>
    <w:rsid w:val="648C319C"/>
    <w:rsid w:val="65202952"/>
    <w:rsid w:val="65646CE3"/>
    <w:rsid w:val="65884517"/>
    <w:rsid w:val="65C3362E"/>
    <w:rsid w:val="65CF0DFB"/>
    <w:rsid w:val="66320B8F"/>
    <w:rsid w:val="664034E9"/>
    <w:rsid w:val="666F658D"/>
    <w:rsid w:val="66E3030C"/>
    <w:rsid w:val="6712451C"/>
    <w:rsid w:val="672C7CD4"/>
    <w:rsid w:val="673B6B0F"/>
    <w:rsid w:val="679146E8"/>
    <w:rsid w:val="679F577E"/>
    <w:rsid w:val="67EB702D"/>
    <w:rsid w:val="68033B7E"/>
    <w:rsid w:val="68180AC9"/>
    <w:rsid w:val="689B0DC5"/>
    <w:rsid w:val="68BE670A"/>
    <w:rsid w:val="68C1269E"/>
    <w:rsid w:val="691427CE"/>
    <w:rsid w:val="691722BE"/>
    <w:rsid w:val="692E7D33"/>
    <w:rsid w:val="69360996"/>
    <w:rsid w:val="69382A2C"/>
    <w:rsid w:val="69434640"/>
    <w:rsid w:val="69492609"/>
    <w:rsid w:val="696B6C74"/>
    <w:rsid w:val="69834FD6"/>
    <w:rsid w:val="698E6203"/>
    <w:rsid w:val="69BC2C3C"/>
    <w:rsid w:val="69DE32D2"/>
    <w:rsid w:val="6A4E5A82"/>
    <w:rsid w:val="6A4E644F"/>
    <w:rsid w:val="6A5F216E"/>
    <w:rsid w:val="6A6D04AD"/>
    <w:rsid w:val="6A750CAB"/>
    <w:rsid w:val="6A827C7E"/>
    <w:rsid w:val="6A8A0D9D"/>
    <w:rsid w:val="6AAC1CAC"/>
    <w:rsid w:val="6AB15855"/>
    <w:rsid w:val="6AB67533"/>
    <w:rsid w:val="6ACD37DB"/>
    <w:rsid w:val="6B160F0A"/>
    <w:rsid w:val="6B347791"/>
    <w:rsid w:val="6B4849B1"/>
    <w:rsid w:val="6B531F31"/>
    <w:rsid w:val="6B6F3FE3"/>
    <w:rsid w:val="6B9E0A74"/>
    <w:rsid w:val="6BA958B7"/>
    <w:rsid w:val="6C183322"/>
    <w:rsid w:val="6C1B786D"/>
    <w:rsid w:val="6C5543F6"/>
    <w:rsid w:val="6C832DF1"/>
    <w:rsid w:val="6C9C691F"/>
    <w:rsid w:val="6CC85948"/>
    <w:rsid w:val="6CD24798"/>
    <w:rsid w:val="6CD72490"/>
    <w:rsid w:val="6CF52916"/>
    <w:rsid w:val="6D25144D"/>
    <w:rsid w:val="6D6261FE"/>
    <w:rsid w:val="6D753382"/>
    <w:rsid w:val="6DEF7AF4"/>
    <w:rsid w:val="6DF87AF7"/>
    <w:rsid w:val="6DF92F81"/>
    <w:rsid w:val="6E2F6D66"/>
    <w:rsid w:val="6EF8138F"/>
    <w:rsid w:val="6F10352A"/>
    <w:rsid w:val="6F28398D"/>
    <w:rsid w:val="6F8647E7"/>
    <w:rsid w:val="6F964274"/>
    <w:rsid w:val="6FA31BC5"/>
    <w:rsid w:val="6FA36659"/>
    <w:rsid w:val="70366E3A"/>
    <w:rsid w:val="70980188"/>
    <w:rsid w:val="70AB0EB9"/>
    <w:rsid w:val="70F73101"/>
    <w:rsid w:val="71023D0C"/>
    <w:rsid w:val="711B589D"/>
    <w:rsid w:val="71297032"/>
    <w:rsid w:val="712B73BE"/>
    <w:rsid w:val="71384412"/>
    <w:rsid w:val="7139409F"/>
    <w:rsid w:val="71452A5C"/>
    <w:rsid w:val="716F605D"/>
    <w:rsid w:val="72091A4A"/>
    <w:rsid w:val="72620A4E"/>
    <w:rsid w:val="7281544F"/>
    <w:rsid w:val="728A7FFF"/>
    <w:rsid w:val="72952BD1"/>
    <w:rsid w:val="72BB3CBA"/>
    <w:rsid w:val="72BC2E84"/>
    <w:rsid w:val="72D143E0"/>
    <w:rsid w:val="72F83160"/>
    <w:rsid w:val="72FA2A34"/>
    <w:rsid w:val="73552361"/>
    <w:rsid w:val="735C2385"/>
    <w:rsid w:val="73AE4ACE"/>
    <w:rsid w:val="742C2118"/>
    <w:rsid w:val="74827185"/>
    <w:rsid w:val="74E56769"/>
    <w:rsid w:val="74FD604F"/>
    <w:rsid w:val="750656E9"/>
    <w:rsid w:val="751918A4"/>
    <w:rsid w:val="758157B4"/>
    <w:rsid w:val="75BF3AC1"/>
    <w:rsid w:val="75C90A12"/>
    <w:rsid w:val="75CF63FA"/>
    <w:rsid w:val="760D5A92"/>
    <w:rsid w:val="76263573"/>
    <w:rsid w:val="766E211A"/>
    <w:rsid w:val="76B84B8D"/>
    <w:rsid w:val="77322C96"/>
    <w:rsid w:val="77A110AB"/>
    <w:rsid w:val="77AF3FD3"/>
    <w:rsid w:val="77BC4A5B"/>
    <w:rsid w:val="77C225AF"/>
    <w:rsid w:val="77D27E2C"/>
    <w:rsid w:val="77E36DBE"/>
    <w:rsid w:val="782D1E34"/>
    <w:rsid w:val="785E75C1"/>
    <w:rsid w:val="78733BD2"/>
    <w:rsid w:val="787A5301"/>
    <w:rsid w:val="78885F77"/>
    <w:rsid w:val="788B113A"/>
    <w:rsid w:val="78F71459"/>
    <w:rsid w:val="790E548B"/>
    <w:rsid w:val="791C7C17"/>
    <w:rsid w:val="79226634"/>
    <w:rsid w:val="795123AF"/>
    <w:rsid w:val="797D0DE9"/>
    <w:rsid w:val="79B26923"/>
    <w:rsid w:val="79B73810"/>
    <w:rsid w:val="79C8388C"/>
    <w:rsid w:val="79C90F17"/>
    <w:rsid w:val="7A0D5743"/>
    <w:rsid w:val="7A255CAA"/>
    <w:rsid w:val="7A766AE4"/>
    <w:rsid w:val="7A805F15"/>
    <w:rsid w:val="7A877987"/>
    <w:rsid w:val="7AD0650C"/>
    <w:rsid w:val="7ADF6F8E"/>
    <w:rsid w:val="7AE25FDC"/>
    <w:rsid w:val="7AF37592"/>
    <w:rsid w:val="7B023D27"/>
    <w:rsid w:val="7B0536A2"/>
    <w:rsid w:val="7B114DBF"/>
    <w:rsid w:val="7B28499C"/>
    <w:rsid w:val="7B3A497C"/>
    <w:rsid w:val="7B4A4EEB"/>
    <w:rsid w:val="7B5B7B27"/>
    <w:rsid w:val="7B8774BC"/>
    <w:rsid w:val="7B8B7F63"/>
    <w:rsid w:val="7BD269A4"/>
    <w:rsid w:val="7C0D26F0"/>
    <w:rsid w:val="7C211032"/>
    <w:rsid w:val="7C217284"/>
    <w:rsid w:val="7C3743CF"/>
    <w:rsid w:val="7C4C347A"/>
    <w:rsid w:val="7C4D67C4"/>
    <w:rsid w:val="7C5A64C9"/>
    <w:rsid w:val="7C5A65DC"/>
    <w:rsid w:val="7CAB4D9F"/>
    <w:rsid w:val="7D101C60"/>
    <w:rsid w:val="7D2C0F49"/>
    <w:rsid w:val="7D3354C1"/>
    <w:rsid w:val="7D7D15ED"/>
    <w:rsid w:val="7DBA7990"/>
    <w:rsid w:val="7DCC76C3"/>
    <w:rsid w:val="7E175432"/>
    <w:rsid w:val="7E462FD2"/>
    <w:rsid w:val="7E55414A"/>
    <w:rsid w:val="7E857F9E"/>
    <w:rsid w:val="7EB50157"/>
    <w:rsid w:val="7ED92098"/>
    <w:rsid w:val="7F100AEF"/>
    <w:rsid w:val="7F2D3C0D"/>
    <w:rsid w:val="7F2F22A8"/>
    <w:rsid w:val="7F505652"/>
    <w:rsid w:val="7F581C9D"/>
    <w:rsid w:val="7F9B7693"/>
    <w:rsid w:val="7FD702B7"/>
    <w:rsid w:val="7FED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75"/>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14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84"/>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24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35"/>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64"/>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227"/>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207"/>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96"/>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link w:val="154"/>
    <w:qFormat/>
    <w:uiPriority w:val="0"/>
    <w:pPr>
      <w:spacing w:line="360" w:lineRule="auto"/>
      <w:ind w:firstLine="200" w:firstLineChars="200"/>
    </w:pPr>
    <w:rPr>
      <w:rFonts w:ascii="宋体" w:hAnsi="宋体" w:eastAsia="仿宋_GB2312" w:cs="宋体"/>
      <w:sz w:val="28"/>
      <w:szCs w:val="24"/>
    </w:rPr>
  </w:style>
  <w:style w:type="paragraph" w:styleId="12">
    <w:name w:val="toc 7"/>
    <w:basedOn w:val="1"/>
    <w:next w:val="1"/>
    <w:qFormat/>
    <w:uiPriority w:val="39"/>
    <w:pPr>
      <w:ind w:left="1260"/>
      <w:jc w:val="left"/>
    </w:pPr>
    <w:rPr>
      <w:sz w:val="18"/>
      <w:szCs w:val="18"/>
    </w:rPr>
  </w:style>
  <w:style w:type="paragraph" w:styleId="13">
    <w:name w:val="Normal Indent"/>
    <w:basedOn w:val="1"/>
    <w:link w:val="249"/>
    <w:qFormat/>
    <w:uiPriority w:val="0"/>
    <w:pPr>
      <w:ind w:firstLine="420" w:firstLineChars="200"/>
    </w:pPr>
    <w:rPr>
      <w:rFonts w:ascii="宋体" w:hAnsi="宋体"/>
      <w:spacing w:val="14"/>
      <w:kern w:val="24"/>
      <w:sz w:val="24"/>
      <w:szCs w:val="24"/>
    </w:rPr>
  </w:style>
  <w:style w:type="paragraph" w:styleId="14">
    <w:name w:val="caption"/>
    <w:basedOn w:val="1"/>
    <w:next w:val="1"/>
    <w:link w:val="261"/>
    <w:qFormat/>
    <w:uiPriority w:val="0"/>
    <w:pPr>
      <w:spacing w:line="360" w:lineRule="auto"/>
    </w:pPr>
    <w:rPr>
      <w:rFonts w:ascii="Cambria" w:hAnsi="Cambria" w:eastAsia="黑体" w:cs="宋体"/>
      <w:sz w:val="20"/>
    </w:rPr>
  </w:style>
  <w:style w:type="paragraph" w:styleId="15">
    <w:name w:val="Document Map"/>
    <w:basedOn w:val="1"/>
    <w:link w:val="157"/>
    <w:qFormat/>
    <w:uiPriority w:val="0"/>
    <w:pPr>
      <w:shd w:val="clear" w:color="auto" w:fill="000080"/>
    </w:pPr>
  </w:style>
  <w:style w:type="paragraph" w:styleId="16">
    <w:name w:val="annotation text"/>
    <w:basedOn w:val="1"/>
    <w:link w:val="243"/>
    <w:qFormat/>
    <w:uiPriority w:val="0"/>
    <w:pPr>
      <w:jc w:val="left"/>
    </w:pPr>
    <w:rPr>
      <w:rFonts w:ascii="宋体" w:hAnsi="宋体"/>
      <w:szCs w:val="21"/>
    </w:rPr>
  </w:style>
  <w:style w:type="paragraph" w:styleId="17">
    <w:name w:val="Body Text 3"/>
    <w:basedOn w:val="1"/>
    <w:link w:val="94"/>
    <w:qFormat/>
    <w:uiPriority w:val="99"/>
    <w:pPr>
      <w:spacing w:after="120" w:line="360" w:lineRule="auto"/>
    </w:pPr>
    <w:rPr>
      <w:kern w:val="0"/>
      <w:sz w:val="16"/>
    </w:rPr>
  </w:style>
  <w:style w:type="paragraph" w:styleId="18">
    <w:name w:val="Body Text"/>
    <w:basedOn w:val="1"/>
    <w:next w:val="19"/>
    <w:link w:val="262"/>
    <w:qFormat/>
    <w:uiPriority w:val="99"/>
    <w:rPr>
      <w:rFonts w:ascii="宋体" w:hAnsi="宋体"/>
      <w:kern w:val="0"/>
      <w:sz w:val="20"/>
    </w:rPr>
  </w:style>
  <w:style w:type="paragraph" w:styleId="19">
    <w:name w:val="Body Text First Indent"/>
    <w:basedOn w:val="18"/>
    <w:next w:val="1"/>
    <w:link w:val="121"/>
    <w:qFormat/>
    <w:uiPriority w:val="99"/>
    <w:pPr>
      <w:spacing w:after="120"/>
      <w:ind w:firstLine="420" w:firstLineChars="100"/>
    </w:pPr>
    <w:rPr>
      <w:i/>
      <w:kern w:val="2"/>
      <w:sz w:val="24"/>
    </w:rPr>
  </w:style>
  <w:style w:type="paragraph" w:styleId="20">
    <w:name w:val="Body Text Indent"/>
    <w:basedOn w:val="1"/>
    <w:link w:val="173"/>
    <w:qFormat/>
    <w:uiPriority w:val="0"/>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link w:val="190"/>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1"/>
    <w:qFormat/>
    <w:uiPriority w:val="0"/>
    <w:pPr>
      <w:adjustRightInd w:val="0"/>
      <w:spacing w:line="312" w:lineRule="atLeast"/>
      <w:jc w:val="right"/>
      <w:textAlignment w:val="baseline"/>
    </w:pPr>
    <w:rPr>
      <w:rFonts w:ascii="宋体"/>
      <w:kern w:val="0"/>
      <w:sz w:val="24"/>
    </w:rPr>
  </w:style>
  <w:style w:type="paragraph" w:styleId="27">
    <w:name w:val="Body Text Indent 2"/>
    <w:basedOn w:val="1"/>
    <w:link w:val="191"/>
    <w:qFormat/>
    <w:uiPriority w:val="99"/>
    <w:pPr>
      <w:spacing w:line="380" w:lineRule="exact"/>
      <w:ind w:left="840" w:hanging="45"/>
    </w:pPr>
    <w:rPr>
      <w:rFonts w:ascii="宋体"/>
      <w:sz w:val="24"/>
    </w:rPr>
  </w:style>
  <w:style w:type="paragraph" w:styleId="28">
    <w:name w:val="Balloon Text"/>
    <w:basedOn w:val="1"/>
    <w:link w:val="72"/>
    <w:qFormat/>
    <w:uiPriority w:val="0"/>
    <w:rPr>
      <w:rFonts w:ascii="宋体" w:hAnsi="宋体"/>
      <w:sz w:val="18"/>
      <w:szCs w:val="18"/>
    </w:rPr>
  </w:style>
  <w:style w:type="paragraph" w:styleId="29">
    <w:name w:val="footer"/>
    <w:basedOn w:val="1"/>
    <w:link w:val="168"/>
    <w:qFormat/>
    <w:uiPriority w:val="99"/>
    <w:pPr>
      <w:tabs>
        <w:tab w:val="center" w:pos="4153"/>
        <w:tab w:val="right" w:pos="8306"/>
      </w:tabs>
      <w:snapToGrid w:val="0"/>
      <w:jc w:val="left"/>
    </w:pPr>
    <w:rPr>
      <w:rFonts w:ascii="宋体" w:hAnsi="宋体"/>
      <w:sz w:val="18"/>
      <w:szCs w:val="18"/>
    </w:rPr>
  </w:style>
  <w:style w:type="paragraph" w:styleId="30">
    <w:name w:val="header"/>
    <w:basedOn w:val="1"/>
    <w:link w:val="16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Subtitle"/>
    <w:basedOn w:val="1"/>
    <w:link w:val="180"/>
    <w:qFormat/>
    <w:uiPriority w:val="0"/>
    <w:pPr>
      <w:spacing w:before="240" w:after="60" w:line="312" w:lineRule="auto"/>
      <w:jc w:val="center"/>
      <w:outlineLvl w:val="1"/>
    </w:pPr>
    <w:rPr>
      <w:rFonts w:ascii="Arial" w:hAnsi="Arial" w:eastAsia="仿宋_GB2312" w:cs="宋体"/>
      <w:bCs/>
      <w:kern w:val="28"/>
      <w:sz w:val="28"/>
      <w:szCs w:val="32"/>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5"/>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2"/>
    <w:basedOn w:val="1"/>
    <w:next w:val="1"/>
    <w:qFormat/>
    <w:uiPriority w:val="39"/>
    <w:pPr>
      <w:ind w:left="210"/>
      <w:jc w:val="left"/>
    </w:pPr>
    <w:rPr>
      <w:smallCaps/>
      <w:sz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74"/>
    <w:qFormat/>
    <w:uiPriority w:val="99"/>
    <w:pPr>
      <w:spacing w:after="120" w:line="480" w:lineRule="auto"/>
    </w:pPr>
    <w:rPr>
      <w:kern w:val="0"/>
      <w:sz w:val="24"/>
    </w:rPr>
  </w:style>
  <w:style w:type="paragraph" w:styleId="41">
    <w:name w:val="HTML Preformatted"/>
    <w:basedOn w:val="1"/>
    <w:link w:val="179"/>
    <w:qFormat/>
    <w:uiPriority w:val="99"/>
    <w:rPr>
      <w:rFonts w:ascii="Courier New" w:hAnsi="Courier New"/>
      <w:sz w:val="20"/>
    </w:rPr>
  </w:style>
  <w:style w:type="paragraph" w:styleId="42">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semiHidden/>
    <w:qFormat/>
    <w:uiPriority w:val="99"/>
  </w:style>
  <w:style w:type="paragraph" w:styleId="44">
    <w:name w:val="Title"/>
    <w:basedOn w:val="1"/>
    <w:link w:val="225"/>
    <w:qFormat/>
    <w:uiPriority w:val="0"/>
    <w:pPr>
      <w:spacing w:before="240" w:after="60" w:line="360" w:lineRule="auto"/>
      <w:jc w:val="center"/>
      <w:outlineLvl w:val="0"/>
    </w:pPr>
    <w:rPr>
      <w:rFonts w:ascii="Arial" w:hAnsi="Arial" w:eastAsia="仿宋_GB2312" w:cs="宋体"/>
      <w:b/>
      <w:bCs/>
      <w:sz w:val="36"/>
      <w:szCs w:val="32"/>
    </w:rPr>
  </w:style>
  <w:style w:type="paragraph" w:styleId="45">
    <w:name w:val="annotation subject"/>
    <w:basedOn w:val="16"/>
    <w:next w:val="16"/>
    <w:link w:val="64"/>
    <w:qFormat/>
    <w:uiPriority w:val="0"/>
    <w:rPr>
      <w:b/>
    </w:rPr>
  </w:style>
  <w:style w:type="paragraph" w:styleId="46">
    <w:name w:val="Body Text First Indent 2"/>
    <w:basedOn w:val="20"/>
    <w:link w:val="231"/>
    <w:qFormat/>
    <w:uiPriority w:val="0"/>
    <w:pPr>
      <w:widowControl/>
      <w:tabs>
        <w:tab w:val="left" w:pos="0"/>
        <w:tab w:val="left" w:pos="1260"/>
        <w:tab w:val="left" w:pos="1365"/>
      </w:tabs>
      <w:ind w:left="200" w:firstLine="200" w:firstLineChars="200"/>
      <w:jc w:val="left"/>
    </w:pPr>
    <w:rPr>
      <w:kern w:val="0"/>
      <w:sz w:val="20"/>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rPr>
  </w:style>
  <w:style w:type="character" w:styleId="51">
    <w:name w:val="page number"/>
    <w:qFormat/>
    <w:uiPriority w:val="0"/>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Definition"/>
    <w:qFormat/>
    <w:uiPriority w:val="0"/>
    <w:rPr>
      <w:i/>
    </w:rPr>
  </w:style>
  <w:style w:type="character" w:styleId="55">
    <w:name w:val="HTML Typewriter"/>
    <w:qFormat/>
    <w:uiPriority w:val="99"/>
    <w:rPr>
      <w:rFonts w:ascii="Courier New" w:hAnsi="Courier New"/>
      <w:sz w:val="20"/>
    </w:rPr>
  </w:style>
  <w:style w:type="character" w:styleId="56">
    <w:name w:val="Hyperlink"/>
    <w:qFormat/>
    <w:uiPriority w:val="99"/>
    <w:rPr>
      <w:color w:val="0000FF"/>
      <w:u w:val="single"/>
    </w:rPr>
  </w:style>
  <w:style w:type="character" w:styleId="57">
    <w:name w:val="HTML Code"/>
    <w:qFormat/>
    <w:uiPriority w:val="0"/>
    <w:rPr>
      <w:rFonts w:hint="default" w:ascii="Consolas" w:hAnsi="Consolas" w:eastAsia="Consolas" w:cs="Consolas"/>
      <w:color w:val="C7254E"/>
      <w:sz w:val="21"/>
      <w:szCs w:val="21"/>
      <w:shd w:val="clear" w:color="auto" w:fill="F9F2F4"/>
    </w:rPr>
  </w:style>
  <w:style w:type="character" w:styleId="58">
    <w:name w:val="annotation reference"/>
    <w:qFormat/>
    <w:uiPriority w:val="0"/>
    <w:rPr>
      <w:sz w:val="21"/>
    </w:rPr>
  </w:style>
  <w:style w:type="character" w:styleId="59">
    <w:name w:val="HTML Keyboard"/>
    <w:qFormat/>
    <w:uiPriority w:val="0"/>
    <w:rPr>
      <w:rFonts w:hint="default" w:ascii="Consolas" w:hAnsi="Consolas" w:eastAsia="Consolas" w:cs="Consolas"/>
      <w:color w:val="FFFFFF"/>
      <w:sz w:val="21"/>
      <w:szCs w:val="21"/>
      <w:shd w:val="clear" w:color="auto" w:fill="333333"/>
    </w:rPr>
  </w:style>
  <w:style w:type="character" w:styleId="60">
    <w:name w:val="HTML Sample"/>
    <w:qFormat/>
    <w:uiPriority w:val="0"/>
    <w:rPr>
      <w:rFonts w:ascii="Consolas" w:hAnsi="Consolas" w:eastAsia="Consolas" w:cs="Consolas"/>
      <w:sz w:val="21"/>
      <w:szCs w:val="21"/>
    </w:rPr>
  </w:style>
  <w:style w:type="character" w:customStyle="1" w:styleId="61">
    <w:name w:val="标题 1 Char Char"/>
    <w:qFormat/>
    <w:uiPriority w:val="0"/>
    <w:rPr>
      <w:rFonts w:eastAsia="宋体"/>
      <w:b/>
      <w:spacing w:val="-2"/>
      <w:sz w:val="24"/>
      <w:lang w:val="en-US" w:eastAsia="zh-CN"/>
    </w:rPr>
  </w:style>
  <w:style w:type="character" w:customStyle="1" w:styleId="62">
    <w:name w:val="正文文本 字符"/>
    <w:qFormat/>
    <w:locked/>
    <w:uiPriority w:val="99"/>
    <w:rPr>
      <w:rFonts w:ascii="宋体" w:hAnsi="宋体" w:eastAsia="宋体" w:cs="宋体"/>
      <w:lang w:val="en-US" w:eastAsia="zh-CN"/>
    </w:rPr>
  </w:style>
  <w:style w:type="character" w:customStyle="1" w:styleId="63">
    <w:name w:val="正文文本缩进 字符3"/>
    <w:qFormat/>
    <w:locked/>
    <w:uiPriority w:val="99"/>
    <w:rPr>
      <w:rFonts w:eastAsia="方正书宋简体"/>
      <w:kern w:val="2"/>
      <w:sz w:val="24"/>
      <w:lang w:val="en-US" w:eastAsia="zh-CN"/>
    </w:rPr>
  </w:style>
  <w:style w:type="character" w:customStyle="1" w:styleId="64">
    <w:name w:val="批注主题 Char2"/>
    <w:link w:val="45"/>
    <w:qFormat/>
    <w:locked/>
    <w:uiPriority w:val="99"/>
    <w:rPr>
      <w:rFonts w:ascii="宋体" w:hAnsi="宋体" w:eastAsia="宋体" w:cs="宋体"/>
      <w:b/>
      <w:kern w:val="2"/>
      <w:sz w:val="21"/>
      <w:szCs w:val="21"/>
      <w:lang w:val="en-US" w:eastAsia="zh-CN"/>
    </w:rPr>
  </w:style>
  <w:style w:type="character" w:customStyle="1" w:styleId="65">
    <w:name w:val="样式5 Char"/>
    <w:link w:val="66"/>
    <w:qFormat/>
    <w:locked/>
    <w:uiPriority w:val="0"/>
    <w:rPr>
      <w:rFonts w:eastAsia="宋体"/>
      <w:b/>
      <w:kern w:val="2"/>
      <w:sz w:val="28"/>
      <w:lang w:val="en-US" w:eastAsia="zh-CN"/>
    </w:rPr>
  </w:style>
  <w:style w:type="paragraph" w:customStyle="1" w:styleId="66">
    <w:name w:val="样式5"/>
    <w:basedOn w:val="1"/>
    <w:link w:val="65"/>
    <w:qFormat/>
    <w:uiPriority w:val="0"/>
    <w:pPr>
      <w:keepNext/>
      <w:keepLines/>
      <w:spacing w:before="280" w:after="290" w:line="376" w:lineRule="auto"/>
      <w:ind w:left="210" w:leftChars="100" w:right="210" w:rightChars="100"/>
      <w:outlineLvl w:val="4"/>
    </w:pPr>
    <w:rPr>
      <w:b/>
      <w:sz w:val="28"/>
    </w:rPr>
  </w:style>
  <w:style w:type="character" w:customStyle="1" w:styleId="67">
    <w:name w:val="自定正文 Char"/>
    <w:link w:val="68"/>
    <w:qFormat/>
    <w:uiPriority w:val="0"/>
    <w:rPr>
      <w:sz w:val="24"/>
      <w:szCs w:val="28"/>
      <w:lang w:bidi="en-US"/>
    </w:rPr>
  </w:style>
  <w:style w:type="paragraph" w:customStyle="1" w:styleId="68">
    <w:name w:val="自定正文"/>
    <w:basedOn w:val="1"/>
    <w:link w:val="67"/>
    <w:qFormat/>
    <w:uiPriority w:val="0"/>
    <w:pPr>
      <w:widowControl/>
      <w:spacing w:line="360" w:lineRule="auto"/>
      <w:ind w:firstLine="200" w:firstLineChars="200"/>
    </w:pPr>
    <w:rPr>
      <w:kern w:val="0"/>
      <w:sz w:val="24"/>
      <w:szCs w:val="28"/>
      <w:lang w:bidi="en-US"/>
    </w:rPr>
  </w:style>
  <w:style w:type="character" w:customStyle="1" w:styleId="69">
    <w:name w:val="样式2 Char"/>
    <w:link w:val="70"/>
    <w:qFormat/>
    <w:locked/>
    <w:uiPriority w:val="0"/>
    <w:rPr>
      <w:rFonts w:ascii="黑体" w:hAnsi="黑体" w:eastAsia="黑体"/>
      <w:color w:val="FF0000"/>
      <w:kern w:val="2"/>
      <w:sz w:val="32"/>
      <w:lang w:val="en-US" w:eastAsia="zh-CN"/>
    </w:rPr>
  </w:style>
  <w:style w:type="paragraph" w:customStyle="1" w:styleId="70">
    <w:name w:val="样式2"/>
    <w:basedOn w:val="5"/>
    <w:link w:val="69"/>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71">
    <w:name w:val="font11"/>
    <w:qFormat/>
    <w:uiPriority w:val="0"/>
    <w:rPr>
      <w:rFonts w:ascii="Times New Roman" w:hAnsi="Times New Roman"/>
      <w:color w:val="000000"/>
      <w:sz w:val="24"/>
      <w:u w:val="none"/>
    </w:rPr>
  </w:style>
  <w:style w:type="character" w:customStyle="1" w:styleId="72">
    <w:name w:val="批注框文本 Char2"/>
    <w:link w:val="28"/>
    <w:qFormat/>
    <w:locked/>
    <w:uiPriority w:val="99"/>
    <w:rPr>
      <w:rFonts w:ascii="宋体" w:hAnsi="宋体" w:eastAsia="宋体" w:cs="宋体"/>
      <w:kern w:val="2"/>
      <w:sz w:val="18"/>
      <w:szCs w:val="18"/>
      <w:lang w:val="en-US" w:eastAsia="zh-CN"/>
    </w:rPr>
  </w:style>
  <w:style w:type="character" w:customStyle="1" w:styleId="73">
    <w:name w:val="页眉 Char1"/>
    <w:qFormat/>
    <w:locked/>
    <w:uiPriority w:val="99"/>
    <w:rPr>
      <w:rFonts w:ascii="宋体" w:hAnsi="宋体" w:eastAsia="宋体" w:cs="宋体"/>
      <w:kern w:val="2"/>
      <w:sz w:val="18"/>
      <w:szCs w:val="18"/>
      <w:lang w:val="en-US" w:eastAsia="zh-CN"/>
    </w:rPr>
  </w:style>
  <w:style w:type="character" w:customStyle="1" w:styleId="74">
    <w:name w:val="正文文本 2 Char1"/>
    <w:link w:val="40"/>
    <w:qFormat/>
    <w:locked/>
    <w:uiPriority w:val="99"/>
    <w:rPr>
      <w:rFonts w:eastAsia="宋体"/>
      <w:sz w:val="24"/>
    </w:rPr>
  </w:style>
  <w:style w:type="character" w:customStyle="1" w:styleId="75">
    <w:name w:val="font81"/>
    <w:qFormat/>
    <w:uiPriority w:val="0"/>
    <w:rPr>
      <w:rFonts w:hint="eastAsia" w:ascii="宋体" w:hAnsi="宋体" w:eastAsia="宋体" w:cs="宋体"/>
      <w:color w:val="000000"/>
      <w:sz w:val="16"/>
      <w:szCs w:val="16"/>
      <w:u w:val="none"/>
    </w:rPr>
  </w:style>
  <w:style w:type="character" w:customStyle="1" w:styleId="76">
    <w:name w:val="标题 1 Char1"/>
    <w:qFormat/>
    <w:locked/>
    <w:uiPriority w:val="9"/>
    <w:rPr>
      <w:rFonts w:ascii="宋体" w:hAnsi="宋体" w:eastAsia="宋体" w:cs="宋体"/>
      <w:b/>
      <w:kern w:val="44"/>
      <w:sz w:val="44"/>
      <w:szCs w:val="44"/>
      <w:lang w:val="en-US" w:eastAsia="zh-CN"/>
    </w:rPr>
  </w:style>
  <w:style w:type="character" w:customStyle="1" w:styleId="77">
    <w:name w:val="select2-selection__rendered"/>
    <w:qFormat/>
    <w:uiPriority w:val="0"/>
    <w:rPr>
      <w:sz w:val="18"/>
      <w:szCs w:val="18"/>
    </w:rPr>
  </w:style>
  <w:style w:type="character" w:customStyle="1" w:styleId="78">
    <w:name w:val="未处理的提及3"/>
    <w:unhideWhenUsed/>
    <w:qFormat/>
    <w:uiPriority w:val="99"/>
    <w:rPr>
      <w:color w:val="808080"/>
      <w:shd w:val="clear" w:color="auto" w:fill="E6E6E6"/>
    </w:rPr>
  </w:style>
  <w:style w:type="character" w:customStyle="1" w:styleId="79">
    <w:name w:val="页眉 字符1"/>
    <w:semiHidden/>
    <w:qFormat/>
    <w:uiPriority w:val="99"/>
    <w:rPr>
      <w:kern w:val="2"/>
      <w:sz w:val="18"/>
      <w:szCs w:val="18"/>
    </w:rPr>
  </w:style>
  <w:style w:type="character" w:customStyle="1" w:styleId="80">
    <w:name w:val="批注主题 Char1"/>
    <w:qFormat/>
    <w:locked/>
    <w:uiPriority w:val="99"/>
    <w:rPr>
      <w:rFonts w:ascii="宋体" w:hAnsi="宋体" w:eastAsia="宋体" w:cs="宋体"/>
      <w:b/>
      <w:kern w:val="2"/>
      <w:sz w:val="21"/>
      <w:szCs w:val="21"/>
      <w:lang w:val="en-US" w:eastAsia="zh-CN"/>
    </w:rPr>
  </w:style>
  <w:style w:type="character" w:customStyle="1" w:styleId="81">
    <w:name w:val="标题 1 字符"/>
    <w:qFormat/>
    <w:locked/>
    <w:uiPriority w:val="0"/>
    <w:rPr>
      <w:rFonts w:ascii="宋体" w:hAnsi="宋体" w:eastAsia="宋体" w:cs="宋体"/>
      <w:b/>
      <w:kern w:val="44"/>
      <w:sz w:val="44"/>
      <w:szCs w:val="44"/>
      <w:lang w:val="en-US" w:eastAsia="zh-CN"/>
    </w:rPr>
  </w:style>
  <w:style w:type="character" w:customStyle="1" w:styleId="82">
    <w:name w:val="无间距字符"/>
    <w:link w:val="83"/>
    <w:qFormat/>
    <w:locked/>
    <w:uiPriority w:val="0"/>
    <w:rPr>
      <w:sz w:val="22"/>
      <w:lang w:val="en-US" w:eastAsia="zh-CN" w:bidi="ar-SA"/>
    </w:rPr>
  </w:style>
  <w:style w:type="paragraph" w:customStyle="1" w:styleId="83">
    <w:name w:val="无间距"/>
    <w:link w:val="82"/>
    <w:qFormat/>
    <w:uiPriority w:val="0"/>
    <w:rPr>
      <w:rFonts w:ascii="Calibri" w:hAnsi="Calibri" w:eastAsia="宋体" w:cs="Times New Roman"/>
      <w:sz w:val="22"/>
      <w:lang w:val="en-US" w:eastAsia="zh-CN" w:bidi="ar-SA"/>
    </w:rPr>
  </w:style>
  <w:style w:type="character" w:customStyle="1" w:styleId="84">
    <w:name w:val="标题 3 Char2"/>
    <w:link w:val="5"/>
    <w:qFormat/>
    <w:locked/>
    <w:uiPriority w:val="9"/>
    <w:rPr>
      <w:rFonts w:ascii="宋体" w:hAnsi="宋体" w:eastAsia="宋体" w:cs="宋体"/>
      <w:b/>
      <w:kern w:val="2"/>
      <w:sz w:val="32"/>
      <w:szCs w:val="32"/>
      <w:lang w:val="en-US" w:eastAsia="zh-CN"/>
    </w:rPr>
  </w:style>
  <w:style w:type="character" w:customStyle="1" w:styleId="85">
    <w:name w:val="纯文本 Char Char"/>
    <w:link w:val="86"/>
    <w:qFormat/>
    <w:uiPriority w:val="0"/>
    <w:rPr>
      <w:rFonts w:ascii="宋体" w:hAnsi="Courier New"/>
      <w:kern w:val="2"/>
      <w:sz w:val="21"/>
    </w:rPr>
  </w:style>
  <w:style w:type="paragraph" w:customStyle="1" w:styleId="86">
    <w:name w:val="纯文本1"/>
    <w:basedOn w:val="1"/>
    <w:link w:val="85"/>
    <w:qFormat/>
    <w:uiPriority w:val="0"/>
    <w:rPr>
      <w:rFonts w:ascii="宋体" w:hAnsi="Courier New"/>
    </w:rPr>
  </w:style>
  <w:style w:type="character" w:customStyle="1" w:styleId="87">
    <w:name w:val="标题 3 Char"/>
    <w:qFormat/>
    <w:uiPriority w:val="9"/>
    <w:rPr>
      <w:rFonts w:ascii="Arial" w:hAnsi="Arial" w:eastAsia="黑体"/>
      <w:b/>
      <w:kern w:val="2"/>
      <w:sz w:val="32"/>
      <w:lang w:val="en-US" w:eastAsia="zh-CN"/>
    </w:rPr>
  </w:style>
  <w:style w:type="character" w:customStyle="1" w:styleId="88">
    <w:name w:val="文档结构图 Char"/>
    <w:qFormat/>
    <w:locked/>
    <w:uiPriority w:val="0"/>
    <w:rPr>
      <w:rFonts w:eastAsia="宋体"/>
      <w:kern w:val="2"/>
      <w:sz w:val="21"/>
      <w:lang w:val="en-US" w:eastAsia="zh-CN"/>
    </w:rPr>
  </w:style>
  <w:style w:type="character" w:customStyle="1" w:styleId="89">
    <w:name w:val="正文缩进 Char1"/>
    <w:qFormat/>
    <w:locked/>
    <w:uiPriority w:val="0"/>
    <w:rPr>
      <w:rFonts w:ascii="宋体" w:hAnsi="宋体" w:eastAsia="宋体" w:cs="宋体"/>
      <w:spacing w:val="14"/>
      <w:kern w:val="24"/>
      <w:sz w:val="24"/>
      <w:szCs w:val="24"/>
      <w:lang w:val="en-US" w:eastAsia="zh-CN"/>
    </w:rPr>
  </w:style>
  <w:style w:type="character" w:customStyle="1" w:styleId="90">
    <w:name w:val="页眉 Char"/>
    <w:qFormat/>
    <w:uiPriority w:val="99"/>
    <w:rPr>
      <w:rFonts w:eastAsia="宋体"/>
      <w:kern w:val="2"/>
      <w:sz w:val="18"/>
      <w:lang w:val="en-US" w:eastAsia="zh-CN"/>
    </w:rPr>
  </w:style>
  <w:style w:type="character" w:customStyle="1" w:styleId="91">
    <w:name w:val="Notes Text in Table Char"/>
    <w:link w:val="92"/>
    <w:qFormat/>
    <w:uiPriority w:val="0"/>
    <w:rPr>
      <w:rFonts w:ascii="Arial" w:hAnsi="Arial" w:eastAsia="华文楷体" w:cs="Arial"/>
      <w:sz w:val="18"/>
      <w:szCs w:val="18"/>
    </w:rPr>
  </w:style>
  <w:style w:type="paragraph" w:customStyle="1" w:styleId="92">
    <w:name w:val="Notes Text in Table"/>
    <w:link w:val="91"/>
    <w:qFormat/>
    <w:uiPriority w:val="0"/>
    <w:pPr>
      <w:keepLines/>
      <w:spacing w:before="80" w:after="80"/>
    </w:pPr>
    <w:rPr>
      <w:rFonts w:ascii="Arial" w:hAnsi="Arial" w:eastAsia="华文楷体" w:cs="Arial"/>
      <w:sz w:val="18"/>
      <w:szCs w:val="18"/>
      <w:lang w:val="en-US" w:eastAsia="zh-CN" w:bidi="ar-SA"/>
    </w:rPr>
  </w:style>
  <w:style w:type="character" w:customStyle="1" w:styleId="93">
    <w:name w:val="font91"/>
    <w:qFormat/>
    <w:uiPriority w:val="0"/>
    <w:rPr>
      <w:rFonts w:hint="eastAsia" w:ascii="宋体" w:hAnsi="宋体" w:eastAsia="宋体" w:cs="宋体"/>
      <w:color w:val="FF0000"/>
      <w:sz w:val="20"/>
      <w:szCs w:val="20"/>
      <w:u w:val="none"/>
    </w:rPr>
  </w:style>
  <w:style w:type="character" w:customStyle="1" w:styleId="94">
    <w:name w:val="正文文本 3 Char1"/>
    <w:link w:val="17"/>
    <w:qFormat/>
    <w:locked/>
    <w:uiPriority w:val="99"/>
    <w:rPr>
      <w:rFonts w:eastAsia="宋体"/>
      <w:sz w:val="16"/>
    </w:rPr>
  </w:style>
  <w:style w:type="character" w:customStyle="1" w:styleId="95">
    <w:name w:val="Notes Text Char Char"/>
    <w:link w:val="96"/>
    <w:qFormat/>
    <w:uiPriority w:val="0"/>
    <w:rPr>
      <w:rFonts w:ascii="Arial" w:hAnsi="Arial" w:eastAsia="华文楷体" w:cs="Arial"/>
      <w:sz w:val="21"/>
      <w:lang w:eastAsia="en-US"/>
    </w:rPr>
  </w:style>
  <w:style w:type="paragraph" w:customStyle="1" w:styleId="96">
    <w:name w:val="Notes Text"/>
    <w:link w:val="95"/>
    <w:qFormat/>
    <w:uiPriority w:val="0"/>
    <w:pPr>
      <w:keepNext/>
      <w:spacing w:before="40" w:after="40"/>
    </w:pPr>
    <w:rPr>
      <w:rFonts w:ascii="Arial" w:hAnsi="Arial" w:eastAsia="华文楷体" w:cs="Arial"/>
      <w:sz w:val="21"/>
      <w:lang w:val="en-US" w:eastAsia="en-US" w:bidi="ar-SA"/>
    </w:rPr>
  </w:style>
  <w:style w:type="character" w:customStyle="1" w:styleId="97">
    <w:name w:val="font71"/>
    <w:qFormat/>
    <w:uiPriority w:val="0"/>
    <w:rPr>
      <w:rFonts w:hint="eastAsia" w:ascii="宋体" w:hAnsi="宋体" w:eastAsia="宋体" w:cs="宋体"/>
      <w:color w:val="000000"/>
      <w:sz w:val="20"/>
      <w:szCs w:val="20"/>
      <w:u w:val="none"/>
    </w:rPr>
  </w:style>
  <w:style w:type="character" w:customStyle="1" w:styleId="98">
    <w:name w:val="批注框文本 字符"/>
    <w:qFormat/>
    <w:locked/>
    <w:uiPriority w:val="0"/>
    <w:rPr>
      <w:rFonts w:ascii="宋体" w:hAnsi="宋体" w:eastAsia="宋体" w:cs="宋体"/>
      <w:kern w:val="2"/>
      <w:sz w:val="18"/>
      <w:szCs w:val="18"/>
      <w:lang w:val="en-US" w:eastAsia="zh-CN"/>
    </w:rPr>
  </w:style>
  <w:style w:type="character" w:customStyle="1" w:styleId="99">
    <w:name w:val="正文文本 2 字符"/>
    <w:qFormat/>
    <w:locked/>
    <w:uiPriority w:val="99"/>
    <w:rPr>
      <w:rFonts w:eastAsia="宋体"/>
      <w:sz w:val="24"/>
    </w:rPr>
  </w:style>
  <w:style w:type="character" w:customStyle="1" w:styleId="100">
    <w:name w:val="font21"/>
    <w:qFormat/>
    <w:uiPriority w:val="0"/>
    <w:rPr>
      <w:rFonts w:hint="eastAsia" w:ascii="宋体" w:hAnsi="宋体" w:eastAsia="宋体" w:cs="宋体"/>
      <w:color w:val="000000"/>
      <w:sz w:val="18"/>
      <w:szCs w:val="18"/>
      <w:u w:val="none"/>
    </w:rPr>
  </w:style>
  <w:style w:type="character" w:customStyle="1" w:styleId="101">
    <w:name w:val="纯文本 字符"/>
    <w:qFormat/>
    <w:locked/>
    <w:uiPriority w:val="0"/>
    <w:rPr>
      <w:rFonts w:ascii="宋体" w:hAnsi="Courier New" w:eastAsia="宋体" w:cs="宋体"/>
      <w:lang w:val="en-US" w:eastAsia="zh-CN"/>
    </w:rPr>
  </w:style>
  <w:style w:type="character" w:customStyle="1" w:styleId="102">
    <w:name w:val="正文首行缩进 字符"/>
    <w:qFormat/>
    <w:locked/>
    <w:uiPriority w:val="99"/>
    <w:rPr>
      <w:rFonts w:ascii="宋体" w:hAnsi="宋体" w:eastAsia="宋体" w:cs="宋体"/>
      <w:i/>
      <w:kern w:val="2"/>
      <w:sz w:val="24"/>
      <w:lang w:val="en-US" w:eastAsia="zh-CN"/>
    </w:rPr>
  </w:style>
  <w:style w:type="character" w:customStyle="1" w:styleId="103">
    <w:name w:val="List Paragraph Char"/>
    <w:link w:val="104"/>
    <w:qFormat/>
    <w:locked/>
    <w:uiPriority w:val="0"/>
    <w:rPr>
      <w:rFonts w:ascii="Calibri" w:hAnsi="Calibri" w:eastAsia="宋体"/>
      <w:kern w:val="2"/>
      <w:sz w:val="22"/>
      <w:lang w:val="en-US" w:eastAsia="zh-CN"/>
    </w:rPr>
  </w:style>
  <w:style w:type="paragraph" w:customStyle="1" w:styleId="104">
    <w:name w:val="列出段落1"/>
    <w:basedOn w:val="1"/>
    <w:link w:val="103"/>
    <w:qFormat/>
    <w:uiPriority w:val="34"/>
    <w:pPr>
      <w:ind w:firstLine="420" w:firstLineChars="200"/>
    </w:pPr>
    <w:rPr>
      <w:sz w:val="22"/>
    </w:rPr>
  </w:style>
  <w:style w:type="character" w:customStyle="1" w:styleId="105">
    <w:name w:val="正文首行缩进 Char1"/>
    <w:qFormat/>
    <w:uiPriority w:val="0"/>
    <w:rPr>
      <w:rFonts w:eastAsia="仿宋_GB2312"/>
      <w:kern w:val="2"/>
      <w:sz w:val="28"/>
      <w:szCs w:val="24"/>
    </w:rPr>
  </w:style>
  <w:style w:type="character" w:customStyle="1" w:styleId="106">
    <w:name w:val="未处理的提及5"/>
    <w:unhideWhenUsed/>
    <w:qFormat/>
    <w:uiPriority w:val="99"/>
    <w:rPr>
      <w:color w:val="605E5C"/>
      <w:shd w:val="clear" w:color="auto" w:fill="E1DFDD"/>
    </w:rPr>
  </w:style>
  <w:style w:type="character" w:customStyle="1" w:styleId="107">
    <w:name w:val="批注文字 Char"/>
    <w:qFormat/>
    <w:locked/>
    <w:uiPriority w:val="99"/>
    <w:rPr>
      <w:rFonts w:cs="Times New Roman"/>
      <w:kern w:val="2"/>
      <w:sz w:val="21"/>
    </w:rPr>
  </w:style>
  <w:style w:type="character" w:customStyle="1" w:styleId="108">
    <w:name w:val="正文文本 字符1"/>
    <w:semiHidden/>
    <w:qFormat/>
    <w:uiPriority w:val="99"/>
    <w:rPr>
      <w:kern w:val="2"/>
      <w:sz w:val="21"/>
    </w:rPr>
  </w:style>
  <w:style w:type="character" w:customStyle="1" w:styleId="109">
    <w:name w:val="eop"/>
    <w:qFormat/>
    <w:uiPriority w:val="0"/>
  </w:style>
  <w:style w:type="character" w:customStyle="1" w:styleId="110">
    <w:name w:val="a 正文 Char"/>
    <w:link w:val="111"/>
    <w:qFormat/>
    <w:uiPriority w:val="0"/>
    <w:rPr>
      <w:rFonts w:ascii="宋体" w:hAnsi="宋体" w:eastAsia="仿宋_GB2312" w:cs="宋体"/>
      <w:kern w:val="2"/>
      <w:sz w:val="28"/>
      <w:szCs w:val="24"/>
    </w:rPr>
  </w:style>
  <w:style w:type="paragraph" w:customStyle="1" w:styleId="111">
    <w:name w:val="a 正文"/>
    <w:basedOn w:val="1"/>
    <w:link w:val="110"/>
    <w:qFormat/>
    <w:uiPriority w:val="0"/>
    <w:pPr>
      <w:spacing w:line="360" w:lineRule="auto"/>
      <w:ind w:firstLine="480" w:firstLineChars="200"/>
    </w:pPr>
    <w:rPr>
      <w:rFonts w:ascii="宋体" w:hAnsi="宋体" w:eastAsia="仿宋_GB2312" w:cs="宋体"/>
      <w:sz w:val="28"/>
      <w:szCs w:val="24"/>
    </w:rPr>
  </w:style>
  <w:style w:type="character" w:customStyle="1" w:styleId="112">
    <w:name w:val="正文文本缩进 2 字符"/>
    <w:qFormat/>
    <w:locked/>
    <w:uiPriority w:val="99"/>
    <w:rPr>
      <w:rFonts w:ascii="宋体" w:eastAsia="宋体"/>
      <w:kern w:val="2"/>
      <w:sz w:val="24"/>
      <w:lang w:val="en-US" w:eastAsia="zh-CN"/>
    </w:rPr>
  </w:style>
  <w:style w:type="character" w:customStyle="1" w:styleId="113">
    <w:name w:val="正文文本缩进 Char"/>
    <w:qFormat/>
    <w:locked/>
    <w:uiPriority w:val="0"/>
    <w:rPr>
      <w:rFonts w:eastAsia="方正书宋简体"/>
      <w:kern w:val="2"/>
      <w:sz w:val="24"/>
      <w:lang w:val="en-US" w:eastAsia="zh-CN"/>
    </w:rPr>
  </w:style>
  <w:style w:type="character" w:customStyle="1" w:styleId="114">
    <w:name w:val="apple-converted-space"/>
    <w:qFormat/>
    <w:uiPriority w:val="0"/>
    <w:rPr>
      <w:rFonts w:cs="Times New Roman"/>
    </w:rPr>
  </w:style>
  <w:style w:type="character" w:customStyle="1" w:styleId="115">
    <w:name w:val="Item List Char Char"/>
    <w:link w:val="116"/>
    <w:qFormat/>
    <w:uiPriority w:val="0"/>
    <w:rPr>
      <w:rFonts w:ascii="等线" w:hAnsi="等线" w:eastAsia="等线" w:cs="Times New Roman"/>
      <w:kern w:val="2"/>
      <w:sz w:val="21"/>
      <w:szCs w:val="22"/>
      <w:lang w:eastAsia="en-US"/>
    </w:rPr>
  </w:style>
  <w:style w:type="paragraph" w:customStyle="1" w:styleId="116">
    <w:name w:val="Item List"/>
    <w:basedOn w:val="1"/>
    <w:link w:val="115"/>
    <w:qFormat/>
    <w:uiPriority w:val="0"/>
    <w:pPr>
      <w:tabs>
        <w:tab w:val="left" w:pos="1134"/>
      </w:tabs>
      <w:ind w:left="908" w:hanging="284"/>
    </w:pPr>
    <w:rPr>
      <w:rFonts w:ascii="等线" w:hAnsi="等线" w:eastAsia="等线"/>
      <w:szCs w:val="22"/>
      <w:lang w:eastAsia="en-US"/>
    </w:rPr>
  </w:style>
  <w:style w:type="character" w:customStyle="1" w:styleId="117">
    <w:name w:val="日期 字符"/>
    <w:qFormat/>
    <w:locked/>
    <w:uiPriority w:val="0"/>
    <w:rPr>
      <w:rFonts w:ascii="宋体" w:cs="Times New Roman"/>
      <w:sz w:val="24"/>
    </w:rPr>
  </w:style>
  <w:style w:type="character" w:customStyle="1" w:styleId="118">
    <w:name w:val="纯文本 Char2"/>
    <w:qFormat/>
    <w:uiPriority w:val="0"/>
    <w:rPr>
      <w:rFonts w:ascii="宋体" w:hAnsi="宋体" w:eastAsia="宋体"/>
      <w:color w:val="000000"/>
      <w:sz w:val="24"/>
      <w:lang w:val="en-US" w:eastAsia="zh-CN"/>
    </w:rPr>
  </w:style>
  <w:style w:type="character" w:customStyle="1" w:styleId="119">
    <w:name w:val="HTML 预设格式 字符"/>
    <w:qFormat/>
    <w:locked/>
    <w:uiPriority w:val="99"/>
    <w:rPr>
      <w:rFonts w:ascii="Courier New" w:hAnsi="Courier New"/>
      <w:kern w:val="2"/>
    </w:rPr>
  </w:style>
  <w:style w:type="character" w:customStyle="1" w:styleId="120">
    <w:name w:val="dxrpheader_metropolis2"/>
    <w:qFormat/>
    <w:uiPriority w:val="0"/>
    <w:rPr>
      <w:b/>
      <w:color w:val="C0C0C0"/>
    </w:rPr>
  </w:style>
  <w:style w:type="character" w:customStyle="1" w:styleId="121">
    <w:name w:val="正文首行缩进 Char2"/>
    <w:link w:val="19"/>
    <w:qFormat/>
    <w:locked/>
    <w:uiPriority w:val="99"/>
    <w:rPr>
      <w:rFonts w:ascii="宋体" w:hAnsi="宋体" w:eastAsia="宋体" w:cs="宋体"/>
      <w:i/>
      <w:kern w:val="2"/>
      <w:sz w:val="24"/>
      <w:lang w:val="en-US" w:eastAsia="zh-CN"/>
    </w:rPr>
  </w:style>
  <w:style w:type="character" w:customStyle="1" w:styleId="122">
    <w:name w:val="Item List in Table Char Char"/>
    <w:link w:val="123"/>
    <w:qFormat/>
    <w:uiPriority w:val="0"/>
    <w:rPr>
      <w:rFonts w:cs="Arial"/>
      <w:sz w:val="21"/>
      <w:szCs w:val="21"/>
    </w:rPr>
  </w:style>
  <w:style w:type="paragraph" w:customStyle="1" w:styleId="123">
    <w:name w:val="Item List in Table"/>
    <w:basedOn w:val="1"/>
    <w:link w:val="122"/>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character" w:customStyle="1" w:styleId="124">
    <w:name w:val="日期 字符1"/>
    <w:semiHidden/>
    <w:qFormat/>
    <w:uiPriority w:val="99"/>
    <w:rPr>
      <w:kern w:val="2"/>
      <w:sz w:val="21"/>
    </w:rPr>
  </w:style>
  <w:style w:type="character" w:customStyle="1" w:styleId="125">
    <w:name w:val="正文文本 Char1"/>
    <w:qFormat/>
    <w:uiPriority w:val="0"/>
    <w:rPr>
      <w:rFonts w:ascii="Times New Roman" w:hAnsi="Times New Roman" w:eastAsia="宋体" w:cs="Times New Roman"/>
      <w:sz w:val="24"/>
      <w:szCs w:val="24"/>
    </w:rPr>
  </w:style>
  <w:style w:type="character" w:customStyle="1" w:styleId="126">
    <w:name w:val="正文文本缩进 3 字符1"/>
    <w:semiHidden/>
    <w:qFormat/>
    <w:uiPriority w:val="99"/>
    <w:rPr>
      <w:kern w:val="2"/>
      <w:sz w:val="16"/>
      <w:szCs w:val="16"/>
    </w:rPr>
  </w:style>
  <w:style w:type="character" w:customStyle="1" w:styleId="127">
    <w:name w:val="纯文本 Char1"/>
    <w:qFormat/>
    <w:locked/>
    <w:uiPriority w:val="99"/>
    <w:rPr>
      <w:rFonts w:ascii="宋体" w:hAnsi="Courier New" w:eastAsia="宋体" w:cs="宋体"/>
      <w:lang w:val="en-US" w:eastAsia="zh-CN"/>
    </w:rPr>
  </w:style>
  <w:style w:type="character" w:customStyle="1" w:styleId="128">
    <w:name w:val="bookmark-item"/>
    <w:basedOn w:val="49"/>
    <w:qFormat/>
    <w:uiPriority w:val="0"/>
  </w:style>
  <w:style w:type="character" w:customStyle="1" w:styleId="129">
    <w:name w:val="批注框文本 字符1"/>
    <w:semiHidden/>
    <w:qFormat/>
    <w:uiPriority w:val="99"/>
    <w:rPr>
      <w:kern w:val="2"/>
      <w:sz w:val="18"/>
      <w:szCs w:val="18"/>
    </w:rPr>
  </w:style>
  <w:style w:type="character" w:customStyle="1" w:styleId="130">
    <w:name w:val="标题 1 Char"/>
    <w:qFormat/>
    <w:uiPriority w:val="9"/>
    <w:rPr>
      <w:rFonts w:ascii="宋体" w:eastAsia="宋体"/>
      <w:b/>
      <w:kern w:val="2"/>
      <w:sz w:val="28"/>
      <w:lang w:val="en-US" w:eastAsia="zh-CN"/>
    </w:rPr>
  </w:style>
  <w:style w:type="character" w:customStyle="1" w:styleId="131">
    <w:name w:val="正文缩进 Char"/>
    <w:qFormat/>
    <w:uiPriority w:val="0"/>
    <w:rPr>
      <w:rFonts w:eastAsia="宋体"/>
      <w:kern w:val="2"/>
      <w:sz w:val="24"/>
      <w:lang w:val="en-US" w:eastAsia="zh-CN"/>
    </w:rPr>
  </w:style>
  <w:style w:type="character" w:customStyle="1" w:styleId="132">
    <w:name w:val="纯文本 字符2"/>
    <w:qFormat/>
    <w:locked/>
    <w:uiPriority w:val="99"/>
    <w:rPr>
      <w:rFonts w:ascii="宋体" w:hAnsi="Courier New" w:eastAsia="宋体" w:cs="宋体"/>
      <w:lang w:val="en-US" w:eastAsia="zh-CN"/>
    </w:rPr>
  </w:style>
  <w:style w:type="character" w:customStyle="1" w:styleId="133">
    <w:name w:val="列出段落 字符"/>
    <w:qFormat/>
    <w:locked/>
    <w:uiPriority w:val="34"/>
    <w:rPr>
      <w:rFonts w:eastAsia="宋体"/>
      <w:kern w:val="2"/>
      <w:sz w:val="24"/>
      <w:lang w:val="en-US" w:eastAsia="zh-CN"/>
    </w:rPr>
  </w:style>
  <w:style w:type="character" w:customStyle="1" w:styleId="134">
    <w:name w:val="正文文本缩进 字符1"/>
    <w:qFormat/>
    <w:locked/>
    <w:uiPriority w:val="99"/>
    <w:rPr>
      <w:rFonts w:eastAsia="方正书宋简体"/>
      <w:kern w:val="2"/>
      <w:sz w:val="24"/>
      <w:lang w:val="en-US" w:eastAsia="zh-CN"/>
    </w:rPr>
  </w:style>
  <w:style w:type="character" w:customStyle="1" w:styleId="135">
    <w:name w:val="标题 5 Char1"/>
    <w:link w:val="7"/>
    <w:qFormat/>
    <w:locked/>
    <w:uiPriority w:val="9"/>
    <w:rPr>
      <w:rFonts w:eastAsia="宋体"/>
      <w:b/>
      <w:kern w:val="2"/>
      <w:sz w:val="28"/>
      <w:lang w:val="en-US" w:eastAsia="zh-CN"/>
    </w:rPr>
  </w:style>
  <w:style w:type="character" w:customStyle="1" w:styleId="136">
    <w:name w:val="dxrpheader_metropolis"/>
    <w:qFormat/>
    <w:uiPriority w:val="0"/>
    <w:rPr>
      <w:b/>
      <w:color w:val="C0C0C0"/>
      <w:shd w:val="clear" w:color="auto" w:fill="FFFFFF"/>
    </w:rPr>
  </w:style>
  <w:style w:type="character" w:customStyle="1" w:styleId="137">
    <w:name w:val="标题 5 Char"/>
    <w:qFormat/>
    <w:locked/>
    <w:uiPriority w:val="9"/>
    <w:rPr>
      <w:rFonts w:eastAsia="宋体"/>
      <w:b/>
      <w:kern w:val="2"/>
      <w:sz w:val="28"/>
      <w:lang w:val="en-US" w:eastAsia="zh-CN"/>
    </w:rPr>
  </w:style>
  <w:style w:type="character" w:customStyle="1" w:styleId="138">
    <w:name w:val="Table Text Char"/>
    <w:link w:val="139"/>
    <w:qFormat/>
    <w:uiPriority w:val="0"/>
    <w:rPr>
      <w:rFonts w:ascii="Arial" w:hAnsi="Arial"/>
      <w:sz w:val="21"/>
      <w:szCs w:val="21"/>
    </w:rPr>
  </w:style>
  <w:style w:type="paragraph" w:customStyle="1" w:styleId="139">
    <w:name w:val="Table Text"/>
    <w:basedOn w:val="1"/>
    <w:link w:val="138"/>
    <w:qFormat/>
    <w:uiPriority w:val="0"/>
    <w:pPr>
      <w:widowControl/>
      <w:jc w:val="left"/>
    </w:pPr>
    <w:rPr>
      <w:rFonts w:ascii="Arial" w:hAnsi="Arial"/>
      <w:kern w:val="0"/>
      <w:szCs w:val="21"/>
    </w:rPr>
  </w:style>
  <w:style w:type="character" w:customStyle="1" w:styleId="140">
    <w:name w:val="页脚 Char"/>
    <w:qFormat/>
    <w:uiPriority w:val="99"/>
    <w:rPr>
      <w:rFonts w:eastAsia="宋体"/>
      <w:kern w:val="2"/>
      <w:sz w:val="18"/>
      <w:lang w:val="en-US" w:eastAsia="zh-CN"/>
    </w:rPr>
  </w:style>
  <w:style w:type="character" w:customStyle="1" w:styleId="141">
    <w:name w:val="font51"/>
    <w:qFormat/>
    <w:uiPriority w:val="0"/>
    <w:rPr>
      <w:rFonts w:hint="default" w:ascii="Times New Roman" w:hAnsi="Times New Roman" w:cs="Times New Roman"/>
      <w:color w:val="000000"/>
      <w:sz w:val="15"/>
      <w:szCs w:val="15"/>
      <w:u w:val="none"/>
    </w:rPr>
  </w:style>
  <w:style w:type="character" w:customStyle="1" w:styleId="142">
    <w:name w:val="标题 2 Char2"/>
    <w:link w:val="4"/>
    <w:qFormat/>
    <w:locked/>
    <w:uiPriority w:val="9"/>
    <w:rPr>
      <w:rFonts w:ascii="Cambria" w:hAnsi="Cambria" w:eastAsia="宋体" w:cs="Cambria"/>
      <w:kern w:val="2"/>
      <w:sz w:val="21"/>
      <w:szCs w:val="21"/>
      <w:lang w:val="en-US" w:eastAsia="zh-CN"/>
    </w:rPr>
  </w:style>
  <w:style w:type="character" w:customStyle="1" w:styleId="143">
    <w:name w:val="标题 9 字符"/>
    <w:qFormat/>
    <w:locked/>
    <w:uiPriority w:val="0"/>
    <w:rPr>
      <w:rFonts w:ascii="Arial" w:hAnsi="Arial" w:eastAsia="黑体"/>
      <w:kern w:val="2"/>
      <w:sz w:val="21"/>
    </w:rPr>
  </w:style>
  <w:style w:type="character" w:customStyle="1" w:styleId="144">
    <w:name w:val="标题 4 字符"/>
    <w:qFormat/>
    <w:locked/>
    <w:uiPriority w:val="0"/>
    <w:rPr>
      <w:rFonts w:ascii="Arial" w:hAnsi="Arial" w:eastAsia="黑体"/>
      <w:b/>
      <w:kern w:val="2"/>
      <w:sz w:val="28"/>
      <w:lang w:val="en-US" w:eastAsia="zh-CN"/>
    </w:rPr>
  </w:style>
  <w:style w:type="character" w:customStyle="1" w:styleId="145">
    <w:name w:val="FC正文 Char"/>
    <w:link w:val="146"/>
    <w:qFormat/>
    <w:uiPriority w:val="0"/>
    <w:rPr>
      <w:rFonts w:eastAsia="仿宋_GB2312" w:cs="宋体"/>
      <w:kern w:val="2"/>
      <w:sz w:val="28"/>
      <w:szCs w:val="21"/>
    </w:rPr>
  </w:style>
  <w:style w:type="paragraph" w:customStyle="1" w:styleId="146">
    <w:name w:val="FC正文"/>
    <w:basedOn w:val="1"/>
    <w:link w:val="145"/>
    <w:qFormat/>
    <w:uiPriority w:val="0"/>
    <w:pPr>
      <w:snapToGrid w:val="0"/>
      <w:spacing w:line="360" w:lineRule="auto"/>
      <w:ind w:firstLine="200" w:firstLineChars="200"/>
    </w:pPr>
    <w:rPr>
      <w:rFonts w:eastAsia="仿宋_GB2312" w:cs="宋体"/>
      <w:sz w:val="28"/>
      <w:szCs w:val="21"/>
    </w:rPr>
  </w:style>
  <w:style w:type="character" w:customStyle="1" w:styleId="147">
    <w:name w:val="正文文本缩进 2 Char"/>
    <w:qFormat/>
    <w:locked/>
    <w:uiPriority w:val="99"/>
    <w:rPr>
      <w:rFonts w:ascii="宋体" w:eastAsia="宋体"/>
      <w:kern w:val="2"/>
      <w:sz w:val="24"/>
      <w:lang w:val="en-US" w:eastAsia="zh-CN"/>
    </w:rPr>
  </w:style>
  <w:style w:type="character" w:customStyle="1" w:styleId="148">
    <w:name w:val="表格 字符"/>
    <w:link w:val="149"/>
    <w:qFormat/>
    <w:uiPriority w:val="0"/>
    <w:rPr>
      <w:rFonts w:ascii="宋体" w:hAnsi="宋体" w:cs="Times New Roman"/>
      <w:kern w:val="2"/>
      <w:sz w:val="21"/>
      <w:szCs w:val="22"/>
    </w:rPr>
  </w:style>
  <w:style w:type="paragraph" w:customStyle="1" w:styleId="149">
    <w:name w:val="表格"/>
    <w:basedOn w:val="1"/>
    <w:link w:val="148"/>
    <w:qFormat/>
    <w:uiPriority w:val="0"/>
    <w:pPr>
      <w:spacing w:line="276" w:lineRule="auto"/>
      <w:jc w:val="center"/>
    </w:pPr>
    <w:rPr>
      <w:rFonts w:ascii="宋体" w:hAnsi="宋体"/>
      <w:szCs w:val="22"/>
    </w:rPr>
  </w:style>
  <w:style w:type="character" w:customStyle="1" w:styleId="150">
    <w:name w:val="标题 2 Char1"/>
    <w:qFormat/>
    <w:locked/>
    <w:uiPriority w:val="9"/>
    <w:rPr>
      <w:rFonts w:ascii="Cambria" w:hAnsi="Cambria" w:eastAsia="宋体" w:cs="Cambria"/>
      <w:kern w:val="2"/>
      <w:sz w:val="21"/>
      <w:szCs w:val="21"/>
      <w:lang w:val="en-US" w:eastAsia="zh-CN"/>
    </w:rPr>
  </w:style>
  <w:style w:type="character" w:customStyle="1" w:styleId="151">
    <w:name w:val="日期 Char1"/>
    <w:link w:val="26"/>
    <w:qFormat/>
    <w:locked/>
    <w:uiPriority w:val="99"/>
    <w:rPr>
      <w:rFonts w:ascii="宋体" w:cs="Times New Roman"/>
      <w:sz w:val="24"/>
    </w:rPr>
  </w:style>
  <w:style w:type="character" w:customStyle="1" w:styleId="152">
    <w:name w:val="标题 8 Char"/>
    <w:qFormat/>
    <w:locked/>
    <w:uiPriority w:val="0"/>
    <w:rPr>
      <w:rFonts w:ascii="Arial" w:hAnsi="Arial" w:eastAsia="黑体"/>
      <w:kern w:val="2"/>
      <w:sz w:val="24"/>
    </w:rPr>
  </w:style>
  <w:style w:type="character" w:customStyle="1" w:styleId="153">
    <w:name w:val="标题 8 字符"/>
    <w:qFormat/>
    <w:locked/>
    <w:uiPriority w:val="0"/>
    <w:rPr>
      <w:rFonts w:ascii="Arial" w:hAnsi="Arial" w:eastAsia="黑体"/>
      <w:kern w:val="2"/>
      <w:sz w:val="24"/>
    </w:rPr>
  </w:style>
  <w:style w:type="character" w:customStyle="1" w:styleId="154">
    <w:name w:val="*正文 Char"/>
    <w:link w:val="2"/>
    <w:qFormat/>
    <w:uiPriority w:val="0"/>
    <w:rPr>
      <w:rFonts w:ascii="宋体" w:hAnsi="宋体" w:eastAsia="仿宋_GB2312" w:cs="宋体"/>
      <w:kern w:val="2"/>
      <w:sz w:val="28"/>
      <w:szCs w:val="24"/>
    </w:rPr>
  </w:style>
  <w:style w:type="character" w:customStyle="1" w:styleId="155">
    <w:name w:val="批注文字 Char1"/>
    <w:qFormat/>
    <w:locked/>
    <w:uiPriority w:val="99"/>
    <w:rPr>
      <w:rFonts w:ascii="宋体" w:hAnsi="宋体" w:eastAsia="宋体" w:cs="宋体"/>
      <w:kern w:val="2"/>
      <w:sz w:val="21"/>
      <w:szCs w:val="21"/>
      <w:lang w:val="en-US" w:eastAsia="zh-CN"/>
    </w:rPr>
  </w:style>
  <w:style w:type="character" w:customStyle="1" w:styleId="156">
    <w:name w:val="正文文本 3 Char"/>
    <w:qFormat/>
    <w:locked/>
    <w:uiPriority w:val="99"/>
    <w:rPr>
      <w:rFonts w:eastAsia="宋体"/>
      <w:sz w:val="16"/>
    </w:rPr>
  </w:style>
  <w:style w:type="character" w:customStyle="1" w:styleId="157">
    <w:name w:val="文档结构图 Char1"/>
    <w:link w:val="15"/>
    <w:qFormat/>
    <w:locked/>
    <w:uiPriority w:val="99"/>
    <w:rPr>
      <w:rFonts w:eastAsia="宋体"/>
      <w:kern w:val="2"/>
      <w:sz w:val="21"/>
      <w:lang w:val="en-US" w:eastAsia="zh-CN"/>
    </w:rPr>
  </w:style>
  <w:style w:type="character" w:customStyle="1" w:styleId="158">
    <w:name w:val="type-name"/>
    <w:qFormat/>
    <w:uiPriority w:val="0"/>
    <w:rPr>
      <w:color w:val="FFFFFF"/>
      <w:sz w:val="21"/>
      <w:szCs w:val="21"/>
      <w:shd w:val="clear" w:color="auto" w:fill="EC4F45"/>
    </w:rPr>
  </w:style>
  <w:style w:type="character" w:customStyle="1" w:styleId="159">
    <w:name w:val="正文文本 3 字符"/>
    <w:qFormat/>
    <w:locked/>
    <w:uiPriority w:val="99"/>
    <w:rPr>
      <w:rFonts w:eastAsia="宋体"/>
      <w:sz w:val="16"/>
    </w:rPr>
  </w:style>
  <w:style w:type="character" w:customStyle="1" w:styleId="160">
    <w:name w:val="正文文本首行缩进 字符"/>
    <w:semiHidden/>
    <w:qFormat/>
    <w:uiPriority w:val="99"/>
  </w:style>
  <w:style w:type="character" w:customStyle="1" w:styleId="161">
    <w:name w:val="正文文本缩进 字符"/>
    <w:qFormat/>
    <w:uiPriority w:val="0"/>
    <w:rPr>
      <w:rFonts w:ascii="Calibri" w:hAnsi="Calibri" w:cs="Calibri"/>
    </w:rPr>
  </w:style>
  <w:style w:type="character" w:customStyle="1" w:styleId="162">
    <w:name w:val="哈哈正文 Char"/>
    <w:link w:val="163"/>
    <w:qFormat/>
    <w:locked/>
    <w:uiPriority w:val="0"/>
    <w:rPr>
      <w:rFonts w:ascii="宋体" w:hAnsi="宋体" w:eastAsia="宋体"/>
      <w:kern w:val="2"/>
      <w:sz w:val="24"/>
      <w:lang w:val="en-US" w:eastAsia="zh-CN"/>
    </w:rPr>
  </w:style>
  <w:style w:type="paragraph" w:customStyle="1" w:styleId="163">
    <w:name w:val="哈哈正文"/>
    <w:basedOn w:val="1"/>
    <w:link w:val="162"/>
    <w:qFormat/>
    <w:uiPriority w:val="0"/>
    <w:pPr>
      <w:spacing w:line="360" w:lineRule="auto"/>
      <w:ind w:firstLine="200" w:firstLineChars="200"/>
    </w:pPr>
    <w:rPr>
      <w:rFonts w:ascii="宋体" w:hAnsi="宋体"/>
      <w:sz w:val="24"/>
    </w:rPr>
  </w:style>
  <w:style w:type="character" w:customStyle="1" w:styleId="164">
    <w:name w:val="标题 6 Char1"/>
    <w:link w:val="8"/>
    <w:qFormat/>
    <w:locked/>
    <w:uiPriority w:val="9"/>
    <w:rPr>
      <w:rFonts w:ascii="Cambria" w:hAnsi="Cambria" w:eastAsia="宋体"/>
      <w:b/>
      <w:kern w:val="2"/>
      <w:sz w:val="24"/>
      <w:lang w:val="en-US" w:eastAsia="zh-CN"/>
    </w:rPr>
  </w:style>
  <w:style w:type="character" w:customStyle="1" w:styleId="165">
    <w:name w:val="页眉 Char2"/>
    <w:link w:val="30"/>
    <w:qFormat/>
    <w:locked/>
    <w:uiPriority w:val="99"/>
    <w:rPr>
      <w:rFonts w:ascii="宋体" w:hAnsi="宋体" w:eastAsia="宋体" w:cs="宋体"/>
      <w:kern w:val="2"/>
      <w:sz w:val="18"/>
      <w:szCs w:val="18"/>
      <w:lang w:val="en-US" w:eastAsia="zh-CN"/>
    </w:rPr>
  </w:style>
  <w:style w:type="character" w:customStyle="1" w:styleId="166">
    <w:name w:val="批注框文本 Char1"/>
    <w:qFormat/>
    <w:locked/>
    <w:uiPriority w:val="99"/>
    <w:rPr>
      <w:rFonts w:ascii="宋体" w:hAnsi="宋体" w:eastAsia="宋体" w:cs="宋体"/>
      <w:kern w:val="2"/>
      <w:sz w:val="18"/>
      <w:szCs w:val="18"/>
      <w:lang w:val="en-US" w:eastAsia="zh-CN"/>
    </w:rPr>
  </w:style>
  <w:style w:type="character" w:customStyle="1" w:styleId="167">
    <w:name w:val="normaltextrun"/>
    <w:qFormat/>
    <w:uiPriority w:val="0"/>
  </w:style>
  <w:style w:type="character" w:customStyle="1" w:styleId="168">
    <w:name w:val="页脚 Char2"/>
    <w:link w:val="29"/>
    <w:qFormat/>
    <w:locked/>
    <w:uiPriority w:val="99"/>
    <w:rPr>
      <w:rFonts w:ascii="宋体" w:hAnsi="宋体" w:eastAsia="宋体" w:cs="宋体"/>
      <w:kern w:val="2"/>
      <w:sz w:val="18"/>
      <w:szCs w:val="18"/>
      <w:lang w:val="en-US" w:eastAsia="zh-CN"/>
    </w:rPr>
  </w:style>
  <w:style w:type="character" w:customStyle="1" w:styleId="169">
    <w:name w:val="time"/>
    <w:qFormat/>
    <w:uiPriority w:val="0"/>
    <w:rPr>
      <w:rFonts w:ascii="Arial" w:hAnsi="Arial" w:cs="Arial"/>
    </w:rPr>
  </w:style>
  <w:style w:type="character" w:customStyle="1" w:styleId="170">
    <w:name w:val="副标题 字符"/>
    <w:qFormat/>
    <w:uiPriority w:val="0"/>
    <w:rPr>
      <w:rFonts w:ascii="等线" w:hAnsi="等线" w:eastAsia="等线" w:cs="Times New Roman"/>
      <w:b/>
      <w:bCs/>
      <w:kern w:val="28"/>
      <w:sz w:val="32"/>
      <w:szCs w:val="32"/>
    </w:rPr>
  </w:style>
  <w:style w:type="character" w:customStyle="1" w:styleId="171">
    <w:name w:val="HTML 预设格式 字符1"/>
    <w:semiHidden/>
    <w:qFormat/>
    <w:uiPriority w:val="99"/>
    <w:rPr>
      <w:rFonts w:ascii="Courier New" w:hAnsi="Courier New" w:cs="Courier New"/>
      <w:kern w:val="2"/>
    </w:rPr>
  </w:style>
  <w:style w:type="character" w:customStyle="1" w:styleId="172">
    <w:name w:val="标题 6 Char"/>
    <w:qFormat/>
    <w:locked/>
    <w:uiPriority w:val="0"/>
    <w:rPr>
      <w:rFonts w:ascii="Cambria" w:hAnsi="Cambria" w:eastAsia="宋体"/>
      <w:b/>
      <w:kern w:val="2"/>
      <w:sz w:val="24"/>
      <w:lang w:val="en-US" w:eastAsia="zh-CN"/>
    </w:rPr>
  </w:style>
  <w:style w:type="character" w:customStyle="1" w:styleId="173">
    <w:name w:val="正文文本缩进 Char2"/>
    <w:link w:val="20"/>
    <w:qFormat/>
    <w:locked/>
    <w:uiPriority w:val="99"/>
    <w:rPr>
      <w:rFonts w:eastAsia="方正书宋简体"/>
      <w:kern w:val="2"/>
      <w:sz w:val="24"/>
      <w:lang w:val="en-US" w:eastAsia="zh-CN"/>
    </w:rPr>
  </w:style>
  <w:style w:type="character" w:customStyle="1" w:styleId="174">
    <w:name w:val="标题 5 字符"/>
    <w:qFormat/>
    <w:locked/>
    <w:uiPriority w:val="0"/>
    <w:rPr>
      <w:rFonts w:eastAsia="宋体"/>
      <w:b/>
      <w:kern w:val="2"/>
      <w:sz w:val="28"/>
      <w:lang w:val="en-US" w:eastAsia="zh-CN"/>
    </w:rPr>
  </w:style>
  <w:style w:type="character" w:customStyle="1" w:styleId="175">
    <w:name w:val="font01"/>
    <w:qFormat/>
    <w:uiPriority w:val="0"/>
    <w:rPr>
      <w:rFonts w:ascii="宋体" w:hAnsi="宋体" w:eastAsia="宋体"/>
      <w:color w:val="000000"/>
      <w:sz w:val="24"/>
      <w:u w:val="none"/>
    </w:rPr>
  </w:style>
  <w:style w:type="character" w:customStyle="1" w:styleId="176">
    <w:name w:val="页眉 字符"/>
    <w:qFormat/>
    <w:locked/>
    <w:uiPriority w:val="99"/>
    <w:rPr>
      <w:rFonts w:ascii="宋体" w:hAnsi="宋体" w:eastAsia="宋体" w:cs="宋体"/>
      <w:kern w:val="2"/>
      <w:sz w:val="18"/>
      <w:szCs w:val="18"/>
      <w:lang w:val="en-US" w:eastAsia="zh-CN"/>
    </w:rPr>
  </w:style>
  <w:style w:type="character" w:customStyle="1" w:styleId="177">
    <w:name w:val="纯文本 字符1"/>
    <w:qFormat/>
    <w:uiPriority w:val="99"/>
    <w:rPr>
      <w:rFonts w:ascii="等线" w:hAnsi="Courier New" w:eastAsia="等线" w:cs="Courier New"/>
      <w:kern w:val="2"/>
      <w:sz w:val="21"/>
    </w:rPr>
  </w:style>
  <w:style w:type="character" w:customStyle="1" w:styleId="178">
    <w:name w:val="标题 6 字符"/>
    <w:qFormat/>
    <w:locked/>
    <w:uiPriority w:val="0"/>
    <w:rPr>
      <w:rFonts w:ascii="Cambria" w:hAnsi="Cambria" w:eastAsia="宋体"/>
      <w:b/>
      <w:kern w:val="2"/>
      <w:sz w:val="24"/>
      <w:lang w:val="en-US" w:eastAsia="zh-CN"/>
    </w:rPr>
  </w:style>
  <w:style w:type="character" w:customStyle="1" w:styleId="179">
    <w:name w:val="HTML 预设格式 Char1"/>
    <w:link w:val="41"/>
    <w:qFormat/>
    <w:locked/>
    <w:uiPriority w:val="99"/>
    <w:rPr>
      <w:rFonts w:ascii="Courier New" w:hAnsi="Courier New"/>
      <w:kern w:val="2"/>
    </w:rPr>
  </w:style>
  <w:style w:type="character" w:customStyle="1" w:styleId="180">
    <w:name w:val="副标题 Char"/>
    <w:link w:val="33"/>
    <w:qFormat/>
    <w:uiPriority w:val="0"/>
    <w:rPr>
      <w:rFonts w:ascii="Arial" w:hAnsi="Arial" w:eastAsia="仿宋_GB2312" w:cs="宋体"/>
      <w:bCs/>
      <w:kern w:val="28"/>
      <w:sz w:val="28"/>
      <w:szCs w:val="32"/>
    </w:rPr>
  </w:style>
  <w:style w:type="character" w:customStyle="1" w:styleId="181">
    <w:name w:val="标题 3 Char1"/>
    <w:qFormat/>
    <w:locked/>
    <w:uiPriority w:val="9"/>
    <w:rPr>
      <w:rFonts w:ascii="宋体" w:hAnsi="宋体" w:eastAsia="宋体" w:cs="宋体"/>
      <w:b/>
      <w:kern w:val="2"/>
      <w:sz w:val="32"/>
      <w:szCs w:val="32"/>
      <w:lang w:val="en-US" w:eastAsia="zh-CN"/>
    </w:rPr>
  </w:style>
  <w:style w:type="character" w:customStyle="1" w:styleId="182">
    <w:name w:val="样式1 Char"/>
    <w:link w:val="183"/>
    <w:qFormat/>
    <w:locked/>
    <w:uiPriority w:val="0"/>
    <w:rPr>
      <w:rFonts w:ascii="黑体" w:hAnsi="黑体" w:eastAsia="黑体"/>
      <w:b/>
      <w:kern w:val="2"/>
      <w:sz w:val="32"/>
    </w:rPr>
  </w:style>
  <w:style w:type="paragraph" w:customStyle="1" w:styleId="183">
    <w:name w:val="样式1"/>
    <w:basedOn w:val="4"/>
    <w:link w:val="182"/>
    <w:qFormat/>
    <w:uiPriority w:val="0"/>
    <w:pPr>
      <w:tabs>
        <w:tab w:val="clear" w:pos="578"/>
      </w:tabs>
      <w:spacing w:beforeLines="0" w:afterLines="0"/>
      <w:ind w:left="0" w:firstLine="0"/>
    </w:pPr>
    <w:rPr>
      <w:rFonts w:ascii="黑体" w:hAnsi="黑体" w:eastAsia="黑体"/>
      <w:b/>
      <w:sz w:val="32"/>
      <w:szCs w:val="20"/>
    </w:rPr>
  </w:style>
  <w:style w:type="character" w:customStyle="1" w:styleId="184">
    <w:name w:val="文档结构图 字符1"/>
    <w:semiHidden/>
    <w:qFormat/>
    <w:uiPriority w:val="99"/>
    <w:rPr>
      <w:rFonts w:ascii="Microsoft YaHei UI" w:eastAsia="Microsoft YaHei UI"/>
      <w:kern w:val="2"/>
      <w:sz w:val="18"/>
      <w:szCs w:val="18"/>
    </w:rPr>
  </w:style>
  <w:style w:type="character" w:customStyle="1" w:styleId="185">
    <w:name w:val="方案－正文 Char"/>
    <w:link w:val="186"/>
    <w:qFormat/>
    <w:locked/>
    <w:uiPriority w:val="0"/>
    <w:rPr>
      <w:rFonts w:ascii="仿宋_GB2312" w:hAnsi="宋体"/>
      <w:sz w:val="24"/>
    </w:rPr>
  </w:style>
  <w:style w:type="paragraph" w:customStyle="1" w:styleId="186">
    <w:name w:val="方案－正文"/>
    <w:basedOn w:val="1"/>
    <w:link w:val="185"/>
    <w:qFormat/>
    <w:uiPriority w:val="0"/>
    <w:pPr>
      <w:spacing w:line="360" w:lineRule="auto"/>
      <w:ind w:firstLine="480" w:firstLineChars="200"/>
    </w:pPr>
    <w:rPr>
      <w:rFonts w:ascii="仿宋_GB2312" w:hAnsi="宋体"/>
      <w:kern w:val="0"/>
      <w:sz w:val="24"/>
    </w:rPr>
  </w:style>
  <w:style w:type="character" w:customStyle="1" w:styleId="187">
    <w:name w:val="批注文字 字符1"/>
    <w:semiHidden/>
    <w:qFormat/>
    <w:uiPriority w:val="99"/>
    <w:rPr>
      <w:kern w:val="2"/>
      <w:sz w:val="21"/>
    </w:rPr>
  </w:style>
  <w:style w:type="character" w:customStyle="1" w:styleId="188">
    <w:name w:val="批注文字 字符"/>
    <w:qFormat/>
    <w:locked/>
    <w:uiPriority w:val="0"/>
    <w:rPr>
      <w:rFonts w:ascii="宋体" w:hAnsi="宋体" w:eastAsia="宋体" w:cs="宋体"/>
      <w:kern w:val="2"/>
      <w:sz w:val="21"/>
      <w:szCs w:val="21"/>
      <w:lang w:val="en-US" w:eastAsia="zh-CN"/>
    </w:rPr>
  </w:style>
  <w:style w:type="character" w:customStyle="1" w:styleId="189">
    <w:name w:val="列出段落 Char"/>
    <w:qFormat/>
    <w:locked/>
    <w:uiPriority w:val="34"/>
    <w:rPr>
      <w:rFonts w:eastAsia="宋体"/>
      <w:kern w:val="2"/>
      <w:sz w:val="24"/>
      <w:lang w:val="en-US" w:eastAsia="zh-CN"/>
    </w:rPr>
  </w:style>
  <w:style w:type="character" w:customStyle="1" w:styleId="190">
    <w:name w:val="纯文本 Char3"/>
    <w:link w:val="24"/>
    <w:qFormat/>
    <w:locked/>
    <w:uiPriority w:val="99"/>
    <w:rPr>
      <w:rFonts w:ascii="宋体" w:hAnsi="Courier New" w:eastAsia="宋体" w:cs="宋体"/>
      <w:lang w:val="en-US" w:eastAsia="zh-CN"/>
    </w:rPr>
  </w:style>
  <w:style w:type="character" w:customStyle="1" w:styleId="191">
    <w:name w:val="正文文本缩进 2 Char1"/>
    <w:link w:val="27"/>
    <w:qFormat/>
    <w:locked/>
    <w:uiPriority w:val="99"/>
    <w:rPr>
      <w:rFonts w:ascii="宋体" w:eastAsia="宋体"/>
      <w:kern w:val="2"/>
      <w:sz w:val="24"/>
      <w:lang w:val="en-US" w:eastAsia="zh-CN"/>
    </w:rPr>
  </w:style>
  <w:style w:type="character" w:customStyle="1" w:styleId="192">
    <w:name w:val="批注主题 字符1"/>
    <w:semiHidden/>
    <w:qFormat/>
    <w:uiPriority w:val="99"/>
    <w:rPr>
      <w:b/>
      <w:bCs/>
      <w:kern w:val="2"/>
      <w:sz w:val="21"/>
    </w:rPr>
  </w:style>
  <w:style w:type="character" w:customStyle="1" w:styleId="193">
    <w:name w:val="列出段落 Char2"/>
    <w:link w:val="194"/>
    <w:qFormat/>
    <w:locked/>
    <w:uiPriority w:val="34"/>
    <w:rPr>
      <w:rFonts w:eastAsia="宋体"/>
      <w:kern w:val="2"/>
      <w:sz w:val="24"/>
      <w:lang w:val="en-US" w:eastAsia="zh-CN"/>
    </w:rPr>
  </w:style>
  <w:style w:type="paragraph" w:customStyle="1" w:styleId="194">
    <w:name w:val="列出段落2"/>
    <w:basedOn w:val="1"/>
    <w:link w:val="193"/>
    <w:qFormat/>
    <w:uiPriority w:val="34"/>
    <w:pPr>
      <w:spacing w:line="360" w:lineRule="auto"/>
      <w:ind w:firstLine="420" w:firstLineChars="200"/>
    </w:pPr>
    <w:rPr>
      <w:sz w:val="24"/>
    </w:rPr>
  </w:style>
  <w:style w:type="character" w:customStyle="1" w:styleId="195">
    <w:name w:val="font41"/>
    <w:qFormat/>
    <w:uiPriority w:val="0"/>
    <w:rPr>
      <w:rFonts w:hint="eastAsia" w:ascii="宋体" w:hAnsi="宋体" w:eastAsia="宋体" w:cs="宋体"/>
      <w:b/>
      <w:color w:val="000000"/>
      <w:sz w:val="18"/>
      <w:szCs w:val="18"/>
      <w:u w:val="none"/>
    </w:rPr>
  </w:style>
  <w:style w:type="character" w:customStyle="1" w:styleId="196">
    <w:name w:val="标题 9 Char1"/>
    <w:link w:val="11"/>
    <w:qFormat/>
    <w:locked/>
    <w:uiPriority w:val="9"/>
    <w:rPr>
      <w:rFonts w:ascii="Arial" w:hAnsi="Arial" w:eastAsia="黑体"/>
      <w:kern w:val="2"/>
      <w:sz w:val="21"/>
    </w:rPr>
  </w:style>
  <w:style w:type="character" w:customStyle="1" w:styleId="197">
    <w:name w:val="正文文本缩进 3 Char"/>
    <w:qFormat/>
    <w:uiPriority w:val="0"/>
    <w:rPr>
      <w:rFonts w:ascii="宋体" w:eastAsia="宋体"/>
      <w:kern w:val="2"/>
      <w:sz w:val="24"/>
      <w:lang w:val="en-US" w:eastAsia="zh-CN"/>
    </w:rPr>
  </w:style>
  <w:style w:type="character" w:customStyle="1" w:styleId="198">
    <w:name w:val="未处理的提及2"/>
    <w:unhideWhenUsed/>
    <w:qFormat/>
    <w:uiPriority w:val="99"/>
    <w:rPr>
      <w:color w:val="808080"/>
      <w:shd w:val="clear" w:color="auto" w:fill="E6E6E6"/>
    </w:rPr>
  </w:style>
  <w:style w:type="character" w:customStyle="1" w:styleId="199">
    <w:name w:val="Notes Heading Char Char"/>
    <w:link w:val="200"/>
    <w:qFormat/>
    <w:uiPriority w:val="0"/>
    <w:rPr>
      <w:rFonts w:ascii="Arial" w:hAnsi="Arial" w:eastAsia="黑体" w:cs="Arial"/>
      <w:b/>
      <w:lang w:eastAsia="en-US"/>
    </w:rPr>
  </w:style>
  <w:style w:type="paragraph" w:customStyle="1" w:styleId="200">
    <w:name w:val="Notes Heading"/>
    <w:next w:val="1"/>
    <w:link w:val="199"/>
    <w:qFormat/>
    <w:uiPriority w:val="0"/>
    <w:pPr>
      <w:keepNext/>
      <w:spacing w:before="40" w:after="40"/>
    </w:pPr>
    <w:rPr>
      <w:rFonts w:ascii="Arial" w:hAnsi="Arial" w:eastAsia="黑体" w:cs="Arial"/>
      <w:b/>
      <w:lang w:val="en-US" w:eastAsia="en-US" w:bidi="ar-SA"/>
    </w:rPr>
  </w:style>
  <w:style w:type="character" w:customStyle="1" w:styleId="201">
    <w:name w:val="正文缩进 字符"/>
    <w:qFormat/>
    <w:locked/>
    <w:uiPriority w:val="0"/>
    <w:rPr>
      <w:rFonts w:ascii="宋体" w:hAnsi="宋体" w:eastAsia="宋体" w:cs="宋体"/>
      <w:spacing w:val="14"/>
      <w:kern w:val="24"/>
      <w:sz w:val="24"/>
      <w:szCs w:val="24"/>
      <w:lang w:val="en-US" w:eastAsia="zh-CN"/>
    </w:rPr>
  </w:style>
  <w:style w:type="character" w:customStyle="1" w:styleId="202">
    <w:name w:val="中等深浅网格 1 - 强调文字颜色 2 Char"/>
    <w:link w:val="203"/>
    <w:qFormat/>
    <w:locked/>
    <w:uiPriority w:val="34"/>
    <w:rPr>
      <w:rFonts w:ascii="Calibri" w:hAnsi="Calibri"/>
      <w:kern w:val="2"/>
      <w:sz w:val="22"/>
    </w:rPr>
  </w:style>
  <w:style w:type="paragraph" w:customStyle="1" w:styleId="203">
    <w:name w:val="中等深浅网格 1 - 强调文字颜色 21"/>
    <w:basedOn w:val="1"/>
    <w:link w:val="202"/>
    <w:qFormat/>
    <w:uiPriority w:val="34"/>
    <w:pPr>
      <w:ind w:firstLine="420" w:firstLineChars="200"/>
    </w:pPr>
    <w:rPr>
      <w:sz w:val="22"/>
    </w:rPr>
  </w:style>
  <w:style w:type="character" w:customStyle="1" w:styleId="204">
    <w:name w:val="正文文本 3 字符1"/>
    <w:semiHidden/>
    <w:qFormat/>
    <w:uiPriority w:val="99"/>
    <w:rPr>
      <w:kern w:val="2"/>
      <w:sz w:val="16"/>
      <w:szCs w:val="16"/>
    </w:rPr>
  </w:style>
  <w:style w:type="character" w:customStyle="1" w:styleId="205">
    <w:name w:val="样式4 Char"/>
    <w:link w:val="206"/>
    <w:qFormat/>
    <w:locked/>
    <w:uiPriority w:val="0"/>
    <w:rPr>
      <w:rFonts w:ascii="黑体" w:hAnsi="黑体" w:eastAsia="黑体"/>
      <w:kern w:val="44"/>
      <w:sz w:val="44"/>
      <w:lang w:val="en-US" w:eastAsia="zh-CN"/>
    </w:rPr>
  </w:style>
  <w:style w:type="paragraph" w:customStyle="1" w:styleId="206">
    <w:name w:val="样式4"/>
    <w:basedOn w:val="3"/>
    <w:link w:val="205"/>
    <w:qFormat/>
    <w:uiPriority w:val="0"/>
    <w:pPr>
      <w:keepLines/>
      <w:spacing w:line="360" w:lineRule="auto"/>
    </w:pPr>
    <w:rPr>
      <w:rFonts w:ascii="黑体" w:hAnsi="黑体" w:eastAsia="黑体"/>
      <w:b w:val="0"/>
      <w:szCs w:val="20"/>
    </w:rPr>
  </w:style>
  <w:style w:type="character" w:customStyle="1" w:styleId="207">
    <w:name w:val="标题 8 Char1"/>
    <w:link w:val="10"/>
    <w:qFormat/>
    <w:locked/>
    <w:uiPriority w:val="9"/>
    <w:rPr>
      <w:rFonts w:ascii="Arial" w:hAnsi="Arial" w:eastAsia="黑体"/>
      <w:kern w:val="2"/>
      <w:sz w:val="24"/>
    </w:rPr>
  </w:style>
  <w:style w:type="character" w:customStyle="1" w:styleId="208">
    <w:name w:val="正文文本缩进 3 字符"/>
    <w:qFormat/>
    <w:locked/>
    <w:uiPriority w:val="99"/>
    <w:rPr>
      <w:rFonts w:ascii="宋体" w:hAnsi="宋体" w:eastAsia="宋体" w:cs="宋体"/>
      <w:b/>
      <w:kern w:val="2"/>
      <w:sz w:val="24"/>
      <w:szCs w:val="24"/>
      <w:lang w:val="en-US" w:eastAsia="zh-CN"/>
    </w:rPr>
  </w:style>
  <w:style w:type="character" w:customStyle="1" w:styleId="209">
    <w:name w:val="Table Heading Char"/>
    <w:link w:val="210"/>
    <w:qFormat/>
    <w:uiPriority w:val="0"/>
    <w:rPr>
      <w:rFonts w:ascii="Arial" w:hAnsi="Arial" w:eastAsia="黑体" w:cs="Arial Narrow"/>
      <w:bCs/>
      <w:sz w:val="21"/>
    </w:rPr>
  </w:style>
  <w:style w:type="paragraph" w:customStyle="1" w:styleId="210">
    <w:name w:val="Table Heading"/>
    <w:link w:val="209"/>
    <w:qFormat/>
    <w:uiPriority w:val="0"/>
    <w:pPr>
      <w:keepNext/>
      <w:spacing w:before="80" w:after="80" w:line="240" w:lineRule="exact"/>
      <w:jc w:val="center"/>
    </w:pPr>
    <w:rPr>
      <w:rFonts w:ascii="Arial" w:hAnsi="Arial" w:eastAsia="黑体" w:cs="Arial Narrow"/>
      <w:bCs/>
      <w:sz w:val="21"/>
      <w:lang w:val="en-US" w:eastAsia="zh-CN" w:bidi="ar-SA"/>
    </w:rPr>
  </w:style>
  <w:style w:type="character" w:customStyle="1" w:styleId="211">
    <w:name w:val="列出段落 Char1"/>
    <w:link w:val="212"/>
    <w:qFormat/>
    <w:locked/>
    <w:uiPriority w:val="34"/>
    <w:rPr>
      <w:kern w:val="2"/>
      <w:sz w:val="24"/>
    </w:rPr>
  </w:style>
  <w:style w:type="paragraph" w:customStyle="1" w:styleId="212">
    <w:name w:val="列出段落6"/>
    <w:basedOn w:val="1"/>
    <w:link w:val="211"/>
    <w:qFormat/>
    <w:uiPriority w:val="34"/>
    <w:pPr>
      <w:spacing w:line="360" w:lineRule="auto"/>
      <w:ind w:firstLine="420" w:firstLineChars="200"/>
    </w:pPr>
    <w:rPr>
      <w:sz w:val="24"/>
    </w:rPr>
  </w:style>
  <w:style w:type="character" w:customStyle="1" w:styleId="213">
    <w:name w:val="标题 7 字符"/>
    <w:qFormat/>
    <w:locked/>
    <w:uiPriority w:val="0"/>
    <w:rPr>
      <w:b/>
      <w:kern w:val="2"/>
      <w:sz w:val="24"/>
    </w:rPr>
  </w:style>
  <w:style w:type="character" w:customStyle="1" w:styleId="214">
    <w:name w:val="正文文本缩进 3 Char1"/>
    <w:qFormat/>
    <w:locked/>
    <w:uiPriority w:val="99"/>
    <w:rPr>
      <w:rFonts w:ascii="宋体" w:hAnsi="宋体" w:eastAsia="宋体" w:cs="宋体"/>
      <w:b/>
      <w:kern w:val="2"/>
      <w:sz w:val="24"/>
      <w:szCs w:val="24"/>
      <w:lang w:val="en-US" w:eastAsia="zh-CN"/>
    </w:rPr>
  </w:style>
  <w:style w:type="character" w:customStyle="1" w:styleId="215">
    <w:name w:val="font61"/>
    <w:qFormat/>
    <w:uiPriority w:val="0"/>
    <w:rPr>
      <w:rFonts w:ascii="Times New Roman" w:hAnsi="Times New Roman"/>
      <w:color w:val="000000"/>
      <w:sz w:val="20"/>
      <w:u w:val="none"/>
    </w:rPr>
  </w:style>
  <w:style w:type="character" w:customStyle="1" w:styleId="216">
    <w:name w:val="文档结构图 字符"/>
    <w:qFormat/>
    <w:locked/>
    <w:uiPriority w:val="99"/>
    <w:rPr>
      <w:rFonts w:eastAsia="宋体"/>
      <w:kern w:val="2"/>
      <w:sz w:val="21"/>
      <w:lang w:val="en-US" w:eastAsia="zh-CN"/>
    </w:rPr>
  </w:style>
  <w:style w:type="character" w:customStyle="1" w:styleId="217">
    <w:name w:val="日期 Char"/>
    <w:qFormat/>
    <w:locked/>
    <w:uiPriority w:val="0"/>
    <w:rPr>
      <w:rFonts w:ascii="宋体" w:cs="Times New Roman"/>
      <w:sz w:val="24"/>
    </w:rPr>
  </w:style>
  <w:style w:type="character" w:customStyle="1" w:styleId="218">
    <w:name w:val="h6 Char"/>
    <w:qFormat/>
    <w:uiPriority w:val="0"/>
    <w:rPr>
      <w:rFonts w:ascii="Arial" w:hAnsi="Arial" w:eastAsia="宋体"/>
      <w:b/>
      <w:kern w:val="2"/>
      <w:sz w:val="24"/>
      <w:lang w:val="en-US" w:eastAsia="zh-CN"/>
    </w:rPr>
  </w:style>
  <w:style w:type="character" w:customStyle="1" w:styleId="219">
    <w:name w:val="批注框文本 Char"/>
    <w:qFormat/>
    <w:locked/>
    <w:uiPriority w:val="0"/>
    <w:rPr>
      <w:rFonts w:cs="Times New Roman"/>
      <w:kern w:val="2"/>
      <w:sz w:val="18"/>
      <w:szCs w:val="18"/>
    </w:rPr>
  </w:style>
  <w:style w:type="character" w:customStyle="1" w:styleId="220">
    <w:name w:val="标题 3 字符"/>
    <w:qFormat/>
    <w:locked/>
    <w:uiPriority w:val="0"/>
    <w:rPr>
      <w:rFonts w:ascii="宋体" w:hAnsi="宋体" w:eastAsia="宋体" w:cs="宋体"/>
      <w:b/>
      <w:kern w:val="2"/>
      <w:sz w:val="32"/>
      <w:szCs w:val="32"/>
      <w:lang w:val="en-US" w:eastAsia="zh-CN"/>
    </w:rPr>
  </w:style>
  <w:style w:type="character" w:customStyle="1" w:styleId="221">
    <w:name w:val="标题 4 Char"/>
    <w:qFormat/>
    <w:locked/>
    <w:uiPriority w:val="9"/>
    <w:rPr>
      <w:rFonts w:ascii="Arial" w:hAnsi="Arial" w:eastAsia="黑体"/>
      <w:b/>
      <w:kern w:val="2"/>
      <w:sz w:val="28"/>
      <w:lang w:val="en-US" w:eastAsia="zh-CN"/>
    </w:rPr>
  </w:style>
  <w:style w:type="character" w:customStyle="1" w:styleId="222">
    <w:name w:val="标题2正文 Char Char"/>
    <w:link w:val="223"/>
    <w:qFormat/>
    <w:locked/>
    <w:uiPriority w:val="0"/>
    <w:rPr>
      <w:rFonts w:eastAsia="宋体"/>
      <w:sz w:val="24"/>
    </w:rPr>
  </w:style>
  <w:style w:type="paragraph" w:customStyle="1" w:styleId="223">
    <w:name w:val="标题2正文 Char"/>
    <w:basedOn w:val="1"/>
    <w:link w:val="222"/>
    <w:qFormat/>
    <w:uiPriority w:val="0"/>
    <w:pPr>
      <w:spacing w:beforeLines="50" w:afterLines="50"/>
      <w:ind w:right="38" w:rightChars="18" w:firstLine="420"/>
    </w:pPr>
    <w:rPr>
      <w:kern w:val="0"/>
      <w:sz w:val="24"/>
    </w:rPr>
  </w:style>
  <w:style w:type="character" w:customStyle="1" w:styleId="224">
    <w:name w:val="标题 7 Char"/>
    <w:qFormat/>
    <w:locked/>
    <w:uiPriority w:val="0"/>
    <w:rPr>
      <w:b/>
      <w:kern w:val="2"/>
      <w:sz w:val="24"/>
    </w:rPr>
  </w:style>
  <w:style w:type="character" w:customStyle="1" w:styleId="225">
    <w:name w:val="标题 Char"/>
    <w:link w:val="44"/>
    <w:qFormat/>
    <w:uiPriority w:val="0"/>
    <w:rPr>
      <w:rFonts w:ascii="Arial" w:hAnsi="Arial" w:eastAsia="仿宋_GB2312" w:cs="宋体"/>
      <w:b/>
      <w:bCs/>
      <w:kern w:val="2"/>
      <w:sz w:val="36"/>
      <w:szCs w:val="32"/>
    </w:rPr>
  </w:style>
  <w:style w:type="character" w:customStyle="1" w:styleId="226">
    <w:name w:val="hui3"/>
    <w:qFormat/>
    <w:uiPriority w:val="0"/>
    <w:rPr>
      <w:color w:val="333333"/>
    </w:rPr>
  </w:style>
  <w:style w:type="character" w:customStyle="1" w:styleId="227">
    <w:name w:val="标题 7 Char1"/>
    <w:link w:val="9"/>
    <w:qFormat/>
    <w:locked/>
    <w:uiPriority w:val="9"/>
    <w:rPr>
      <w:b/>
      <w:kern w:val="2"/>
      <w:sz w:val="24"/>
    </w:rPr>
  </w:style>
  <w:style w:type="character" w:customStyle="1" w:styleId="228">
    <w:name w:val="Table Description Char"/>
    <w:link w:val="229"/>
    <w:qFormat/>
    <w:uiPriority w:val="0"/>
    <w:rPr>
      <w:rFonts w:ascii="Arial" w:hAnsi="Arial" w:eastAsia="黑体" w:cs="Arial Narrow"/>
      <w:sz w:val="21"/>
    </w:rPr>
  </w:style>
  <w:style w:type="paragraph" w:customStyle="1" w:styleId="229">
    <w:name w:val="Table Description"/>
    <w:link w:val="228"/>
    <w:qFormat/>
    <w:uiPriority w:val="0"/>
    <w:pPr>
      <w:keepNext/>
      <w:keepLines/>
      <w:spacing w:before="40" w:after="40" w:line="360" w:lineRule="exact"/>
      <w:ind w:left="1134" w:hanging="510"/>
    </w:pPr>
    <w:rPr>
      <w:rFonts w:ascii="Arial" w:hAnsi="Arial" w:eastAsia="黑体" w:cs="Arial Narrow"/>
      <w:sz w:val="21"/>
      <w:lang w:val="en-US" w:eastAsia="zh-CN" w:bidi="ar-SA"/>
    </w:rPr>
  </w:style>
  <w:style w:type="character" w:customStyle="1" w:styleId="230">
    <w:name w:val="HTML 预设格式 Char"/>
    <w:qFormat/>
    <w:locked/>
    <w:uiPriority w:val="99"/>
    <w:rPr>
      <w:rFonts w:ascii="Courier New" w:hAnsi="Courier New"/>
      <w:kern w:val="2"/>
    </w:rPr>
  </w:style>
  <w:style w:type="character" w:customStyle="1" w:styleId="231">
    <w:name w:val="正文首行缩进 2 Char"/>
    <w:link w:val="46"/>
    <w:qFormat/>
    <w:uiPriority w:val="0"/>
    <w:rPr>
      <w:rFonts w:hint="default" w:ascii="Calibri" w:hAnsi="Calibri" w:cs="Times New Roman"/>
      <w:kern w:val="2"/>
      <w:sz w:val="24"/>
      <w:szCs w:val="22"/>
      <w:lang w:val="zh-CN"/>
    </w:rPr>
  </w:style>
  <w:style w:type="character" w:customStyle="1" w:styleId="232">
    <w:name w:val="正文文本 2 Char"/>
    <w:qFormat/>
    <w:locked/>
    <w:uiPriority w:val="99"/>
    <w:rPr>
      <w:rFonts w:eastAsia="宋体"/>
      <w:sz w:val="24"/>
    </w:rPr>
  </w:style>
  <w:style w:type="character" w:customStyle="1" w:styleId="233">
    <w:name w:val="批注主题 Char"/>
    <w:qFormat/>
    <w:locked/>
    <w:uiPriority w:val="99"/>
    <w:rPr>
      <w:rFonts w:cs="Times New Roman"/>
      <w:b/>
      <w:bCs/>
      <w:kern w:val="2"/>
      <w:sz w:val="21"/>
    </w:rPr>
  </w:style>
  <w:style w:type="character" w:customStyle="1" w:styleId="234">
    <w:name w:val="标题 字符"/>
    <w:qFormat/>
    <w:uiPriority w:val="0"/>
    <w:rPr>
      <w:rFonts w:ascii="等线 Light" w:hAnsi="等线 Light" w:eastAsia="等线 Light" w:cs="Times New Roman"/>
      <w:b/>
      <w:bCs/>
      <w:kern w:val="2"/>
      <w:sz w:val="32"/>
      <w:szCs w:val="32"/>
    </w:rPr>
  </w:style>
  <w:style w:type="character" w:customStyle="1" w:styleId="235">
    <w:name w:val="标题 2 字符"/>
    <w:qFormat/>
    <w:locked/>
    <w:uiPriority w:val="0"/>
    <w:rPr>
      <w:rFonts w:ascii="Cambria" w:hAnsi="Cambria" w:eastAsia="宋体" w:cs="Cambria"/>
      <w:kern w:val="2"/>
      <w:sz w:val="21"/>
      <w:szCs w:val="21"/>
      <w:lang w:val="en-US" w:eastAsia="zh-CN"/>
    </w:rPr>
  </w:style>
  <w:style w:type="character" w:customStyle="1" w:styleId="236">
    <w:name w:val="纯文本 Char"/>
    <w:qFormat/>
    <w:uiPriority w:val="0"/>
    <w:rPr>
      <w:rFonts w:ascii="宋体" w:hAnsi="宋体" w:eastAsia="宋体"/>
      <w:color w:val="000000"/>
      <w:sz w:val="24"/>
      <w:lang w:val="en-US" w:eastAsia="zh-CN"/>
    </w:rPr>
  </w:style>
  <w:style w:type="character" w:customStyle="1" w:styleId="237">
    <w:name w:val="未处理的提及4"/>
    <w:unhideWhenUsed/>
    <w:qFormat/>
    <w:uiPriority w:val="99"/>
    <w:rPr>
      <w:color w:val="605E5C"/>
      <w:shd w:val="clear" w:color="auto" w:fill="E1DFDD"/>
    </w:rPr>
  </w:style>
  <w:style w:type="character" w:customStyle="1" w:styleId="238">
    <w:name w:val="正文文本缩进 Char1"/>
    <w:qFormat/>
    <w:uiPriority w:val="0"/>
    <w:rPr>
      <w:rFonts w:eastAsia="方正书宋简体"/>
      <w:kern w:val="2"/>
      <w:sz w:val="24"/>
      <w:lang w:val="en-US" w:eastAsia="zh-CN"/>
    </w:rPr>
  </w:style>
  <w:style w:type="character" w:customStyle="1" w:styleId="239">
    <w:name w:val="正文文本 2 字符1"/>
    <w:semiHidden/>
    <w:qFormat/>
    <w:uiPriority w:val="99"/>
    <w:rPr>
      <w:kern w:val="2"/>
      <w:sz w:val="21"/>
    </w:rPr>
  </w:style>
  <w:style w:type="character" w:customStyle="1" w:styleId="240">
    <w:name w:val="font31"/>
    <w:qFormat/>
    <w:uiPriority w:val="0"/>
    <w:rPr>
      <w:rFonts w:hint="eastAsia" w:ascii="宋体" w:hAnsi="宋体" w:eastAsia="宋体" w:cs="宋体"/>
      <w:color w:val="000000"/>
      <w:sz w:val="18"/>
      <w:szCs w:val="18"/>
      <w:u w:val="none"/>
    </w:rPr>
  </w:style>
  <w:style w:type="character" w:customStyle="1" w:styleId="241">
    <w:name w:val="Figure Description Char"/>
    <w:link w:val="242"/>
    <w:qFormat/>
    <w:uiPriority w:val="0"/>
    <w:rPr>
      <w:rFonts w:ascii="Arial" w:hAnsi="Arial" w:eastAsia="黑体" w:cs="Arial Narrow"/>
      <w:sz w:val="21"/>
    </w:rPr>
  </w:style>
  <w:style w:type="paragraph" w:customStyle="1" w:styleId="242">
    <w:name w:val="Figure Description"/>
    <w:next w:val="1"/>
    <w:link w:val="241"/>
    <w:qFormat/>
    <w:uiPriority w:val="0"/>
    <w:pPr>
      <w:keepNext/>
      <w:keepLines/>
      <w:spacing w:before="40" w:after="40" w:line="360" w:lineRule="exact"/>
      <w:ind w:firstLine="624"/>
    </w:pPr>
    <w:rPr>
      <w:rFonts w:ascii="Arial" w:hAnsi="Arial" w:eastAsia="黑体" w:cs="Arial Narrow"/>
      <w:sz w:val="21"/>
      <w:lang w:val="en-US" w:eastAsia="zh-CN" w:bidi="ar-SA"/>
    </w:rPr>
  </w:style>
  <w:style w:type="character" w:customStyle="1" w:styleId="243">
    <w:name w:val="批注文字 Char2"/>
    <w:link w:val="16"/>
    <w:qFormat/>
    <w:locked/>
    <w:uiPriority w:val="99"/>
    <w:rPr>
      <w:rFonts w:ascii="宋体" w:hAnsi="宋体" w:eastAsia="宋体" w:cs="宋体"/>
      <w:kern w:val="2"/>
      <w:sz w:val="21"/>
      <w:szCs w:val="21"/>
      <w:lang w:val="en-US" w:eastAsia="zh-CN"/>
    </w:rPr>
  </w:style>
  <w:style w:type="character" w:customStyle="1" w:styleId="244">
    <w:name w:val="页脚 Char1"/>
    <w:qFormat/>
    <w:locked/>
    <w:uiPriority w:val="99"/>
    <w:rPr>
      <w:rFonts w:ascii="宋体" w:hAnsi="宋体" w:eastAsia="宋体" w:cs="宋体"/>
      <w:kern w:val="2"/>
      <w:sz w:val="18"/>
      <w:szCs w:val="18"/>
      <w:lang w:val="en-US" w:eastAsia="zh-CN"/>
    </w:rPr>
  </w:style>
  <w:style w:type="character" w:customStyle="1" w:styleId="245">
    <w:name w:val="标题 9 Char"/>
    <w:qFormat/>
    <w:locked/>
    <w:uiPriority w:val="0"/>
    <w:rPr>
      <w:rFonts w:ascii="Arial" w:hAnsi="Arial" w:eastAsia="黑体"/>
      <w:kern w:val="2"/>
      <w:sz w:val="21"/>
    </w:rPr>
  </w:style>
  <w:style w:type="character" w:customStyle="1" w:styleId="246">
    <w:name w:val="标题 4 Char1"/>
    <w:link w:val="6"/>
    <w:qFormat/>
    <w:locked/>
    <w:uiPriority w:val="9"/>
    <w:rPr>
      <w:rFonts w:ascii="Arial" w:hAnsi="Arial" w:eastAsia="黑体"/>
      <w:b/>
      <w:kern w:val="2"/>
      <w:sz w:val="28"/>
      <w:lang w:val="en-US" w:eastAsia="zh-CN"/>
    </w:rPr>
  </w:style>
  <w:style w:type="character" w:customStyle="1" w:styleId="247">
    <w:name w:val="页脚 字符1"/>
    <w:semiHidden/>
    <w:qFormat/>
    <w:uiPriority w:val="99"/>
    <w:rPr>
      <w:kern w:val="2"/>
      <w:sz w:val="18"/>
      <w:szCs w:val="18"/>
    </w:rPr>
  </w:style>
  <w:style w:type="character" w:customStyle="1" w:styleId="248">
    <w:name w:val="日期 字符2"/>
    <w:qFormat/>
    <w:locked/>
    <w:uiPriority w:val="99"/>
    <w:rPr>
      <w:rFonts w:ascii="宋体" w:cs="Times New Roman"/>
      <w:sz w:val="24"/>
    </w:rPr>
  </w:style>
  <w:style w:type="character" w:customStyle="1" w:styleId="249">
    <w:name w:val="正文缩进 Char2"/>
    <w:link w:val="13"/>
    <w:qFormat/>
    <w:locked/>
    <w:uiPriority w:val="0"/>
    <w:rPr>
      <w:rFonts w:ascii="宋体" w:hAnsi="宋体" w:eastAsia="宋体" w:cs="宋体"/>
      <w:spacing w:val="14"/>
      <w:kern w:val="24"/>
      <w:sz w:val="24"/>
      <w:szCs w:val="24"/>
      <w:lang w:val="en-US" w:eastAsia="zh-CN"/>
    </w:rPr>
  </w:style>
  <w:style w:type="character" w:customStyle="1" w:styleId="250">
    <w:name w:val="font101"/>
    <w:qFormat/>
    <w:uiPriority w:val="0"/>
    <w:rPr>
      <w:rFonts w:hint="eastAsia" w:ascii="宋体" w:hAnsi="宋体" w:eastAsia="宋体" w:cs="宋体"/>
      <w:color w:val="FF0000"/>
      <w:sz w:val="20"/>
      <w:szCs w:val="20"/>
      <w:u w:val="none"/>
    </w:rPr>
  </w:style>
  <w:style w:type="character" w:customStyle="1" w:styleId="251">
    <w:name w:val="正文文本 Char"/>
    <w:qFormat/>
    <w:uiPriority w:val="0"/>
    <w:rPr>
      <w:rFonts w:eastAsia="宋体"/>
      <w:i/>
      <w:kern w:val="2"/>
      <w:sz w:val="18"/>
      <w:lang w:val="en-US" w:eastAsia="zh-CN"/>
    </w:rPr>
  </w:style>
  <w:style w:type="character" w:customStyle="1" w:styleId="252">
    <w:name w:val="样式 首行缩进:  0 字符 Char"/>
    <w:link w:val="253"/>
    <w:qFormat/>
    <w:uiPriority w:val="0"/>
    <w:rPr>
      <w:rFonts w:ascii="Arial" w:hAnsi="Arial" w:cs="宋体"/>
      <w:sz w:val="24"/>
    </w:rPr>
  </w:style>
  <w:style w:type="paragraph" w:customStyle="1" w:styleId="253">
    <w:name w:val="样式 首行缩进:  0 字符"/>
    <w:basedOn w:val="1"/>
    <w:link w:val="252"/>
    <w:qFormat/>
    <w:uiPriority w:val="0"/>
    <w:pPr>
      <w:spacing w:line="360" w:lineRule="auto"/>
      <w:ind w:firstLine="200" w:firstLineChars="200"/>
    </w:pPr>
    <w:rPr>
      <w:rFonts w:ascii="Arial" w:hAnsi="Arial" w:cs="宋体"/>
      <w:kern w:val="0"/>
      <w:sz w:val="24"/>
    </w:rPr>
  </w:style>
  <w:style w:type="character" w:customStyle="1" w:styleId="254">
    <w:name w:val="正文文本缩进 字符2"/>
    <w:semiHidden/>
    <w:qFormat/>
    <w:uiPriority w:val="99"/>
    <w:rPr>
      <w:kern w:val="2"/>
      <w:sz w:val="21"/>
    </w:rPr>
  </w:style>
  <w:style w:type="character" w:customStyle="1" w:styleId="255">
    <w:name w:val="编号，小四 Char"/>
    <w:link w:val="256"/>
    <w:qFormat/>
    <w:uiPriority w:val="0"/>
    <w:rPr>
      <w:rFonts w:ascii="Times New Roman" w:hAnsi="Times New Roman"/>
      <w:kern w:val="2"/>
      <w:sz w:val="24"/>
      <w:szCs w:val="22"/>
    </w:rPr>
  </w:style>
  <w:style w:type="paragraph" w:customStyle="1" w:styleId="256">
    <w:name w:val="编号，小四"/>
    <w:basedOn w:val="1"/>
    <w:link w:val="255"/>
    <w:qFormat/>
    <w:uiPriority w:val="0"/>
    <w:pPr>
      <w:numPr>
        <w:ilvl w:val="0"/>
        <w:numId w:val="2"/>
      </w:numPr>
      <w:spacing w:line="360" w:lineRule="auto"/>
      <w:ind w:firstLine="0"/>
    </w:pPr>
    <w:rPr>
      <w:rFonts w:ascii="Times New Roman" w:hAnsi="Times New Roman"/>
      <w:sz w:val="24"/>
      <w:szCs w:val="22"/>
    </w:rPr>
  </w:style>
  <w:style w:type="character" w:customStyle="1" w:styleId="257">
    <w:name w:val="正文首行缩进 Char"/>
    <w:link w:val="258"/>
    <w:qFormat/>
    <w:locked/>
    <w:uiPriority w:val="0"/>
    <w:rPr>
      <w:rFonts w:ascii="宋体" w:hAnsi="宋体" w:cs="宋体"/>
      <w:i/>
      <w:kern w:val="2"/>
      <w:sz w:val="24"/>
    </w:rPr>
  </w:style>
  <w:style w:type="paragraph" w:customStyle="1" w:styleId="258">
    <w:name w:val="_Style 253"/>
    <w:basedOn w:val="1"/>
    <w:next w:val="1"/>
    <w:link w:val="257"/>
    <w:qFormat/>
    <w:uiPriority w:val="0"/>
    <w:pPr>
      <w:ind w:left="1260"/>
      <w:jc w:val="left"/>
    </w:pPr>
    <w:rPr>
      <w:rFonts w:ascii="宋体" w:hAnsi="宋体" w:cs="宋体"/>
      <w:i/>
      <w:sz w:val="24"/>
    </w:rPr>
  </w:style>
  <w:style w:type="character" w:customStyle="1" w:styleId="259">
    <w:name w:val="apple-style-span"/>
    <w:qFormat/>
    <w:uiPriority w:val="0"/>
    <w:rPr>
      <w:rFonts w:cs="Times New Roman"/>
    </w:rPr>
  </w:style>
  <w:style w:type="character" w:customStyle="1" w:styleId="260">
    <w:name w:val="未处理的提及1"/>
    <w:unhideWhenUsed/>
    <w:qFormat/>
    <w:uiPriority w:val="99"/>
    <w:rPr>
      <w:color w:val="605E5C"/>
      <w:shd w:val="clear" w:color="auto" w:fill="E1DFDD"/>
    </w:rPr>
  </w:style>
  <w:style w:type="character" w:customStyle="1" w:styleId="261">
    <w:name w:val="题注 Char"/>
    <w:link w:val="14"/>
    <w:qFormat/>
    <w:locked/>
    <w:uiPriority w:val="0"/>
    <w:rPr>
      <w:rFonts w:ascii="Cambria" w:hAnsi="Cambria" w:eastAsia="黑体" w:cs="宋体"/>
      <w:kern w:val="2"/>
    </w:rPr>
  </w:style>
  <w:style w:type="character" w:customStyle="1" w:styleId="262">
    <w:name w:val="正文文本 Char3"/>
    <w:link w:val="18"/>
    <w:qFormat/>
    <w:locked/>
    <w:uiPriority w:val="99"/>
    <w:rPr>
      <w:rFonts w:ascii="宋体" w:hAnsi="宋体" w:eastAsia="宋体" w:cs="宋体"/>
      <w:lang w:val="en-US" w:eastAsia="zh-CN"/>
    </w:rPr>
  </w:style>
  <w:style w:type="character" w:customStyle="1" w:styleId="263">
    <w:name w:val="金保标题3 Char"/>
    <w:link w:val="264"/>
    <w:qFormat/>
    <w:locked/>
    <w:uiPriority w:val="0"/>
    <w:rPr>
      <w:rFonts w:ascii="楷体" w:hAnsi="楷体" w:eastAsia="楷体"/>
      <w:b/>
      <w:sz w:val="28"/>
    </w:rPr>
  </w:style>
  <w:style w:type="paragraph" w:customStyle="1" w:styleId="264">
    <w:name w:val="金保标题3"/>
    <w:basedOn w:val="5"/>
    <w:next w:val="1"/>
    <w:link w:val="263"/>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65">
    <w:name w:val="正文文本缩进 3 Char2"/>
    <w:link w:val="36"/>
    <w:qFormat/>
    <w:locked/>
    <w:uiPriority w:val="99"/>
    <w:rPr>
      <w:rFonts w:ascii="宋体" w:hAnsi="宋体" w:eastAsia="宋体" w:cs="宋体"/>
      <w:b/>
      <w:kern w:val="2"/>
      <w:sz w:val="24"/>
      <w:szCs w:val="24"/>
      <w:lang w:val="en-US" w:eastAsia="zh-CN"/>
    </w:rPr>
  </w:style>
  <w:style w:type="character" w:customStyle="1" w:styleId="266">
    <w:name w:val="正文对齐 Char"/>
    <w:link w:val="267"/>
    <w:qFormat/>
    <w:uiPriority w:val="0"/>
    <w:rPr>
      <w:rFonts w:ascii="宋体" w:hAnsi="宋体" w:eastAsia="仿宋_GB2312" w:cs="宋体"/>
      <w:kern w:val="2"/>
      <w:sz w:val="21"/>
      <w:szCs w:val="21"/>
    </w:rPr>
  </w:style>
  <w:style w:type="paragraph" w:customStyle="1" w:styleId="267">
    <w:name w:val="正文对齐"/>
    <w:basedOn w:val="1"/>
    <w:link w:val="266"/>
    <w:qFormat/>
    <w:uiPriority w:val="0"/>
    <w:pPr>
      <w:spacing w:after="120" w:line="360" w:lineRule="auto"/>
      <w:ind w:left="400" w:leftChars="400"/>
    </w:pPr>
    <w:rPr>
      <w:rFonts w:ascii="宋体" w:hAnsi="宋体" w:eastAsia="仿宋_GB2312" w:cs="宋体"/>
      <w:szCs w:val="21"/>
    </w:rPr>
  </w:style>
  <w:style w:type="character" w:customStyle="1" w:styleId="268">
    <w:name w:val="正文2 Char"/>
    <w:link w:val="269"/>
    <w:qFormat/>
    <w:uiPriority w:val="0"/>
    <w:rPr>
      <w:rFonts w:ascii="宋体" w:hAnsi="宋体"/>
      <w:kern w:val="2"/>
      <w:sz w:val="24"/>
      <w:szCs w:val="24"/>
    </w:rPr>
  </w:style>
  <w:style w:type="paragraph" w:customStyle="1" w:styleId="269">
    <w:name w:val="正文2"/>
    <w:basedOn w:val="1"/>
    <w:link w:val="268"/>
    <w:qFormat/>
    <w:uiPriority w:val="0"/>
    <w:pPr>
      <w:spacing w:beforeLines="50" w:afterLines="50" w:line="360" w:lineRule="auto"/>
      <w:ind w:firstLine="480" w:firstLineChars="200"/>
    </w:pPr>
    <w:rPr>
      <w:rFonts w:ascii="宋体" w:hAnsi="宋体"/>
      <w:sz w:val="24"/>
      <w:szCs w:val="24"/>
    </w:rPr>
  </w:style>
  <w:style w:type="character" w:customStyle="1" w:styleId="270">
    <w:name w:val="正文文本 Char2"/>
    <w:qFormat/>
    <w:locked/>
    <w:uiPriority w:val="99"/>
    <w:rPr>
      <w:rFonts w:ascii="宋体" w:hAnsi="宋体" w:eastAsia="宋体" w:cs="宋体"/>
      <w:lang w:val="en-US" w:eastAsia="zh-CN"/>
    </w:rPr>
  </w:style>
  <w:style w:type="character" w:customStyle="1" w:styleId="271">
    <w:name w:val="标题 2 Char"/>
    <w:qFormat/>
    <w:uiPriority w:val="9"/>
    <w:rPr>
      <w:rFonts w:ascii="Arial" w:hAnsi="Arial" w:eastAsia="黑体"/>
      <w:b/>
      <w:kern w:val="2"/>
      <w:sz w:val="32"/>
      <w:lang w:val="en-US" w:eastAsia="zh-CN"/>
    </w:rPr>
  </w:style>
  <w:style w:type="character" w:customStyle="1" w:styleId="272">
    <w:name w:val="正文文本缩进 2 字符1"/>
    <w:semiHidden/>
    <w:qFormat/>
    <w:uiPriority w:val="99"/>
    <w:rPr>
      <w:kern w:val="2"/>
      <w:sz w:val="21"/>
    </w:rPr>
  </w:style>
  <w:style w:type="character" w:customStyle="1" w:styleId="273">
    <w:name w:val="批注主题 字符"/>
    <w:qFormat/>
    <w:locked/>
    <w:uiPriority w:val="0"/>
    <w:rPr>
      <w:rFonts w:ascii="宋体" w:hAnsi="宋体" w:eastAsia="宋体" w:cs="宋体"/>
      <w:b/>
      <w:kern w:val="2"/>
      <w:sz w:val="21"/>
      <w:szCs w:val="21"/>
      <w:lang w:val="en-US" w:eastAsia="zh-CN"/>
    </w:rPr>
  </w:style>
  <w:style w:type="character" w:customStyle="1" w:styleId="274">
    <w:name w:val="页脚 字符"/>
    <w:qFormat/>
    <w:locked/>
    <w:uiPriority w:val="99"/>
    <w:rPr>
      <w:rFonts w:ascii="宋体" w:hAnsi="宋体" w:eastAsia="宋体" w:cs="宋体"/>
      <w:kern w:val="2"/>
      <w:sz w:val="18"/>
      <w:szCs w:val="18"/>
      <w:lang w:val="en-US" w:eastAsia="zh-CN"/>
    </w:rPr>
  </w:style>
  <w:style w:type="character" w:customStyle="1" w:styleId="275">
    <w:name w:val="标题 1 Char2"/>
    <w:link w:val="3"/>
    <w:qFormat/>
    <w:locked/>
    <w:uiPriority w:val="9"/>
    <w:rPr>
      <w:rFonts w:ascii="宋体" w:hAnsi="宋体" w:eastAsia="宋体" w:cs="宋体"/>
      <w:b/>
      <w:kern w:val="44"/>
      <w:sz w:val="44"/>
      <w:szCs w:val="44"/>
      <w:lang w:val="en-US" w:eastAsia="zh-CN"/>
    </w:rPr>
  </w:style>
  <w:style w:type="paragraph" w:customStyle="1" w:styleId="276">
    <w:name w:val="xl115"/>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277">
    <w:name w:val="Table Paragraph"/>
    <w:basedOn w:val="1"/>
    <w:unhideWhenUsed/>
    <w:qFormat/>
    <w:uiPriority w:val="1"/>
    <w:pPr>
      <w:spacing w:before="100" w:beforeAutospacing="1" w:after="100" w:afterAutospacing="1" w:line="360" w:lineRule="auto"/>
    </w:pPr>
    <w:rPr>
      <w:sz w:val="24"/>
      <w:szCs w:val="24"/>
    </w:rPr>
  </w:style>
  <w:style w:type="paragraph" w:customStyle="1" w:styleId="278">
    <w:name w:val="表格小4字"/>
    <w:basedOn w:val="1"/>
    <w:qFormat/>
    <w:uiPriority w:val="0"/>
    <w:pPr>
      <w:adjustRightInd w:val="0"/>
      <w:snapToGrid w:val="0"/>
      <w:spacing w:line="264" w:lineRule="auto"/>
      <w:jc w:val="left"/>
    </w:pPr>
    <w:rPr>
      <w:rFonts w:ascii="仿宋" w:hAnsi="仿宋" w:eastAsia="仿宋"/>
      <w:sz w:val="24"/>
      <w:szCs w:val="28"/>
    </w:rPr>
  </w:style>
  <w:style w:type="paragraph" w:customStyle="1" w:styleId="279">
    <w:name w:val="彩色列表 - 强调文字颜色 11"/>
    <w:basedOn w:val="1"/>
    <w:qFormat/>
    <w:uiPriority w:val="0"/>
    <w:pPr>
      <w:ind w:firstLine="420" w:firstLineChars="200"/>
    </w:pPr>
    <w:rPr>
      <w:szCs w:val="22"/>
    </w:rPr>
  </w:style>
  <w:style w:type="paragraph" w:customStyle="1" w:styleId="280">
    <w:name w:val="符号 2"/>
    <w:basedOn w:val="281"/>
    <w:qFormat/>
    <w:uiPriority w:val="0"/>
    <w:pPr>
      <w:tabs>
        <w:tab w:val="left" w:pos="900"/>
        <w:tab w:val="left" w:pos="1320"/>
      </w:tabs>
      <w:ind w:left="1320" w:hanging="420"/>
    </w:pPr>
  </w:style>
  <w:style w:type="paragraph" w:customStyle="1" w:styleId="281">
    <w:name w:val="符号 1"/>
    <w:basedOn w:val="20"/>
    <w:qFormat/>
    <w:uiPriority w:val="0"/>
    <w:pPr>
      <w:tabs>
        <w:tab w:val="left" w:pos="900"/>
      </w:tabs>
      <w:spacing w:line="360" w:lineRule="auto"/>
      <w:ind w:left="1200" w:hanging="720"/>
    </w:pPr>
    <w:rPr>
      <w:rFonts w:eastAsia="宋体"/>
      <w:kern w:val="28"/>
      <w:szCs w:val="24"/>
    </w:rPr>
  </w:style>
  <w:style w:type="paragraph" w:customStyle="1" w:styleId="28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3">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8"/>
      <w:szCs w:val="24"/>
    </w:rPr>
  </w:style>
  <w:style w:type="paragraph" w:customStyle="1" w:styleId="284">
    <w:name w:val="font5"/>
    <w:basedOn w:val="1"/>
    <w:qFormat/>
    <w:uiPriority w:val="0"/>
    <w:pPr>
      <w:widowControl/>
      <w:spacing w:before="100" w:beforeAutospacing="1" w:after="100" w:afterAutospacing="1" w:line="360" w:lineRule="auto"/>
      <w:jc w:val="left"/>
    </w:pPr>
    <w:rPr>
      <w:rFonts w:ascii="宋体" w:hAnsi="宋体" w:eastAsia="仿宋_GB2312" w:cs="宋体"/>
      <w:kern w:val="0"/>
      <w:sz w:val="18"/>
      <w:szCs w:val="18"/>
    </w:rPr>
  </w:style>
  <w:style w:type="paragraph" w:customStyle="1" w:styleId="285">
    <w:name w:val="xl90"/>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0"/>
    </w:rPr>
  </w:style>
  <w:style w:type="paragraph" w:customStyle="1" w:styleId="287">
    <w:name w:val="xl112"/>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88">
    <w:name w:val="xl97"/>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289">
    <w:name w:val="正文段"/>
    <w:basedOn w:val="1"/>
    <w:qFormat/>
    <w:uiPriority w:val="0"/>
    <w:pPr>
      <w:widowControl/>
      <w:snapToGrid w:val="0"/>
      <w:spacing w:afterLines="50"/>
      <w:ind w:firstLine="200" w:firstLineChars="200"/>
    </w:pPr>
    <w:rPr>
      <w:kern w:val="0"/>
      <w:sz w:val="24"/>
    </w:rPr>
  </w:style>
  <w:style w:type="paragraph" w:customStyle="1" w:styleId="290">
    <w:name w:val="列出段落11"/>
    <w:basedOn w:val="1"/>
    <w:qFormat/>
    <w:uiPriority w:val="34"/>
    <w:pPr>
      <w:ind w:firstLine="420" w:firstLineChars="200"/>
    </w:pPr>
    <w:rPr>
      <w:szCs w:val="24"/>
    </w:rPr>
  </w:style>
  <w:style w:type="paragraph" w:customStyle="1" w:styleId="291">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Times New Roman" w:hAnsi="Times New Roman"/>
      <w:kern w:val="0"/>
      <w:sz w:val="15"/>
      <w:szCs w:val="15"/>
    </w:rPr>
  </w:style>
  <w:style w:type="paragraph" w:customStyle="1" w:styleId="292">
    <w:name w:val="Char Char Char Char"/>
    <w:basedOn w:val="1"/>
    <w:qFormat/>
    <w:uiPriority w:val="0"/>
    <w:pPr>
      <w:widowControl/>
      <w:spacing w:line="400" w:lineRule="exact"/>
      <w:jc w:val="center"/>
    </w:pPr>
    <w:rPr>
      <w:rFonts w:ascii="Verdana" w:hAnsi="Verdana"/>
      <w:kern w:val="0"/>
      <w:lang w:eastAsia="en-US"/>
    </w:rPr>
  </w:style>
  <w:style w:type="paragraph" w:customStyle="1" w:styleId="293">
    <w:name w:val="Item List in Table_2"/>
    <w:basedOn w:val="1"/>
    <w:qFormat/>
    <w:uiPriority w:val="0"/>
    <w:pPr>
      <w:tabs>
        <w:tab w:val="left" w:pos="510"/>
      </w:tabs>
      <w:spacing w:before="80" w:after="80"/>
      <w:ind w:left="510"/>
      <w:jc w:val="left"/>
    </w:pPr>
    <w:rPr>
      <w:rFonts w:ascii="等线" w:hAnsi="等线" w:eastAsia="等线"/>
      <w:sz w:val="18"/>
      <w:szCs w:val="18"/>
      <w:lang w:eastAsia="en-US"/>
    </w:rPr>
  </w:style>
  <w:style w:type="paragraph" w:customStyle="1" w:styleId="294">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295">
    <w:name w:val="xl128"/>
    <w:basedOn w:val="1"/>
    <w:qFormat/>
    <w:uiPriority w:val="0"/>
    <w:pPr>
      <w:widowControl/>
      <w:pBdr>
        <w:top w:val="single" w:color="auto" w:sz="8" w:space="0"/>
        <w:left w:val="single" w:color="000000" w:sz="8" w:space="0"/>
        <w:bottom w:val="single" w:color="auto" w:sz="8" w:space="0"/>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296">
    <w:name w:val="表格正文"/>
    <w:basedOn w:val="1"/>
    <w:qFormat/>
    <w:uiPriority w:val="0"/>
    <w:rPr>
      <w:rFonts w:eastAsia="黑体"/>
    </w:rPr>
  </w:style>
  <w:style w:type="paragraph" w:customStyle="1" w:styleId="297">
    <w:name w:val="xl123"/>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298">
    <w:name w:val="xl119"/>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15"/>
      <w:szCs w:val="15"/>
    </w:rPr>
  </w:style>
  <w:style w:type="paragraph" w:customStyle="1" w:styleId="299">
    <w:name w:val="[正文行首缩进]"/>
    <w:qFormat/>
    <w:uiPriority w:val="0"/>
    <w:pPr>
      <w:widowControl w:val="0"/>
      <w:spacing w:line="360" w:lineRule="auto"/>
      <w:ind w:firstLine="200" w:firstLineChars="200"/>
      <w:jc w:val="both"/>
    </w:pPr>
    <w:rPr>
      <w:rFonts w:ascii="Calibri" w:hAnsi="Calibri" w:eastAsia="宋体" w:cs="Times New Roman"/>
      <w:color w:val="000000"/>
      <w:sz w:val="24"/>
      <w:szCs w:val="24"/>
      <w:lang w:val="en-US" w:eastAsia="zh-CN" w:bidi="ar-SA"/>
    </w:rPr>
  </w:style>
  <w:style w:type="paragraph" w:customStyle="1" w:styleId="300">
    <w:name w:val="Char Char Char1 Char"/>
    <w:basedOn w:val="1"/>
    <w:qFormat/>
    <w:uiPriority w:val="0"/>
    <w:pPr>
      <w:spacing w:line="360" w:lineRule="auto"/>
      <w:ind w:firstLine="200" w:firstLineChars="200"/>
    </w:pPr>
  </w:style>
  <w:style w:type="paragraph" w:customStyle="1" w:styleId="30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2">
    <w:name w:val="xl100"/>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30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304">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6"/>
      <w:szCs w:val="16"/>
    </w:rPr>
  </w:style>
  <w:style w:type="paragraph" w:customStyle="1" w:styleId="305">
    <w:name w:val="msolistparagraph"/>
    <w:basedOn w:val="1"/>
    <w:qFormat/>
    <w:uiPriority w:val="0"/>
    <w:pPr>
      <w:spacing w:line="360" w:lineRule="auto"/>
      <w:ind w:firstLine="420" w:firstLineChars="200"/>
    </w:pPr>
    <w:rPr>
      <w:sz w:val="24"/>
      <w:szCs w:val="22"/>
    </w:rPr>
  </w:style>
  <w:style w:type="paragraph" w:customStyle="1" w:styleId="306">
    <w:name w:val="xl9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307">
    <w:name w:val="p0"/>
    <w:basedOn w:val="1"/>
    <w:qFormat/>
    <w:uiPriority w:val="0"/>
    <w:pPr>
      <w:widowControl/>
    </w:pPr>
    <w:rPr>
      <w:kern w:val="0"/>
      <w:szCs w:val="21"/>
    </w:rPr>
  </w:style>
  <w:style w:type="paragraph" w:customStyle="1" w:styleId="308">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0">
    <w:name w:val="xl106"/>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311">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_Style 3"/>
    <w:basedOn w:val="1"/>
    <w:qFormat/>
    <w:uiPriority w:val="0"/>
    <w:pPr>
      <w:spacing w:line="360" w:lineRule="auto"/>
    </w:pPr>
    <w:rPr>
      <w:rFonts w:ascii="宋体" w:hAnsi="宋体" w:eastAsia="仿宋_GB2312" w:cs="宋体"/>
      <w:sz w:val="28"/>
    </w:rPr>
  </w:style>
  <w:style w:type="paragraph" w:customStyle="1" w:styleId="3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b/>
      <w:bCs/>
      <w:color w:val="000000"/>
      <w:kern w:val="0"/>
      <w:sz w:val="28"/>
      <w:szCs w:val="24"/>
    </w:rPr>
  </w:style>
  <w:style w:type="paragraph" w:customStyle="1" w:styleId="314">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315">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316">
    <w:name w:val="xl126"/>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b/>
      <w:bCs/>
      <w:kern w:val="0"/>
      <w:sz w:val="15"/>
      <w:szCs w:val="15"/>
    </w:rPr>
  </w:style>
  <w:style w:type="paragraph" w:customStyle="1" w:styleId="317">
    <w:name w:val="Char1"/>
    <w:basedOn w:val="1"/>
    <w:qFormat/>
    <w:uiPriority w:val="0"/>
    <w:rPr>
      <w:rFonts w:ascii="仿宋_GB2312" w:eastAsia="仿宋_GB2312"/>
      <w:b/>
      <w:sz w:val="32"/>
      <w:szCs w:val="32"/>
    </w:rPr>
  </w:style>
  <w:style w:type="paragraph" w:customStyle="1" w:styleId="318">
    <w:name w:val="列出段落4"/>
    <w:basedOn w:val="1"/>
    <w:qFormat/>
    <w:uiPriority w:val="0"/>
    <w:pPr>
      <w:spacing w:line="360" w:lineRule="auto"/>
      <w:ind w:firstLine="420" w:firstLineChars="200"/>
    </w:pPr>
    <w:rPr>
      <w:rFonts w:eastAsia="仿宋_GB2312" w:cs="Calibri"/>
      <w:sz w:val="28"/>
      <w:szCs w:val="21"/>
    </w:rPr>
  </w:style>
  <w:style w:type="paragraph" w:customStyle="1" w:styleId="319">
    <w:name w:val="Notes Icons"/>
    <w:qFormat/>
    <w:uiPriority w:val="0"/>
    <w:pPr>
      <w:spacing w:before="80"/>
    </w:pPr>
    <w:rPr>
      <w:rFonts w:ascii="Calibri" w:hAnsi="Calibri" w:eastAsia="宋体" w:cs="Arial"/>
      <w:sz w:val="22"/>
      <w:lang w:val="en-US" w:eastAsia="en-US" w:bidi="ar-SA"/>
    </w:rPr>
  </w:style>
  <w:style w:type="paragraph" w:customStyle="1" w:styleId="320">
    <w:name w:val="xl91"/>
    <w:basedOn w:val="1"/>
    <w:qFormat/>
    <w:uiPriority w:val="0"/>
    <w:pPr>
      <w:widowControl/>
      <w:pBdr>
        <w:top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321">
    <w:name w:val="默认段落字体 Para Char Char Char Char Char Char Char Char Char Char"/>
    <w:basedOn w:val="1"/>
    <w:qFormat/>
    <w:uiPriority w:val="0"/>
    <w:rPr>
      <w:rFonts w:ascii="Tahoma" w:hAnsi="Tahoma"/>
      <w:sz w:val="24"/>
    </w:rPr>
  </w:style>
  <w:style w:type="paragraph" w:customStyle="1" w:styleId="322">
    <w:name w:val="列出段落21"/>
    <w:basedOn w:val="1"/>
    <w:qFormat/>
    <w:uiPriority w:val="34"/>
    <w:pPr>
      <w:widowControl/>
      <w:spacing w:after="200" w:line="276" w:lineRule="auto"/>
      <w:ind w:left="720"/>
      <w:contextualSpacing/>
      <w:jc w:val="left"/>
    </w:pPr>
    <w:rPr>
      <w:kern w:val="0"/>
      <w:sz w:val="22"/>
      <w:szCs w:val="22"/>
    </w:rPr>
  </w:style>
  <w:style w:type="paragraph" w:customStyle="1" w:styleId="32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24">
    <w:name w:val="xl65"/>
    <w:basedOn w:val="1"/>
    <w:qFormat/>
    <w:uiPriority w:val="0"/>
    <w:pPr>
      <w:widowControl/>
      <w:spacing w:before="100" w:beforeAutospacing="1" w:after="100" w:afterAutospacing="1" w:line="360" w:lineRule="auto"/>
      <w:jc w:val="center"/>
    </w:pPr>
    <w:rPr>
      <w:rFonts w:ascii="宋体" w:hAnsi="宋体" w:eastAsia="仿宋_GB2312" w:cs="宋体"/>
      <w:kern w:val="0"/>
      <w:sz w:val="28"/>
      <w:szCs w:val="24"/>
    </w:rPr>
  </w:style>
  <w:style w:type="paragraph" w:customStyle="1" w:styleId="325">
    <w:name w:val="Notes Text List in Table"/>
    <w:qFormat/>
    <w:uiPriority w:val="0"/>
    <w:pPr>
      <w:tabs>
        <w:tab w:val="left" w:pos="284"/>
      </w:tabs>
      <w:spacing w:before="80" w:after="80"/>
      <w:ind w:left="284" w:hanging="284"/>
    </w:pPr>
    <w:rPr>
      <w:rFonts w:ascii="Arial" w:hAnsi="Arial" w:eastAsia="华文楷体" w:cs="楷体_GB2312"/>
      <w:sz w:val="18"/>
      <w:szCs w:val="18"/>
      <w:lang w:val="en-US" w:eastAsia="zh-CN" w:bidi="ar-SA"/>
    </w:rPr>
  </w:style>
  <w:style w:type="paragraph" w:customStyle="1" w:styleId="326">
    <w:name w:val="xl116"/>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327">
    <w:name w:val="xl87"/>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328">
    <w:name w:val="样式 宋体 段前: 0.4 行 段后: 0.4 行 行距: 1.5 倍行距 首行缩进:  2 字符"/>
    <w:basedOn w:val="1"/>
    <w:qFormat/>
    <w:uiPriority w:val="0"/>
    <w:pPr>
      <w:spacing w:beforeLines="40" w:afterLines="40" w:line="360" w:lineRule="auto"/>
      <w:ind w:firstLine="480" w:firstLineChars="200"/>
    </w:pPr>
    <w:rPr>
      <w:rFonts w:ascii="宋体" w:hAnsi="宋体" w:eastAsia="仿宋_GB2312" w:cs="宋体"/>
      <w:sz w:val="28"/>
    </w:rPr>
  </w:style>
  <w:style w:type="paragraph" w:customStyle="1" w:styleId="329">
    <w:name w:val="Figure"/>
    <w:next w:val="1"/>
    <w:qFormat/>
    <w:uiPriority w:val="0"/>
    <w:pPr>
      <w:spacing w:before="40" w:after="40"/>
      <w:ind w:left="624"/>
    </w:pPr>
    <w:rPr>
      <w:rFonts w:ascii="Arial" w:hAnsi="Arial" w:eastAsia="宋体" w:cs="Arial"/>
      <w:kern w:val="2"/>
      <w:sz w:val="21"/>
      <w:szCs w:val="22"/>
      <w:lang w:val="en-US" w:eastAsia="zh-CN" w:bidi="ar-SA"/>
    </w:rPr>
  </w:style>
  <w:style w:type="paragraph" w:customStyle="1" w:styleId="330">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3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8"/>
      <w:szCs w:val="24"/>
    </w:rPr>
  </w:style>
  <w:style w:type="paragraph" w:customStyle="1" w:styleId="332">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color w:val="FF0000"/>
      <w:kern w:val="0"/>
      <w:sz w:val="28"/>
      <w:szCs w:val="24"/>
    </w:rPr>
  </w:style>
  <w:style w:type="paragraph" w:customStyle="1" w:styleId="334">
    <w:name w:val="xl13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335">
    <w:name w:val="xl12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kern w:val="0"/>
      <w:sz w:val="15"/>
      <w:szCs w:val="15"/>
    </w:rPr>
  </w:style>
  <w:style w:type="paragraph" w:customStyle="1" w:styleId="336">
    <w:name w:val="xl84"/>
    <w:basedOn w:val="1"/>
    <w:qFormat/>
    <w:uiPriority w:val="0"/>
    <w:pPr>
      <w:widowControl/>
      <w:pBdr>
        <w:right w:val="single" w:color="auto" w:sz="8" w:space="0"/>
      </w:pBdr>
      <w:spacing w:before="100" w:beforeAutospacing="1" w:after="100" w:afterAutospacing="1"/>
      <w:jc w:val="left"/>
      <w:textAlignment w:val="center"/>
    </w:pPr>
    <w:rPr>
      <w:rFonts w:ascii="Times New Roman" w:hAnsi="Times New Roman"/>
      <w:kern w:val="0"/>
      <w:sz w:val="15"/>
      <w:szCs w:val="15"/>
    </w:rPr>
  </w:style>
  <w:style w:type="paragraph" w:customStyle="1" w:styleId="337">
    <w:name w:val="xl12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b/>
      <w:bCs/>
      <w:kern w:val="0"/>
      <w:sz w:val="15"/>
      <w:szCs w:val="15"/>
    </w:rPr>
  </w:style>
  <w:style w:type="paragraph" w:customStyle="1" w:styleId="338">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339">
    <w:name w:val="默认段落字体 Para Char Char Char Char Char Char Char Char Char1 Char Char Char Char"/>
    <w:basedOn w:val="1"/>
    <w:qFormat/>
    <w:uiPriority w:val="0"/>
    <w:rPr>
      <w:rFonts w:ascii="Tahoma" w:hAnsi="Tahoma"/>
      <w:sz w:val="24"/>
    </w:rPr>
  </w:style>
  <w:style w:type="paragraph" w:customStyle="1" w:styleId="340">
    <w:name w:val="列出段落3"/>
    <w:basedOn w:val="1"/>
    <w:qFormat/>
    <w:uiPriority w:val="0"/>
    <w:pPr>
      <w:spacing w:line="360" w:lineRule="auto"/>
      <w:ind w:firstLine="420" w:firstLineChars="200"/>
    </w:pPr>
    <w:rPr>
      <w:rFonts w:eastAsia="仿宋_GB2312" w:cs="Calibri"/>
      <w:sz w:val="28"/>
      <w:szCs w:val="21"/>
    </w:rPr>
  </w:style>
  <w:style w:type="paragraph" w:customStyle="1" w:styleId="341">
    <w:name w:val="样式3"/>
    <w:basedOn w:val="1"/>
    <w:next w:val="183"/>
    <w:qFormat/>
    <w:uiPriority w:val="0"/>
    <w:pPr>
      <w:widowControl/>
      <w:jc w:val="left"/>
    </w:pPr>
    <w:rPr>
      <w:rFonts w:ascii="宋体" w:hAnsi="宋体" w:cs="宋体"/>
      <w:kern w:val="0"/>
      <w:sz w:val="24"/>
      <w:szCs w:val="24"/>
    </w:rPr>
  </w:style>
  <w:style w:type="paragraph" w:customStyle="1" w:styleId="342">
    <w:name w:val="xl102"/>
    <w:basedOn w:val="1"/>
    <w:qFormat/>
    <w:uiPriority w:val="0"/>
    <w:pPr>
      <w:widowControl/>
      <w:pBdr>
        <w:left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343">
    <w:name w:val="xl95"/>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344">
    <w:name w:val="列出段落5"/>
    <w:basedOn w:val="1"/>
    <w:qFormat/>
    <w:uiPriority w:val="0"/>
    <w:pPr>
      <w:spacing w:line="360" w:lineRule="auto"/>
      <w:ind w:firstLine="420" w:firstLineChars="200"/>
    </w:pPr>
    <w:rPr>
      <w:rFonts w:eastAsia="仿宋_GB2312" w:cs="Calibri"/>
      <w:sz w:val="28"/>
      <w:szCs w:val="21"/>
    </w:rPr>
  </w:style>
  <w:style w:type="paragraph" w:customStyle="1" w:styleId="345">
    <w:name w:val="正文1"/>
    <w:qFormat/>
    <w:uiPriority w:val="0"/>
    <w:pPr>
      <w:widowControl w:val="0"/>
      <w:jc w:val="both"/>
    </w:pPr>
    <w:rPr>
      <w:rFonts w:ascii="Calibri" w:hAnsi="Calibri" w:eastAsia="宋体" w:cs="Times New Roman"/>
      <w:kern w:val="2"/>
      <w:sz w:val="21"/>
      <w:lang w:val="en-US" w:eastAsia="zh-CN" w:bidi="ar-SA"/>
    </w:rPr>
  </w:style>
  <w:style w:type="paragraph" w:customStyle="1" w:styleId="346">
    <w:name w:val="font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8">
    <w:name w:val="xl89"/>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34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b/>
      <w:bCs/>
      <w:color w:val="000000"/>
      <w:kern w:val="0"/>
      <w:sz w:val="16"/>
      <w:szCs w:val="16"/>
    </w:rPr>
  </w:style>
  <w:style w:type="paragraph" w:customStyle="1" w:styleId="350">
    <w:name w:val="xl13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351">
    <w:name w:val="xl12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15"/>
      <w:szCs w:val="15"/>
    </w:rPr>
  </w:style>
  <w:style w:type="paragraph" w:customStyle="1" w:styleId="352">
    <w:name w:val="font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3">
    <w:name w:val="xl105"/>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354">
    <w:name w:val="Char Char Char Char Char Char Char"/>
    <w:basedOn w:val="1"/>
    <w:qFormat/>
    <w:uiPriority w:val="0"/>
    <w:pPr>
      <w:tabs>
        <w:tab w:val="left" w:pos="432"/>
      </w:tabs>
      <w:ind w:left="432" w:hanging="432"/>
    </w:pPr>
    <w:rPr>
      <w:rFonts w:ascii="Tahoma" w:hAnsi="Tahoma"/>
      <w:sz w:val="24"/>
    </w:rPr>
  </w:style>
  <w:style w:type="paragraph" w:customStyle="1" w:styleId="355">
    <w:name w:val="xl11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356">
    <w:name w:val="标准小四"/>
    <w:basedOn w:val="1"/>
    <w:qFormat/>
    <w:uiPriority w:val="0"/>
    <w:pPr>
      <w:spacing w:line="360" w:lineRule="auto"/>
      <w:ind w:firstLine="480" w:firstLineChars="200"/>
    </w:pPr>
    <w:rPr>
      <w:rFonts w:ascii="Arial" w:hAnsi="Arial"/>
      <w:sz w:val="24"/>
      <w:szCs w:val="21"/>
    </w:rPr>
  </w:style>
  <w:style w:type="paragraph" w:customStyle="1" w:styleId="357">
    <w:name w:val="Char11"/>
    <w:basedOn w:val="1"/>
    <w:qFormat/>
    <w:uiPriority w:val="0"/>
    <w:rPr>
      <w:szCs w:val="24"/>
    </w:rPr>
  </w:style>
  <w:style w:type="paragraph" w:customStyle="1" w:styleId="358">
    <w:name w:val="修订1"/>
    <w:semiHidden/>
    <w:qFormat/>
    <w:uiPriority w:val="99"/>
    <w:rPr>
      <w:rFonts w:ascii="Calibri" w:hAnsi="Calibri" w:eastAsia="宋体" w:cs="Times New Roman"/>
      <w:kern w:val="2"/>
      <w:sz w:val="21"/>
      <w:lang w:val="en-US" w:eastAsia="zh-CN" w:bidi="ar-SA"/>
    </w:rPr>
  </w:style>
  <w:style w:type="paragraph" w:customStyle="1" w:styleId="35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8"/>
      <w:szCs w:val="24"/>
    </w:rPr>
  </w:style>
  <w:style w:type="paragraph" w:customStyle="1" w:styleId="360">
    <w:name w:val="font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1">
    <w:name w:val="xl66"/>
    <w:basedOn w:val="1"/>
    <w:qFormat/>
    <w:uiPriority w:val="0"/>
    <w:pPr>
      <w:widowControl/>
      <w:spacing w:before="100" w:beforeAutospacing="1" w:after="100" w:afterAutospacing="1" w:line="360" w:lineRule="auto"/>
      <w:jc w:val="center"/>
    </w:pPr>
    <w:rPr>
      <w:rFonts w:ascii="宋体" w:hAnsi="宋体" w:eastAsia="仿宋_GB2312" w:cs="宋体"/>
      <w:color w:val="DD0806"/>
      <w:kern w:val="0"/>
      <w:sz w:val="28"/>
      <w:szCs w:val="24"/>
    </w:rPr>
  </w:style>
  <w:style w:type="paragraph" w:customStyle="1" w:styleId="362">
    <w:name w:val="xl12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kern w:val="0"/>
      <w:sz w:val="15"/>
      <w:szCs w:val="15"/>
    </w:rPr>
  </w:style>
  <w:style w:type="paragraph" w:customStyle="1" w:styleId="363">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kern w:val="0"/>
      <w:sz w:val="15"/>
      <w:szCs w:val="15"/>
    </w:rPr>
  </w:style>
  <w:style w:type="paragraph" w:customStyle="1" w:styleId="36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365">
    <w:name w:val="正文首行缩进1"/>
    <w:basedOn w:val="18"/>
    <w:qFormat/>
    <w:uiPriority w:val="0"/>
    <w:pPr>
      <w:spacing w:line="360" w:lineRule="auto"/>
      <w:ind w:firstLine="200" w:firstLineChars="200"/>
    </w:pPr>
    <w:rPr>
      <w:rFonts w:eastAsia="仿宋_GB2312" w:cs="宋体"/>
      <w:kern w:val="2"/>
      <w:sz w:val="28"/>
      <w:szCs w:val="24"/>
    </w:rPr>
  </w:style>
  <w:style w:type="paragraph" w:customStyle="1" w:styleId="366">
    <w:name w:val="Proposals body"/>
    <w:basedOn w:val="1"/>
    <w:next w:val="1"/>
    <w:qFormat/>
    <w:uiPriority w:val="0"/>
    <w:pPr>
      <w:widowControl/>
      <w:spacing w:line="360" w:lineRule="auto"/>
      <w:jc w:val="left"/>
    </w:pPr>
    <w:rPr>
      <w:rFonts w:ascii="宋体"/>
      <w:color w:val="000000"/>
      <w:kern w:val="0"/>
      <w:sz w:val="24"/>
    </w:rPr>
  </w:style>
  <w:style w:type="paragraph" w:customStyle="1" w:styleId="367">
    <w:name w:val="Image"/>
    <w:basedOn w:val="104"/>
    <w:qFormat/>
    <w:uiPriority w:val="0"/>
    <w:pPr>
      <w:spacing w:line="360" w:lineRule="auto"/>
      <w:ind w:firstLine="0" w:firstLineChars="0"/>
      <w:jc w:val="center"/>
    </w:pPr>
    <w:rPr>
      <w:rFonts w:ascii="宋体" w:hAnsi="宋体"/>
      <w:sz w:val="21"/>
      <w:szCs w:val="21"/>
    </w:rPr>
  </w:style>
  <w:style w:type="paragraph" w:customStyle="1" w:styleId="36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宋体" w:hAnsi="宋体" w:eastAsia="仿宋_GB2312" w:cs="宋体"/>
      <w:color w:val="000000"/>
      <w:kern w:val="0"/>
      <w:sz w:val="28"/>
      <w:szCs w:val="24"/>
    </w:rPr>
  </w:style>
  <w:style w:type="paragraph" w:customStyle="1" w:styleId="369">
    <w:name w:val="项目2"/>
    <w:basedOn w:val="294"/>
    <w:next w:val="294"/>
    <w:qFormat/>
    <w:uiPriority w:val="3"/>
  </w:style>
  <w:style w:type="paragraph" w:customStyle="1" w:styleId="370">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1">
    <w:name w:val="xl129"/>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3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FF0000"/>
      <w:kern w:val="0"/>
      <w:sz w:val="28"/>
      <w:szCs w:val="24"/>
    </w:rPr>
  </w:style>
  <w:style w:type="paragraph" w:customStyle="1" w:styleId="373">
    <w:name w:val="样式 正文首行缩进 + 段后: 0 磅 首行缩进:  2 字符"/>
    <w:basedOn w:val="19"/>
    <w:qFormat/>
    <w:uiPriority w:val="0"/>
    <w:pPr>
      <w:spacing w:after="0" w:line="360" w:lineRule="auto"/>
      <w:ind w:firstLine="200" w:firstLineChars="200"/>
      <w:jc w:val="left"/>
    </w:pPr>
    <w:rPr>
      <w:rFonts w:cs="宋体"/>
      <w:i w:val="0"/>
    </w:rPr>
  </w:style>
  <w:style w:type="paragraph" w:customStyle="1" w:styleId="374">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375">
    <w:name w:val="正文，段落，小四，22磅行距"/>
    <w:basedOn w:val="1"/>
    <w:qFormat/>
    <w:uiPriority w:val="0"/>
    <w:pPr>
      <w:widowControl/>
      <w:spacing w:line="440" w:lineRule="exact"/>
      <w:ind w:firstLine="420"/>
      <w:jc w:val="left"/>
    </w:pPr>
    <w:rPr>
      <w:rFonts w:ascii="等线" w:hAnsi="等线" w:cs="宋体"/>
      <w:kern w:val="0"/>
      <w:sz w:val="24"/>
      <w:szCs w:val="24"/>
    </w:rPr>
  </w:style>
  <w:style w:type="paragraph" w:customStyle="1" w:styleId="376">
    <w:name w:val="xl1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377">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8">
    <w:name w:val="Item Step"/>
    <w:basedOn w:val="1"/>
    <w:qFormat/>
    <w:uiPriority w:val="0"/>
    <w:pPr>
      <w:tabs>
        <w:tab w:val="left" w:pos="1134"/>
      </w:tabs>
      <w:ind w:left="1134" w:hanging="510"/>
      <w:jc w:val="left"/>
    </w:pPr>
    <w:rPr>
      <w:rFonts w:ascii="等线" w:hAnsi="等线" w:eastAsia="等线"/>
      <w:kern w:val="0"/>
      <w:szCs w:val="24"/>
      <w:lang w:eastAsia="en-US"/>
    </w:rPr>
  </w:style>
  <w:style w:type="paragraph" w:customStyle="1" w:styleId="3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bottom"/>
    </w:pPr>
    <w:rPr>
      <w:rFonts w:ascii="等线" w:hAnsi="等线" w:eastAsia="等线" w:cs="宋体"/>
      <w:color w:val="000000"/>
      <w:kern w:val="0"/>
      <w:sz w:val="28"/>
      <w:szCs w:val="24"/>
    </w:rPr>
  </w:style>
  <w:style w:type="paragraph" w:customStyle="1" w:styleId="380">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381">
    <w:name w:val="Char Char1 Char Char Char Char"/>
    <w:basedOn w:val="1"/>
    <w:qFormat/>
    <w:uiPriority w:val="0"/>
    <w:rPr>
      <w:rFonts w:ascii="Tahoma" w:hAnsi="Tahoma"/>
      <w:sz w:val="24"/>
    </w:rPr>
  </w:style>
  <w:style w:type="paragraph" w:customStyle="1" w:styleId="382">
    <w:name w:val="xl12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3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color w:val="000000"/>
      <w:kern w:val="0"/>
      <w:sz w:val="28"/>
      <w:szCs w:val="24"/>
    </w:rPr>
  </w:style>
  <w:style w:type="paragraph" w:customStyle="1" w:styleId="384">
    <w:name w:val="xl13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385">
    <w:name w:val="xl101"/>
    <w:basedOn w:val="1"/>
    <w:qFormat/>
    <w:uiPriority w:val="0"/>
    <w:pPr>
      <w:widowControl/>
      <w:pBdr>
        <w:top w:val="single" w:color="auto" w:sz="8" w:space="0"/>
        <w:left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18"/>
      <w:szCs w:val="18"/>
    </w:rPr>
  </w:style>
  <w:style w:type="paragraph" w:customStyle="1" w:styleId="387">
    <w:name w:val="正文编码"/>
    <w:basedOn w:val="19"/>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388">
    <w:name w:val="xl8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389">
    <w:name w:val="xl107"/>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390">
    <w:name w:val="font6"/>
    <w:basedOn w:val="1"/>
    <w:qFormat/>
    <w:uiPriority w:val="0"/>
    <w:pPr>
      <w:widowControl/>
      <w:spacing w:before="100" w:beforeAutospacing="1" w:after="100" w:afterAutospacing="1" w:line="360" w:lineRule="auto"/>
      <w:jc w:val="left"/>
    </w:pPr>
    <w:rPr>
      <w:rFonts w:ascii="宋体" w:hAnsi="宋体" w:eastAsia="仿宋_GB2312" w:cs="宋体"/>
      <w:kern w:val="0"/>
      <w:sz w:val="18"/>
      <w:szCs w:val="18"/>
    </w:rPr>
  </w:style>
  <w:style w:type="paragraph" w:customStyle="1" w:styleId="391">
    <w:name w:val="TOC 标题1"/>
    <w:basedOn w:val="3"/>
    <w:next w:val="1"/>
    <w:unhideWhenUsed/>
    <w:qFormat/>
    <w:uiPriority w:val="39"/>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92">
    <w:name w:val="表格文字"/>
    <w:basedOn w:val="1"/>
    <w:qFormat/>
    <w:uiPriority w:val="0"/>
    <w:pPr>
      <w:spacing w:before="80" w:after="80" w:line="360" w:lineRule="auto"/>
    </w:pPr>
    <w:rPr>
      <w:rFonts w:ascii="Arial" w:hAnsi="Arial" w:eastAsia="仿宋_GB2312" w:cs="Arial"/>
      <w:spacing w:val="10"/>
      <w:sz w:val="28"/>
      <w:szCs w:val="28"/>
    </w:rPr>
  </w:style>
  <w:style w:type="paragraph" w:customStyle="1" w:styleId="39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94">
    <w:name w:val="xl104"/>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3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b/>
      <w:bCs/>
      <w:color w:val="000000"/>
      <w:kern w:val="0"/>
      <w:sz w:val="28"/>
      <w:szCs w:val="24"/>
    </w:rPr>
  </w:style>
  <w:style w:type="paragraph" w:customStyle="1" w:styleId="396">
    <w:name w:val="xl79"/>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8"/>
      <w:szCs w:val="24"/>
    </w:rPr>
  </w:style>
  <w:style w:type="paragraph" w:customStyle="1" w:styleId="39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8">
    <w:name w:val="正文-2字符首行缩进"/>
    <w:basedOn w:val="1"/>
    <w:qFormat/>
    <w:uiPriority w:val="0"/>
    <w:pPr>
      <w:spacing w:line="360" w:lineRule="auto"/>
      <w:ind w:firstLine="200" w:firstLineChars="200"/>
    </w:pPr>
    <w:rPr>
      <w:rFonts w:ascii="仿宋_GB2312" w:eastAsia="仿宋" w:cs="黑体"/>
      <w:kern w:val="0"/>
      <w:sz w:val="24"/>
      <w:szCs w:val="22"/>
    </w:rPr>
  </w:style>
  <w:style w:type="paragraph" w:customStyle="1" w:styleId="399">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400">
    <w:name w:val="xl94"/>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401">
    <w:name w:val="xl103"/>
    <w:basedOn w:val="1"/>
    <w:qFormat/>
    <w:uiPriority w:val="0"/>
    <w:pPr>
      <w:widowControl/>
      <w:pBdr>
        <w:left w:val="single" w:color="000000"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402">
    <w:name w:val="xl11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4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8"/>
      <w:szCs w:val="24"/>
    </w:rPr>
  </w:style>
  <w:style w:type="paragraph" w:customStyle="1" w:styleId="404">
    <w:name w:val="IN Step"/>
    <w:qFormat/>
    <w:uiPriority w:val="0"/>
    <w:pPr>
      <w:keepLines/>
      <w:tabs>
        <w:tab w:val="left" w:pos="737"/>
      </w:tabs>
      <w:spacing w:before="40" w:after="40"/>
      <w:ind w:left="737" w:hanging="737"/>
    </w:pPr>
    <w:rPr>
      <w:rFonts w:ascii="Arial" w:hAnsi="Arial" w:eastAsia="宋体" w:cs="Arial"/>
      <w:kern w:val="2"/>
      <w:sz w:val="21"/>
      <w:lang w:val="en-US" w:eastAsia="zh-CN" w:bidi="ar-SA"/>
    </w:rPr>
  </w:style>
  <w:style w:type="paragraph" w:customStyle="1" w:styleId="4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6">
    <w:name w:val="xl110"/>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407">
    <w:name w:val="无间隔1"/>
    <w:qFormat/>
    <w:uiPriority w:val="1"/>
    <w:pPr>
      <w:widowControl w:val="0"/>
      <w:jc w:val="both"/>
    </w:pPr>
    <w:rPr>
      <w:rFonts w:ascii="Calibri" w:hAnsi="Calibri" w:eastAsia="宋体" w:cs="Times New Roman"/>
      <w:kern w:val="2"/>
      <w:sz w:val="21"/>
      <w:lang w:val="en-US" w:eastAsia="zh-CN" w:bidi="ar-SA"/>
    </w:rPr>
  </w:style>
  <w:style w:type="paragraph" w:customStyle="1" w:styleId="408">
    <w:name w:val="xl98"/>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409">
    <w:name w:val="正文 居中"/>
    <w:basedOn w:val="1"/>
    <w:qFormat/>
    <w:uiPriority w:val="0"/>
    <w:pPr>
      <w:spacing w:line="360" w:lineRule="auto"/>
      <w:jc w:val="center"/>
    </w:pPr>
    <w:rPr>
      <w:rFonts w:cs="宋体"/>
      <w:sz w:val="24"/>
    </w:rPr>
  </w:style>
  <w:style w:type="paragraph" w:customStyle="1" w:styleId="410">
    <w:name w:val="Item Step_2"/>
    <w:qFormat/>
    <w:uiPriority w:val="0"/>
    <w:pPr>
      <w:tabs>
        <w:tab w:val="left" w:pos="1418"/>
      </w:tabs>
      <w:spacing w:before="40" w:after="40"/>
      <w:ind w:left="1418" w:hanging="284"/>
    </w:pPr>
    <w:rPr>
      <w:rFonts w:ascii="Arial" w:hAnsi="Arial" w:eastAsia="宋体" w:cs="Times New Roman"/>
      <w:sz w:val="21"/>
      <w:lang w:val="en-US" w:eastAsia="en-US" w:bidi="ar-SA"/>
    </w:rPr>
  </w:style>
  <w:style w:type="paragraph" w:customStyle="1" w:styleId="4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32"/>
      <w:szCs w:val="32"/>
    </w:rPr>
  </w:style>
  <w:style w:type="paragraph" w:customStyle="1" w:styleId="41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413">
    <w:name w:val="xl9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14">
    <w:name w:val="xl109"/>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415">
    <w:name w:val="xl122"/>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416">
    <w:name w:val="_Style 1"/>
    <w:basedOn w:val="1"/>
    <w:qFormat/>
    <w:uiPriority w:val="34"/>
    <w:pPr>
      <w:spacing w:line="360" w:lineRule="auto"/>
      <w:ind w:firstLine="420" w:firstLineChars="200"/>
    </w:pPr>
    <w:rPr>
      <w:rFonts w:ascii="Times New Roman" w:eastAsia="仿宋_GB2312" w:cs="黑体"/>
      <w:sz w:val="28"/>
      <w:szCs w:val="24"/>
    </w:rPr>
  </w:style>
  <w:style w:type="paragraph" w:customStyle="1" w:styleId="417">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_GB2312" w:cs="宋体"/>
      <w:color w:val="000000"/>
      <w:kern w:val="0"/>
      <w:sz w:val="28"/>
      <w:szCs w:val="24"/>
    </w:rPr>
  </w:style>
  <w:style w:type="paragraph" w:customStyle="1" w:styleId="419">
    <w:name w:val="font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0">
    <w:name w:val="xl113"/>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421">
    <w:name w:val="TOC 标题2"/>
    <w:basedOn w:val="3"/>
    <w:next w:val="1"/>
    <w:unhideWhenUsed/>
    <w:qFormat/>
    <w:uiPriority w:val="39"/>
    <w:pPr>
      <w:keepLines/>
      <w:widowControl/>
      <w:spacing w:before="240" w:after="120" w:line="259" w:lineRule="auto"/>
      <w:outlineLvl w:val="9"/>
    </w:pPr>
    <w:rPr>
      <w:rFonts w:ascii="等线 Light" w:hAnsi="等线 Light" w:eastAsia="等线 Light"/>
      <w:b w:val="0"/>
      <w:color w:val="2F5496"/>
      <w:kern w:val="0"/>
      <w:sz w:val="32"/>
      <w:szCs w:val="32"/>
    </w:rPr>
  </w:style>
  <w:style w:type="paragraph" w:customStyle="1" w:styleId="422">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4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24">
    <w:name w:val="xl13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425">
    <w:name w:val="Item List_2"/>
    <w:basedOn w:val="116"/>
    <w:qFormat/>
    <w:uiPriority w:val="0"/>
    <w:pPr>
      <w:tabs>
        <w:tab w:val="clear" w:pos="1134"/>
      </w:tabs>
    </w:pPr>
  </w:style>
  <w:style w:type="paragraph" w:customStyle="1" w:styleId="426">
    <w:name w:val="xl8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15"/>
      <w:szCs w:val="15"/>
    </w:rPr>
  </w:style>
  <w:style w:type="paragraph" w:customStyle="1" w:styleId="427">
    <w:name w:val="font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429">
    <w:name w:val="xl11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kern w:val="0"/>
      <w:sz w:val="15"/>
      <w:szCs w:val="15"/>
    </w:rPr>
  </w:style>
  <w:style w:type="paragraph" w:customStyle="1" w:styleId="43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431">
    <w:name w:val="Item List_3"/>
    <w:basedOn w:val="425"/>
    <w:qFormat/>
    <w:uiPriority w:val="0"/>
    <w:pPr/>
  </w:style>
  <w:style w:type="paragraph" w:customStyle="1" w:styleId="432">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433">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4">
    <w:name w:val="xl99"/>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435">
    <w:name w:val="font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6">
    <w:name w:val="xl114"/>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437">
    <w:name w:val="Char2"/>
    <w:basedOn w:val="1"/>
    <w:qFormat/>
    <w:uiPriority w:val="0"/>
    <w:pPr>
      <w:tabs>
        <w:tab w:val="left" w:pos="1200"/>
      </w:tabs>
      <w:ind w:left="1200" w:hanging="720"/>
    </w:pPr>
    <w:rPr>
      <w:sz w:val="24"/>
      <w:szCs w:val="24"/>
    </w:rPr>
  </w:style>
  <w:style w:type="paragraph" w:customStyle="1" w:styleId="438">
    <w:name w:val="列表段落1"/>
    <w:basedOn w:val="1"/>
    <w:qFormat/>
    <w:uiPriority w:val="34"/>
    <w:pPr>
      <w:spacing w:line="360" w:lineRule="auto"/>
      <w:ind w:firstLine="420" w:firstLineChars="200"/>
    </w:pPr>
    <w:rPr>
      <w:rFonts w:ascii="宋体" w:hAnsi="宋体" w:eastAsia="仿宋_GB2312" w:cs="宋体"/>
      <w:sz w:val="28"/>
      <w:szCs w:val="24"/>
    </w:rPr>
  </w:style>
  <w:style w:type="paragraph" w:customStyle="1" w:styleId="439">
    <w:name w:val="Char Char Char"/>
    <w:basedOn w:val="1"/>
    <w:qFormat/>
    <w:uiPriority w:val="0"/>
    <w:pPr>
      <w:spacing w:before="120" w:after="120" w:line="360" w:lineRule="auto"/>
      <w:ind w:firstLine="200" w:firstLineChars="200"/>
    </w:pPr>
    <w:rPr>
      <w:rFonts w:ascii="Tahoma" w:hAnsi="Tahoma"/>
      <w:sz w:val="24"/>
    </w:rPr>
  </w:style>
  <w:style w:type="paragraph" w:customStyle="1" w:styleId="440">
    <w:name w:val="标准正文"/>
    <w:basedOn w:val="1"/>
    <w:qFormat/>
    <w:uiPriority w:val="99"/>
    <w:pPr>
      <w:adjustRightInd w:val="0"/>
      <w:spacing w:line="360" w:lineRule="auto"/>
      <w:ind w:firstLine="480" w:firstLineChars="200"/>
    </w:pPr>
    <w:rPr>
      <w:kern w:val="0"/>
      <w:sz w:val="24"/>
    </w:rPr>
  </w:style>
  <w:style w:type="paragraph" w:customStyle="1" w:styleId="441">
    <w:name w:val="font17"/>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442">
    <w:name w:val="TableGrid"/>
    <w:qFormat/>
    <w:uiPriority w:val="0"/>
    <w:rPr>
      <w:kern w:val="2"/>
      <w:sz w:val="21"/>
      <w:szCs w:val="22"/>
    </w:rPr>
    <w:tblPr>
      <w:tblCellMar>
        <w:top w:w="0" w:type="dxa"/>
        <w:left w:w="0" w:type="dxa"/>
        <w:bottom w:w="0" w:type="dxa"/>
        <w:right w:w="0" w:type="dxa"/>
      </w:tblCellMar>
    </w:tblPr>
  </w:style>
  <w:style w:type="table" w:customStyle="1" w:styleId="443">
    <w:name w:val="Table"/>
    <w:basedOn w:val="48"/>
    <w:qFormat/>
    <w:uiPriority w:val="99"/>
    <w:pPr>
      <w:spacing w:before="80" w:after="80"/>
      <w:jc w:val="left"/>
    </w:pPr>
    <w:rPr>
      <w:rFonts w:ascii="Arial" w:hAnsi="Arial"/>
      <w:sz w:val="18"/>
    </w:rPr>
    <w:tblPr>
      <w:tblBorders>
        <w:insideH w:val="single" w:color="808080" w:sz="4" w:space="0"/>
        <w:insideV w:val="single" w:color="808080" w:sz="4" w:space="0"/>
      </w:tblBorders>
      <w:tblCellMar>
        <w:top w:w="0" w:type="dxa"/>
        <w:left w:w="108" w:type="dxa"/>
        <w:bottom w:w="0" w:type="dxa"/>
        <w:right w:w="108" w:type="dxa"/>
      </w:tblCellMar>
    </w:tblPr>
    <w:tcPr>
      <w:vAlign w:val="center"/>
    </w:tcPr>
    <w:tblStylePr w:type="firstRow">
      <w:pPr>
        <w:wordWrap/>
        <w:ind w:left="0" w:leftChars="0"/>
      </w:pPr>
      <w:tcPr>
        <w:tcBorders>
          <w:top w:val="single" w:color="auto" w:sz="4" w:space="0"/>
          <w:left w:val="nil"/>
          <w:bottom w:val="single" w:color="808080" w:sz="4" w:space="0"/>
          <w:right w:val="nil"/>
          <w:insideH w:val="nil"/>
          <w:insideV w:val="single" w:sz="4" w:space="0"/>
          <w:tl2br w:val="nil"/>
          <w:tr2bl w:val="nil"/>
        </w:tcBorders>
        <w:shd w:val="clear" w:color="auto" w:fill="D9D9D9"/>
      </w:tcPr>
    </w:tblStylePr>
    <w:tblStylePr w:type="lastRow">
      <w:tcPr>
        <w:tcBorders>
          <w:top w:val="single" w:color="808080" w:sz="4" w:space="0"/>
          <w:left w:val="nil"/>
          <w:bottom w:val="single" w:color="auto" w:sz="4" w:space="0"/>
          <w:right w:val="nil"/>
          <w:insideH w:val="nil"/>
          <w:insideV w:val="single" w:sz="4" w:space="0"/>
          <w:tl2br w:val="nil"/>
          <w:tr2bl w:val="nil"/>
        </w:tcBorders>
      </w:tcPr>
    </w:tblStylePr>
  </w:style>
  <w:style w:type="paragraph" w:customStyle="1" w:styleId="444">
    <w:name w:val="列出段落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107</Pages>
  <Words>74710</Words>
  <Characters>83015</Characters>
  <Lines>652</Lines>
  <Paragraphs>183</Paragraphs>
  <TotalTime>17</TotalTime>
  <ScaleCrop>false</ScaleCrop>
  <LinksUpToDate>false</LinksUpToDate>
  <CharactersWithSpaces>84665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2022-05-09T19:30:00Z</dcterms:created>
  <dc:creator>dyp</dc:creator>
  <cp:lastModifiedBy>隔壁老黄</cp:lastModifiedBy>
  <cp:lastPrinted>2021-02-05T01:19:00Z</cp:lastPrinted>
  <dcterms:modified xsi:type="dcterms:W3CDTF">2022-06-08T09:34:54Z</dcterms:modified>
  <dc:title>第一部分  投标方须知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920C94CD9E0D44F9A762B7E2CFF1467E</vt:lpwstr>
  </property>
</Properties>
</file>