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附表：主要产品</w:t>
      </w:r>
    </w:p>
    <w:tbl>
      <w:tblPr>
        <w:tblStyle w:val="7"/>
        <w:tblW w:w="14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33"/>
        <w:gridCol w:w="2229"/>
        <w:gridCol w:w="10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3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系统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29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  <w:t>产品设备名称</w:t>
            </w:r>
          </w:p>
        </w:tc>
        <w:tc>
          <w:tcPr>
            <w:tcW w:w="1014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  <w:t>技术参数要求（不低于）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3" w:type="dxa"/>
            <w:vMerge w:val="restart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十字路口曝光系统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  <w:t>一体化行人检测单元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持非机动车闯红灯运动过程抓拍，人脸抠图等功能。可支持19车型检测，其中车头方向有15种，包括：两厢轿车、三厢轿车、轿跑、小型轿车、微型轿车、客车、中型客车、面包车、微型面包车、大货车、中型货车、小货车、SUV、MPV、皮卡；车尾方向有4种，包括：油罐车、微卡、吊车、渣土车识别准确率白天≥97%，晚上≥95%；支持按车道属性设置，判定车辆行驶方向；可判断来向、去向、左转、右转等；支持检测抓拍车辆不按规定使用转向灯违法功能。包含摄像机、高清镜头、室外防护罩、风扇、内置补光灯、电源适配器、相机内置防雷模块、安装万向节等像素：900W，分辨率：最大支持4096*2160帧率：25fps感光器件：1" GMOS ；镜头：30mm镜头；支持新能源车识别，支持采用H.264、MJPEG、H.265视频编码标准。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  <w:t>智能分析终端管理设备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三代终端服务器，内置8T硬盘；支持12路IPC接入；；双网卡，内置16个100M以太网接口及2个1000M网络接口、1个1000M独立SFP光纤接口；4个RS485、2个RS232、2个USB2.0、4路报警输入\报警输出；电源:DC12V；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户外LED显示屏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显示屏:户外全彩LED信息发布屏，屏幕面积2.95㎡，显示屏净尺寸（L×H）2.304*1.28m，点间距4mm，IP65防护等级，亮度不小于5500cd/m2，色温6500-8000K可调，箱体平整度小于0.4mm，盲点率小于万分之一；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控制器：灰度等级支持红、绿、蓝各12-16bits，显示颜色16777216种，支持与计算机同步控制，支持五类线最远100米传输，单模光纤传输最远30km;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33" w:type="dxa"/>
            <w:vMerge w:val="restart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智能斑马线系统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  <w:t>地埋式红绿灯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地埋红绿灯，外壳材质：钢化琉璃+不锈钢，颜色：红绿双色，光源类型：Φ5平头雾状直插LED，进口晶片封装，单颗亮度：红灯：625MCD(IF=30mA)，绿灯1300MCD(IF=30mA)，波长：红灯：620-625nm,绿灯：500-503nm,工作温度：-20-+80℃，功耗：红灯≦20W，绿灯：红灯≦25W，LED灯数量：红256PCS LED,绿240PCS LED，输入电压：12V，含预埋件（维护时不需要破路），灯箱尺寸：104*1005*60mm，预埋件尺寸：106*1050*112mm,不需要单独配电源，直接接在语音提示桩箱体里控制，随人行信号灯转换颜色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发光地砖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  <w:t>发光地砖，外壳材质：铸铁，颜色：白光(可定制)，光源类型：5050贴片式三晶LED，进口晶片封装，色温：6000K(IF=3*20mA)，工作温度：-20-+80℃，功耗：≦20W,，LED灯数量：红54PCS LED（单条发光区18PCS LED）,绿54PCS LED（单条发光区18PCS LED），输入电压：DC12V，单块地砖尺寸：400*200*40mm，一组两块，含预埋件，预埋件尺寸：410*410*80mm，发光区尺寸：300*28mm（3条发光区），一组共6条发光区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智能斑马线地砖专用控制器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智能斑马线地砖专用控制器，含电源模块，信号检测模块，信号接收控制模块，散热模块，信号输入方式：IO,支持PWM控制,输入电压：AC220V,含地砖专用电源(输出:DC12V)，标准配置可驱动24块地砖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一体式广告人行信号灯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直径300mm一体式广告人行信号灯(动态人行),，外型尺寸：3000*400*200mm,显示屏显示区域尺寸：1600*320mm,含盲人钟，含行人过街申请按钮（需信号控制机支持），产品高度3.0米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智能行人过街语音提示桩</w:t>
            </w:r>
          </w:p>
        </w:tc>
        <w:tc>
          <w:tcPr>
            <w:tcW w:w="1014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t>智能行人过街语音提示桩，手机APP版本，带显示屏</w:t>
            </w:r>
          </w:p>
        </w:tc>
      </w:tr>
    </w:tbl>
    <w:p>
      <w:pPr>
        <w:pStyle w:val="2"/>
        <w:spacing w:line="413" w:lineRule="auto"/>
        <w:jc w:val="left"/>
        <w:rPr>
          <w:rFonts w:hint="eastAsia" w:ascii="微软雅黑" w:hAnsi="微软雅黑" w:eastAsia="微软雅黑" w:cs="微软雅黑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注：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Cs/>
          <w:color w:val="000000"/>
          <w:sz w:val="21"/>
          <w:szCs w:val="21"/>
          <w:lang w:eastAsia="zh-CN"/>
        </w:rPr>
        <w:t>投标人应提供以上所有产品的生产厂家对于本项目授权书，原生产厂商参与投标的提供生产证明。</w:t>
      </w:r>
      <w:r>
        <w:rPr>
          <w:rFonts w:hint="eastAsia" w:ascii="微软雅黑" w:hAnsi="微软雅黑" w:eastAsia="微软雅黑" w:cs="微软雅黑"/>
          <w:bCs/>
          <w:color w:val="000000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kern w:val="44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44"/>
          <w:sz w:val="21"/>
          <w:szCs w:val="21"/>
          <w:lang w:val="en-US" w:eastAsia="zh-CN" w:bidi="ar-SA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kern w:val="44"/>
          <w:sz w:val="21"/>
          <w:szCs w:val="21"/>
          <w:lang w:val="en-US" w:eastAsia="zh-CN" w:bidi="ar-SA"/>
        </w:rPr>
        <w:t>2、本表所列产品为本次采购项目的一部分，具体内容详见竞争性磋商文件第三章采购需求。</w:t>
      </w:r>
    </w:p>
    <w:p>
      <w:pPr/>
    </w:p>
    <w:sectPr>
      <w:pgSz w:w="16838" w:h="11906" w:orient="landscape"/>
      <w:pgMar w:top="540" w:right="1440" w:bottom="141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B0251"/>
    <w:rsid w:val="352C5C06"/>
    <w:rsid w:val="68FB02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5"/>
    </w:pPr>
    <w:rPr>
      <w:szCs w:val="20"/>
    </w:rPr>
  </w:style>
  <w:style w:type="paragraph" w:styleId="4">
    <w:name w:val="Body Text First Indent 2"/>
    <w:basedOn w:val="3"/>
    <w:uiPriority w:val="0"/>
    <w:pPr>
      <w:widowControl/>
      <w:spacing w:after="120" w:line="240" w:lineRule="auto"/>
      <w:ind w:left="420" w:leftChars="200" w:firstLine="420" w:firstLineChars="200"/>
      <w:jc w:val="left"/>
    </w:pPr>
    <w:rPr>
      <w:rFonts w:ascii="Times New Roman" w:hAnsi="Times New Roman" w:eastAsia="仿宋_GB2312"/>
      <w:spacing w:val="0"/>
      <w:sz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2019-02-11T08:40:00Z</dcterms:created>
  <dc:creator>杭州博成工程咨询有限公司</dc:creator>
  <cp:lastModifiedBy>杭州博成工程咨询有限公司</cp:lastModifiedBy>
  <dcterms:modified xsi:type="dcterms:W3CDTF">2019-02-11T08:42:44Z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