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413" w:lineRule="auto"/>
        <w:ind w:left="0" w:leftChars="0" w:right="0" w:rightChars="0" w:firstLine="0" w:firstLineChars="0"/>
        <w:jc w:val="left"/>
        <w:textAlignment w:val="auto"/>
        <w:outlineLvl w:val="9"/>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附件：主要产品</w:t>
      </w:r>
    </w:p>
    <w:tbl>
      <w:tblPr>
        <w:tblStyle w:val="6"/>
        <w:tblW w:w="13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628"/>
        <w:gridCol w:w="1715"/>
        <w:gridCol w:w="10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5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val="en-US" w:eastAsia="zh-CN"/>
              </w:rPr>
              <w:t>系统</w:t>
            </w:r>
          </w:p>
        </w:tc>
        <w:tc>
          <w:tcPr>
            <w:tcW w:w="62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val="en-US" w:eastAsia="zh-CN"/>
              </w:rPr>
              <w:t>序号</w:t>
            </w:r>
          </w:p>
        </w:tc>
        <w:tc>
          <w:tcPr>
            <w:tcW w:w="171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eastAsia="zh-CN"/>
              </w:rPr>
              <w:t>产品</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eastAsia="zh-CN"/>
              </w:rPr>
            </w:pPr>
            <w:r>
              <w:rPr>
                <w:rFonts w:hint="eastAsia" w:ascii="微软雅黑" w:hAnsi="微软雅黑" w:eastAsia="微软雅黑" w:cs="微软雅黑"/>
                <w:color w:val="auto"/>
                <w:sz w:val="20"/>
                <w:szCs w:val="20"/>
                <w:vertAlign w:val="baseline"/>
                <w:lang w:eastAsia="zh-CN"/>
              </w:rPr>
              <w:t>设备名称</w:t>
            </w:r>
          </w:p>
        </w:tc>
        <w:tc>
          <w:tcPr>
            <w:tcW w:w="1022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eastAsia="zh-CN"/>
              </w:rPr>
            </w:pPr>
            <w:r>
              <w:rPr>
                <w:rFonts w:hint="eastAsia" w:ascii="微软雅黑" w:hAnsi="微软雅黑" w:eastAsia="微软雅黑" w:cs="微软雅黑"/>
                <w:color w:val="auto"/>
                <w:sz w:val="20"/>
                <w:szCs w:val="20"/>
                <w:vertAlign w:val="baseline"/>
                <w:lang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65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val="en-US" w:eastAsia="zh-CN"/>
              </w:rPr>
              <w:t>十字路口曝光系统</w:t>
            </w:r>
          </w:p>
        </w:tc>
        <w:tc>
          <w:tcPr>
            <w:tcW w:w="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val="en-US" w:eastAsia="zh-CN"/>
              </w:rPr>
              <w:t>1</w:t>
            </w:r>
          </w:p>
        </w:tc>
        <w:tc>
          <w:tcPr>
            <w:tcW w:w="171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eastAsia="zh-CN"/>
              </w:rPr>
            </w:pPr>
            <w:r>
              <w:rPr>
                <w:rFonts w:hint="eastAsia" w:ascii="微软雅黑" w:hAnsi="微软雅黑" w:eastAsia="微软雅黑" w:cs="微软雅黑"/>
                <w:color w:val="auto"/>
                <w:sz w:val="20"/>
                <w:szCs w:val="20"/>
                <w:vertAlign w:val="baseline"/>
                <w:lang w:eastAsia="zh-CN"/>
              </w:rPr>
              <w:t>一体化行人检测单元</w:t>
            </w:r>
          </w:p>
        </w:tc>
        <w:tc>
          <w:tcPr>
            <w:tcW w:w="10224"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微软雅黑" w:hAnsi="微软雅黑" w:eastAsia="微软雅黑" w:cs="微软雅黑"/>
                <w:color w:val="auto"/>
                <w:sz w:val="20"/>
                <w:szCs w:val="20"/>
                <w:vertAlign w:val="baseline"/>
              </w:rPr>
            </w:pPr>
            <w:r>
              <w:rPr>
                <w:rFonts w:hint="eastAsia" w:ascii="微软雅黑" w:hAnsi="微软雅黑" w:eastAsia="微软雅黑" w:cs="微软雅黑"/>
                <w:i w:val="0"/>
                <w:color w:val="auto"/>
                <w:kern w:val="0"/>
                <w:sz w:val="20"/>
                <w:szCs w:val="20"/>
                <w:u w:val="none"/>
                <w:lang w:val="en-US" w:eastAsia="zh-CN" w:bidi="ar"/>
              </w:rPr>
              <w:t>支持非机动车闯红灯运动过程抓拍，人脸抠图等功能。可支持19车型检测，其中车头方向有15种，包括：两厢轿车、三厢轿车、轿跑、小型轿车、微型轿车、客车、中型客车、面包车、微型面包车、大货车、中型货车、小货车、SUV、MPV、皮卡；车尾方向有4种，包括：油罐车、微卡、吊车、渣土车识别准确率白天≥97%，晚上≥95%；支持按车道属性设置，判定车辆行驶方向；可判断来向、去向、左转、右转等；支持检测抓拍车辆不按规定使用转向灯违法功能。包含摄像机、高清镜头、室外防护罩、风扇、内置补光灯、电源适配器、相机内置防雷模块、安装万向节等像素：900W，分辨率：最大支持4096*2160帧率：25fps感光器件：1" GMOS ；镜头：30mm镜头；支持新能源车识别，支持采用H.264、MJPEG、H.265视频编码标准。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5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p>
        </w:tc>
        <w:tc>
          <w:tcPr>
            <w:tcW w:w="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rPr>
            </w:pPr>
            <w:r>
              <w:rPr>
                <w:rFonts w:hint="eastAsia" w:ascii="微软雅黑" w:hAnsi="微软雅黑" w:eastAsia="微软雅黑" w:cs="微软雅黑"/>
                <w:color w:val="auto"/>
                <w:sz w:val="20"/>
                <w:szCs w:val="20"/>
                <w:vertAlign w:val="baseline"/>
                <w:lang w:val="en-US" w:eastAsia="zh-CN"/>
              </w:rPr>
              <w:t>2</w:t>
            </w:r>
          </w:p>
        </w:tc>
        <w:tc>
          <w:tcPr>
            <w:tcW w:w="171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rPr>
            </w:pPr>
            <w:r>
              <w:rPr>
                <w:rFonts w:hint="eastAsia" w:ascii="微软雅黑" w:hAnsi="微软雅黑" w:eastAsia="微软雅黑" w:cs="微软雅黑"/>
                <w:color w:val="auto"/>
                <w:sz w:val="20"/>
                <w:szCs w:val="20"/>
                <w:vertAlign w:val="baseline"/>
                <w:lang w:eastAsia="zh-CN"/>
              </w:rPr>
              <w:t>智能分析终端管理设备</w:t>
            </w:r>
          </w:p>
        </w:tc>
        <w:tc>
          <w:tcPr>
            <w:tcW w:w="10224"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微软雅黑" w:hAnsi="微软雅黑" w:eastAsia="微软雅黑" w:cs="微软雅黑"/>
                <w:color w:val="auto"/>
                <w:sz w:val="20"/>
                <w:szCs w:val="20"/>
                <w:vertAlign w:val="baseline"/>
              </w:rPr>
            </w:pPr>
            <w:r>
              <w:rPr>
                <w:rFonts w:hint="eastAsia" w:ascii="微软雅黑" w:hAnsi="微软雅黑" w:eastAsia="微软雅黑" w:cs="微软雅黑"/>
                <w:i w:val="0"/>
                <w:color w:val="auto"/>
                <w:kern w:val="0"/>
                <w:sz w:val="20"/>
                <w:szCs w:val="20"/>
                <w:u w:val="none"/>
                <w:lang w:val="en-US" w:eastAsia="zh-CN" w:bidi="ar"/>
              </w:rPr>
              <w:t>三代终端服务器，内置8T硬盘；支持12路IPC接入；；双网卡，内置16个100M以太网接口及2个1000M网络接口、1个1000M独立SFP光纤接口；4个RS485、2个RS232、2个USB2.0、4路报警输入\报警输出；电源:DC12V；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65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p>
        </w:tc>
        <w:tc>
          <w:tcPr>
            <w:tcW w:w="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val="en-US" w:eastAsia="zh-CN"/>
              </w:rPr>
              <w:t>3</w:t>
            </w:r>
          </w:p>
        </w:tc>
        <w:tc>
          <w:tcPr>
            <w:tcW w:w="171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val="en-US" w:eastAsia="zh-CN"/>
              </w:rPr>
              <w:t>户外LED显示屏</w:t>
            </w:r>
          </w:p>
        </w:tc>
        <w:tc>
          <w:tcPr>
            <w:tcW w:w="10224"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微软雅黑" w:hAnsi="微软雅黑" w:eastAsia="微软雅黑" w:cs="微软雅黑"/>
                <w:color w:val="auto"/>
                <w:sz w:val="20"/>
                <w:szCs w:val="20"/>
                <w:vertAlign w:val="baseline"/>
              </w:rPr>
            </w:pPr>
            <w:r>
              <w:rPr>
                <w:rFonts w:hint="eastAsia" w:ascii="微软雅黑" w:hAnsi="微软雅黑" w:eastAsia="微软雅黑" w:cs="微软雅黑"/>
                <w:i w:val="0"/>
                <w:color w:val="auto"/>
                <w:kern w:val="0"/>
                <w:sz w:val="20"/>
                <w:szCs w:val="20"/>
                <w:u w:val="none"/>
                <w:lang w:val="en-US" w:eastAsia="zh-CN" w:bidi="ar"/>
              </w:rPr>
              <w:t>显示屏:户外全彩LED信息发布屏，屏幕面积2.95㎡，显示屏净尺寸（L×H）2.304*1.28m，点间距4mm，IP65防护等级，亮度不小于5500cd/m2，色温6500-8000K可调，箱体平整度小于0.4mm，盲点率小于万分之一；</w:t>
            </w:r>
            <w:r>
              <w:rPr>
                <w:rFonts w:hint="eastAsia" w:ascii="微软雅黑" w:hAnsi="微软雅黑" w:eastAsia="微软雅黑" w:cs="微软雅黑"/>
                <w:i w:val="0"/>
                <w:color w:val="auto"/>
                <w:kern w:val="0"/>
                <w:sz w:val="20"/>
                <w:szCs w:val="20"/>
                <w:u w:val="none"/>
                <w:lang w:val="en-US" w:eastAsia="zh-CN" w:bidi="ar"/>
              </w:rPr>
              <w:br w:type="textWrapping"/>
            </w:r>
            <w:r>
              <w:rPr>
                <w:rFonts w:hint="eastAsia" w:ascii="微软雅黑" w:hAnsi="微软雅黑" w:eastAsia="微软雅黑" w:cs="微软雅黑"/>
                <w:i w:val="0"/>
                <w:color w:val="auto"/>
                <w:kern w:val="0"/>
                <w:sz w:val="20"/>
                <w:szCs w:val="20"/>
                <w:u w:val="none"/>
                <w:lang w:val="en-US" w:eastAsia="zh-CN" w:bidi="ar"/>
              </w:rPr>
              <w:t>控制器：灰度等级支持红、绿、蓝各12-16bits，显示颜色16777216种，支持与计算机同步控制，支持五类线最远100米传输，单模光纤传输最远30km;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65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val="en-US" w:eastAsia="zh-CN"/>
              </w:rPr>
              <w:t>智能斑马线系统</w:t>
            </w:r>
          </w:p>
        </w:tc>
        <w:tc>
          <w:tcPr>
            <w:tcW w:w="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val="en-US" w:eastAsia="zh-CN"/>
              </w:rPr>
            </w:pPr>
            <w:r>
              <w:rPr>
                <w:rFonts w:hint="eastAsia" w:ascii="微软雅黑" w:hAnsi="微软雅黑" w:eastAsia="微软雅黑" w:cs="微软雅黑"/>
                <w:color w:val="auto"/>
                <w:sz w:val="20"/>
                <w:szCs w:val="20"/>
                <w:vertAlign w:val="baseline"/>
                <w:lang w:val="en-US" w:eastAsia="zh-CN"/>
              </w:rPr>
              <w:t>4</w:t>
            </w:r>
          </w:p>
        </w:tc>
        <w:tc>
          <w:tcPr>
            <w:tcW w:w="171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color w:val="auto"/>
                <w:sz w:val="20"/>
                <w:szCs w:val="20"/>
                <w:vertAlign w:val="baseline"/>
                <w:lang w:eastAsia="zh-CN"/>
              </w:rPr>
            </w:pPr>
            <w:r>
              <w:rPr>
                <w:rFonts w:hint="eastAsia" w:ascii="微软雅黑" w:hAnsi="微软雅黑" w:eastAsia="微软雅黑" w:cs="微软雅黑"/>
                <w:color w:val="auto"/>
                <w:sz w:val="20"/>
                <w:szCs w:val="20"/>
                <w:vertAlign w:val="baseline"/>
                <w:lang w:eastAsia="zh-CN"/>
              </w:rPr>
              <w:t>地埋式红绿灯</w:t>
            </w:r>
          </w:p>
        </w:tc>
        <w:tc>
          <w:tcPr>
            <w:tcW w:w="10224"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微软雅黑" w:hAnsi="微软雅黑" w:eastAsia="微软雅黑" w:cs="微软雅黑"/>
                <w:color w:val="auto"/>
                <w:sz w:val="20"/>
                <w:szCs w:val="20"/>
                <w:vertAlign w:val="baseline"/>
              </w:rPr>
            </w:pPr>
            <w:r>
              <w:rPr>
                <w:rFonts w:hint="eastAsia" w:ascii="微软雅黑" w:hAnsi="微软雅黑" w:eastAsia="微软雅黑" w:cs="微软雅黑"/>
                <w:color w:val="auto"/>
                <w:sz w:val="20"/>
                <w:szCs w:val="20"/>
              </w:rPr>
              <w:t>地埋红绿灯，外壳材质：钢化琉璃+不锈钢，颜色：红绿双色，光源类型：Φ5平头雾状直插LED，进口晶片封装，单颗亮度：红灯：625MCD(IF=30mA)，绿灯1300MCD(IF=30mA)，波长：红灯：620-625nm,绿灯：500-503nm,工作温度：-20-+80℃，功耗：红灯≦20W，绿灯：红灯≦25W，LED灯数量：红256PCS LED,绿240PCS LED，输入电压：12V，含预埋件（维护时不需要破路），灯箱尺寸：104*1005*60mm，预埋件尺寸：106*1050*112mm,不需要单独配电源，直接接在语音提示桩箱体里控制，随人行信号灯转换颜色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65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val="en-US" w:eastAsia="zh-CN"/>
              </w:rPr>
            </w:pPr>
          </w:p>
        </w:tc>
        <w:tc>
          <w:tcPr>
            <w:tcW w:w="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5</w:t>
            </w:r>
          </w:p>
        </w:tc>
        <w:tc>
          <w:tcPr>
            <w:tcW w:w="171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sz w:val="20"/>
                <w:szCs w:val="20"/>
                <w:vertAlign w:val="baseline"/>
                <w:lang w:eastAsia="zh-CN"/>
              </w:rPr>
              <w:t>发光地砖</w:t>
            </w:r>
          </w:p>
        </w:tc>
        <w:tc>
          <w:tcPr>
            <w:tcW w:w="10224"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微软雅黑" w:hAnsi="微软雅黑" w:eastAsia="微软雅黑" w:cs="微软雅黑"/>
                <w:sz w:val="20"/>
                <w:szCs w:val="20"/>
                <w:vertAlign w:val="baseline"/>
              </w:rPr>
            </w:pPr>
            <w:r>
              <w:rPr>
                <w:rFonts w:hint="eastAsia" w:ascii="微软雅黑" w:hAnsi="微软雅黑" w:eastAsia="微软雅黑" w:cs="微软雅黑"/>
                <w:i w:val="0"/>
                <w:color w:val="auto"/>
                <w:sz w:val="20"/>
                <w:szCs w:val="20"/>
                <w:u w:val="none"/>
              </w:rPr>
              <w:t>发光地砖，外壳材质：铸铁，颜色：白光(可定制)，光源类型：5050贴片式三晶LED，进口晶片封装，色温：6000K(IF=3*20mA)，工作温度：-20-+80℃，功耗：≦20W,，LED灯数量：红54PCS LED（单条发光区18PCS LED）,绿54PCS LED（单条发光区18PCS LED），输入电压：DC12V，单块地砖尺寸：400*200*40mm，一组两块，含预埋件，预埋件尺寸：410*410*80mm，发光区尺寸：300*28mm（3条发光区），一组共6条发光区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5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val="en-US" w:eastAsia="zh-CN"/>
              </w:rPr>
            </w:pPr>
          </w:p>
        </w:tc>
        <w:tc>
          <w:tcPr>
            <w:tcW w:w="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6</w:t>
            </w:r>
          </w:p>
        </w:tc>
        <w:tc>
          <w:tcPr>
            <w:tcW w:w="171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sz w:val="20"/>
                <w:szCs w:val="20"/>
                <w:vertAlign w:val="baseline"/>
                <w:lang w:eastAsia="zh-CN"/>
              </w:rPr>
              <w:t>智能斑马线地砖专用控制器</w:t>
            </w:r>
          </w:p>
        </w:tc>
        <w:tc>
          <w:tcPr>
            <w:tcW w:w="1022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微软雅黑" w:hAnsi="微软雅黑" w:eastAsia="微软雅黑" w:cs="微软雅黑"/>
                <w:sz w:val="20"/>
                <w:szCs w:val="20"/>
                <w:vertAlign w:val="baseline"/>
              </w:rPr>
            </w:pPr>
            <w:r>
              <w:rPr>
                <w:rFonts w:hint="eastAsia" w:ascii="微软雅黑" w:hAnsi="微软雅黑" w:eastAsia="微软雅黑" w:cs="微软雅黑"/>
                <w:i w:val="0"/>
                <w:color w:val="000000"/>
                <w:kern w:val="0"/>
                <w:sz w:val="20"/>
                <w:szCs w:val="20"/>
                <w:u w:val="none"/>
                <w:lang w:val="en-US" w:eastAsia="zh-CN" w:bidi="ar"/>
              </w:rPr>
              <w:t>智能斑马线地砖专用控制器，含电源模块，信号检测模块，信号接收控制模块，散热模块，信号输入方式：IO,支持PWM控制,输入电压：AC220V,含地砖专用电源(输出:DC12V)，标准配置可驱动24块地砖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5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val="en-US" w:eastAsia="zh-CN"/>
              </w:rPr>
            </w:pPr>
          </w:p>
        </w:tc>
        <w:tc>
          <w:tcPr>
            <w:tcW w:w="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7</w:t>
            </w:r>
          </w:p>
        </w:tc>
        <w:tc>
          <w:tcPr>
            <w:tcW w:w="171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sz w:val="20"/>
                <w:szCs w:val="20"/>
                <w:vertAlign w:val="baseline"/>
                <w:lang w:eastAsia="zh-CN"/>
              </w:rPr>
              <w:t>一体式广告人行信号灯</w:t>
            </w:r>
          </w:p>
        </w:tc>
        <w:tc>
          <w:tcPr>
            <w:tcW w:w="1022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微软雅黑" w:hAnsi="微软雅黑" w:eastAsia="微软雅黑" w:cs="微软雅黑"/>
                <w:sz w:val="20"/>
                <w:szCs w:val="20"/>
                <w:vertAlign w:val="baseline"/>
              </w:rPr>
            </w:pPr>
            <w:r>
              <w:rPr>
                <w:rFonts w:hint="eastAsia" w:ascii="微软雅黑" w:hAnsi="微软雅黑" w:eastAsia="微软雅黑" w:cs="微软雅黑"/>
                <w:i w:val="0"/>
                <w:color w:val="000000"/>
                <w:sz w:val="20"/>
                <w:szCs w:val="20"/>
                <w:u w:val="none"/>
              </w:rPr>
              <w:t>直径300mm一体式广告人行信号灯(动态人行),，外型尺寸：3000*400*200mm,显示屏显示区域尺寸：1600*320mm,含盲人钟，含行人过街申请按钮（需信号控制机支持），产品高度3.0米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65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val="en-US" w:eastAsia="zh-CN"/>
              </w:rPr>
            </w:pPr>
          </w:p>
        </w:tc>
        <w:tc>
          <w:tcPr>
            <w:tcW w:w="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8</w:t>
            </w:r>
          </w:p>
        </w:tc>
        <w:tc>
          <w:tcPr>
            <w:tcW w:w="171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sz w:val="20"/>
                <w:szCs w:val="20"/>
                <w:vertAlign w:val="baseline"/>
                <w:lang w:eastAsia="zh-CN"/>
              </w:rPr>
              <w:t>智能行人过街语音提示桩</w:t>
            </w:r>
          </w:p>
        </w:tc>
        <w:tc>
          <w:tcPr>
            <w:tcW w:w="10224"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微软雅黑" w:hAnsi="微软雅黑" w:eastAsia="微软雅黑" w:cs="微软雅黑"/>
                <w:sz w:val="20"/>
                <w:szCs w:val="20"/>
                <w:vertAlign w:val="baseline"/>
              </w:rPr>
            </w:pPr>
            <w:r>
              <w:rPr>
                <w:rFonts w:hint="eastAsia" w:ascii="微软雅黑" w:hAnsi="微软雅黑" w:eastAsia="微软雅黑" w:cs="微软雅黑"/>
                <w:b w:val="0"/>
                <w:bCs w:val="0"/>
                <w:i w:val="0"/>
                <w:color w:val="auto"/>
                <w:sz w:val="20"/>
                <w:szCs w:val="20"/>
                <w:u w:val="none"/>
              </w:rPr>
              <w:t>智能行人过街语音提示桩，手机APP版本，带显示屏</w:t>
            </w:r>
          </w:p>
        </w:tc>
      </w:tr>
    </w:tbl>
    <w:p>
      <w:pPr>
        <w:keepNext w:val="0"/>
        <w:keepLines w:val="0"/>
        <w:pageBreakBefore w:val="0"/>
        <w:widowControl w:val="0"/>
        <w:kinsoku/>
        <w:wordWrap/>
        <w:overflowPunct/>
        <w:topLinePunct w:val="0"/>
        <w:autoSpaceDE/>
        <w:autoSpaceDN/>
        <w:bidi w:val="0"/>
        <w:adjustRightInd/>
        <w:snapToGrid/>
        <w:spacing w:line="413" w:lineRule="auto"/>
        <w:ind w:left="0" w:leftChars="0" w:right="0" w:rightChars="0" w:firstLine="0" w:firstLineChars="0"/>
        <w:jc w:val="left"/>
        <w:textAlignment w:val="auto"/>
        <w:outlineLvl w:val="9"/>
        <w:rPr>
          <w:rFonts w:hint="eastAsia" w:ascii="微软雅黑" w:hAnsi="微软雅黑" w:eastAsia="微软雅黑" w:cs="微软雅黑"/>
          <w:bCs/>
          <w:color w:val="000000"/>
          <w:sz w:val="21"/>
          <w:szCs w:val="21"/>
          <w:lang w:eastAsia="zh-CN"/>
        </w:rPr>
      </w:pPr>
      <w:r>
        <w:rPr>
          <w:rFonts w:hint="eastAsia" w:ascii="微软雅黑" w:hAnsi="微软雅黑" w:eastAsia="微软雅黑" w:cs="微软雅黑"/>
          <w:sz w:val="21"/>
          <w:szCs w:val="21"/>
          <w:lang w:eastAsia="zh-CN"/>
        </w:rPr>
        <w:t>注：</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bCs/>
          <w:color w:val="000000"/>
          <w:sz w:val="21"/>
          <w:szCs w:val="21"/>
          <w:lang w:eastAsia="zh-CN"/>
        </w:rPr>
        <w:t>投标供应商参加谈判须提供本表中产品的所有生产厂家对于本项目授权书，原生产厂商参与投标的提供生产证明；</w:t>
      </w:r>
    </w:p>
    <w:p>
      <w:pPr>
        <w:keepNext/>
        <w:keepLines/>
        <w:pageBreakBefore w:val="0"/>
        <w:widowControl w:val="0"/>
        <w:kinsoku/>
        <w:wordWrap/>
        <w:overflowPunct/>
        <w:topLinePunct w:val="0"/>
        <w:autoSpaceDE/>
        <w:autoSpaceDN/>
        <w:bidi w:val="0"/>
        <w:adjustRightInd/>
        <w:snapToGrid/>
        <w:spacing w:line="413" w:lineRule="auto"/>
        <w:ind w:left="0" w:leftChars="0" w:right="0" w:rightChars="0" w:firstLine="0" w:firstLineChars="0"/>
        <w:jc w:val="left"/>
        <w:textAlignment w:val="auto"/>
        <w:outlineLvl w:val="9"/>
      </w:pPr>
      <w:r>
        <w:rPr>
          <w:rFonts w:hint="eastAsia" w:ascii="微软雅黑" w:hAnsi="微软雅黑" w:eastAsia="微软雅黑" w:cs="微软雅黑"/>
          <w:bCs/>
          <w:color w:val="000000"/>
          <w:sz w:val="21"/>
          <w:szCs w:val="21"/>
          <w:lang w:val="en-US" w:eastAsia="zh-CN"/>
        </w:rPr>
        <w:t xml:space="preserve">    2、本表中主要产品仅本次采购需</w:t>
      </w:r>
      <w:bookmarkStart w:id="0" w:name="_GoBack"/>
      <w:bookmarkEnd w:id="0"/>
      <w:r>
        <w:rPr>
          <w:rFonts w:hint="eastAsia" w:ascii="微软雅黑" w:hAnsi="微软雅黑" w:eastAsia="微软雅黑" w:cs="微软雅黑"/>
          <w:bCs/>
          <w:color w:val="000000"/>
          <w:sz w:val="21"/>
          <w:szCs w:val="21"/>
          <w:lang w:val="en-US" w:eastAsia="zh-CN"/>
        </w:rPr>
        <w:t>求中其中的一部分，具体采购内容以详见“第三章采购需求”。</w:t>
      </w:r>
    </w:p>
    <w:sectPr>
      <w:pgSz w:w="16838" w:h="11906" w:orient="landscape"/>
      <w:pgMar w:top="54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monospace">
    <w:altName w:val="AMGDT"/>
    <w:panose1 w:val="00000000000000000000"/>
    <w:charset w:val="00"/>
    <w:family w:val="auto"/>
    <w:pitch w:val="default"/>
    <w:sig w:usb0="00000000" w:usb1="00000000" w:usb2="00000000" w:usb3="00000000" w:csb0="00040001"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41B2"/>
    <w:rsid w:val="11A141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widowControl/>
      <w:spacing w:after="120" w:line="240" w:lineRule="auto"/>
      <w:ind w:left="420" w:leftChars="200" w:firstLine="420" w:firstLineChars="200"/>
      <w:jc w:val="left"/>
    </w:pPr>
    <w:rPr>
      <w:rFonts w:ascii="Times New Roman" w:hAnsi="Times New Roman" w:eastAsia="仿宋_GB2312"/>
      <w:spacing w:val="0"/>
      <w:sz w:val="28"/>
    </w:rPr>
  </w:style>
  <w:style w:type="paragraph" w:styleId="3">
    <w:name w:val="Body Text Indent"/>
    <w:basedOn w:val="1"/>
    <w:uiPriority w:val="0"/>
    <w:pPr>
      <w:ind w:firstLine="425"/>
    </w:pPr>
    <w:rPr>
      <w:szCs w:val="20"/>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2019-02-19T08:01:00Z</dcterms:created>
  <dc:creator>杭州博成工程咨询有限公司</dc:creator>
  <cp:lastModifiedBy>杭州博成工程咨询有限公司</cp:lastModifiedBy>
  <dcterms:modified xsi:type="dcterms:W3CDTF">2019-02-19T08:02:35Z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