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C5" w:rsidRDefault="00997DC5" w:rsidP="00997DC5">
      <w:pPr>
        <w:widowControl/>
        <w:spacing w:line="288" w:lineRule="auto"/>
        <w:ind w:firstLineChars="200" w:firstLine="643"/>
        <w:jc w:val="center"/>
        <w:outlineLvl w:val="0"/>
        <w:rPr>
          <w:rFonts w:ascii="宋体" w:hAnsi="宋体" w:cs="宋体" w:hint="eastAsia"/>
          <w:spacing w:val="-6"/>
          <w:kern w:val="0"/>
          <w:sz w:val="21"/>
          <w:szCs w:val="21"/>
        </w:rPr>
      </w:pPr>
      <w:bookmarkStart w:id="0" w:name="_Toc11365"/>
      <w:bookmarkStart w:id="1" w:name="_Toc30215"/>
      <w:r>
        <w:rPr>
          <w:rFonts w:ascii="宋体" w:hAnsi="宋体" w:hint="eastAsia"/>
          <w:b/>
          <w:bCs/>
          <w:sz w:val="32"/>
          <w:szCs w:val="32"/>
        </w:rPr>
        <w:t>采购需求</w:t>
      </w:r>
      <w:bookmarkEnd w:id="0"/>
      <w:bookmarkEnd w:id="1"/>
    </w:p>
    <w:p w:rsidR="00997DC5" w:rsidRDefault="00997DC5" w:rsidP="00997DC5">
      <w:pPr>
        <w:spacing w:line="288" w:lineRule="auto"/>
        <w:rPr>
          <w:rFonts w:ascii="宋体" w:hAnsi="宋体" w:cs="宋体" w:hint="eastAsia"/>
          <w:b/>
          <w:sz w:val="24"/>
        </w:rPr>
      </w:pPr>
      <w:bookmarkStart w:id="2" w:name="_Toc4284"/>
      <w:r>
        <w:rPr>
          <w:rFonts w:ascii="宋体" w:hAnsi="宋体" w:cs="宋体" w:hint="eastAsia"/>
          <w:b/>
          <w:sz w:val="24"/>
        </w:rPr>
        <w:t>一、采购资金的支付方式、时间、条件：</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7566"/>
      </w:tblGrid>
      <w:tr w:rsidR="00997DC5" w:rsidRPr="00C7237B" w:rsidTr="00D868F6">
        <w:trPr>
          <w:trHeight w:val="251"/>
        </w:trPr>
        <w:tc>
          <w:tcPr>
            <w:tcW w:w="2062" w:type="dxa"/>
            <w:shd w:val="clear" w:color="auto" w:fill="auto"/>
            <w:vAlign w:val="center"/>
          </w:tcPr>
          <w:p w:rsidR="00997DC5" w:rsidRPr="00C7237B" w:rsidRDefault="00997DC5" w:rsidP="00997DC5">
            <w:pPr>
              <w:pStyle w:val="Default"/>
              <w:jc w:val="center"/>
              <w:rPr>
                <w:rFonts w:ascii="宋体" w:hAnsi="宋体" w:cs="宋体" w:hint="eastAsia"/>
                <w:b/>
                <w:bCs/>
                <w:sz w:val="21"/>
                <w:szCs w:val="21"/>
              </w:rPr>
            </w:pPr>
            <w:r w:rsidRPr="00C7237B">
              <w:rPr>
                <w:rFonts w:ascii="宋体" w:hAnsi="宋体" w:cs="宋体" w:hint="eastAsia"/>
                <w:b/>
                <w:bCs/>
                <w:sz w:val="21"/>
                <w:szCs w:val="21"/>
              </w:rPr>
              <w:t>履约保证金</w:t>
            </w:r>
          </w:p>
        </w:tc>
        <w:tc>
          <w:tcPr>
            <w:tcW w:w="7566" w:type="dxa"/>
            <w:shd w:val="clear" w:color="auto" w:fill="auto"/>
            <w:vAlign w:val="center"/>
          </w:tcPr>
          <w:p w:rsidR="00997DC5" w:rsidRPr="00C7237B" w:rsidRDefault="00997DC5" w:rsidP="00997DC5">
            <w:pPr>
              <w:pStyle w:val="Default"/>
              <w:jc w:val="both"/>
              <w:rPr>
                <w:rFonts w:ascii="宋体" w:hAnsi="宋体" w:cs="宋体" w:hint="eastAsia"/>
                <w:sz w:val="21"/>
                <w:szCs w:val="21"/>
              </w:rPr>
            </w:pPr>
            <w:r w:rsidRPr="00C7237B">
              <w:rPr>
                <w:rFonts w:ascii="宋体" w:hAnsi="宋体" w:cs="宋体" w:hint="eastAsia"/>
                <w:sz w:val="21"/>
                <w:szCs w:val="21"/>
              </w:rPr>
              <w:t>合同签订后一周内，成交供应商向采购人提交合同金额5%的履约保证金，在采购人正常使用满一年后确认成交</w:t>
            </w:r>
            <w:proofErr w:type="gramStart"/>
            <w:r w:rsidRPr="00C7237B">
              <w:rPr>
                <w:rFonts w:ascii="宋体" w:hAnsi="宋体" w:cs="宋体" w:hint="eastAsia"/>
                <w:sz w:val="21"/>
                <w:szCs w:val="21"/>
              </w:rPr>
              <w:t>供应商无违约</w:t>
            </w:r>
            <w:proofErr w:type="gramEnd"/>
            <w:r w:rsidRPr="00C7237B">
              <w:rPr>
                <w:rFonts w:ascii="宋体" w:hAnsi="宋体" w:cs="宋体" w:hint="eastAsia"/>
                <w:sz w:val="21"/>
                <w:szCs w:val="21"/>
              </w:rPr>
              <w:t>行为后无息返还</w:t>
            </w:r>
            <w:proofErr w:type="gramStart"/>
            <w:r w:rsidRPr="00C7237B">
              <w:rPr>
                <w:rFonts w:ascii="宋体" w:hAnsi="宋体" w:cs="宋体" w:hint="eastAsia"/>
                <w:sz w:val="21"/>
                <w:szCs w:val="21"/>
              </w:rPr>
              <w:t>给成交</w:t>
            </w:r>
            <w:proofErr w:type="gramEnd"/>
            <w:r w:rsidRPr="00C7237B">
              <w:rPr>
                <w:rFonts w:ascii="宋体" w:hAnsi="宋体" w:cs="宋体" w:hint="eastAsia"/>
                <w:sz w:val="21"/>
                <w:szCs w:val="21"/>
              </w:rPr>
              <w:t>供应商（遇寒暑假及国定假日顺延）。</w:t>
            </w:r>
          </w:p>
        </w:tc>
      </w:tr>
      <w:tr w:rsidR="00997DC5" w:rsidRPr="00C7237B" w:rsidTr="00D868F6">
        <w:tc>
          <w:tcPr>
            <w:tcW w:w="2062" w:type="dxa"/>
            <w:shd w:val="clear" w:color="auto" w:fill="auto"/>
            <w:vAlign w:val="center"/>
          </w:tcPr>
          <w:p w:rsidR="00997DC5" w:rsidRPr="00C7237B" w:rsidRDefault="00997DC5" w:rsidP="00997DC5">
            <w:pPr>
              <w:pStyle w:val="Default"/>
              <w:jc w:val="center"/>
              <w:rPr>
                <w:rFonts w:ascii="宋体" w:hAnsi="宋体" w:cs="宋体" w:hint="eastAsia"/>
                <w:b/>
                <w:bCs/>
                <w:sz w:val="21"/>
                <w:szCs w:val="21"/>
              </w:rPr>
            </w:pPr>
            <w:r w:rsidRPr="00C7237B">
              <w:rPr>
                <w:rFonts w:ascii="宋体" w:hAnsi="宋体" w:cs="宋体" w:hint="eastAsia"/>
                <w:b/>
                <w:bCs/>
                <w:sz w:val="21"/>
                <w:szCs w:val="21"/>
              </w:rPr>
              <w:t>付款方式</w:t>
            </w:r>
          </w:p>
        </w:tc>
        <w:tc>
          <w:tcPr>
            <w:tcW w:w="7566" w:type="dxa"/>
            <w:shd w:val="clear" w:color="auto" w:fill="auto"/>
            <w:vAlign w:val="center"/>
          </w:tcPr>
          <w:p w:rsidR="00997DC5" w:rsidRPr="00C7237B" w:rsidRDefault="00997DC5" w:rsidP="00997DC5">
            <w:pPr>
              <w:pStyle w:val="Default"/>
              <w:jc w:val="both"/>
              <w:rPr>
                <w:rFonts w:ascii="宋体" w:hAnsi="宋体" w:cs="宋体" w:hint="eastAsia"/>
                <w:sz w:val="21"/>
                <w:szCs w:val="21"/>
              </w:rPr>
            </w:pPr>
            <w:r w:rsidRPr="00C7237B">
              <w:rPr>
                <w:rFonts w:ascii="宋体" w:hAnsi="宋体" w:cs="宋体" w:hint="eastAsia"/>
                <w:sz w:val="21"/>
                <w:szCs w:val="21"/>
              </w:rPr>
              <w:t>设备安装调试摆放完毕并经采购人验收合格和正常运行（使用）后的7天内，采购人收到成交供应商开具的正规发票后向成交供应商全额支付合同价款。</w:t>
            </w:r>
          </w:p>
        </w:tc>
      </w:tr>
    </w:tbl>
    <w:p w:rsidR="00997DC5" w:rsidRDefault="00997DC5" w:rsidP="00997DC5">
      <w:pPr>
        <w:pStyle w:val="Default"/>
        <w:rPr>
          <w:rFonts w:hint="eastAsia"/>
        </w:rPr>
      </w:pPr>
    </w:p>
    <w:p w:rsidR="00997DC5" w:rsidRDefault="00997DC5" w:rsidP="00997DC5">
      <w:pPr>
        <w:spacing w:line="288" w:lineRule="auto"/>
        <w:rPr>
          <w:rFonts w:ascii="宋体" w:hAnsi="宋体"/>
          <w:b/>
          <w:sz w:val="24"/>
        </w:rPr>
      </w:pPr>
      <w:bookmarkStart w:id="3" w:name="_Toc4674"/>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3"/>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7547"/>
      </w:tblGrid>
      <w:tr w:rsidR="00997DC5" w:rsidTr="00997DC5">
        <w:trPr>
          <w:trHeight w:val="20"/>
          <w:jc w:val="center"/>
        </w:trPr>
        <w:tc>
          <w:tcPr>
            <w:tcW w:w="2081"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jc w:val="center"/>
              <w:rPr>
                <w:rFonts w:ascii="宋体" w:hAnsi="宋体" w:cs="宋体" w:hint="eastAsia"/>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rPr>
                <w:rFonts w:ascii="宋体" w:hAnsi="宋体" w:cs="宋体" w:hint="eastAsia"/>
                <w:sz w:val="21"/>
                <w:szCs w:val="21"/>
              </w:rPr>
            </w:pPr>
            <w:r>
              <w:rPr>
                <w:rFonts w:ascii="宋体" w:hAnsi="宋体" w:cs="宋体" w:hint="eastAsia"/>
                <w:sz w:val="21"/>
                <w:szCs w:val="21"/>
              </w:rPr>
              <w:t>项目验收合格后开始计算，1年质保服务。</w:t>
            </w:r>
          </w:p>
        </w:tc>
      </w:tr>
      <w:tr w:rsidR="00997DC5" w:rsidTr="00997DC5">
        <w:trPr>
          <w:trHeight w:val="20"/>
          <w:jc w:val="center"/>
        </w:trPr>
        <w:tc>
          <w:tcPr>
            <w:tcW w:w="2081"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jc w:val="center"/>
              <w:rPr>
                <w:rFonts w:ascii="宋体" w:hAnsi="宋体" w:cs="宋体" w:hint="eastAsia"/>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rPr>
                <w:rFonts w:ascii="宋体" w:hAnsi="宋体" w:cs="宋体" w:hint="eastAsia"/>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w:t>
            </w:r>
            <w:proofErr w:type="gramStart"/>
            <w:r>
              <w:rPr>
                <w:rFonts w:ascii="宋体" w:hAnsi="宋体" w:cs="宋体" w:hint="eastAsia"/>
                <w:sz w:val="21"/>
                <w:szCs w:val="21"/>
              </w:rPr>
              <w:t>由成交</w:t>
            </w:r>
            <w:proofErr w:type="gramEnd"/>
            <w:r>
              <w:rPr>
                <w:rFonts w:ascii="宋体" w:hAnsi="宋体" w:cs="宋体" w:hint="eastAsia"/>
                <w:sz w:val="21"/>
                <w:szCs w:val="21"/>
              </w:rPr>
              <w:t>供应商免费予以更换。质保期满后，仅收取零配件成本费用，免人工费、差旅费，所涉及软件终身免费升级。</w:t>
            </w:r>
          </w:p>
        </w:tc>
      </w:tr>
      <w:tr w:rsidR="00997DC5" w:rsidTr="00997DC5">
        <w:trPr>
          <w:trHeight w:val="20"/>
          <w:jc w:val="center"/>
        </w:trPr>
        <w:tc>
          <w:tcPr>
            <w:tcW w:w="2081"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jc w:val="center"/>
              <w:rPr>
                <w:rFonts w:ascii="宋体" w:hAnsi="宋体" w:cs="宋体" w:hint="eastAsia"/>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rPr>
                <w:rFonts w:ascii="宋体" w:hAnsi="宋体" w:cs="宋体" w:hint="eastAsia"/>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采购人报修通知后8小时内到现场，12小时内维修完毕。提供足量的备品备件供采购人备用。</w:t>
            </w:r>
          </w:p>
        </w:tc>
      </w:tr>
      <w:tr w:rsidR="00997DC5" w:rsidTr="00997DC5">
        <w:trPr>
          <w:trHeight w:val="20"/>
          <w:jc w:val="center"/>
        </w:trPr>
        <w:tc>
          <w:tcPr>
            <w:tcW w:w="2081"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rPr>
                <w:rFonts w:ascii="宋体" w:hAnsi="宋体" w:cs="宋体" w:hint="eastAsia"/>
                <w:sz w:val="21"/>
                <w:szCs w:val="21"/>
              </w:rPr>
            </w:pPr>
            <w:r>
              <w:rPr>
                <w:rFonts w:ascii="宋体" w:hAnsi="宋体" w:cs="宋体" w:hint="eastAsia"/>
                <w:sz w:val="21"/>
                <w:szCs w:val="21"/>
              </w:rPr>
              <w:t>交付时间：接到成交通知书后30天内安装调试并验收完成。</w:t>
            </w:r>
          </w:p>
          <w:p w:rsidR="00997DC5" w:rsidRDefault="00997DC5" w:rsidP="00997DC5">
            <w:pPr>
              <w:rPr>
                <w:rFonts w:ascii="宋体" w:hAnsi="宋体" w:cs="宋体" w:hint="eastAsia"/>
                <w:sz w:val="21"/>
                <w:szCs w:val="21"/>
              </w:rPr>
            </w:pPr>
            <w:r>
              <w:rPr>
                <w:rFonts w:ascii="宋体" w:hAnsi="宋体" w:cs="宋体" w:hint="eastAsia"/>
                <w:sz w:val="21"/>
                <w:szCs w:val="21"/>
              </w:rPr>
              <w:t>交货地点：采购人指定地点。</w:t>
            </w:r>
          </w:p>
        </w:tc>
      </w:tr>
      <w:tr w:rsidR="00997DC5" w:rsidTr="00997DC5">
        <w:trPr>
          <w:trHeight w:val="20"/>
          <w:jc w:val="center"/>
        </w:trPr>
        <w:tc>
          <w:tcPr>
            <w:tcW w:w="2081"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jc w:val="center"/>
              <w:rPr>
                <w:rFonts w:ascii="宋体" w:hAnsi="宋体" w:cs="宋体" w:hint="eastAsia"/>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rPr>
                <w:rFonts w:ascii="宋体" w:hAnsi="宋体" w:cs="宋体" w:hint="eastAsia"/>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997DC5" w:rsidRDefault="00997DC5" w:rsidP="00997DC5">
            <w:pPr>
              <w:rPr>
                <w:rFonts w:ascii="宋体" w:hAnsi="宋体" w:cs="宋体" w:hint="eastAsia"/>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997DC5" w:rsidRDefault="00997DC5" w:rsidP="00997DC5">
            <w:pPr>
              <w:rPr>
                <w:rFonts w:ascii="宋体" w:hAnsi="宋体" w:cs="宋体" w:hint="eastAsia"/>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997DC5" w:rsidRDefault="00997DC5" w:rsidP="00997DC5">
            <w:pPr>
              <w:rPr>
                <w:rFonts w:ascii="宋体" w:hAnsi="宋体" w:cs="宋体" w:hint="eastAsia"/>
                <w:sz w:val="21"/>
                <w:szCs w:val="21"/>
              </w:rPr>
            </w:pPr>
            <w:r>
              <w:rPr>
                <w:rFonts w:ascii="宋体" w:hAnsi="宋体" w:cs="宋体" w:hint="eastAsia"/>
                <w:sz w:val="21"/>
                <w:szCs w:val="21"/>
              </w:rPr>
              <w:t>4.验收费用</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997DC5" w:rsidTr="00997DC5">
        <w:trPr>
          <w:trHeight w:val="20"/>
          <w:jc w:val="center"/>
        </w:trPr>
        <w:tc>
          <w:tcPr>
            <w:tcW w:w="2081"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997DC5" w:rsidRDefault="00997DC5" w:rsidP="00997DC5">
            <w:pPr>
              <w:rPr>
                <w:rFonts w:ascii="宋体" w:hAnsi="宋体" w:cs="宋体" w:hint="eastAsia"/>
                <w:sz w:val="21"/>
                <w:szCs w:val="21"/>
              </w:rPr>
            </w:pPr>
            <w:r>
              <w:rPr>
                <w:rFonts w:ascii="宋体" w:hAnsi="宋体" w:cs="宋体" w:hint="eastAsia"/>
                <w:sz w:val="21"/>
                <w:szCs w:val="21"/>
              </w:rPr>
              <w:t>1.培训：</w:t>
            </w:r>
          </w:p>
          <w:p w:rsidR="00997DC5" w:rsidRDefault="00997DC5" w:rsidP="00997DC5">
            <w:pPr>
              <w:rPr>
                <w:rFonts w:ascii="宋体" w:hAnsi="宋体" w:cs="宋体" w:hint="eastAsia"/>
                <w:sz w:val="21"/>
                <w:szCs w:val="21"/>
              </w:rPr>
            </w:pPr>
            <w:r>
              <w:rPr>
                <w:rFonts w:ascii="宋体" w:hAnsi="宋体" w:cs="宋体" w:hint="eastAsia"/>
                <w:sz w:val="21"/>
                <w:szCs w:val="21"/>
              </w:rPr>
              <w:t>1.1 成交供应商应对采购人的操作人员、维修人员免费进行培训。</w:t>
            </w:r>
          </w:p>
          <w:p w:rsidR="00997DC5" w:rsidRDefault="00997DC5" w:rsidP="00997DC5">
            <w:pPr>
              <w:rPr>
                <w:rFonts w:ascii="宋体" w:hAnsi="宋体" w:cs="宋体" w:hint="eastAsia"/>
                <w:sz w:val="21"/>
                <w:szCs w:val="21"/>
              </w:rPr>
            </w:pPr>
            <w:r>
              <w:rPr>
                <w:rFonts w:ascii="宋体" w:hAnsi="宋体" w:cs="宋体" w:hint="eastAsia"/>
                <w:sz w:val="21"/>
                <w:szCs w:val="21"/>
              </w:rPr>
              <w:t>1.2 成交供应商应提供相应的培训计划。</w:t>
            </w:r>
          </w:p>
          <w:p w:rsidR="00997DC5" w:rsidRDefault="00997DC5" w:rsidP="00997DC5">
            <w:pPr>
              <w:rPr>
                <w:rFonts w:ascii="宋体" w:hAnsi="宋体" w:cs="宋体" w:hint="eastAsia"/>
                <w:sz w:val="21"/>
                <w:szCs w:val="21"/>
              </w:rPr>
            </w:pPr>
            <w:r>
              <w:rPr>
                <w:rFonts w:ascii="宋体" w:hAnsi="宋体" w:cs="宋体" w:hint="eastAsia"/>
                <w:sz w:val="21"/>
                <w:szCs w:val="21"/>
              </w:rPr>
              <w:t>1.3 供应商应对上述内容的实现方式、地点、人数、时间在响应文件中详细说明。</w:t>
            </w:r>
          </w:p>
          <w:p w:rsidR="00997DC5" w:rsidRDefault="00997DC5" w:rsidP="00997DC5">
            <w:pPr>
              <w:rPr>
                <w:rFonts w:ascii="宋体" w:hAnsi="宋体" w:cs="宋体" w:hint="eastAsia"/>
                <w:sz w:val="21"/>
                <w:szCs w:val="21"/>
              </w:rPr>
            </w:pPr>
            <w:r>
              <w:rPr>
                <w:rFonts w:ascii="宋体" w:hAnsi="宋体" w:cs="宋体" w:hint="eastAsia"/>
                <w:sz w:val="21"/>
                <w:szCs w:val="21"/>
              </w:rPr>
              <w:t>2.安装调试（若需要安装调试）：</w:t>
            </w:r>
          </w:p>
          <w:p w:rsidR="00997DC5" w:rsidRDefault="00997DC5" w:rsidP="00997DC5">
            <w:pPr>
              <w:rPr>
                <w:rFonts w:ascii="宋体" w:hAnsi="宋体" w:cs="宋体" w:hint="eastAsia"/>
                <w:sz w:val="21"/>
                <w:szCs w:val="21"/>
              </w:rPr>
            </w:pPr>
            <w:r>
              <w:rPr>
                <w:rFonts w:ascii="宋体" w:hAnsi="宋体" w:cs="宋体" w:hint="eastAsia"/>
                <w:sz w:val="21"/>
                <w:szCs w:val="21"/>
              </w:rPr>
              <w:t>2.1 安装地点：采购人指定地点。</w:t>
            </w:r>
          </w:p>
          <w:p w:rsidR="00997DC5" w:rsidRDefault="00997DC5" w:rsidP="00997DC5">
            <w:pPr>
              <w:rPr>
                <w:rFonts w:ascii="宋体" w:hAnsi="宋体" w:cs="宋体" w:hint="eastAsia"/>
                <w:sz w:val="21"/>
                <w:szCs w:val="21"/>
              </w:rPr>
            </w:pPr>
            <w:r>
              <w:rPr>
                <w:rFonts w:ascii="宋体" w:hAnsi="宋体" w:cs="宋体" w:hint="eastAsia"/>
                <w:sz w:val="21"/>
                <w:szCs w:val="21"/>
              </w:rPr>
              <w:t>2.2 安装完成时间：接到成交通知书后30天内安装调试并验收完成，如在规定的时间内由于成交供应商的原因不能完成安装和调试，成交供应商应承担由此给</w:t>
            </w:r>
            <w:r>
              <w:rPr>
                <w:rFonts w:ascii="宋体" w:hAnsi="宋体" w:cs="宋体" w:hint="eastAsia"/>
                <w:sz w:val="21"/>
                <w:szCs w:val="21"/>
              </w:rPr>
              <w:lastRenderedPageBreak/>
              <w:t>采购人造成的损失。</w:t>
            </w:r>
          </w:p>
          <w:p w:rsidR="00997DC5" w:rsidRDefault="00997DC5" w:rsidP="00997DC5">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997DC5" w:rsidRDefault="00997DC5" w:rsidP="00997DC5">
            <w:pPr>
              <w:rPr>
                <w:rFonts w:ascii="宋体" w:hAnsi="宋体" w:cs="宋体" w:hint="eastAsia"/>
                <w:sz w:val="21"/>
                <w:szCs w:val="21"/>
              </w:rPr>
            </w:pPr>
            <w:r>
              <w:rPr>
                <w:rFonts w:ascii="宋体" w:hAnsi="宋体" w:cs="宋体" w:hint="eastAsia"/>
                <w:sz w:val="21"/>
                <w:szCs w:val="21"/>
              </w:rPr>
              <w:t>2.4 成交供应商免费提供合同货物的安装服务。</w:t>
            </w:r>
          </w:p>
          <w:p w:rsidR="00997DC5" w:rsidRDefault="00997DC5" w:rsidP="00997DC5">
            <w:pPr>
              <w:rPr>
                <w:rFonts w:ascii="宋体" w:hAnsi="宋体" w:cs="宋体" w:hint="eastAsia"/>
                <w:sz w:val="21"/>
                <w:szCs w:val="21"/>
              </w:rPr>
            </w:pPr>
            <w:r>
              <w:rPr>
                <w:rFonts w:ascii="宋体" w:hAnsi="宋体" w:cs="宋体" w:hint="eastAsia"/>
                <w:sz w:val="21"/>
                <w:szCs w:val="21"/>
              </w:rPr>
              <w:t>2.5 供应商在响应文件中应提供安装调试计划、对安装场地和环境的要求。</w:t>
            </w:r>
          </w:p>
        </w:tc>
      </w:tr>
    </w:tbl>
    <w:p w:rsidR="00997DC5" w:rsidRDefault="00997DC5" w:rsidP="00997DC5">
      <w:pPr>
        <w:spacing w:line="288" w:lineRule="auto"/>
        <w:rPr>
          <w:rFonts w:ascii="宋体" w:hAnsi="宋体" w:hint="eastAsia"/>
          <w:b/>
          <w:sz w:val="24"/>
        </w:rPr>
      </w:pPr>
      <w:bookmarkStart w:id="4" w:name="_Toc4885"/>
      <w:bookmarkStart w:id="5" w:name="_GoBack"/>
      <w:bookmarkEnd w:id="5"/>
      <w:r>
        <w:rPr>
          <w:rFonts w:ascii="宋体" w:hAnsi="宋体" w:hint="eastAsia"/>
          <w:b/>
          <w:sz w:val="24"/>
        </w:rPr>
        <w:lastRenderedPageBreak/>
        <w:t>三、</w:t>
      </w:r>
      <w:r>
        <w:rPr>
          <w:rFonts w:ascii="宋体" w:hAnsi="宋体"/>
          <w:b/>
          <w:sz w:val="24"/>
        </w:rPr>
        <w:t>技术要求</w:t>
      </w:r>
      <w:r>
        <w:rPr>
          <w:rFonts w:ascii="宋体" w:hAnsi="宋体" w:hint="eastAsia"/>
          <w:b/>
          <w:sz w:val="24"/>
        </w:rPr>
        <w: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21"/>
        <w:gridCol w:w="5705"/>
        <w:gridCol w:w="830"/>
        <w:gridCol w:w="763"/>
      </w:tblGrid>
      <w:tr w:rsidR="00997DC5" w:rsidRPr="00C7237B" w:rsidTr="00D868F6">
        <w:trPr>
          <w:trHeight w:val="496"/>
        </w:trPr>
        <w:tc>
          <w:tcPr>
            <w:tcW w:w="709" w:type="dxa"/>
            <w:shd w:val="clear" w:color="auto" w:fill="auto"/>
            <w:vAlign w:val="center"/>
          </w:tcPr>
          <w:p w:rsidR="00997DC5" w:rsidRPr="00C7237B" w:rsidRDefault="00997DC5" w:rsidP="00D868F6">
            <w:pPr>
              <w:jc w:val="center"/>
              <w:rPr>
                <w:rFonts w:ascii="宋体" w:hAnsi="宋体" w:cs="宋体" w:hint="eastAsia"/>
                <w:b/>
                <w:bCs/>
                <w:sz w:val="21"/>
                <w:szCs w:val="21"/>
              </w:rPr>
            </w:pPr>
            <w:r w:rsidRPr="00C7237B">
              <w:rPr>
                <w:rFonts w:ascii="宋体" w:hAnsi="宋体" w:cs="宋体" w:hint="eastAsia"/>
                <w:b/>
                <w:bCs/>
                <w:sz w:val="21"/>
                <w:szCs w:val="21"/>
              </w:rPr>
              <w:t>编号</w:t>
            </w:r>
          </w:p>
        </w:tc>
        <w:tc>
          <w:tcPr>
            <w:tcW w:w="1621" w:type="dxa"/>
            <w:shd w:val="clear" w:color="auto" w:fill="auto"/>
            <w:vAlign w:val="center"/>
          </w:tcPr>
          <w:p w:rsidR="00997DC5" w:rsidRPr="00C7237B" w:rsidRDefault="00997DC5" w:rsidP="00D868F6">
            <w:pPr>
              <w:jc w:val="center"/>
              <w:rPr>
                <w:rFonts w:ascii="宋体" w:hAnsi="宋体" w:cs="宋体" w:hint="eastAsia"/>
                <w:b/>
                <w:bCs/>
                <w:sz w:val="21"/>
                <w:szCs w:val="21"/>
              </w:rPr>
            </w:pPr>
            <w:r w:rsidRPr="00C7237B">
              <w:rPr>
                <w:rFonts w:ascii="宋体" w:hAnsi="宋体" w:cs="宋体" w:hint="eastAsia"/>
                <w:b/>
                <w:bCs/>
                <w:sz w:val="21"/>
                <w:szCs w:val="21"/>
              </w:rPr>
              <w:t>设备名称</w:t>
            </w:r>
          </w:p>
        </w:tc>
        <w:tc>
          <w:tcPr>
            <w:tcW w:w="5705" w:type="dxa"/>
            <w:shd w:val="clear" w:color="auto" w:fill="auto"/>
            <w:vAlign w:val="center"/>
          </w:tcPr>
          <w:p w:rsidR="00997DC5" w:rsidRPr="00C7237B" w:rsidRDefault="00997DC5" w:rsidP="00D868F6">
            <w:pPr>
              <w:jc w:val="center"/>
              <w:rPr>
                <w:rFonts w:ascii="宋体" w:hAnsi="宋体" w:cs="宋体" w:hint="eastAsia"/>
                <w:b/>
                <w:bCs/>
                <w:sz w:val="21"/>
                <w:szCs w:val="21"/>
              </w:rPr>
            </w:pPr>
            <w:r w:rsidRPr="00C7237B">
              <w:rPr>
                <w:rFonts w:ascii="宋体" w:hAnsi="宋体" w:cs="宋体" w:hint="eastAsia"/>
                <w:b/>
                <w:bCs/>
                <w:sz w:val="21"/>
                <w:szCs w:val="21"/>
              </w:rPr>
              <w:t>参数说明</w:t>
            </w:r>
          </w:p>
        </w:tc>
        <w:tc>
          <w:tcPr>
            <w:tcW w:w="830" w:type="dxa"/>
            <w:shd w:val="clear" w:color="auto" w:fill="auto"/>
            <w:vAlign w:val="center"/>
          </w:tcPr>
          <w:p w:rsidR="00997DC5" w:rsidRPr="00C7237B" w:rsidRDefault="00997DC5" w:rsidP="00D868F6">
            <w:pPr>
              <w:jc w:val="center"/>
              <w:rPr>
                <w:rFonts w:ascii="宋体" w:hAnsi="宋体" w:cs="宋体" w:hint="eastAsia"/>
                <w:b/>
                <w:bCs/>
                <w:sz w:val="21"/>
                <w:szCs w:val="21"/>
              </w:rPr>
            </w:pPr>
            <w:r w:rsidRPr="00C7237B">
              <w:rPr>
                <w:rFonts w:ascii="宋体" w:hAnsi="宋体" w:cs="宋体" w:hint="eastAsia"/>
                <w:b/>
                <w:bCs/>
                <w:sz w:val="21"/>
                <w:szCs w:val="21"/>
              </w:rPr>
              <w:t>数量</w:t>
            </w:r>
          </w:p>
        </w:tc>
        <w:tc>
          <w:tcPr>
            <w:tcW w:w="763" w:type="dxa"/>
            <w:shd w:val="clear" w:color="auto" w:fill="auto"/>
            <w:vAlign w:val="center"/>
          </w:tcPr>
          <w:p w:rsidR="00997DC5" w:rsidRPr="00C7237B" w:rsidRDefault="00997DC5" w:rsidP="00D868F6">
            <w:pPr>
              <w:jc w:val="center"/>
              <w:rPr>
                <w:rFonts w:ascii="宋体" w:hAnsi="宋体" w:cs="宋体" w:hint="eastAsia"/>
                <w:b/>
                <w:bCs/>
                <w:sz w:val="21"/>
                <w:szCs w:val="21"/>
              </w:rPr>
            </w:pPr>
            <w:r w:rsidRPr="00C7237B">
              <w:rPr>
                <w:rFonts w:ascii="宋体" w:hAnsi="宋体" w:cs="宋体" w:hint="eastAsia"/>
                <w:b/>
                <w:bCs/>
                <w:sz w:val="21"/>
                <w:szCs w:val="21"/>
              </w:rPr>
              <w:t>单位</w:t>
            </w:r>
          </w:p>
        </w:tc>
      </w:tr>
      <w:tr w:rsidR="00997DC5" w:rsidRPr="00C7237B" w:rsidTr="00D868F6">
        <w:tc>
          <w:tcPr>
            <w:tcW w:w="709"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1</w:t>
            </w:r>
          </w:p>
        </w:tc>
        <w:tc>
          <w:tcPr>
            <w:tcW w:w="1621"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洗碗机传送带</w:t>
            </w:r>
          </w:p>
        </w:tc>
        <w:tc>
          <w:tcPr>
            <w:tcW w:w="5705" w:type="dxa"/>
            <w:shd w:val="clear" w:color="auto" w:fill="auto"/>
            <w:vAlign w:val="center"/>
          </w:tcPr>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品牌：HOBART/MEIKO/WEXIODISH</w:t>
            </w:r>
          </w:p>
          <w:p w:rsidR="00997DC5" w:rsidRPr="00C7237B" w:rsidRDefault="00997DC5" w:rsidP="00D868F6">
            <w:pPr>
              <w:rPr>
                <w:rFonts w:ascii="宋体" w:hAnsi="宋体" w:cs="宋体" w:hint="eastAsia"/>
                <w:sz w:val="21"/>
                <w:szCs w:val="21"/>
              </w:rPr>
            </w:pPr>
            <w:proofErr w:type="gramStart"/>
            <w:r w:rsidRPr="00C7237B">
              <w:rPr>
                <w:rFonts w:ascii="宋体" w:hAnsi="宋体" w:cs="宋体" w:hint="eastAsia"/>
                <w:sz w:val="21"/>
                <w:szCs w:val="21"/>
              </w:rPr>
              <w:t>通过绳式系统</w:t>
            </w:r>
            <w:proofErr w:type="gramEnd"/>
            <w:r w:rsidRPr="00C7237B">
              <w:rPr>
                <w:rFonts w:ascii="宋体" w:hAnsi="宋体" w:cs="宋体" w:hint="eastAsia"/>
                <w:sz w:val="21"/>
                <w:szCs w:val="21"/>
              </w:rPr>
              <w:t>传送平底托盘，可与洗碗机和其它传送系统配套使用；</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传送柱材质为</w:t>
            </w:r>
            <w:proofErr w:type="gramStart"/>
            <w:r w:rsidRPr="00C7237B">
              <w:rPr>
                <w:rFonts w:ascii="宋体" w:hAnsi="宋体" w:cs="宋体" w:hint="eastAsia"/>
                <w:sz w:val="21"/>
                <w:szCs w:val="21"/>
              </w:rPr>
              <w:t>聚亚安酯</w:t>
            </w:r>
            <w:proofErr w:type="gramEnd"/>
            <w:r w:rsidRPr="00C7237B">
              <w:rPr>
                <w:rFonts w:ascii="宋体" w:hAnsi="宋体" w:cs="宋体" w:hint="eastAsia"/>
                <w:sz w:val="21"/>
                <w:szCs w:val="21"/>
              </w:rPr>
              <w:t>，内部有纤维制作的加强芯，符合食品卫生要求；</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单电机功率≤0.25kw；</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传送带速度：5-20m/min；</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传送</w:t>
            </w:r>
            <w:proofErr w:type="gramStart"/>
            <w:r w:rsidRPr="00C7237B">
              <w:rPr>
                <w:rFonts w:ascii="宋体" w:hAnsi="宋体" w:cs="宋体" w:hint="eastAsia"/>
                <w:sz w:val="21"/>
                <w:szCs w:val="21"/>
              </w:rPr>
              <w:t>绳</w:t>
            </w:r>
            <w:proofErr w:type="gramEnd"/>
            <w:r w:rsidRPr="00C7237B">
              <w:rPr>
                <w:rFonts w:ascii="宋体" w:hAnsi="宋体" w:cs="宋体" w:hint="eastAsia"/>
                <w:sz w:val="21"/>
                <w:szCs w:val="21"/>
              </w:rPr>
              <w:t>外径尺寸≤15mm；</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设备高度: 850mm；</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设备宽度：≤500mm；</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一体不锈钢框架结构，</w:t>
            </w:r>
            <w:proofErr w:type="gramStart"/>
            <w:r w:rsidRPr="00C7237B">
              <w:rPr>
                <w:rFonts w:ascii="宋体" w:hAnsi="宋体" w:cs="宋体" w:hint="eastAsia"/>
                <w:sz w:val="21"/>
                <w:szCs w:val="21"/>
              </w:rPr>
              <w:t>绳式传动</w:t>
            </w:r>
            <w:proofErr w:type="gramEnd"/>
            <w:r w:rsidRPr="00C7237B">
              <w:rPr>
                <w:rFonts w:ascii="宋体" w:hAnsi="宋体" w:cs="宋体" w:hint="eastAsia"/>
                <w:sz w:val="21"/>
                <w:szCs w:val="21"/>
              </w:rPr>
              <w:t>，结构简单，清洗方便；</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模块分段式设计，组装灵活，满足各种客户需求；</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系统末端配置光电感应限位开关，运行更安全、便捷；</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配置传动</w:t>
            </w:r>
            <w:proofErr w:type="gramStart"/>
            <w:r w:rsidRPr="00C7237B">
              <w:rPr>
                <w:rFonts w:ascii="宋体" w:hAnsi="宋体" w:cs="宋体" w:hint="eastAsia"/>
                <w:sz w:val="21"/>
                <w:szCs w:val="21"/>
              </w:rPr>
              <w:t>绳</w:t>
            </w:r>
            <w:proofErr w:type="gramEnd"/>
            <w:r w:rsidRPr="00C7237B">
              <w:rPr>
                <w:rFonts w:ascii="宋体" w:hAnsi="宋体" w:cs="宋体" w:hint="eastAsia"/>
                <w:sz w:val="21"/>
                <w:szCs w:val="21"/>
              </w:rPr>
              <w:t>张紧装置，便于现场调整，提高传动稳定性；</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传送速度变频可调，可根据现场就餐人数进行调整；</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 配置启动停止按钮，三档速度调节按钮和急停开关；</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▲核心部件，包括马达，传送柱及驱动轮、牵引轮等需为进口配件；</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规格：L*500*850；</w:t>
            </w:r>
          </w:p>
        </w:tc>
        <w:tc>
          <w:tcPr>
            <w:tcW w:w="830"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12</w:t>
            </w:r>
          </w:p>
        </w:tc>
        <w:tc>
          <w:tcPr>
            <w:tcW w:w="763"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米</w:t>
            </w:r>
          </w:p>
        </w:tc>
      </w:tr>
      <w:tr w:rsidR="00997DC5" w:rsidRPr="00C7237B" w:rsidTr="00D868F6">
        <w:tc>
          <w:tcPr>
            <w:tcW w:w="709"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2</w:t>
            </w:r>
          </w:p>
        </w:tc>
        <w:tc>
          <w:tcPr>
            <w:tcW w:w="1621"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残菜柜连车</w:t>
            </w:r>
          </w:p>
        </w:tc>
        <w:tc>
          <w:tcPr>
            <w:tcW w:w="5705" w:type="dxa"/>
            <w:shd w:val="clear" w:color="auto" w:fill="auto"/>
            <w:vAlign w:val="center"/>
          </w:tcPr>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品牌:厂制品；</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采用SUS304-2B不锈钢板制造；</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面板厚1.0㎜，前板、侧板厚0.8㎜；</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配包钢可调式子弹脚；</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带车带轮；</w:t>
            </w:r>
          </w:p>
          <w:p w:rsidR="00997DC5" w:rsidRPr="00C7237B" w:rsidRDefault="00997DC5" w:rsidP="00D868F6">
            <w:pPr>
              <w:rPr>
                <w:rFonts w:ascii="宋体" w:hAnsi="宋体" w:cs="宋体" w:hint="eastAsia"/>
                <w:sz w:val="21"/>
                <w:szCs w:val="21"/>
              </w:rPr>
            </w:pPr>
            <w:r w:rsidRPr="00C7237B">
              <w:rPr>
                <w:rFonts w:ascii="宋体" w:hAnsi="宋体" w:cs="宋体" w:hint="eastAsia"/>
                <w:sz w:val="21"/>
                <w:szCs w:val="21"/>
              </w:rPr>
              <w:t>规格：1500*800*1200；</w:t>
            </w:r>
          </w:p>
        </w:tc>
        <w:tc>
          <w:tcPr>
            <w:tcW w:w="830"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2</w:t>
            </w:r>
          </w:p>
        </w:tc>
        <w:tc>
          <w:tcPr>
            <w:tcW w:w="763" w:type="dxa"/>
            <w:shd w:val="clear" w:color="auto" w:fill="auto"/>
            <w:vAlign w:val="center"/>
          </w:tcPr>
          <w:p w:rsidR="00997DC5" w:rsidRPr="00C7237B" w:rsidRDefault="00997DC5" w:rsidP="00D868F6">
            <w:pPr>
              <w:jc w:val="center"/>
              <w:rPr>
                <w:rFonts w:ascii="宋体" w:hAnsi="宋体" w:cs="宋体" w:hint="eastAsia"/>
                <w:sz w:val="21"/>
                <w:szCs w:val="21"/>
              </w:rPr>
            </w:pPr>
            <w:r w:rsidRPr="00C7237B">
              <w:rPr>
                <w:rFonts w:ascii="宋体" w:hAnsi="宋体" w:cs="宋体" w:hint="eastAsia"/>
                <w:sz w:val="21"/>
                <w:szCs w:val="21"/>
              </w:rPr>
              <w:t>台</w:t>
            </w:r>
          </w:p>
        </w:tc>
      </w:tr>
    </w:tbl>
    <w:p w:rsidR="00997DC5" w:rsidRDefault="00997DC5" w:rsidP="00997DC5">
      <w:pPr>
        <w:rPr>
          <w:rFonts w:ascii="宋体" w:hAnsi="宋体" w:hint="eastAsia"/>
          <w:b/>
          <w:sz w:val="21"/>
          <w:szCs w:val="21"/>
        </w:rPr>
      </w:pPr>
      <w:r>
        <w:rPr>
          <w:rFonts w:ascii="宋体" w:hAnsi="宋体" w:hint="eastAsia"/>
          <w:b/>
          <w:sz w:val="21"/>
          <w:szCs w:val="21"/>
        </w:rPr>
        <w:t>四、样品要求</w:t>
      </w:r>
    </w:p>
    <w:p w:rsidR="00997DC5" w:rsidRDefault="00997DC5" w:rsidP="00997DC5">
      <w:pPr>
        <w:spacing w:line="288" w:lineRule="auto"/>
        <w:ind w:firstLineChars="200" w:firstLine="422"/>
        <w:rPr>
          <w:rFonts w:ascii="宋体" w:hAnsi="宋体" w:hint="eastAsia"/>
          <w:b/>
          <w:sz w:val="21"/>
          <w:szCs w:val="21"/>
        </w:rPr>
      </w:pPr>
      <w:r>
        <w:rPr>
          <w:rFonts w:ascii="宋体" w:hAnsi="宋体"/>
          <w:b/>
          <w:sz w:val="21"/>
          <w:szCs w:val="21"/>
        </w:rPr>
        <w:t>本项目</w:t>
      </w:r>
      <w:r>
        <w:rPr>
          <w:rFonts w:ascii="宋体" w:hAnsi="宋体" w:hint="eastAsia"/>
          <w:b/>
          <w:sz w:val="21"/>
          <w:szCs w:val="21"/>
        </w:rPr>
        <w:t>响应</w:t>
      </w:r>
      <w:r>
        <w:rPr>
          <w:rFonts w:ascii="宋体" w:hAnsi="宋体"/>
          <w:b/>
          <w:sz w:val="21"/>
          <w:szCs w:val="21"/>
        </w:rPr>
        <w:t>时需提供样品</w:t>
      </w:r>
      <w:r>
        <w:rPr>
          <w:rFonts w:ascii="宋体" w:hAnsi="宋体" w:hint="eastAsia"/>
          <w:b/>
          <w:sz w:val="21"/>
          <w:szCs w:val="21"/>
        </w:rPr>
        <w:t>：</w:t>
      </w:r>
    </w:p>
    <w:p w:rsidR="00997DC5" w:rsidRDefault="00997DC5" w:rsidP="00997DC5">
      <w:pPr>
        <w:numPr>
          <w:ilvl w:val="0"/>
          <w:numId w:val="1"/>
        </w:numPr>
        <w:spacing w:line="288" w:lineRule="auto"/>
        <w:ind w:firstLineChars="200" w:firstLine="420"/>
        <w:rPr>
          <w:rFonts w:ascii="宋体" w:hAnsi="宋体" w:hint="eastAsia"/>
          <w:bCs/>
          <w:sz w:val="21"/>
          <w:szCs w:val="21"/>
        </w:rPr>
      </w:pPr>
      <w:r>
        <w:rPr>
          <w:rFonts w:ascii="宋体" w:hAnsi="宋体" w:cs="宋体" w:hint="eastAsia"/>
          <w:sz w:val="21"/>
          <w:szCs w:val="21"/>
        </w:rPr>
        <w:t>残菜柜连车（</w:t>
      </w:r>
      <w:r>
        <w:rPr>
          <w:rFonts w:ascii="宋体" w:hAnsi="宋体" w:hint="eastAsia"/>
          <w:bCs/>
          <w:sz w:val="21"/>
          <w:szCs w:val="21"/>
        </w:rPr>
        <w:t>要求参见技术说明）。</w:t>
      </w:r>
    </w:p>
    <w:p w:rsidR="00997DC5" w:rsidRDefault="00997DC5" w:rsidP="00997DC5">
      <w:pPr>
        <w:spacing w:line="288" w:lineRule="auto"/>
        <w:ind w:firstLineChars="200" w:firstLine="420"/>
        <w:rPr>
          <w:rFonts w:ascii="宋体" w:hAnsi="宋体"/>
          <w:bCs/>
          <w:sz w:val="21"/>
          <w:szCs w:val="21"/>
        </w:rPr>
      </w:pPr>
      <w:r>
        <w:rPr>
          <w:rFonts w:ascii="宋体" w:hAnsi="宋体"/>
          <w:bCs/>
          <w:sz w:val="21"/>
          <w:szCs w:val="21"/>
        </w:rPr>
        <w:t>（</w:t>
      </w:r>
      <w:r>
        <w:rPr>
          <w:rFonts w:ascii="宋体" w:hAnsi="宋体" w:hint="eastAsia"/>
          <w:bCs/>
          <w:sz w:val="21"/>
          <w:szCs w:val="21"/>
        </w:rPr>
        <w:t>所有样品费用由供应商承担，样品不得粘贴、设置制造商标志，</w:t>
      </w:r>
      <w:r>
        <w:rPr>
          <w:rFonts w:ascii="宋体" w:hAnsi="宋体"/>
          <w:bCs/>
          <w:sz w:val="21"/>
          <w:szCs w:val="21"/>
        </w:rPr>
        <w:t>样品评审时可能对样品进行破坏</w:t>
      </w:r>
      <w:r>
        <w:rPr>
          <w:rFonts w:ascii="宋体" w:hAnsi="宋体"/>
          <w:bCs/>
          <w:sz w:val="21"/>
          <w:szCs w:val="21"/>
        </w:rPr>
        <w:lastRenderedPageBreak/>
        <w:t>性试验，如样品遭到破坏导致的损失由</w:t>
      </w:r>
      <w:r>
        <w:rPr>
          <w:rFonts w:ascii="宋体" w:hAnsi="宋体" w:hint="eastAsia"/>
          <w:bCs/>
          <w:sz w:val="21"/>
          <w:szCs w:val="21"/>
        </w:rPr>
        <w:t>供应商</w:t>
      </w:r>
      <w:r>
        <w:rPr>
          <w:rFonts w:ascii="宋体" w:hAnsi="宋体"/>
          <w:bCs/>
          <w:sz w:val="21"/>
          <w:szCs w:val="21"/>
        </w:rPr>
        <w:t>自行承担，</w:t>
      </w:r>
      <w:r>
        <w:rPr>
          <w:rFonts w:ascii="宋体" w:hAnsi="宋体" w:hint="eastAsia"/>
          <w:bCs/>
          <w:sz w:val="21"/>
          <w:szCs w:val="21"/>
        </w:rPr>
        <w:t>响应</w:t>
      </w:r>
      <w:r>
        <w:rPr>
          <w:rFonts w:ascii="宋体" w:hAnsi="宋体"/>
          <w:bCs/>
          <w:sz w:val="21"/>
          <w:szCs w:val="21"/>
        </w:rPr>
        <w:t>时请充分考虑当中风险）</w:t>
      </w:r>
      <w:r>
        <w:rPr>
          <w:rFonts w:ascii="宋体" w:hAnsi="宋体" w:hint="eastAsia"/>
          <w:bCs/>
          <w:sz w:val="21"/>
          <w:szCs w:val="21"/>
        </w:rPr>
        <w:t>。</w:t>
      </w:r>
    </w:p>
    <w:p w:rsidR="00997DC5" w:rsidRDefault="00997DC5" w:rsidP="00997DC5">
      <w:pPr>
        <w:spacing w:line="288" w:lineRule="auto"/>
        <w:ind w:firstLineChars="200" w:firstLine="420"/>
        <w:rPr>
          <w:rFonts w:ascii="宋体" w:hAnsi="宋体"/>
          <w:bCs/>
          <w:sz w:val="21"/>
          <w:szCs w:val="21"/>
        </w:rPr>
      </w:pPr>
      <w:r>
        <w:rPr>
          <w:rFonts w:ascii="宋体" w:hAnsi="宋体" w:hint="eastAsia"/>
          <w:bCs/>
          <w:sz w:val="21"/>
          <w:szCs w:val="21"/>
        </w:rPr>
        <w:t>▲未提供样品的，响应无效。</w:t>
      </w:r>
    </w:p>
    <w:p w:rsidR="00997DC5" w:rsidRDefault="00997DC5" w:rsidP="00997DC5">
      <w:pPr>
        <w:spacing w:line="288" w:lineRule="auto"/>
        <w:ind w:firstLineChars="200" w:firstLine="420"/>
        <w:rPr>
          <w:rFonts w:ascii="宋体" w:hAnsi="宋体"/>
          <w:bCs/>
          <w:sz w:val="21"/>
          <w:szCs w:val="21"/>
        </w:rPr>
      </w:pPr>
      <w:r>
        <w:rPr>
          <w:rFonts w:ascii="宋体" w:hAnsi="宋体"/>
          <w:bCs/>
          <w:sz w:val="21"/>
          <w:szCs w:val="21"/>
        </w:rPr>
        <w:t>1.样品递交时间为</w:t>
      </w:r>
      <w:r>
        <w:rPr>
          <w:rFonts w:ascii="宋体" w:hAnsi="宋体" w:hint="eastAsia"/>
          <w:bCs/>
          <w:sz w:val="21"/>
          <w:szCs w:val="21"/>
        </w:rPr>
        <w:t>2019年9月27日下午13:30:00前</w:t>
      </w:r>
      <w:r>
        <w:rPr>
          <w:rFonts w:ascii="宋体" w:hAnsi="宋体"/>
          <w:bCs/>
          <w:sz w:val="21"/>
          <w:szCs w:val="21"/>
        </w:rPr>
        <w:t>（</w:t>
      </w:r>
      <w:proofErr w:type="gramStart"/>
      <w:r>
        <w:rPr>
          <w:rFonts w:ascii="宋体" w:hAnsi="宋体"/>
          <w:bCs/>
          <w:sz w:val="21"/>
          <w:szCs w:val="21"/>
        </w:rPr>
        <w:t>含完成</w:t>
      </w:r>
      <w:proofErr w:type="gramEnd"/>
      <w:r>
        <w:rPr>
          <w:rFonts w:ascii="宋体" w:hAnsi="宋体"/>
          <w:bCs/>
          <w:sz w:val="21"/>
          <w:szCs w:val="21"/>
        </w:rPr>
        <w:t>组装）</w:t>
      </w:r>
      <w:r>
        <w:rPr>
          <w:rFonts w:ascii="宋体" w:hAnsi="宋体" w:hint="eastAsia"/>
          <w:bCs/>
          <w:sz w:val="21"/>
          <w:szCs w:val="21"/>
        </w:rPr>
        <w:t>随响应一起递交</w:t>
      </w:r>
      <w:r>
        <w:rPr>
          <w:rFonts w:ascii="宋体" w:hAnsi="宋体"/>
          <w:bCs/>
          <w:sz w:val="21"/>
          <w:szCs w:val="21"/>
        </w:rPr>
        <w:t>，</w:t>
      </w:r>
      <w:r>
        <w:rPr>
          <w:rFonts w:ascii="宋体" w:hAnsi="宋体" w:hint="eastAsia"/>
          <w:bCs/>
          <w:sz w:val="21"/>
          <w:szCs w:val="21"/>
        </w:rPr>
        <w:t>地点</w:t>
      </w:r>
      <w:r>
        <w:rPr>
          <w:rFonts w:ascii="宋体" w:hAnsi="宋体"/>
          <w:bCs/>
          <w:sz w:val="21"/>
          <w:szCs w:val="21"/>
        </w:rPr>
        <w:t>：</w:t>
      </w:r>
      <w:r>
        <w:rPr>
          <w:rFonts w:ascii="宋体" w:hAnsi="宋体" w:hint="eastAsia"/>
          <w:spacing w:val="-6"/>
          <w:sz w:val="21"/>
          <w:szCs w:val="21"/>
        </w:rPr>
        <w:t>杭州市西湖区玉古路173号中田大厦16楼求是招标会议室</w:t>
      </w:r>
      <w:r>
        <w:rPr>
          <w:rFonts w:ascii="宋体" w:hAnsi="宋体" w:hint="eastAsia"/>
          <w:bCs/>
          <w:sz w:val="21"/>
          <w:szCs w:val="21"/>
        </w:rPr>
        <w:t>，</w:t>
      </w:r>
      <w:r>
        <w:rPr>
          <w:rFonts w:ascii="宋体" w:hAnsi="宋体"/>
          <w:bCs/>
          <w:sz w:val="21"/>
          <w:szCs w:val="21"/>
        </w:rPr>
        <w:t>逾期送达将予以拒收；</w:t>
      </w:r>
    </w:p>
    <w:p w:rsidR="00997DC5" w:rsidRDefault="00997DC5" w:rsidP="00997DC5">
      <w:pPr>
        <w:spacing w:line="288" w:lineRule="auto"/>
        <w:ind w:firstLineChars="200" w:firstLine="420"/>
        <w:rPr>
          <w:rFonts w:ascii="宋体" w:hAnsi="宋体"/>
          <w:bCs/>
          <w:sz w:val="21"/>
          <w:szCs w:val="21"/>
        </w:rPr>
      </w:pPr>
      <w:r>
        <w:rPr>
          <w:rFonts w:ascii="宋体" w:hAnsi="宋体"/>
          <w:bCs/>
          <w:sz w:val="21"/>
          <w:szCs w:val="21"/>
        </w:rPr>
        <w:t>2.采购活动结束后，对于未</w:t>
      </w:r>
      <w:r>
        <w:rPr>
          <w:rFonts w:ascii="宋体" w:hAnsi="宋体" w:hint="eastAsia"/>
          <w:bCs/>
          <w:sz w:val="21"/>
          <w:szCs w:val="21"/>
        </w:rPr>
        <w:t>成交</w:t>
      </w:r>
      <w:r>
        <w:rPr>
          <w:rFonts w:ascii="宋体" w:hAnsi="宋体"/>
          <w:bCs/>
          <w:sz w:val="21"/>
          <w:szCs w:val="21"/>
        </w:rPr>
        <w:t>供应商提供的样品，采购代理机构及时退还或者经未</w:t>
      </w:r>
      <w:r>
        <w:rPr>
          <w:rFonts w:ascii="宋体" w:hAnsi="宋体" w:hint="eastAsia"/>
          <w:bCs/>
          <w:sz w:val="21"/>
          <w:szCs w:val="21"/>
        </w:rPr>
        <w:t>成交</w:t>
      </w:r>
      <w:r>
        <w:rPr>
          <w:rFonts w:ascii="宋体" w:hAnsi="宋体"/>
          <w:bCs/>
          <w:sz w:val="21"/>
          <w:szCs w:val="21"/>
        </w:rPr>
        <w:t>供应商同意后自行处理；</w:t>
      </w:r>
    </w:p>
    <w:p w:rsidR="00997DC5" w:rsidRDefault="00997DC5" w:rsidP="00997DC5">
      <w:pPr>
        <w:spacing w:line="288" w:lineRule="auto"/>
        <w:ind w:firstLineChars="200" w:firstLine="420"/>
        <w:rPr>
          <w:rFonts w:ascii="宋体" w:hAnsi="宋体"/>
          <w:bCs/>
          <w:sz w:val="21"/>
          <w:szCs w:val="21"/>
        </w:rPr>
      </w:pPr>
      <w:r>
        <w:rPr>
          <w:rFonts w:ascii="宋体" w:hAnsi="宋体"/>
          <w:bCs/>
          <w:sz w:val="21"/>
          <w:szCs w:val="21"/>
        </w:rPr>
        <w:t>3.样品制作标准和要求：整体实样，具体详见采购需求；</w:t>
      </w:r>
    </w:p>
    <w:p w:rsidR="00997DC5" w:rsidRDefault="00997DC5" w:rsidP="00997DC5">
      <w:pPr>
        <w:pStyle w:val="a3"/>
        <w:spacing w:line="288" w:lineRule="auto"/>
        <w:rPr>
          <w:rFonts w:ascii="宋体" w:hAnsi="宋体" w:cs="宋体" w:hint="eastAsia"/>
          <w:b/>
          <w:bCs/>
          <w:szCs w:val="21"/>
        </w:rPr>
      </w:pPr>
      <w:r>
        <w:rPr>
          <w:rFonts w:ascii="宋体" w:hAnsi="宋体"/>
          <w:bCs/>
          <w:szCs w:val="21"/>
        </w:rPr>
        <w:t>4.</w:t>
      </w:r>
      <w:r>
        <w:rPr>
          <w:rFonts w:ascii="宋体" w:hAnsi="宋体" w:hint="eastAsia"/>
          <w:bCs/>
          <w:szCs w:val="21"/>
        </w:rPr>
        <w:t>成交</w:t>
      </w:r>
      <w:r>
        <w:rPr>
          <w:rFonts w:ascii="宋体" w:hAnsi="宋体"/>
          <w:bCs/>
          <w:szCs w:val="21"/>
        </w:rPr>
        <w:t>供应商与采购人签订合同后，其样品的质量将作为验收标准之一。</w:t>
      </w:r>
    </w:p>
    <w:p w:rsidR="00997DC5" w:rsidRDefault="00997DC5" w:rsidP="00997DC5">
      <w:pPr>
        <w:spacing w:line="288" w:lineRule="auto"/>
        <w:rPr>
          <w:rFonts w:ascii="宋体" w:hAnsi="宋体" w:hint="eastAsia"/>
          <w:b/>
          <w:sz w:val="21"/>
          <w:szCs w:val="21"/>
        </w:rPr>
      </w:pPr>
    </w:p>
    <w:p w:rsidR="00997DC5" w:rsidRDefault="00997DC5" w:rsidP="00997DC5">
      <w:pPr>
        <w:spacing w:line="288" w:lineRule="auto"/>
        <w:rPr>
          <w:rFonts w:ascii="宋体" w:hAnsi="宋体" w:hint="eastAsia"/>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DC1539" w:rsidRPr="00997DC5" w:rsidRDefault="00DC1539" w:rsidP="00997DC5">
      <w:pPr>
        <w:spacing w:line="288" w:lineRule="auto"/>
      </w:pPr>
    </w:p>
    <w:sectPr w:rsidR="00DC1539" w:rsidRPr="00997DC5" w:rsidSect="00997DC5">
      <w:pgSz w:w="11906" w:h="16838"/>
      <w:pgMar w:top="1247" w:right="1247" w:bottom="1247" w:left="124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EDA44"/>
    <w:multiLevelType w:val="singleLevel"/>
    <w:tmpl w:val="454EDA4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C5"/>
    <w:rsid w:val="00997DC5"/>
    <w:rsid w:val="00DC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97DC5"/>
    <w:pPr>
      <w:widowControl w:val="0"/>
      <w:jc w:val="both"/>
    </w:pPr>
    <w:rPr>
      <w:rFonts w:ascii="Calibri" w:eastAsia="宋体"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rsid w:val="00997DC5"/>
    <w:pPr>
      <w:widowControl w:val="0"/>
      <w:autoSpaceDE w:val="0"/>
      <w:autoSpaceDN w:val="0"/>
      <w:adjustRightInd w:val="0"/>
    </w:pPr>
    <w:rPr>
      <w:rFonts w:ascii="Arial" w:eastAsia="宋体" w:hAnsi="Arial" w:cs="Arial"/>
      <w:color w:val="000000"/>
      <w:kern w:val="0"/>
      <w:sz w:val="24"/>
      <w:szCs w:val="24"/>
    </w:rPr>
  </w:style>
  <w:style w:type="paragraph" w:styleId="a3">
    <w:name w:val="List Paragraph"/>
    <w:basedOn w:val="a"/>
    <w:uiPriority w:val="34"/>
    <w:qFormat/>
    <w:rsid w:val="00997DC5"/>
    <w:pPr>
      <w:ind w:firstLineChars="200" w:firstLine="420"/>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97DC5"/>
    <w:pPr>
      <w:widowControl w:val="0"/>
      <w:jc w:val="both"/>
    </w:pPr>
    <w:rPr>
      <w:rFonts w:ascii="Calibri" w:eastAsia="宋体"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rsid w:val="00997DC5"/>
    <w:pPr>
      <w:widowControl w:val="0"/>
      <w:autoSpaceDE w:val="0"/>
      <w:autoSpaceDN w:val="0"/>
      <w:adjustRightInd w:val="0"/>
    </w:pPr>
    <w:rPr>
      <w:rFonts w:ascii="Arial" w:eastAsia="宋体" w:hAnsi="Arial" w:cs="Arial"/>
      <w:color w:val="000000"/>
      <w:kern w:val="0"/>
      <w:sz w:val="24"/>
      <w:szCs w:val="24"/>
    </w:rPr>
  </w:style>
  <w:style w:type="paragraph" w:styleId="a3">
    <w:name w:val="List Paragraph"/>
    <w:basedOn w:val="a"/>
    <w:uiPriority w:val="34"/>
    <w:qFormat/>
    <w:rsid w:val="00997DC5"/>
    <w:pPr>
      <w:ind w:firstLineChars="200"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1</cp:revision>
  <dcterms:created xsi:type="dcterms:W3CDTF">2019-09-17T01:13:00Z</dcterms:created>
  <dcterms:modified xsi:type="dcterms:W3CDTF">2019-09-17T01:15:00Z</dcterms:modified>
</cp:coreProperties>
</file>