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C2" w:rsidRDefault="00B361C2" w:rsidP="00B361C2">
      <w:pPr>
        <w:widowControl/>
        <w:spacing w:line="360" w:lineRule="auto"/>
        <w:ind w:right="60" w:firstLineChars="200" w:firstLine="643"/>
        <w:jc w:val="center"/>
        <w:rPr>
          <w:rFonts w:ascii="宋体" w:hAnsi="宋体" w:cs="宋体" w:hint="eastAsia"/>
          <w:spacing w:val="-6"/>
          <w:kern w:val="0"/>
          <w:sz w:val="21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B361C2" w:rsidRDefault="00B361C2" w:rsidP="00B361C2"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一、采购资金的支付方式、时间、条件：</w:t>
      </w:r>
    </w:p>
    <w:p w:rsidR="00B361C2" w:rsidRDefault="00B361C2" w:rsidP="00B361C2">
      <w:pPr>
        <w:spacing w:line="360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交货后经采购人验收合格，5个工作日内由采购人向成交供应商支付合同总价的100%。</w:t>
      </w:r>
    </w:p>
    <w:p w:rsidR="00B361C2" w:rsidRDefault="00B361C2" w:rsidP="00B361C2">
      <w:pPr>
        <w:spacing w:line="360" w:lineRule="auto"/>
        <w:rPr>
          <w:rFonts w:ascii="宋体" w:hAnsi="宋体"/>
          <w:bCs/>
          <w:sz w:val="21"/>
          <w:szCs w:val="21"/>
        </w:rPr>
      </w:pPr>
    </w:p>
    <w:p w:rsidR="00B361C2" w:rsidRDefault="00B361C2" w:rsidP="00B361C2"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二、服务要求（技术服务要求里另有注明的以技术服务要求为准）</w:t>
      </w:r>
      <w:r>
        <w:rPr>
          <w:rFonts w:ascii="宋体" w:hAnsi="宋体"/>
          <w:b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8"/>
        <w:gridCol w:w="7440"/>
      </w:tblGrid>
      <w:tr w:rsidR="00B361C2" w:rsidTr="00BF38DA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服务质保期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9个月，从验收合格后开始计算。</w:t>
            </w:r>
          </w:p>
        </w:tc>
      </w:tr>
      <w:tr w:rsidR="00B361C2" w:rsidTr="00BF38DA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服务标准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在使用期内，由于成交供应商设计、制造（包括材料、工艺及加工质量）、运输受损等原因导致的故障、损坏，由成交供应商无偿修理、更换，直至恢复（达到）合同规定的质量和性能参数要求。</w:t>
            </w:r>
          </w:p>
        </w:tc>
      </w:tr>
      <w:tr w:rsidR="00B361C2" w:rsidTr="00BF38DA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合同商品出现故障后，成交供应商接到采购人通知后，应在不超过4小时内做出响应，不超过2个工作日内解决问题。</w:t>
            </w:r>
          </w:p>
        </w:tc>
      </w:tr>
      <w:tr w:rsidR="00B361C2" w:rsidTr="00BF38DA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交付时间：2019年8月31日前交货并完成验收；</w:t>
            </w:r>
          </w:p>
          <w:p w:rsidR="00B361C2" w:rsidRDefault="00B361C2" w:rsidP="00BF38DA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  <w:tr w:rsidR="00B361C2" w:rsidTr="00BF38DA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C2" w:rsidRDefault="00B361C2" w:rsidP="00BF38D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成交供应商应提供合同货物的有效检验文件，经采购人认可后，与合同的性能指标一起作为合同货物验收标准。采购人对样品（如有）验收合格后，双方共同签署验收样品合格证书，在合同期限内采购人将对成交供应商提供的货物进行抽检验收，验收中发现合同货物达不到样品验收标准或合同规定的性能指标，成交供应商必须更换合同货物，并负担由此给采购人造成的损失，直到验收合格为止。</w:t>
            </w:r>
          </w:p>
          <w:p w:rsidR="00B361C2" w:rsidRDefault="00B361C2" w:rsidP="00BF38D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供应商应于响应文件中提供合同货物的验收标准和检测办法，并在验收中提供采购人认可的相应检测手段，验收标准应符合中国有关的国家、地方、行业的标准，如若中标，经采购人确认后作为验收的依据。</w:t>
            </w:r>
          </w:p>
          <w:p w:rsidR="00B361C2" w:rsidRDefault="00B361C2" w:rsidP="00BF38D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验收费用由成交供应商承担。</w:t>
            </w:r>
          </w:p>
        </w:tc>
      </w:tr>
    </w:tbl>
    <w:p w:rsidR="00B361C2" w:rsidRDefault="00B361C2" w:rsidP="00B361C2">
      <w:pPr>
        <w:spacing w:line="360" w:lineRule="auto"/>
        <w:rPr>
          <w:rFonts w:ascii="宋体" w:hAnsi="宋体" w:hint="eastAsia"/>
          <w:bCs/>
          <w:sz w:val="21"/>
          <w:szCs w:val="21"/>
        </w:rPr>
      </w:pPr>
    </w:p>
    <w:p w:rsidR="00B361C2" w:rsidRDefault="00B361C2" w:rsidP="00B361C2">
      <w:pPr>
        <w:spacing w:line="360" w:lineRule="auto"/>
        <w:rPr>
          <w:rFonts w:hint="eastAsia"/>
          <w:b/>
          <w:lang w:val="zh-TW"/>
        </w:rPr>
      </w:pPr>
      <w:r>
        <w:rPr>
          <w:rFonts w:ascii="宋体" w:hAnsi="宋体" w:hint="eastAsia"/>
          <w:b/>
          <w:sz w:val="21"/>
          <w:szCs w:val="21"/>
        </w:rPr>
        <w:t>三、技术服务要求：</w:t>
      </w:r>
    </w:p>
    <w:p w:rsidR="00B361C2" w:rsidRDefault="00B361C2" w:rsidP="00B361C2">
      <w:pPr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1.需实现的功能或者目标：满足中国美术学院图书出版要求；</w:t>
      </w:r>
    </w:p>
    <w:p w:rsidR="00B361C2" w:rsidRDefault="00B361C2" w:rsidP="00B361C2">
      <w:pPr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2.需执行的国家相关标准、行业标准、地方标准或者其他标准、规范：产品制造国有强制性标准的执行产品制造国强制性标准，无的统一执行我国最新相关标准、规范；</w:t>
      </w:r>
    </w:p>
    <w:p w:rsidR="00B361C2" w:rsidRDefault="00B361C2" w:rsidP="00B361C2">
      <w:pPr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3.需满足的质量、安全、技术规格、物理特性等要求：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1578"/>
        <w:gridCol w:w="7260"/>
      </w:tblGrid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要求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书名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《时装品牌风格设计解码》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出版服务费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1个书号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开本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16开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册数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1册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页数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220面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字数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200千字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图数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900幅图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印数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800册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制版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四色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印刷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四色印刷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装订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西式装帧，锁线胶装/平装/ 单册塑封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工艺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烫黑或UV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封面用纸、布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300克伯爵纸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内文用纸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128G艺术纸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稿费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1500元</w:t>
            </w:r>
          </w:p>
        </w:tc>
      </w:tr>
      <w:tr w:rsidR="00B361C2" w:rsidTr="00BF38DA">
        <w:trPr>
          <w:trHeight w:val="454"/>
        </w:trPr>
        <w:tc>
          <w:tcPr>
            <w:tcW w:w="790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78" w:type="dxa"/>
            <w:vAlign w:val="center"/>
          </w:tcPr>
          <w:p w:rsidR="00B361C2" w:rsidRDefault="00B361C2" w:rsidP="00BF38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出版说明</w:t>
            </w:r>
          </w:p>
        </w:tc>
        <w:tc>
          <w:tcPr>
            <w:tcW w:w="7260" w:type="dxa"/>
            <w:vAlign w:val="center"/>
          </w:tcPr>
          <w:p w:rsidR="00B361C2" w:rsidRDefault="00B361C2" w:rsidP="00BF38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1、印制质量要求制作精美。</w:t>
            </w:r>
          </w:p>
          <w:p w:rsidR="00B361C2" w:rsidRDefault="00B361C2" w:rsidP="00BF38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2、出版方负责上述所有作品集的拍片、封面设计、装帧设计、编辑校对、文字排版、彩页制版、印刷装订、代办出版手续等并在出版后送货到指定地点。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3、书稿由编著单位直接提供给出版社，书稿达到“齐、清、定”的出版要求。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4、出版社负责对出版物的内容把关，需请相关专家把关审读，请编委审定，并负担相关费用。</w:t>
            </w:r>
          </w:p>
        </w:tc>
      </w:tr>
    </w:tbl>
    <w:p w:rsidR="00676973" w:rsidRDefault="00676973"/>
    <w:sectPr w:rsidR="0067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73" w:rsidRDefault="00676973" w:rsidP="00B361C2">
      <w:r>
        <w:separator/>
      </w:r>
    </w:p>
  </w:endnote>
  <w:endnote w:type="continuationSeparator" w:id="1">
    <w:p w:rsidR="00676973" w:rsidRDefault="00676973" w:rsidP="00B3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73" w:rsidRDefault="00676973" w:rsidP="00B361C2">
      <w:r>
        <w:separator/>
      </w:r>
    </w:p>
  </w:footnote>
  <w:footnote w:type="continuationSeparator" w:id="1">
    <w:p w:rsidR="00676973" w:rsidRDefault="00676973" w:rsidP="00B36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1C2"/>
    <w:rsid w:val="00676973"/>
    <w:rsid w:val="00B3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C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1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2019-07-16T09:13:00Z</dcterms:created>
  <dcterms:modified xsi:type="dcterms:W3CDTF">2019-07-16T09:13:00Z</dcterms:modified>
</cp:coreProperties>
</file>