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A7" w:rsidRDefault="003406A7" w:rsidP="003406A7">
      <w:pPr>
        <w:spacing w:line="288" w:lineRule="auto"/>
        <w:ind w:left="238"/>
        <w:jc w:val="center"/>
        <w:rPr>
          <w:rFonts w:ascii="宋体" w:hAnsi="宋体"/>
          <w:b/>
          <w:bCs/>
          <w:sz w:val="32"/>
          <w:szCs w:val="32"/>
        </w:rPr>
      </w:pPr>
      <w:r>
        <w:rPr>
          <w:rFonts w:ascii="宋体" w:hAnsi="宋体" w:hint="eastAsia"/>
          <w:b/>
          <w:bCs/>
          <w:sz w:val="32"/>
          <w:szCs w:val="32"/>
        </w:rPr>
        <w:t>采购需求</w:t>
      </w:r>
    </w:p>
    <w:p w:rsidR="003406A7" w:rsidRDefault="003406A7" w:rsidP="003406A7">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701"/>
        <w:gridCol w:w="7117"/>
      </w:tblGrid>
      <w:tr w:rsidR="003406A7" w:rsidTr="00894559">
        <w:trPr>
          <w:trHeight w:val="567"/>
        </w:trPr>
        <w:tc>
          <w:tcPr>
            <w:tcW w:w="680" w:type="dxa"/>
            <w:vAlign w:val="center"/>
          </w:tcPr>
          <w:p w:rsidR="003406A7" w:rsidRDefault="003406A7" w:rsidP="00894559">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3406A7" w:rsidRDefault="003406A7" w:rsidP="00894559">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3406A7" w:rsidRDefault="003406A7" w:rsidP="00894559">
            <w:pPr>
              <w:spacing w:line="288" w:lineRule="auto"/>
              <w:jc w:val="center"/>
              <w:rPr>
                <w:rFonts w:ascii="宋体" w:hAnsi="宋体"/>
                <w:b/>
                <w:sz w:val="21"/>
                <w:szCs w:val="21"/>
              </w:rPr>
            </w:pPr>
            <w:r>
              <w:rPr>
                <w:rFonts w:ascii="宋体" w:hAnsi="宋体" w:hint="eastAsia"/>
                <w:b/>
                <w:sz w:val="21"/>
                <w:szCs w:val="21"/>
              </w:rPr>
              <w:t>内容</w:t>
            </w:r>
          </w:p>
        </w:tc>
      </w:tr>
      <w:tr w:rsidR="003406A7" w:rsidTr="00894559">
        <w:trPr>
          <w:trHeight w:val="567"/>
        </w:trPr>
        <w:tc>
          <w:tcPr>
            <w:tcW w:w="680"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3406A7" w:rsidRDefault="003406A7" w:rsidP="00894559">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3406A7" w:rsidTr="00894559">
        <w:trPr>
          <w:trHeight w:val="567"/>
        </w:trPr>
        <w:tc>
          <w:tcPr>
            <w:tcW w:w="680"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3406A7" w:rsidRDefault="003406A7" w:rsidP="00894559">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3406A7" w:rsidTr="00894559">
        <w:trPr>
          <w:trHeight w:val="567"/>
        </w:trPr>
        <w:tc>
          <w:tcPr>
            <w:tcW w:w="680"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3406A7" w:rsidRDefault="003406A7" w:rsidP="00894559">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3406A7" w:rsidTr="00894559">
        <w:trPr>
          <w:trHeight w:val="567"/>
        </w:trPr>
        <w:tc>
          <w:tcPr>
            <w:tcW w:w="680"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4</w:t>
            </w:r>
          </w:p>
        </w:tc>
        <w:tc>
          <w:tcPr>
            <w:tcW w:w="1701" w:type="dxa"/>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政府采购鼓励</w:t>
            </w:r>
          </w:p>
          <w:p w:rsidR="003406A7" w:rsidRDefault="003406A7" w:rsidP="00894559">
            <w:pPr>
              <w:spacing w:line="288" w:lineRule="auto"/>
              <w:jc w:val="center"/>
              <w:rPr>
                <w:rFonts w:ascii="宋体" w:hAnsi="宋体"/>
                <w:sz w:val="21"/>
                <w:szCs w:val="21"/>
              </w:rPr>
            </w:pPr>
            <w:r>
              <w:rPr>
                <w:rFonts w:ascii="宋体" w:hAnsi="宋体" w:hint="eastAsia"/>
                <w:sz w:val="21"/>
                <w:szCs w:val="21"/>
              </w:rPr>
              <w:t>节能产品</w:t>
            </w:r>
          </w:p>
        </w:tc>
        <w:tc>
          <w:tcPr>
            <w:tcW w:w="7117" w:type="dxa"/>
            <w:vAlign w:val="center"/>
          </w:tcPr>
          <w:p w:rsidR="003406A7" w:rsidRDefault="003406A7" w:rsidP="00894559">
            <w:pPr>
              <w:spacing w:line="288" w:lineRule="auto"/>
              <w:jc w:val="left"/>
              <w:rPr>
                <w:rFonts w:ascii="宋体" w:hAnsi="宋体"/>
                <w:sz w:val="21"/>
                <w:szCs w:val="21"/>
              </w:rPr>
            </w:pPr>
            <w:r>
              <w:rPr>
                <w:rFonts w:ascii="宋体" w:hAnsi="宋体" w:hint="eastAsia"/>
                <w:sz w:val="21"/>
                <w:szCs w:val="21"/>
              </w:rPr>
              <w:t>优先采购节能产品: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3406A7" w:rsidTr="00894559">
        <w:trPr>
          <w:trHeight w:val="567"/>
        </w:trPr>
        <w:tc>
          <w:tcPr>
            <w:tcW w:w="680" w:type="dxa"/>
            <w:vAlign w:val="center"/>
          </w:tcPr>
          <w:p w:rsidR="003406A7" w:rsidRDefault="003406A7" w:rsidP="00894559">
            <w:pPr>
              <w:spacing w:line="288" w:lineRule="auto"/>
              <w:jc w:val="center"/>
              <w:rPr>
                <w:rFonts w:ascii="宋体" w:hAnsi="宋体"/>
                <w:sz w:val="21"/>
                <w:szCs w:val="21"/>
              </w:rPr>
            </w:pPr>
            <w:r>
              <w:rPr>
                <w:rFonts w:ascii="宋体" w:hAnsi="宋体" w:hint="eastAsia"/>
                <w:sz w:val="21"/>
                <w:szCs w:val="21"/>
              </w:rPr>
              <w:t>5</w:t>
            </w:r>
          </w:p>
        </w:tc>
        <w:tc>
          <w:tcPr>
            <w:tcW w:w="1701" w:type="dxa"/>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政府采购鼓励</w:t>
            </w:r>
          </w:p>
          <w:p w:rsidR="003406A7" w:rsidRDefault="003406A7" w:rsidP="00894559">
            <w:pPr>
              <w:spacing w:line="288" w:lineRule="auto"/>
              <w:jc w:val="center"/>
              <w:rPr>
                <w:rFonts w:ascii="宋体" w:hAnsi="宋体"/>
                <w:sz w:val="21"/>
                <w:szCs w:val="21"/>
              </w:rPr>
            </w:pPr>
            <w:r>
              <w:rPr>
                <w:rFonts w:ascii="宋体" w:hAnsi="宋体" w:hint="eastAsia"/>
                <w:sz w:val="21"/>
                <w:szCs w:val="21"/>
              </w:rPr>
              <w:t>环保产品</w:t>
            </w:r>
          </w:p>
        </w:tc>
        <w:tc>
          <w:tcPr>
            <w:tcW w:w="7117" w:type="dxa"/>
            <w:vAlign w:val="center"/>
          </w:tcPr>
          <w:p w:rsidR="003406A7" w:rsidRDefault="003406A7" w:rsidP="00894559">
            <w:pPr>
              <w:spacing w:line="288" w:lineRule="auto"/>
              <w:jc w:val="left"/>
              <w:rPr>
                <w:rFonts w:ascii="宋体" w:hAnsi="宋体"/>
                <w:sz w:val="21"/>
                <w:szCs w:val="21"/>
              </w:rPr>
            </w:pPr>
            <w:r>
              <w:rPr>
                <w:rFonts w:ascii="宋体" w:hAnsi="宋体" w:hint="eastAsia"/>
                <w:sz w:val="21"/>
                <w:szCs w:val="21"/>
              </w:rPr>
              <w:t>优先采购环保产品: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3406A7" w:rsidTr="00894559">
        <w:trPr>
          <w:trHeight w:val="567"/>
        </w:trPr>
        <w:tc>
          <w:tcPr>
            <w:tcW w:w="680" w:type="dxa"/>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6</w:t>
            </w:r>
          </w:p>
        </w:tc>
        <w:tc>
          <w:tcPr>
            <w:tcW w:w="1701" w:type="dxa"/>
            <w:vAlign w:val="center"/>
          </w:tcPr>
          <w:p w:rsidR="003406A7" w:rsidRDefault="003406A7" w:rsidP="00894559">
            <w:pPr>
              <w:spacing w:line="288" w:lineRule="auto"/>
              <w:jc w:val="center"/>
              <w:rPr>
                <w:rFonts w:ascii="宋体" w:hAnsi="宋体" w:hint="eastAsia"/>
                <w:sz w:val="21"/>
                <w:szCs w:val="21"/>
              </w:rPr>
            </w:pPr>
            <w:r>
              <w:rPr>
                <w:rFonts w:ascii="宋体" w:hAnsi="宋体"/>
                <w:sz w:val="21"/>
                <w:szCs w:val="21"/>
              </w:rPr>
              <w:t>政府采购进口</w:t>
            </w:r>
          </w:p>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产品</w:t>
            </w:r>
          </w:p>
        </w:tc>
        <w:tc>
          <w:tcPr>
            <w:tcW w:w="7117" w:type="dxa"/>
            <w:vAlign w:val="center"/>
          </w:tcPr>
          <w:p w:rsidR="003406A7" w:rsidRDefault="003406A7" w:rsidP="00894559">
            <w:pPr>
              <w:spacing w:line="288" w:lineRule="auto"/>
              <w:jc w:val="left"/>
              <w:rPr>
                <w:rFonts w:ascii="宋体" w:hAnsi="宋体" w:hint="eastAsia"/>
                <w:sz w:val="21"/>
                <w:szCs w:val="21"/>
              </w:rPr>
            </w:pPr>
            <w:r>
              <w:rPr>
                <w:rFonts w:ascii="宋体" w:hAnsi="宋体" w:hint="eastAsia"/>
                <w:sz w:val="21"/>
                <w:szCs w:val="21"/>
              </w:rPr>
              <w:t>允许采购进口产品</w:t>
            </w:r>
          </w:p>
        </w:tc>
      </w:tr>
    </w:tbl>
    <w:p w:rsidR="003406A7" w:rsidRDefault="003406A7" w:rsidP="003406A7">
      <w:pPr>
        <w:spacing w:line="288" w:lineRule="auto"/>
        <w:rPr>
          <w:rFonts w:ascii="宋体" w:hAnsi="宋体"/>
          <w:sz w:val="21"/>
          <w:szCs w:val="21"/>
        </w:rPr>
      </w:pPr>
    </w:p>
    <w:p w:rsidR="003406A7" w:rsidRDefault="003406A7" w:rsidP="003406A7">
      <w:pPr>
        <w:spacing w:line="288" w:lineRule="auto"/>
        <w:ind w:left="272" w:hangingChars="113" w:hanging="272"/>
        <w:rPr>
          <w:rFonts w:ascii="宋体" w:hAnsi="宋体" w:hint="eastAsia"/>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p w:rsidR="003406A7" w:rsidRDefault="003406A7" w:rsidP="003406A7">
      <w:pPr>
        <w:spacing w:line="288" w:lineRule="auto"/>
        <w:rPr>
          <w:rFonts w:ascii="宋体" w:hAnsi="宋体" w:hint="eastAsia"/>
          <w:sz w:val="21"/>
          <w:szCs w:val="21"/>
        </w:rPr>
      </w:pPr>
      <w:r>
        <w:rPr>
          <w:rFonts w:ascii="宋体" w:hAnsi="宋体" w:hint="eastAsia"/>
          <w:sz w:val="21"/>
          <w:szCs w:val="21"/>
        </w:rPr>
        <w:t>货款支付方式：</w:t>
      </w:r>
    </w:p>
    <w:p w:rsidR="003406A7" w:rsidRDefault="003406A7" w:rsidP="003406A7">
      <w:pPr>
        <w:spacing w:line="288" w:lineRule="auto"/>
        <w:ind w:firstLineChars="200" w:firstLine="420"/>
        <w:rPr>
          <w:rFonts w:ascii="宋体" w:hAnsi="宋体" w:hint="eastAsia"/>
          <w:sz w:val="21"/>
          <w:szCs w:val="21"/>
        </w:rPr>
      </w:pPr>
      <w:r>
        <w:rPr>
          <w:rFonts w:ascii="宋体" w:hAnsi="宋体" w:hint="eastAsia"/>
          <w:sz w:val="21"/>
          <w:szCs w:val="21"/>
        </w:rPr>
        <w:t>付款方式：需方在货到验收合格后支付合同总价的100%，具体联系用户老师付款。验收前需方应确认供方是否已按要求缴交质量保证金。验收合格后，需方向供方支付合同全款。付款时，供方须提供增值税专用发票、验收报告和原产地证明。</w:t>
      </w:r>
    </w:p>
    <w:p w:rsidR="003406A7" w:rsidRDefault="003406A7" w:rsidP="003406A7">
      <w:pPr>
        <w:spacing w:line="288" w:lineRule="auto"/>
        <w:ind w:firstLineChars="200" w:firstLine="420"/>
        <w:rPr>
          <w:rFonts w:ascii="宋体" w:hAnsi="宋体" w:hint="eastAsia"/>
          <w:b/>
          <w:sz w:val="24"/>
        </w:rPr>
      </w:pPr>
      <w:r>
        <w:rPr>
          <w:rFonts w:ascii="宋体" w:hAnsi="宋体" w:hint="eastAsia"/>
          <w:sz w:val="21"/>
          <w:szCs w:val="21"/>
        </w:rPr>
        <w:t>质量保证金：合同签订后一周内，中标人向采购人缴纳合同金额5%的质量保证金，质量保证金在质保期内无质量问题和维护问题，质保期满后，于一周内退还（不计息）。</w:t>
      </w:r>
    </w:p>
    <w:p w:rsidR="003406A7" w:rsidRDefault="003406A7" w:rsidP="003406A7">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3406A7" w:rsidTr="0089455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rPr>
                <w:rFonts w:ascii="宋体" w:hAnsi="宋体" w:hint="eastAsia"/>
                <w:spacing w:val="-6"/>
                <w:sz w:val="21"/>
                <w:szCs w:val="21"/>
              </w:rPr>
            </w:pPr>
            <w:r>
              <w:rPr>
                <w:rFonts w:ascii="宋体" w:hAnsi="宋体" w:hint="eastAsia"/>
                <w:spacing w:val="-6"/>
                <w:sz w:val="21"/>
                <w:szCs w:val="21"/>
              </w:rPr>
              <w:t>1年</w:t>
            </w:r>
          </w:p>
        </w:tc>
      </w:tr>
      <w:tr w:rsidR="003406A7" w:rsidTr="0089455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3406A7" w:rsidTr="0089455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3406A7" w:rsidTr="0089455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rPr>
                <w:rFonts w:ascii="宋体" w:hAnsi="宋体" w:hint="eastAsia"/>
                <w:spacing w:val="-6"/>
                <w:sz w:val="21"/>
                <w:szCs w:val="21"/>
              </w:rPr>
            </w:pPr>
            <w:r>
              <w:rPr>
                <w:rFonts w:ascii="宋体" w:hAnsi="宋体" w:hint="eastAsia"/>
                <w:spacing w:val="-6"/>
                <w:sz w:val="21"/>
                <w:szCs w:val="21"/>
              </w:rPr>
              <w:t>交付时间：合同签订后180日内交付并</w:t>
            </w:r>
            <w:r>
              <w:rPr>
                <w:rFonts w:ascii="宋体" w:hAnsi="宋体"/>
                <w:spacing w:val="-6"/>
                <w:sz w:val="21"/>
                <w:szCs w:val="21"/>
              </w:rPr>
              <w:t>安装完毕</w:t>
            </w:r>
            <w:r>
              <w:rPr>
                <w:rFonts w:ascii="宋体" w:hAnsi="宋体" w:hint="eastAsia"/>
                <w:spacing w:val="-6"/>
                <w:sz w:val="21"/>
                <w:szCs w:val="21"/>
              </w:rPr>
              <w:t>，允许分批交付。</w:t>
            </w:r>
          </w:p>
          <w:p w:rsidR="003406A7" w:rsidRDefault="003406A7" w:rsidP="00894559">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3406A7" w:rsidTr="0089455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w:t>
            </w:r>
            <w:r>
              <w:rPr>
                <w:rFonts w:ascii="宋体" w:hAnsi="宋体" w:hint="eastAsia"/>
                <w:sz w:val="21"/>
                <w:szCs w:val="21"/>
              </w:rPr>
              <w:lastRenderedPageBreak/>
              <w:t>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3406A7" w:rsidRDefault="003406A7" w:rsidP="00894559">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3406A7" w:rsidRDefault="003406A7" w:rsidP="00894559">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3406A7" w:rsidRDefault="003406A7" w:rsidP="00894559">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3406A7" w:rsidTr="0089455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jc w:val="center"/>
              <w:rPr>
                <w:rFonts w:ascii="宋体" w:hAnsi="宋体" w:hint="eastAsia"/>
                <w:spacing w:val="-6"/>
                <w:sz w:val="21"/>
                <w:szCs w:val="21"/>
              </w:rPr>
            </w:pPr>
            <w:r>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3406A7" w:rsidRDefault="003406A7" w:rsidP="00894559">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3406A7" w:rsidRDefault="003406A7" w:rsidP="00894559">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3406A7" w:rsidRDefault="003406A7" w:rsidP="00894559">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p>
          <w:p w:rsidR="003406A7" w:rsidRDefault="003406A7" w:rsidP="00894559">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3406A7" w:rsidRDefault="003406A7" w:rsidP="00894559">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3406A7" w:rsidRDefault="003406A7" w:rsidP="00894559">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3406A7" w:rsidRDefault="003406A7" w:rsidP="00894559">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3406A7" w:rsidRDefault="003406A7" w:rsidP="00894559">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3406A7" w:rsidRDefault="003406A7" w:rsidP="00894559">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3406A7" w:rsidRDefault="003406A7" w:rsidP="00894559">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3406A7" w:rsidRDefault="003406A7" w:rsidP="00894559">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3406A7" w:rsidRDefault="003406A7" w:rsidP="00894559">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3406A7" w:rsidRDefault="003406A7" w:rsidP="003406A7">
      <w:pPr>
        <w:spacing w:line="288" w:lineRule="auto"/>
        <w:ind w:left="272" w:hangingChars="113" w:hanging="272"/>
        <w:rPr>
          <w:rFonts w:ascii="宋体" w:hAnsi="宋体" w:hint="eastAsia"/>
          <w:b/>
          <w:sz w:val="24"/>
        </w:rPr>
      </w:pPr>
      <w:r>
        <w:rPr>
          <w:rFonts w:ascii="宋体" w:hAnsi="宋体" w:hint="eastAsia"/>
          <w:b/>
          <w:sz w:val="24"/>
        </w:rPr>
        <w:t>四</w:t>
      </w:r>
      <w:r>
        <w:rPr>
          <w:rFonts w:ascii="宋体" w:hAnsi="宋体"/>
          <w:b/>
          <w:sz w:val="24"/>
        </w:rPr>
        <w:t>、技术要求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525"/>
        <w:gridCol w:w="675"/>
        <w:gridCol w:w="646"/>
        <w:gridCol w:w="5953"/>
      </w:tblGrid>
      <w:tr w:rsidR="003406A7" w:rsidTr="00894559">
        <w:trPr>
          <w:trHeight w:val="567"/>
        </w:trPr>
        <w:tc>
          <w:tcPr>
            <w:tcW w:w="699" w:type="dxa"/>
            <w:vAlign w:val="center"/>
          </w:tcPr>
          <w:p w:rsidR="003406A7" w:rsidRDefault="003406A7" w:rsidP="00894559">
            <w:pPr>
              <w:spacing w:line="288" w:lineRule="auto"/>
              <w:jc w:val="center"/>
              <w:rPr>
                <w:rFonts w:ascii="宋体" w:hAnsi="宋体"/>
                <w:b/>
                <w:sz w:val="21"/>
                <w:szCs w:val="21"/>
              </w:rPr>
            </w:pPr>
            <w:r>
              <w:rPr>
                <w:rFonts w:ascii="宋体" w:hAnsi="宋体" w:hint="eastAsia"/>
                <w:b/>
                <w:sz w:val="21"/>
                <w:szCs w:val="21"/>
              </w:rPr>
              <w:t>序号</w:t>
            </w:r>
          </w:p>
        </w:tc>
        <w:tc>
          <w:tcPr>
            <w:tcW w:w="1525" w:type="dxa"/>
            <w:vAlign w:val="center"/>
          </w:tcPr>
          <w:p w:rsidR="003406A7" w:rsidRDefault="003406A7" w:rsidP="00894559">
            <w:pPr>
              <w:spacing w:line="288" w:lineRule="auto"/>
              <w:jc w:val="center"/>
              <w:rPr>
                <w:rFonts w:ascii="宋体" w:hAnsi="宋体"/>
                <w:b/>
                <w:sz w:val="21"/>
                <w:szCs w:val="21"/>
              </w:rPr>
            </w:pPr>
            <w:r>
              <w:rPr>
                <w:rFonts w:ascii="宋体" w:hAnsi="宋体" w:hint="eastAsia"/>
                <w:b/>
                <w:sz w:val="21"/>
                <w:szCs w:val="21"/>
              </w:rPr>
              <w:t>设备名称</w:t>
            </w:r>
          </w:p>
        </w:tc>
        <w:tc>
          <w:tcPr>
            <w:tcW w:w="675" w:type="dxa"/>
            <w:vAlign w:val="center"/>
          </w:tcPr>
          <w:p w:rsidR="003406A7" w:rsidRDefault="003406A7" w:rsidP="00894559">
            <w:pPr>
              <w:spacing w:line="288" w:lineRule="auto"/>
              <w:jc w:val="center"/>
              <w:rPr>
                <w:rFonts w:ascii="宋体" w:hAnsi="宋体"/>
                <w:b/>
                <w:sz w:val="21"/>
                <w:szCs w:val="21"/>
              </w:rPr>
            </w:pPr>
            <w:r>
              <w:rPr>
                <w:rFonts w:ascii="宋体" w:hAnsi="宋体" w:hint="eastAsia"/>
                <w:b/>
                <w:sz w:val="21"/>
                <w:szCs w:val="21"/>
              </w:rPr>
              <w:t>数量</w:t>
            </w:r>
          </w:p>
        </w:tc>
        <w:tc>
          <w:tcPr>
            <w:tcW w:w="646" w:type="dxa"/>
            <w:vAlign w:val="center"/>
          </w:tcPr>
          <w:p w:rsidR="003406A7" w:rsidRDefault="003406A7" w:rsidP="00894559">
            <w:pPr>
              <w:spacing w:line="288" w:lineRule="auto"/>
              <w:jc w:val="center"/>
              <w:rPr>
                <w:rFonts w:ascii="宋体" w:hAnsi="宋体"/>
                <w:b/>
                <w:sz w:val="21"/>
                <w:szCs w:val="21"/>
              </w:rPr>
            </w:pPr>
            <w:r>
              <w:rPr>
                <w:rFonts w:ascii="宋体" w:hAnsi="宋体" w:hint="eastAsia"/>
                <w:b/>
                <w:sz w:val="21"/>
                <w:szCs w:val="21"/>
              </w:rPr>
              <w:t>单位</w:t>
            </w:r>
          </w:p>
        </w:tc>
        <w:tc>
          <w:tcPr>
            <w:tcW w:w="5953" w:type="dxa"/>
            <w:vAlign w:val="center"/>
          </w:tcPr>
          <w:p w:rsidR="003406A7" w:rsidRDefault="003406A7" w:rsidP="00894559">
            <w:pPr>
              <w:spacing w:line="288" w:lineRule="auto"/>
              <w:jc w:val="center"/>
              <w:rPr>
                <w:rFonts w:ascii="宋体" w:hAnsi="宋体" w:hint="eastAsia"/>
                <w:b/>
                <w:sz w:val="21"/>
                <w:szCs w:val="21"/>
              </w:rPr>
            </w:pPr>
            <w:r>
              <w:rPr>
                <w:rFonts w:ascii="宋体" w:hAnsi="宋体" w:hint="eastAsia"/>
                <w:b/>
                <w:sz w:val="21"/>
                <w:szCs w:val="21"/>
              </w:rPr>
              <w:t>功能、目标、质量、安全、技术规格、物理特性等要求</w:t>
            </w:r>
          </w:p>
        </w:tc>
      </w:tr>
      <w:tr w:rsidR="003406A7" w:rsidTr="00894559">
        <w:trPr>
          <w:trHeight w:val="567"/>
        </w:trPr>
        <w:tc>
          <w:tcPr>
            <w:tcW w:w="699" w:type="dxa"/>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1</w:t>
            </w:r>
          </w:p>
        </w:tc>
        <w:tc>
          <w:tcPr>
            <w:tcW w:w="1525" w:type="dxa"/>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全自动实验室反应量热器</w:t>
            </w:r>
          </w:p>
        </w:tc>
        <w:tc>
          <w:tcPr>
            <w:tcW w:w="675" w:type="dxa"/>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1</w:t>
            </w:r>
          </w:p>
        </w:tc>
        <w:tc>
          <w:tcPr>
            <w:tcW w:w="646" w:type="dxa"/>
            <w:vAlign w:val="center"/>
          </w:tcPr>
          <w:p w:rsidR="003406A7" w:rsidRDefault="003406A7" w:rsidP="00894559">
            <w:pPr>
              <w:spacing w:line="288" w:lineRule="auto"/>
              <w:jc w:val="center"/>
              <w:rPr>
                <w:rFonts w:ascii="宋体" w:hAnsi="宋体" w:hint="eastAsia"/>
                <w:sz w:val="21"/>
                <w:szCs w:val="21"/>
              </w:rPr>
            </w:pPr>
            <w:r>
              <w:rPr>
                <w:rFonts w:ascii="宋体" w:hAnsi="宋体" w:hint="eastAsia"/>
                <w:sz w:val="21"/>
                <w:szCs w:val="21"/>
              </w:rPr>
              <w:t>套</w:t>
            </w:r>
          </w:p>
        </w:tc>
        <w:tc>
          <w:tcPr>
            <w:tcW w:w="5953" w:type="dxa"/>
            <w:vAlign w:val="center"/>
          </w:tcPr>
          <w:p w:rsidR="003406A7" w:rsidRDefault="003406A7" w:rsidP="00894559">
            <w:pPr>
              <w:spacing w:line="288" w:lineRule="auto"/>
              <w:rPr>
                <w:rFonts w:ascii="宋体" w:hAnsi="宋体" w:cs="宋体"/>
                <w:sz w:val="21"/>
                <w:szCs w:val="21"/>
              </w:rPr>
            </w:pPr>
            <w:r>
              <w:rPr>
                <w:rFonts w:ascii="宋体" w:hAnsi="宋体" w:cs="宋体" w:hint="eastAsia"/>
                <w:sz w:val="21"/>
                <w:szCs w:val="21"/>
              </w:rPr>
              <w:t>一、设备用途</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全自动实验室反应量器旨在准确的测量间歇或半间歇反应过程中的放热速率Qr和反应焓Hr,给出绝热温升△Tad (C)，MTSR、热累积，比热Cp和热传递系数U等重要参数。充分了解整个反应的放热过程，为工程设计，化工工艺安全评估以及化工工艺的安全放大提供必要的热力学参数，保证放热和移热间的平衡，避免反应物或能量累积，确保安全有效地设计和放大工艺过程。</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二、产品技术规格及配置要求：</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1、主机配置及技术要求：</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lastRenderedPageBreak/>
              <w:t>1.1、主机需同时满足以下配置（但不限于下述配置）：具备二级制冷技术控温主机1套，UCB综合控制箱1套，满足-80ºC超低温循环泵1台，工作站1台；</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1.2、主机支持温度范围：-70ºC~+300ºC；</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★1.3、温度分辨率：需满足Tr≤0.0005K；</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1.4、温度重现性：满足±0.1K；</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1.5、温度准确性：满足±0.5K；</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1.6、控温模式：应包含恒温、等温、绝热、蒸回流、结晶等五种模式；</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★1.7、制冷技术：2级制冷（需提供技术说明）；</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1.8、控温方式：为实现反应精确控温，主机内需预存满足实验要求的控温介质（如硅油），通过调节高精度控制阀自动控制冷热介质按比例混合，同时具备紧急冷却系统，保证体系反应安全。（需提供佐证材料）；</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1.9、升温速率：至少8℃/min或更高；</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★1.10、冷却速率：满足30℃/min或更高；</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1.11、控温介质循环速度：1.25L/s；</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2、反应釜配置及技术要求：</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★2.1、配置同时满足以下要求：配备1000mL常压反应釜1套，1.2L中压反反应釜1套（釜盖材质为哈氏合金C-22）,1.8 L高压60bar哈氏合金反应釜1套（材质必须为耐腐蚀HC-22哈氏合金），压力控制器1套，在线pH装置1套，1路常压天平加料装置，1路压力天平加料装置，气体搅拌桨1套，锚式搅拌桨1套，25W玻璃校准加热器2支，玻璃温度传感器2支，25 W哈氏合金校准加热器1支，哈氏合金温度传感器1支；</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2.2、温度范围：-50ºC~230ºC；</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2.3、体积范围：400 ml~1000ml（常压反应釜），400ml~1000ml（中压反应釜），600ml~1500ml（高压反应釜）；</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2.4、搅拌速度范围：30~2500rpm，重现性1%；</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2.5、控制模式：等速或梯度变化；</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2.6、扭力矩：至少1Nm或更高；</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2.7、粘度测量：可半定量得到粘度的变化情况；</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2.8、压力反应釜盖材质：哈氏合金C-22；</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2.9、压力范围：真空~60 bar，可以根据设定的压力参数自动调节体系的压力；</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2.10、压力控制精度：不低于±0.01bar；</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2.11、加料方式：可在最高承受16bar的压力下同时实现多路</w:t>
            </w:r>
            <w:r>
              <w:rPr>
                <w:rFonts w:ascii="宋体" w:hAnsi="宋体" w:cs="宋体" w:hint="eastAsia"/>
                <w:sz w:val="21"/>
                <w:szCs w:val="21"/>
              </w:rPr>
              <w:lastRenderedPageBreak/>
              <w:t>进料；</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2.12、加料速度：0~1.1L/h；</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2.13、实时在线测量pH，测量精度：±0.1；</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3、量热要求：</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★3.1、量热方式：主机支持热流法量热和RTCal实时量热方式，满足反应热高精度测量；</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3.2、重现性：1-3％（标准实验）；</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3.3、传热因子U（总）：准确度至少99%以上；</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★3.4、热流量热法校准加热功率：应≤25W，避免影响反应体系；</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3.5、Cp测量：能自动调节温度的上升和下降速率；</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3.6、热流测量范围：±750W（反应釜中），Max.200W（蒸回流冷凝管中）；</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3.7、量热适用反应体系：等温反应体系、非等温反应体系、回流反应体系；</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3.8、热流量热方式包括所有进行测量比热容和传热因子的任务和分析步骤，完成热平衡包括计算反应热、热积累、加料热等；</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3.9、实时量热方式能在不同温度模式下实时测量热流，准确计算热量数据和常数，并对这些数据进行记录和评估；</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4、软件：</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★4.1、提供设备控制和量热软件1套，快速量热模块1套，iC Safety安全评估软件软件1套；</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4.2、可以自动产生和安全相关的数据而无需人为计算，包括绝热温升、MTSR、是否是加料控制的反应、最大放热速率等；</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★4.3、安全评估软件可自动评价反应属于五类反应危险度分级中的级别，而无需人为计算；</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4.4、软件内可建反应装置数据库，可自动配置仪器（如蒸回流，压力，加料等）；</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4.5、软件内建化合物数据库，可自动提取数据库中的数据；</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4.6、开放式多级模块化编程设计，软件内可建蒸回流，压力，温度，加料，校准等模块；</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4.7、可以实时在线显示包括热容（cp），热交换面积（A），导热系数（U），釜内温度（Tr），夹套温度（Tj），搅拌（R），扭矩（Rt）等反应参数；</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4.8、至少有8路独立控制回路，可在以下控制模式中任意组合；加料控制（双组分加料），质量或体积计量；pH控制；压力控制；蒸回流控制（可控制回流比）；</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lastRenderedPageBreak/>
              <w:t>★4.9、软件可以基于通用平台，并能与其他仪器的软件进行底层通讯和反馈控制，包括但不局限于以下仪器：在线颗粒测量仪器和在线反应红外仪；</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4.10、软件内嵌有视频演示不同类型的搅拌桨、搅拌速度以及不同粘度等情况下的搅拌效果比较，并配有详细的课程，指导混合放大；</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4.11、软件内嵌有教程视频演示仪器配置、实验设计、运行实验、数据分析、化合物库管理、报告制作和结果输出等步骤；</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5、系统安全性：</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5.1、系统具备A,B,C三级报警系统；</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★5.2、所有传感器及电路须具备双路设计，确保反应安全双重保障；</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★5.3、系统至少内置不少于三套独立微处理器系统，能储存所有反应参数，以防止计算机死机；</w:t>
            </w:r>
          </w:p>
          <w:p w:rsidR="003406A7" w:rsidRDefault="003406A7" w:rsidP="00894559">
            <w:pPr>
              <w:spacing w:line="288" w:lineRule="auto"/>
              <w:rPr>
                <w:rFonts w:ascii="宋体" w:hAnsi="宋体" w:cs="宋体"/>
                <w:sz w:val="21"/>
                <w:szCs w:val="21"/>
              </w:rPr>
            </w:pPr>
            <w:r>
              <w:rPr>
                <w:rFonts w:ascii="宋体" w:hAnsi="宋体" w:cs="宋体" w:hint="eastAsia"/>
                <w:sz w:val="21"/>
                <w:szCs w:val="21"/>
              </w:rPr>
              <w:t>★5.4、系统必须配置独立的手动紧急停止按钮，遇到反应飞温时紧急停止反应；</w:t>
            </w:r>
          </w:p>
          <w:p w:rsidR="003406A7" w:rsidRDefault="003406A7" w:rsidP="00894559">
            <w:pPr>
              <w:spacing w:line="288" w:lineRule="auto"/>
              <w:rPr>
                <w:rFonts w:ascii="宋体" w:hAnsi="宋体" w:cs="宋体" w:hint="eastAsia"/>
                <w:sz w:val="21"/>
                <w:szCs w:val="21"/>
              </w:rPr>
            </w:pPr>
            <w:r>
              <w:rPr>
                <w:rFonts w:ascii="宋体" w:hAnsi="宋体" w:cs="宋体" w:hint="eastAsia"/>
                <w:sz w:val="21"/>
                <w:szCs w:val="21"/>
              </w:rPr>
              <w:t>5.5、计算机控制系统与主机可分离的最大距离：不少于40M。</w:t>
            </w:r>
          </w:p>
          <w:p w:rsidR="003406A7" w:rsidRDefault="003406A7" w:rsidP="00894559">
            <w:pPr>
              <w:spacing w:line="288" w:lineRule="auto"/>
              <w:jc w:val="left"/>
              <w:rPr>
                <w:rFonts w:ascii="宋体" w:hAnsi="宋体" w:cs="宋体"/>
                <w:sz w:val="21"/>
                <w:szCs w:val="21"/>
              </w:rPr>
            </w:pPr>
            <w:r>
              <w:rPr>
                <w:rFonts w:hAnsi="宋体"/>
                <w:spacing w:val="-6"/>
                <w:sz w:val="21"/>
                <w:szCs w:val="21"/>
              </w:rPr>
              <w:t>▲</w:t>
            </w:r>
            <w:r>
              <w:rPr>
                <w:rFonts w:ascii="宋体" w:hAnsi="宋体" w:cs="宋体" w:hint="eastAsia"/>
                <w:sz w:val="21"/>
                <w:szCs w:val="21"/>
              </w:rPr>
              <w:t>6、易损件及耗材</w:t>
            </w:r>
          </w:p>
          <w:p w:rsidR="003406A7" w:rsidRDefault="003406A7" w:rsidP="00894559">
            <w:pPr>
              <w:spacing w:line="288" w:lineRule="auto"/>
              <w:rPr>
                <w:rFonts w:ascii="宋体" w:hAnsi="宋体" w:hint="eastAsia"/>
                <w:sz w:val="21"/>
                <w:szCs w:val="21"/>
              </w:rPr>
            </w:pPr>
            <w:r>
              <w:rPr>
                <w:rFonts w:ascii="宋体" w:hAnsi="宋体" w:cs="宋体" w:hint="eastAsia"/>
                <w:sz w:val="21"/>
                <w:szCs w:val="21"/>
              </w:rPr>
              <w:t>6.1、所有易损件及耗材在设备验收合格后两年内供货价格均按照本次招标采购折扣提供。</w:t>
            </w:r>
          </w:p>
        </w:tc>
      </w:tr>
    </w:tbl>
    <w:p w:rsidR="003406A7" w:rsidRDefault="003406A7" w:rsidP="003406A7">
      <w:pPr>
        <w:spacing w:line="288" w:lineRule="auto"/>
        <w:rPr>
          <w:rFonts w:ascii="宋体" w:hAnsi="宋体" w:hint="eastAsia"/>
          <w:b/>
          <w:sz w:val="21"/>
          <w:szCs w:val="21"/>
        </w:rPr>
      </w:pPr>
      <w:r>
        <w:rPr>
          <w:rFonts w:ascii="宋体" w:hAnsi="宋体" w:hint="eastAsia"/>
          <w:b/>
          <w:sz w:val="21"/>
          <w:szCs w:val="21"/>
        </w:rPr>
        <w:lastRenderedPageBreak/>
        <w:t>注：</w:t>
      </w:r>
    </w:p>
    <w:p w:rsidR="003406A7" w:rsidRDefault="003406A7" w:rsidP="003406A7">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3406A7" w:rsidRDefault="003406A7" w:rsidP="003406A7">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297B67" w:rsidRPr="003406A7" w:rsidRDefault="00297B67"/>
    <w:sectPr w:rsidR="00297B67" w:rsidRPr="00340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67" w:rsidRDefault="00297B67" w:rsidP="003406A7">
      <w:r>
        <w:separator/>
      </w:r>
    </w:p>
  </w:endnote>
  <w:endnote w:type="continuationSeparator" w:id="1">
    <w:p w:rsidR="00297B67" w:rsidRDefault="00297B67" w:rsidP="00340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67" w:rsidRDefault="00297B67" w:rsidP="003406A7">
      <w:r>
        <w:separator/>
      </w:r>
    </w:p>
  </w:footnote>
  <w:footnote w:type="continuationSeparator" w:id="1">
    <w:p w:rsidR="00297B67" w:rsidRDefault="00297B67" w:rsidP="00340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6A7"/>
    <w:rsid w:val="00297B67"/>
    <w:rsid w:val="00340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A7"/>
    <w:pPr>
      <w:widowControl w:val="0"/>
      <w:jc w:val="both"/>
    </w:pPr>
    <w:rPr>
      <w:rFonts w:ascii="Calibri" w:eastAsia="宋体"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6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06A7"/>
    <w:rPr>
      <w:sz w:val="18"/>
      <w:szCs w:val="18"/>
    </w:rPr>
  </w:style>
  <w:style w:type="paragraph" w:styleId="a4">
    <w:name w:val="footer"/>
    <w:basedOn w:val="a"/>
    <w:link w:val="Char0"/>
    <w:uiPriority w:val="99"/>
    <w:semiHidden/>
    <w:unhideWhenUsed/>
    <w:rsid w:val="003406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406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3427</Characters>
  <Application>Microsoft Office Word</Application>
  <DocSecurity>0</DocSecurity>
  <Lines>28</Lines>
  <Paragraphs>8</Paragraphs>
  <ScaleCrop>false</ScaleCrop>
  <Company>china</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2019-06-26T07:27:00Z</dcterms:created>
  <dcterms:modified xsi:type="dcterms:W3CDTF">2019-06-26T07:27:00Z</dcterms:modified>
</cp:coreProperties>
</file>