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CD" w:rsidRDefault="004924CD" w:rsidP="004924CD">
      <w:pPr>
        <w:widowControl/>
        <w:spacing w:line="288" w:lineRule="auto"/>
        <w:ind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4924CD" w:rsidRDefault="004924CD" w:rsidP="004924CD">
      <w:pPr>
        <w:spacing w:line="288" w:lineRule="auto"/>
        <w:rPr>
          <w:rFonts w:ascii="宋体" w:hAnsi="宋体" w:cs="宋体"/>
          <w:b/>
          <w:sz w:val="24"/>
        </w:rPr>
      </w:pPr>
      <w:bookmarkStart w:id="0" w:name="_Toc4284"/>
      <w:r>
        <w:rPr>
          <w:rFonts w:ascii="宋体" w:hAnsi="宋体" w:cs="宋体" w:hint="eastAsia"/>
          <w:b/>
          <w:sz w:val="24"/>
        </w:rPr>
        <w:t>一、采购资金的支付方式、时间、条件：</w:t>
      </w:r>
      <w:bookmarkEnd w:id="0"/>
    </w:p>
    <w:p w:rsidR="004924CD" w:rsidRDefault="004924CD" w:rsidP="004924CD">
      <w:pPr>
        <w:pStyle w:val="Default"/>
        <w:spacing w:line="288" w:lineRule="auto"/>
        <w:ind w:firstLineChars="200" w:firstLine="422"/>
        <w:rPr>
          <w:rFonts w:ascii="宋体" w:hAnsi="宋体" w:cs="宋体"/>
          <w:sz w:val="21"/>
          <w:szCs w:val="21"/>
        </w:rPr>
      </w:pPr>
      <w:r>
        <w:rPr>
          <w:rFonts w:ascii="宋体" w:hAnsi="宋体" w:cs="宋体" w:hint="eastAsia"/>
          <w:b/>
          <w:bCs/>
          <w:sz w:val="21"/>
          <w:szCs w:val="21"/>
        </w:rPr>
        <w:t>（一）履约保证金：</w:t>
      </w:r>
      <w:r>
        <w:rPr>
          <w:rFonts w:ascii="宋体" w:hAnsi="宋体" w:cs="宋体" w:hint="eastAsia"/>
          <w:sz w:val="21"/>
          <w:szCs w:val="21"/>
        </w:rPr>
        <w:t>合同总价的5%作为履约保证金（提交方式：支票、汇票、本票或者金融机构、担保机构出具的保函等非现金形式），合同签订后七个工作日内由成交供应商提交给采购人，服务结束后确认成交供应商无违约行为后无息返还给成交供应商（遇寒暑假及国定假日顺延）。</w:t>
      </w:r>
    </w:p>
    <w:p w:rsidR="004924CD" w:rsidRDefault="004924CD" w:rsidP="004924CD">
      <w:pPr>
        <w:pStyle w:val="Default"/>
        <w:spacing w:line="288" w:lineRule="auto"/>
        <w:ind w:firstLineChars="200" w:firstLine="422"/>
        <w:rPr>
          <w:rFonts w:ascii="宋体" w:hAnsi="宋体" w:cs="宋体"/>
          <w:bCs/>
          <w:sz w:val="21"/>
          <w:szCs w:val="21"/>
        </w:rPr>
      </w:pPr>
      <w:r>
        <w:rPr>
          <w:rFonts w:ascii="宋体" w:hAnsi="宋体" w:cs="宋体" w:hint="eastAsia"/>
          <w:b/>
          <w:bCs/>
          <w:sz w:val="21"/>
          <w:szCs w:val="21"/>
        </w:rPr>
        <w:t>（二）付款方式：</w:t>
      </w:r>
      <w:r>
        <w:rPr>
          <w:rFonts w:ascii="宋体" w:hAnsi="宋体" w:cs="宋体" w:hint="eastAsia"/>
          <w:sz w:val="21"/>
          <w:szCs w:val="21"/>
        </w:rPr>
        <w:t>合同签订后，支付合同金额的50%，活动结束并经采购人确认后的10个工作日内，采购人向成交供应商支付剩余50%的合同金额。</w:t>
      </w:r>
    </w:p>
    <w:p w:rsidR="004924CD" w:rsidRDefault="004924CD" w:rsidP="004924CD">
      <w:pPr>
        <w:spacing w:line="288" w:lineRule="auto"/>
        <w:rPr>
          <w:rFonts w:ascii="宋体" w:hAnsi="宋体"/>
          <w:b/>
          <w:sz w:val="24"/>
        </w:rPr>
      </w:pPr>
      <w:bookmarkStart w:id="1" w:name="_Toc4674"/>
    </w:p>
    <w:bookmarkEnd w:id="1"/>
    <w:p w:rsidR="004924CD" w:rsidRDefault="004924CD" w:rsidP="004924CD">
      <w:pPr>
        <w:spacing w:line="288" w:lineRule="auto"/>
        <w:ind w:left="270" w:hangingChars="112" w:hanging="270"/>
        <w:rPr>
          <w:rFonts w:ascii="宋体" w:hAnsi="宋体"/>
          <w:b/>
          <w:sz w:val="24"/>
        </w:rPr>
      </w:pPr>
      <w:r>
        <w:rPr>
          <w:rFonts w:ascii="宋体" w:hAnsi="宋体" w:hint="eastAsia"/>
          <w:b/>
          <w:sz w:val="24"/>
        </w:rPr>
        <w:t>二、服务</w:t>
      </w:r>
      <w:r>
        <w:rPr>
          <w:rFonts w:ascii="宋体" w:hAnsi="宋体"/>
          <w:b/>
          <w:sz w:val="24"/>
        </w:rPr>
        <w:t>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517"/>
        <w:gridCol w:w="7111"/>
      </w:tblGrid>
      <w:tr w:rsidR="004924CD" w:rsidTr="005227A5">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4924CD" w:rsidRDefault="004924CD" w:rsidP="005227A5">
            <w:pPr>
              <w:jc w:val="center"/>
              <w:rPr>
                <w:rFonts w:ascii="宋体" w:hAnsi="宋体" w:cs="宋体" w:hint="eastAsia"/>
                <w:b/>
                <w:bCs/>
                <w:sz w:val="21"/>
                <w:szCs w:val="21"/>
              </w:rPr>
            </w:pPr>
            <w:r>
              <w:rPr>
                <w:rFonts w:ascii="宋体" w:hAnsi="宋体" w:cs="宋体" w:hint="eastAsia"/>
                <w:b/>
                <w:bCs/>
                <w:sz w:val="21"/>
                <w:szCs w:val="21"/>
              </w:rPr>
              <w:t>质保期</w:t>
            </w:r>
          </w:p>
        </w:tc>
        <w:tc>
          <w:tcPr>
            <w:tcW w:w="7111" w:type="dxa"/>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1年</w:t>
            </w:r>
          </w:p>
        </w:tc>
      </w:tr>
      <w:tr w:rsidR="004924CD" w:rsidTr="005227A5">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4924CD" w:rsidRDefault="004924CD" w:rsidP="005227A5">
            <w:pPr>
              <w:jc w:val="center"/>
              <w:rPr>
                <w:rFonts w:ascii="宋体" w:hAnsi="宋体" w:cs="宋体"/>
                <w:b/>
                <w:bCs/>
                <w:sz w:val="21"/>
                <w:szCs w:val="21"/>
              </w:rPr>
            </w:pPr>
            <w:r>
              <w:rPr>
                <w:rFonts w:ascii="宋体" w:hAnsi="宋体" w:cs="宋体" w:hint="eastAsia"/>
                <w:b/>
                <w:bCs/>
                <w:sz w:val="21"/>
                <w:szCs w:val="21"/>
              </w:rPr>
              <w:t>服务标准</w:t>
            </w:r>
          </w:p>
        </w:tc>
        <w:tc>
          <w:tcPr>
            <w:tcW w:w="7111" w:type="dxa"/>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sz w:val="21"/>
                <w:szCs w:val="21"/>
              </w:rPr>
            </w:pPr>
            <w:r>
              <w:rPr>
                <w:rFonts w:ascii="宋体" w:hAnsi="宋体" w:cs="宋体" w:hint="eastAsia"/>
                <w:sz w:val="21"/>
                <w:szCs w:val="21"/>
              </w:rPr>
              <w:t>本平台部署后，采购人在本平台运行一个月后可组织验收，采购人有在产品安装过程中派员监造的权利, 成交供应商有义务为采购人监造人员行使该权利提供方便。</w:t>
            </w:r>
          </w:p>
        </w:tc>
      </w:tr>
      <w:tr w:rsidR="004924CD" w:rsidTr="005227A5">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4924CD" w:rsidRDefault="004924CD" w:rsidP="005227A5">
            <w:pPr>
              <w:jc w:val="center"/>
              <w:rPr>
                <w:rFonts w:ascii="宋体" w:hAnsi="宋体" w:cs="宋体"/>
                <w:b/>
                <w:bCs/>
                <w:sz w:val="21"/>
                <w:szCs w:val="21"/>
              </w:rPr>
            </w:pPr>
            <w:r>
              <w:rPr>
                <w:rFonts w:ascii="宋体" w:hAnsi="宋体" w:cs="宋体" w:hint="eastAsia"/>
                <w:b/>
                <w:bCs/>
                <w:sz w:val="21"/>
                <w:szCs w:val="21"/>
              </w:rPr>
              <w:t>服务效率</w:t>
            </w:r>
          </w:p>
        </w:tc>
        <w:tc>
          <w:tcPr>
            <w:tcW w:w="7111" w:type="dxa"/>
            <w:tcBorders>
              <w:top w:val="single" w:sz="4" w:space="0" w:color="auto"/>
              <w:left w:val="single" w:sz="4" w:space="0" w:color="auto"/>
              <w:bottom w:val="single" w:sz="4" w:space="0" w:color="auto"/>
              <w:right w:val="single" w:sz="4" w:space="0" w:color="auto"/>
            </w:tcBorders>
            <w:vAlign w:val="center"/>
          </w:tcPr>
          <w:p w:rsidR="004924CD" w:rsidRDefault="004924CD" w:rsidP="005227A5">
            <w:pPr>
              <w:pStyle w:val="a7"/>
              <w:ind w:firstLineChars="0" w:firstLine="0"/>
              <w:rPr>
                <w:rFonts w:ascii="宋体" w:hAnsi="宋体" w:cs="宋体"/>
                <w:szCs w:val="21"/>
              </w:rPr>
            </w:pPr>
            <w:r>
              <w:rPr>
                <w:rFonts w:ascii="宋体" w:hAnsi="宋体" w:cs="宋体" w:hint="eastAsia"/>
                <w:szCs w:val="21"/>
              </w:rPr>
              <w:t>平台出现问题情况下24小时内修复</w:t>
            </w:r>
          </w:p>
        </w:tc>
      </w:tr>
      <w:tr w:rsidR="004924CD" w:rsidTr="005227A5">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4924CD" w:rsidRDefault="004924CD" w:rsidP="005227A5">
            <w:pPr>
              <w:jc w:val="center"/>
              <w:rPr>
                <w:rFonts w:ascii="宋体" w:hAnsi="宋体" w:cs="宋体"/>
                <w:b/>
                <w:bCs/>
                <w:sz w:val="21"/>
                <w:szCs w:val="21"/>
              </w:rPr>
            </w:pPr>
            <w:r>
              <w:rPr>
                <w:rFonts w:ascii="宋体" w:hAnsi="宋体" w:cs="宋体" w:hint="eastAsia"/>
                <w:b/>
                <w:bCs/>
                <w:sz w:val="21"/>
                <w:szCs w:val="21"/>
              </w:rPr>
              <w:t>服务时间和地点</w:t>
            </w:r>
          </w:p>
        </w:tc>
        <w:tc>
          <w:tcPr>
            <w:tcW w:w="7111" w:type="dxa"/>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sz w:val="21"/>
                <w:szCs w:val="21"/>
              </w:rPr>
            </w:pPr>
            <w:r>
              <w:rPr>
                <w:rFonts w:ascii="宋体" w:hAnsi="宋体" w:cs="宋体" w:hint="eastAsia"/>
                <w:sz w:val="21"/>
                <w:szCs w:val="21"/>
              </w:rPr>
              <w:t xml:space="preserve">服务时间：平台必须在合同签订后一周内为采购方部署完毕并交付使用     </w:t>
            </w:r>
          </w:p>
          <w:p w:rsidR="004924CD" w:rsidRDefault="004924CD" w:rsidP="005227A5">
            <w:pPr>
              <w:rPr>
                <w:rFonts w:ascii="宋体" w:hAnsi="宋体" w:cs="宋体"/>
                <w:sz w:val="21"/>
                <w:szCs w:val="21"/>
              </w:rPr>
            </w:pPr>
            <w:r>
              <w:rPr>
                <w:rFonts w:ascii="宋体" w:hAnsi="宋体" w:cs="宋体" w:hint="eastAsia"/>
                <w:sz w:val="21"/>
                <w:szCs w:val="21"/>
              </w:rPr>
              <w:t>服务地点：采购人指定地点</w:t>
            </w:r>
            <w:r>
              <w:rPr>
                <w:rFonts w:ascii="宋体" w:hAnsi="宋体" w:cs="宋体"/>
                <w:sz w:val="21"/>
                <w:szCs w:val="21"/>
              </w:rPr>
              <w:t xml:space="preserve"> </w:t>
            </w:r>
          </w:p>
        </w:tc>
      </w:tr>
      <w:tr w:rsidR="004924CD" w:rsidTr="005227A5">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4924CD" w:rsidRDefault="004924CD" w:rsidP="005227A5">
            <w:pPr>
              <w:jc w:val="center"/>
              <w:rPr>
                <w:rFonts w:ascii="宋体" w:hAnsi="宋体" w:cs="宋体"/>
                <w:b/>
                <w:bCs/>
                <w:sz w:val="21"/>
                <w:szCs w:val="21"/>
              </w:rPr>
            </w:pPr>
            <w:r>
              <w:rPr>
                <w:rFonts w:ascii="宋体" w:hAnsi="宋体" w:cs="宋体" w:hint="eastAsia"/>
                <w:b/>
                <w:bCs/>
                <w:sz w:val="21"/>
                <w:szCs w:val="21"/>
              </w:rPr>
              <w:t>验收标准</w:t>
            </w:r>
          </w:p>
        </w:tc>
        <w:tc>
          <w:tcPr>
            <w:tcW w:w="7111" w:type="dxa"/>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sz w:val="21"/>
                <w:szCs w:val="21"/>
              </w:rPr>
            </w:pPr>
            <w:r>
              <w:rPr>
                <w:rFonts w:ascii="宋体" w:hAnsi="宋体" w:cs="宋体" w:hint="eastAsia"/>
                <w:sz w:val="21"/>
                <w:szCs w:val="21"/>
              </w:rPr>
              <w:t>1.采购人依据磋商文件上的全部技术规格要求和国家有关质量标准对成交供应商提供的服务进行现场初步验收，质量、安全、技术规格、物理特性、时间等要求，给予签收，初步验收不合格的不予签收。</w:t>
            </w:r>
          </w:p>
          <w:p w:rsidR="004924CD" w:rsidRDefault="004924CD" w:rsidP="005227A5">
            <w:pPr>
              <w:rPr>
                <w:rFonts w:ascii="宋体" w:hAnsi="宋体" w:cs="宋体"/>
                <w:sz w:val="21"/>
                <w:szCs w:val="21"/>
              </w:rPr>
            </w:pPr>
            <w:r>
              <w:rPr>
                <w:rFonts w:ascii="宋体" w:hAnsi="宋体" w:cs="宋体" w:hint="eastAsia"/>
                <w:sz w:val="21"/>
                <w:szCs w:val="21"/>
              </w:rPr>
              <w:t>2.成交供应商提供的硬件设备必须符合我国国家有关技术规范要求和技术标准，所有的软件和硬件必须保证按时安装、布置到位。</w:t>
            </w:r>
          </w:p>
        </w:tc>
      </w:tr>
      <w:tr w:rsidR="004924CD" w:rsidTr="005227A5">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4924CD" w:rsidRDefault="004924CD" w:rsidP="005227A5">
            <w:pPr>
              <w:jc w:val="center"/>
              <w:rPr>
                <w:rFonts w:ascii="宋体" w:hAnsi="宋体" w:cs="宋体"/>
                <w:b/>
                <w:bCs/>
                <w:sz w:val="21"/>
                <w:szCs w:val="21"/>
              </w:rPr>
            </w:pPr>
            <w:r>
              <w:rPr>
                <w:rFonts w:ascii="宋体" w:hAnsi="宋体" w:cs="宋体" w:hint="eastAsia"/>
                <w:b/>
                <w:bCs/>
                <w:sz w:val="21"/>
                <w:szCs w:val="21"/>
              </w:rPr>
              <w:t>其他技术、服务要求</w:t>
            </w:r>
          </w:p>
        </w:tc>
        <w:tc>
          <w:tcPr>
            <w:tcW w:w="7111" w:type="dxa"/>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sz w:val="21"/>
                <w:szCs w:val="21"/>
              </w:rPr>
            </w:pPr>
            <w:r>
              <w:rPr>
                <w:rFonts w:ascii="宋体" w:hAnsi="宋体" w:cs="宋体" w:hint="eastAsia"/>
                <w:sz w:val="21"/>
                <w:szCs w:val="21"/>
              </w:rPr>
              <w:t>成交供应商按磋商文件规定的货物性能、服务性能、技术要求、服务要求、质量标准向采购人提供符合国家法律规定和技术规格、质量标准的服务。服务期内，成交供应商对服务出现的质量及安全问题负责处理解决并承担一切费用。</w:t>
            </w:r>
          </w:p>
        </w:tc>
      </w:tr>
    </w:tbl>
    <w:p w:rsidR="004924CD" w:rsidRDefault="004924CD" w:rsidP="004924CD">
      <w:pPr>
        <w:spacing w:line="288" w:lineRule="auto"/>
        <w:ind w:left="270" w:hangingChars="112" w:hanging="270"/>
        <w:rPr>
          <w:rFonts w:ascii="宋体" w:hAnsi="宋体" w:hint="eastAsia"/>
          <w:b/>
          <w:sz w:val="24"/>
          <w:lang w:val="zh-TW"/>
        </w:rPr>
      </w:pPr>
    </w:p>
    <w:p w:rsidR="004924CD" w:rsidRDefault="004924CD" w:rsidP="004924CD">
      <w:pPr>
        <w:spacing w:line="288" w:lineRule="auto"/>
        <w:ind w:left="270" w:hangingChars="112" w:hanging="270"/>
        <w:rPr>
          <w:rFonts w:ascii="宋体" w:hAnsi="宋体" w:hint="eastAsia"/>
          <w:b/>
          <w:sz w:val="24"/>
          <w:lang w:val="zh-TW"/>
        </w:rPr>
      </w:pPr>
      <w:r>
        <w:rPr>
          <w:rFonts w:ascii="宋体" w:hAnsi="宋体" w:hint="eastAsia"/>
          <w:b/>
          <w:sz w:val="24"/>
          <w:lang w:val="zh-TW"/>
        </w:rPr>
        <w:t>三、技术要求</w:t>
      </w:r>
    </w:p>
    <w:p w:rsidR="004924CD" w:rsidRDefault="004924CD" w:rsidP="004924CD">
      <w:pPr>
        <w:pStyle w:val="Default"/>
        <w:spacing w:line="288" w:lineRule="auto"/>
        <w:rPr>
          <w:rFonts w:ascii="宋体" w:hAnsi="宋体" w:cs="宋体" w:hint="eastAsia"/>
          <w:sz w:val="21"/>
          <w:szCs w:val="21"/>
        </w:rPr>
      </w:pPr>
      <w:bookmarkStart w:id="2" w:name="_Toc4076"/>
      <w:r>
        <w:rPr>
          <w:rFonts w:ascii="宋体" w:hAnsi="宋体" w:cs="宋体" w:hint="eastAsia"/>
          <w:sz w:val="21"/>
          <w:szCs w:val="21"/>
        </w:rPr>
        <w:t>（一）总体要求</w:t>
      </w:r>
      <w:bookmarkEnd w:id="2"/>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1.课程师资来源： 双一流高校、中国科学院、中国社会科学院等国内外知名院校和科研机构。</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2.提供学生在网络课程平台上自主选课，学校可以根据需要限定每人选课门数，以及每门课程选课人数上限。支持学生选课前试听课程以及限时退选。</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3.提供学校专属站点和域名，支持首页栏目定制，课程归类个性化定制，支持课程资源二次编辑以及个性化利用。</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4.网络课程学习平台系统架构具有较好的可维护性和可扩展性。</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5.技术上采用基于Unix或Linux操作系统，保证使用的稳定性，安全性和运行效率。</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6.支持教师利用自有资源，开发创建线下课程翻转教学课程。</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7.支持课程移动端直播功能，学生可通过移动端网络课程在线直播学习，并支持交互教</w:t>
      </w:r>
      <w:r>
        <w:rPr>
          <w:rFonts w:ascii="宋体" w:hAnsi="宋体" w:cs="宋体" w:hint="eastAsia"/>
          <w:sz w:val="21"/>
          <w:szCs w:val="21"/>
        </w:rPr>
        <w:lastRenderedPageBreak/>
        <w:t>学活动。</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8.支持学校实时监控查询学生学习情况，学期结束后出具学生学习情况分析报告。</w:t>
      </w:r>
    </w:p>
    <w:p w:rsidR="004924CD" w:rsidRDefault="004924CD" w:rsidP="004924CD">
      <w:pPr>
        <w:pStyle w:val="Default"/>
        <w:spacing w:line="288" w:lineRule="auto"/>
        <w:rPr>
          <w:rFonts w:ascii="宋体" w:hAnsi="宋体" w:cs="宋体" w:hint="eastAsia"/>
          <w:sz w:val="21"/>
          <w:szCs w:val="21"/>
        </w:rPr>
      </w:pPr>
      <w:bookmarkStart w:id="3" w:name="_Toc7403"/>
      <w:r>
        <w:rPr>
          <w:rFonts w:ascii="宋体" w:hAnsi="宋体" w:cs="宋体" w:hint="eastAsia"/>
          <w:sz w:val="21"/>
          <w:szCs w:val="21"/>
        </w:rPr>
        <w:t>（二）课程资源</w:t>
      </w:r>
      <w:bookmarkEnd w:id="3"/>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1.名校、名师、名课，授课师资主要为双一流高校、中科院或其它著名学术机构名师；</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2.课程视频为高清拍摄、广播级制作，可在线以720P以上清晰度流畅播放，视频中配备多媒体素材帮助学生学习；</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3.完整清晰简体中文字幕（外语课程有清晰对应语种字幕），有独立字幕文件；</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4.每门课程需要配有完善的教学大纲以及相关试题库，每门课程包含至少200道试题，试题每年更新一次，上述资源均可在网络上直接访问。</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5.课程内容涵盖文明起源与历史演变、人类思想与自我认知、文学修养与艺术鉴赏、科学发现与技术革新、经济活动与社会管理、国学经典与文化传承等各个领域，帮助培养健全的人格；</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6.相关电子参考书书和课程视频资源须提供著作权人的授权协议。</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 xml:space="preserve">7.现有可选课程库需包含不少于400门课程，每门课不少于15课时，每年持续更新课程，且必须满足以下条件：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1404"/>
        <w:gridCol w:w="6413"/>
      </w:tblGrid>
      <w:tr w:rsidR="004924CD" w:rsidTr="005227A5">
        <w:trPr>
          <w:trHeight w:val="21"/>
          <w:jc w:val="center"/>
        </w:trPr>
        <w:tc>
          <w:tcPr>
            <w:tcW w:w="412"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序号</w:t>
            </w:r>
          </w:p>
        </w:tc>
        <w:tc>
          <w:tcPr>
            <w:tcW w:w="824"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课程类型</w:t>
            </w:r>
          </w:p>
        </w:tc>
        <w:tc>
          <w:tcPr>
            <w:tcW w:w="3762"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课程要求</w:t>
            </w:r>
          </w:p>
        </w:tc>
      </w:tr>
      <w:tr w:rsidR="004924CD" w:rsidTr="005227A5">
        <w:trPr>
          <w:trHeight w:val="21"/>
          <w:jc w:val="center"/>
        </w:trPr>
        <w:tc>
          <w:tcPr>
            <w:tcW w:w="412"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1</w:t>
            </w:r>
          </w:p>
        </w:tc>
        <w:tc>
          <w:tcPr>
            <w:tcW w:w="824"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自然科学类</w:t>
            </w:r>
          </w:p>
        </w:tc>
        <w:tc>
          <w:tcPr>
            <w:tcW w:w="3762"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不少于30门，且必须包含以下课程：《舌尖上的植物学》《机器的征途：空天科技》《航空概论》《 人文的物理学 》《人文视野中的生态学》《大脑的奥秘：神经科学导论》《科学启蒙》《人工智能，语言与伦理》。</w:t>
            </w:r>
          </w:p>
        </w:tc>
      </w:tr>
      <w:tr w:rsidR="004924CD" w:rsidTr="005227A5">
        <w:trPr>
          <w:trHeight w:val="21"/>
          <w:jc w:val="center"/>
        </w:trPr>
        <w:tc>
          <w:tcPr>
            <w:tcW w:w="412"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2</w:t>
            </w:r>
          </w:p>
        </w:tc>
        <w:tc>
          <w:tcPr>
            <w:tcW w:w="824"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人文社科类</w:t>
            </w:r>
          </w:p>
        </w:tc>
        <w:tc>
          <w:tcPr>
            <w:tcW w:w="3762"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不少于100门，且必须包含以下课程：《人生与人心》《人人学点营销学》《 市场的力量：中国经济改革之思》《意义生活：符号学导论》《对话诺奖大师》《走近中华优秀传统文化》《中国对外贸易概论》《语言与文化》《文化差异与跨文化交际》《社会学与中国社会》。</w:t>
            </w:r>
          </w:p>
        </w:tc>
      </w:tr>
      <w:tr w:rsidR="004924CD" w:rsidTr="005227A5">
        <w:trPr>
          <w:trHeight w:val="21"/>
          <w:jc w:val="center"/>
        </w:trPr>
        <w:tc>
          <w:tcPr>
            <w:tcW w:w="412"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3</w:t>
            </w:r>
          </w:p>
        </w:tc>
        <w:tc>
          <w:tcPr>
            <w:tcW w:w="824"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艺体类</w:t>
            </w:r>
          </w:p>
        </w:tc>
        <w:tc>
          <w:tcPr>
            <w:tcW w:w="3762"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不少于30门，且必须包含以下课程：《中国戏曲·昆曲》《民歌鉴赏》《影视鉴赏》《世界建筑史》《聆听心声：音乐审美心理分析》《人人爱设计》《中华传统文化之戏曲瑰宝》《艺术美学》《大学体育》。</w:t>
            </w:r>
          </w:p>
        </w:tc>
      </w:tr>
      <w:tr w:rsidR="004924CD" w:rsidTr="005227A5">
        <w:trPr>
          <w:trHeight w:val="21"/>
          <w:jc w:val="center"/>
        </w:trPr>
        <w:tc>
          <w:tcPr>
            <w:tcW w:w="412"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4</w:t>
            </w:r>
          </w:p>
        </w:tc>
        <w:tc>
          <w:tcPr>
            <w:tcW w:w="824"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通用能力类</w:t>
            </w:r>
          </w:p>
        </w:tc>
        <w:tc>
          <w:tcPr>
            <w:tcW w:w="3762"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不少于20门，且必须包含以下课程：《形象管理》《批判与创意思考》《批创思维导论》《如何高效学习》《职业压力管理》《口才艺术与社交礼仪》《TRIZ创新方法》《突发事件及自救互救》。</w:t>
            </w:r>
          </w:p>
        </w:tc>
      </w:tr>
      <w:tr w:rsidR="004924CD" w:rsidTr="005227A5">
        <w:trPr>
          <w:trHeight w:val="21"/>
          <w:jc w:val="center"/>
        </w:trPr>
        <w:tc>
          <w:tcPr>
            <w:tcW w:w="412"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5</w:t>
            </w:r>
          </w:p>
        </w:tc>
        <w:tc>
          <w:tcPr>
            <w:tcW w:w="824"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创新创业类</w:t>
            </w:r>
          </w:p>
        </w:tc>
        <w:tc>
          <w:tcPr>
            <w:tcW w:w="3762"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不少于10门，且必须包含以下课程：《商业计划书制作与演示》《创新中国》《大学生创新基础》《创业人生》《创业法学》。</w:t>
            </w:r>
          </w:p>
        </w:tc>
      </w:tr>
      <w:tr w:rsidR="004924CD" w:rsidTr="005227A5">
        <w:trPr>
          <w:trHeight w:val="21"/>
          <w:jc w:val="center"/>
        </w:trPr>
        <w:tc>
          <w:tcPr>
            <w:tcW w:w="412"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6</w:t>
            </w:r>
          </w:p>
        </w:tc>
        <w:tc>
          <w:tcPr>
            <w:tcW w:w="824"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经典导读类</w:t>
            </w:r>
          </w:p>
        </w:tc>
        <w:tc>
          <w:tcPr>
            <w:tcW w:w="3762" w:type="pct"/>
            <w:tcBorders>
              <w:top w:val="single" w:sz="4" w:space="0" w:color="auto"/>
              <w:left w:val="single" w:sz="4" w:space="0" w:color="auto"/>
              <w:bottom w:val="single" w:sz="4" w:space="0" w:color="auto"/>
              <w:right w:val="single" w:sz="4" w:space="0" w:color="auto"/>
            </w:tcBorders>
            <w:vAlign w:val="center"/>
          </w:tcPr>
          <w:p w:rsidR="004924CD" w:rsidRDefault="004924CD" w:rsidP="005227A5">
            <w:pPr>
              <w:rPr>
                <w:rFonts w:ascii="宋体" w:hAnsi="宋体" w:cs="宋体" w:hint="eastAsia"/>
                <w:sz w:val="21"/>
                <w:szCs w:val="21"/>
              </w:rPr>
            </w:pPr>
            <w:r>
              <w:rPr>
                <w:rFonts w:ascii="宋体" w:hAnsi="宋体" w:cs="宋体" w:hint="eastAsia"/>
                <w:sz w:val="21"/>
                <w:szCs w:val="21"/>
              </w:rPr>
              <w:t>不少于10门，且必须包含以下经典阅读导读课程：《植物知道生命的答案》《时间简史》《三国志》《汉书》《未来简史》《自私的基因》《乌合之众：大众心理研究》。</w:t>
            </w:r>
          </w:p>
        </w:tc>
      </w:tr>
    </w:tbl>
    <w:p w:rsidR="004924CD" w:rsidRDefault="004924CD" w:rsidP="004924CD">
      <w:pPr>
        <w:pStyle w:val="Default"/>
        <w:spacing w:line="288" w:lineRule="auto"/>
        <w:rPr>
          <w:rFonts w:ascii="宋体" w:hAnsi="宋体" w:cs="宋体" w:hint="eastAsia"/>
          <w:sz w:val="21"/>
          <w:szCs w:val="21"/>
        </w:rPr>
      </w:pPr>
      <w:bookmarkStart w:id="4" w:name="_Toc3962"/>
      <w:r>
        <w:rPr>
          <w:rFonts w:ascii="宋体" w:hAnsi="宋体" w:cs="宋体" w:hint="eastAsia"/>
          <w:sz w:val="21"/>
          <w:szCs w:val="21"/>
        </w:rPr>
        <w:t>（三）通用网络课程教学平台主要功能模块</w:t>
      </w:r>
      <w:bookmarkEnd w:id="4"/>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平台包含网络课程及资源管理、网络教学过程管理、学员自主学习三大模块，学生可以在平台上进行听课、做作业、讨论答疑、考试，教师可以对学生的学习行为进行全程记录和管理。</w:t>
      </w:r>
    </w:p>
    <w:p w:rsidR="004924CD" w:rsidRDefault="004924CD" w:rsidP="004924CD">
      <w:pPr>
        <w:pStyle w:val="Default"/>
        <w:spacing w:line="288" w:lineRule="auto"/>
        <w:ind w:firstLineChars="200" w:firstLine="420"/>
        <w:rPr>
          <w:rFonts w:ascii="宋体" w:hAnsi="宋体" w:cs="宋体" w:hint="eastAsia"/>
          <w:sz w:val="21"/>
          <w:szCs w:val="21"/>
        </w:rPr>
      </w:pPr>
      <w:bookmarkStart w:id="5" w:name="_Toc8283"/>
      <w:r>
        <w:rPr>
          <w:rFonts w:ascii="宋体" w:hAnsi="宋体" w:cs="宋体" w:hint="eastAsia"/>
          <w:sz w:val="21"/>
          <w:szCs w:val="21"/>
        </w:rPr>
        <w:t>（1）平台基础模块</w:t>
      </w:r>
      <w:bookmarkEnd w:id="5"/>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lastRenderedPageBreak/>
        <w:t>网络课程平台以网络课程教学为核心，涵盖课程基础信息发布、教学内容组织与管理、课程管理等功能，并提供辅助教学工具。</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1.学习进度管理</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能够对学生选修的课程进行学习进度的记录、显示课程观看百分比进度，引导学生按照教学要求完成网络课程的学习。学生在线学习课程时需支持进度记忆，支持防止快进、防止跳集观看，支持当前活动窗口探测，防止观看课程时进行其他活动。系统还可取消防快进、防跳集、当前窗口探测功能。支持长时间无活动自动停止播放。</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2.支持作业管理</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①支持客观题自动判卷功能；</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②支持随机组题功能；</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③支持在线完成作业、提交作业；</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 支持试题库与试卷库；</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可以设置在线试题与试卷，支持成绩单的导出；</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 xml:space="preserve">4.支持考试管理 </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 能够发布考试方式（线上或线下），设置考试时间；</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 可自定义考试题库；</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③ 支持随机组卷考试功能；</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④ 线上考生支持考试时间控制，客观题自动判卷功能；</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5.笔记管理:支持学生在线记录学习笔记；</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6.消息公告管理：支持发布教学公告，教学任务提醒，可按多种类似发送到每个学生的帐号系统中；</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7.教师答疑功能：支持向教师提交问题，教师后台答疑；</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8.支持课程与教师信息的编辑与发布功能</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 可以发布包括课程介绍、教学计划、教师信息、课程通知等；</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 支持上传文件、添加URL 链接、多媒体在线播放等形式。</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9.支持多种方式发布教学资源；</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 提供多媒体在线编辑器</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 支持在线编辑资源、上传本地文件、添加网址资源等方式</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③ 可引入开放课程、精品课程、个人资源等整合多种来源的教学资源。</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10.支持学习空间APP架构</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学习空间可以为每个学生打造个性化的主页，记录其学习历程。同时为了创造一种良好的学习氛围，学习空间融入SNS的概念，可以满足学生与学生之间、学生与老师的学习互动交流。学习空间采用APP架构，所有学习服务APP化，用户可以把常用的APP应用安装到自己的学习空间主页中，并可以管理自己安装的应用。学习空间至少包含以下APP：</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 云盘：可以将自己的学习资料储存在云端，云盘空间不小100G。</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 专题：可根据个人兴趣编辑、订阅和收藏相关专题微阅读。</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③ 日志：可以编写个人日志，进行学习心得的分享与交流。</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lastRenderedPageBreak/>
        <w:t>④ 小组：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⑤ 问卷调查:学校、老师可以向学生发起一个问卷调查，由学生进行提交，并可以进行数据的统计分析。</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⑥论文检测：</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1）比对基础库中的数据包含图书、报纸、期刊、网络文档等多种文献类型；</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2）能提供至少200万种中文图书全文作为比对的基础库；</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3）能提供至少1亿篇中文报纸文章全文作为比对的基础库；</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4）每万字的检测需在数秒内完成；</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5）个人用户均可免费在单位IP范围内上传、检测并查看检测结果</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6）保护个人隐私，个人用户的检测记录除本人外均不可见；</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7）对上传文献检测得到相似度、重复字数等指标；</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8）能分别分析出最密集相似、密集相似、非密集相似、前部相似、中部相似、尾部相似等各处的情况；</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9）支持TXT、DOC、DOCX、PDF多种非加密文档的上传检测；</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10）支持将万字以下的文本直接黏贴到文本框中直接上传进行检测；</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11）系统不保存原始上传文献，确保原文安全；</w:t>
      </w:r>
    </w:p>
    <w:p w:rsidR="004924CD" w:rsidRDefault="004924CD" w:rsidP="004924CD">
      <w:pPr>
        <w:pStyle w:val="Default"/>
        <w:spacing w:line="288" w:lineRule="auto"/>
        <w:ind w:firstLineChars="200" w:firstLine="420"/>
        <w:rPr>
          <w:rFonts w:ascii="宋体" w:hAnsi="宋体" w:cs="宋体" w:hint="eastAsia"/>
          <w:sz w:val="21"/>
          <w:szCs w:val="21"/>
        </w:rPr>
      </w:pPr>
      <w:bookmarkStart w:id="6" w:name="_Toc21631"/>
      <w:r>
        <w:rPr>
          <w:rFonts w:ascii="宋体" w:hAnsi="宋体" w:cs="宋体" w:hint="eastAsia"/>
          <w:sz w:val="21"/>
          <w:szCs w:val="21"/>
        </w:rPr>
        <w:t>（2）平台提供管多种角色应用</w:t>
      </w:r>
      <w:bookmarkEnd w:id="6"/>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1.支持系统管理员功能</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 提供在线点播（视频检索、视频点播、视频评论）；</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 支持视频管理（视频上传、视频审核、视频开放权限设置、视频评论管理、视频属性修改、视频删除、视频分类管理）；</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③ 支持集成课程管理，包含学校选课信息、开课信息设置、课程考核设置、课程归档设置、学生信息查询功能；</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④ 支持集成学习进度统计，包含按课程统计、按作业统计、按答疑统计、按讨论统计，汇总统计等；</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⑤ 支持集成访问量统计，包含课程统计、在线人数统计、历史通过率统计、历史工作量统计等；</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 xml:space="preserve">2.支持教师角色功能 </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 支持在线点播（视频检索、视频点播、视频评论）、视频上传；</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 支持课程资源管理，允许对课程相关资源进行发布，支持文本、pdf、ppt、视频等各类媒体文件；</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③ 支持通知管理，教师对课程相关通知进行发布及管理；</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④ 支持题库管理，教师对课程题库维护操作</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⑤ 支持课程作业管理，对作业进行批阅、查看、统计等；</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lastRenderedPageBreak/>
        <w:t>⑥ 支持课程考试管理，集成考试设置、考试批阅；</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⑦ 集成课程答疑管理，教师通过课程答疑回复学生的提问；</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⑧ 支持课程讨论管理，对学生的课程讨论进行管理及参与讨论；</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⑨ 提供统计分析管理，包含作业统计、考试统计、讨论统计、答疑统计、学习进度统计,以及学生反复观看学习课程视频的比率。</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⑩ 支持教师对课程资源进行二次建设，或自主建设本校网络课程。供应商须提供相关备课资源库。教师在平台进行课程建设、备课、授课过程中随时可以搜索、引用、无缝插入备课资源库中的资源，全面辅助教师教学和学生学习。需包含以下资源：</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1）百万种电子书。可以进行在线阅读，可以进行文字摘录。</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十余万集学术视频。需要名校、名师的视频，包含清华大学、北京大学、中国人民大学、北京师范大学、复旦大学、同济大学、上海交通大学、天津大学、南开大学等名校的课程视频及讲座，可以在线进行播放。学术视频需涉及艺术、文学、历史、哲学、政治法律、经济管理、工程技术等相关学科，资源可与平台无缝对接，老师可以非常方便的在课程中引用这些资源。</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 xml:space="preserve"> 3）百万量级文档共下载使用。</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 xml:space="preserve"> 4）电子书和学术视频要求必须取得著作权人的授权，没有版权问题。</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3.支持学生角色功能；</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① 在线点播（视频点播、视频评论）；</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② 支持提问、作业、考试；</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③ 实时监控学生观看视频课的进度，记录进度统计情况；</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④ 支持我的任务管理，包含正在学习的课程，我的最新任务，我的最新公告，我的数据统计；</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⑤ 支持作业管理，包含正在学习课程的作业、已经完成课程的作业管理；</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⑥ 支持考试管理，包含政治学习课程的考试、已经完成课程的考试管理；</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⑦ 支持资源管理，支持记录所有学习过课程的资料列表；</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⑧ 支持互动管理，学生在学习课程中的讨论、提问和解答记录；</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⑨ 支持学习进度，查询和记录学生在学习课程中的学习进度。</w:t>
      </w:r>
    </w:p>
    <w:p w:rsidR="004924CD" w:rsidRDefault="004924CD" w:rsidP="004924CD">
      <w:pPr>
        <w:pStyle w:val="Default"/>
        <w:spacing w:line="288" w:lineRule="auto"/>
        <w:ind w:firstLineChars="200" w:firstLine="420"/>
        <w:rPr>
          <w:rFonts w:ascii="宋体" w:hAnsi="宋体" w:cs="宋体" w:hint="eastAsia"/>
          <w:sz w:val="21"/>
          <w:szCs w:val="21"/>
        </w:rPr>
      </w:pPr>
      <w:bookmarkStart w:id="7" w:name="_Toc25195"/>
      <w:r>
        <w:rPr>
          <w:rFonts w:ascii="宋体" w:hAnsi="宋体" w:cs="宋体" w:hint="eastAsia"/>
          <w:sz w:val="21"/>
          <w:szCs w:val="21"/>
        </w:rPr>
        <w:t>（3）多媒体教学资源库管理平台</w:t>
      </w:r>
      <w:bookmarkEnd w:id="7"/>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1.多媒体教学资源库管理平台提供资源浏览、资源查询、资源下载、资源上传、资源评价和个人资源库等功能。</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2.支持上传管理国内外开放课程资源：包括国家级、省市级精品课程资源、国外开放网络课程资源的上传管理；</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3.支持本校购买或自建课程的资源管理：包括上传、包装及共享教学管理；</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4.支持资源管理员对资源库的批量录入、删除、修改和审核；支持资源评价管理、资源审核、资源维护等。</w:t>
      </w:r>
    </w:p>
    <w:p w:rsidR="004924CD" w:rsidRDefault="004924CD" w:rsidP="004924CD">
      <w:pPr>
        <w:pStyle w:val="Default"/>
        <w:spacing w:line="288" w:lineRule="auto"/>
        <w:ind w:firstLineChars="200" w:firstLine="420"/>
        <w:rPr>
          <w:rFonts w:ascii="宋体" w:hAnsi="宋体" w:cs="宋体" w:hint="eastAsia"/>
          <w:sz w:val="21"/>
          <w:szCs w:val="21"/>
        </w:rPr>
      </w:pPr>
      <w:bookmarkStart w:id="8" w:name="_Toc23949"/>
      <w:r>
        <w:rPr>
          <w:rFonts w:ascii="宋体" w:hAnsi="宋体" w:cs="宋体" w:hint="eastAsia"/>
          <w:sz w:val="21"/>
          <w:szCs w:val="21"/>
        </w:rPr>
        <w:t>（4）移动客户端</w:t>
      </w:r>
      <w:bookmarkEnd w:id="8"/>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1.支持iOS和安卓两套系统，支持手机和平板电脑等设备，实现在线移动学习、讨论、</w:t>
      </w:r>
      <w:r>
        <w:rPr>
          <w:rFonts w:ascii="宋体" w:hAnsi="宋体" w:cs="宋体" w:hint="eastAsia"/>
          <w:sz w:val="21"/>
          <w:szCs w:val="21"/>
        </w:rPr>
        <w:lastRenderedPageBreak/>
        <w:t>答疑、交互等功能。</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2.移动端与PC端学习进度、学习数据保持同步，教师可以对课程和学生进行统一管理。</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3.支持在线学习及过程监控，视频防拖拽、防窗口切换、防跳集等，可记录学生不良学习行。</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4.支持在线课程的学习、做作业、考试，讨论、答疑等支持闯关模式学习。</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5.提供包含200万电子图书、300种报纸、海量期刊、专题等网络阅读，教师、学生可以将所有感兴趣的内容订阅到自己的空间，并进行分类管理；可以对所有精彩的内容进行分享，实现资源全面共享。</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6.教务通知、教师课程通知、小组通知、个人互相通知的即时消息任意组合设置，实时发送，实时接收，并可查看通知阅读状态，已读和未读名单。教师、学生都可以进行实时的学习通知、组建小组群聊（也可设置屏蔽提醒）、好友验证等即时通信。</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支持混合式教学，支持课堂互动，支持发布签到、抢答、选答、问卷、统计等课堂教学工具</w:t>
      </w:r>
    </w:p>
    <w:p w:rsidR="004924CD" w:rsidRDefault="004924CD" w:rsidP="004924CD">
      <w:pPr>
        <w:pStyle w:val="Default"/>
        <w:spacing w:line="288" w:lineRule="auto"/>
        <w:rPr>
          <w:rFonts w:ascii="宋体" w:hAnsi="宋体" w:cs="宋体" w:hint="eastAsia"/>
          <w:sz w:val="21"/>
          <w:szCs w:val="21"/>
        </w:rPr>
      </w:pPr>
      <w:bookmarkStart w:id="9" w:name="_Toc20899"/>
      <w:r>
        <w:rPr>
          <w:rFonts w:ascii="宋体" w:hAnsi="宋体" w:cs="宋体" w:hint="eastAsia"/>
          <w:sz w:val="21"/>
          <w:szCs w:val="21"/>
        </w:rPr>
        <w:t>（四）相关课程技术服务</w:t>
      </w:r>
      <w:bookmarkEnd w:id="9"/>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1.供应商须提供教学和教务全程服务，包括开课/结课的所有对接服务，学生信息、学习成绩及学分的导入/导出等。</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2.供应商须提供学生学习进度监控、课程访问统计分析、学习诚信监控，可根据采购人需求随时提供教学运行数据和不诚信学习名单。</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3.供应商须在学校所属省份建设有本地化服务团队，团队规模不少于30人。</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4.供应商须提供上门用户培训服务，且时间、地点、规模由采购人制定，每学年培训不少于2次；供应商应免费提供操作手册、培训课程和视频等参考资料。</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5.提供在线客服、电话客服、邮箱客服解决学生、管理员、辅导老师使用问题；学生学习的导学、督学（短信、电话、邮件）服务。</w:t>
      </w:r>
    </w:p>
    <w:p w:rsidR="004924CD" w:rsidRDefault="004924CD" w:rsidP="004924CD">
      <w:pPr>
        <w:pStyle w:val="Default"/>
        <w:spacing w:line="288" w:lineRule="auto"/>
        <w:rPr>
          <w:rFonts w:ascii="宋体" w:hAnsi="宋体" w:cs="宋体" w:hint="eastAsia"/>
          <w:sz w:val="21"/>
          <w:szCs w:val="21"/>
        </w:rPr>
      </w:pPr>
      <w:r>
        <w:rPr>
          <w:rFonts w:ascii="宋体" w:hAnsi="宋体" w:cs="宋体" w:hint="eastAsia"/>
          <w:sz w:val="21"/>
          <w:szCs w:val="21"/>
        </w:rPr>
        <w:t>（五）扩展需求</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（1）通识素养测评服务</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通识素养测评服务旨在帮助学生了解分析其自身各个维度上素养的优势与不足，在大学学习的有限时间内，能够有针对性地查漏补缺，提升个人整体的素养水平。测评内容主要包括国学、科技、社会管理、人类思想、文学艺术、历史文明等六个方面的内容。提供详细个人测评结果及校级别测评报告，帮助学校全方位了解本校学生通识素养情况。</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1.测评主要功能要求</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1.1测评功能：自动识别学生所在机构，判断对应学校通识课程的开课课程信息。在学生测评过程中记录学生的参与时间、最终成绩、每道题目的答题情况等详细数据。</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1.2引导功能：测评完成后，必须能够推荐相关学习资料，帮助学生提高通识素养能力。要求推荐不少于6门相关课程及10本相关图书。学生应能够直接在测评系统内试看推荐的课程，并能够直接进入选课系统选课。推荐的相关图书应能够直接阅读全文。</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1.3学习功能：给学生提供3种以上提升通识素养的工具，帮助学生针对自身薄弱领域进行提升。</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lastRenderedPageBreak/>
        <w:t>2.数据统计分析功能：</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2.1测评完成后，需要提供测评报告。报告中需要包括测评内容体系各门类的详细分数、成绩评价、全国对比情况，要能够回看学生历次测评结果。</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2.2测评结束后，需向学校提供详尽完整的《通识素养提升解决方案》。该解决方案需要分年级、学院、内容体系维度等方面对学生数据进行分析，并且针对学校的开课清单、通识资源建设、教学改革方面提出合理化建议。</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通识教育经典阅读数字教材。</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经典阅读旨在通过引导广大学子深度阅读经典，促进融汇中外、贯通古今，培养具备国际视野、中国灵魂和现代意识的新一代大学生。</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供应商能提供不低于300个品种的精选优质通识教育经典阅读书目清单。</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2.学生在对经典的阅读过程中任务点均可监督阅读过程、精确记录时长、保管浏览记录、分析阅读行为，提供科学严谨的阅读成绩与大数据可视化阅读报告，为科学考核保驾护航。</w:t>
      </w:r>
    </w:p>
    <w:p w:rsidR="004924CD" w:rsidRDefault="004924CD" w:rsidP="004924CD">
      <w:pPr>
        <w:pStyle w:val="Default"/>
        <w:spacing w:line="288" w:lineRule="auto"/>
        <w:ind w:firstLineChars="200" w:firstLine="420"/>
        <w:rPr>
          <w:rFonts w:ascii="宋体" w:hAnsi="宋体" w:cs="宋体" w:hint="eastAsia"/>
          <w:sz w:val="21"/>
          <w:szCs w:val="21"/>
        </w:rPr>
      </w:pPr>
      <w:r>
        <w:rPr>
          <w:rFonts w:ascii="宋体" w:hAnsi="宋体" w:cs="宋体" w:hint="eastAsia"/>
          <w:sz w:val="21"/>
          <w:szCs w:val="21"/>
        </w:rPr>
        <w:t>3.经典阅读活动延伸展开：经典导读活动要求在每学期开学时定期举办，邀请全国各地名师参与导读活动。学生可参与阅读打卡、话题讨论、书评精选、读者问题搜集等活动，并由名师定期集中直播答疑，指点迷津，读者通过移动端参与直播活动。</w:t>
      </w:r>
    </w:p>
    <w:p w:rsidR="004924CD" w:rsidRDefault="004924CD" w:rsidP="004924CD">
      <w:pPr>
        <w:pStyle w:val="Default"/>
        <w:spacing w:line="288" w:lineRule="auto"/>
        <w:jc w:val="both"/>
        <w:rPr>
          <w:rFonts w:ascii="宋体" w:hAnsi="宋体" w:cs="宋体" w:hint="eastAsia"/>
          <w:sz w:val="21"/>
          <w:szCs w:val="21"/>
        </w:rPr>
      </w:pPr>
      <w:r>
        <w:rPr>
          <w:rFonts w:ascii="宋体" w:hAnsi="宋体" w:hint="eastAsia"/>
          <w:b/>
          <w:color w:val="auto"/>
          <w:lang w:val="zh-TW"/>
        </w:rPr>
        <w:t>四、演示要求</w:t>
      </w:r>
    </w:p>
    <w:tbl>
      <w:tblPr>
        <w:tblStyle w:val="a8"/>
        <w:tblW w:w="4999" w:type="pct"/>
        <w:tblInd w:w="0" w:type="dxa"/>
        <w:tblLook w:val="0000"/>
      </w:tblPr>
      <w:tblGrid>
        <w:gridCol w:w="792"/>
        <w:gridCol w:w="7728"/>
      </w:tblGrid>
      <w:tr w:rsidR="004924CD" w:rsidTr="005227A5">
        <w:tc>
          <w:tcPr>
            <w:tcW w:w="465" w:type="pct"/>
            <w:vAlign w:val="bottom"/>
          </w:tcPr>
          <w:p w:rsidR="004924CD" w:rsidRDefault="004924CD" w:rsidP="005227A5">
            <w:pPr>
              <w:pStyle w:val="ParaCharCharCharCharCharCharCharCharChar1CharCharCharChar"/>
              <w:widowControl/>
              <w:spacing w:line="360" w:lineRule="auto"/>
              <w:jc w:val="center"/>
              <w:rPr>
                <w:rFonts w:ascii="宋体" w:hAnsi="宋体" w:cs="宋体" w:hint="eastAsia"/>
                <w:sz w:val="21"/>
                <w:szCs w:val="21"/>
              </w:rPr>
            </w:pPr>
            <w:r>
              <w:rPr>
                <w:rFonts w:ascii="宋体" w:hAnsi="宋体" w:cs="宋体" w:hint="eastAsia"/>
                <w:sz w:val="21"/>
                <w:szCs w:val="21"/>
              </w:rPr>
              <w:t>序号</w:t>
            </w:r>
          </w:p>
        </w:tc>
        <w:tc>
          <w:tcPr>
            <w:tcW w:w="4534" w:type="pct"/>
            <w:vAlign w:val="bottom"/>
          </w:tcPr>
          <w:p w:rsidR="004924CD" w:rsidRDefault="004924CD" w:rsidP="005227A5">
            <w:pPr>
              <w:pStyle w:val="ParaCharCharCharCharCharCharCharCharChar1CharCharCharChar"/>
              <w:widowControl/>
              <w:spacing w:line="360" w:lineRule="auto"/>
              <w:jc w:val="center"/>
              <w:rPr>
                <w:rFonts w:ascii="宋体" w:hAnsi="宋体" w:cs="宋体" w:hint="eastAsia"/>
                <w:sz w:val="21"/>
                <w:szCs w:val="21"/>
              </w:rPr>
            </w:pPr>
            <w:r>
              <w:rPr>
                <w:rFonts w:ascii="宋体" w:hAnsi="宋体" w:cs="宋体" w:hint="eastAsia"/>
                <w:sz w:val="21"/>
                <w:szCs w:val="21"/>
              </w:rPr>
              <w:t>演示详细要求</w:t>
            </w:r>
          </w:p>
        </w:tc>
      </w:tr>
      <w:tr w:rsidR="004924CD" w:rsidTr="005227A5">
        <w:tc>
          <w:tcPr>
            <w:tcW w:w="465" w:type="pct"/>
            <w:vAlign w:val="center"/>
          </w:tcPr>
          <w:p w:rsidR="004924CD" w:rsidRDefault="004924CD" w:rsidP="005227A5">
            <w:pPr>
              <w:pStyle w:val="ParaCharCharCharCharCharCharCharCharChar1CharCharCharChar"/>
              <w:widowControl/>
              <w:spacing w:line="360" w:lineRule="auto"/>
              <w:jc w:val="center"/>
              <w:rPr>
                <w:rFonts w:ascii="宋体" w:hAnsi="宋体" w:cs="宋体" w:hint="eastAsia"/>
                <w:sz w:val="21"/>
                <w:szCs w:val="21"/>
              </w:rPr>
            </w:pPr>
            <w:r>
              <w:rPr>
                <w:rFonts w:ascii="宋体" w:hAnsi="宋体" w:cs="宋体" w:hint="eastAsia"/>
                <w:sz w:val="21"/>
                <w:szCs w:val="21"/>
              </w:rPr>
              <w:t>1</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课程资源：从技术参数所需课程中随机挑选5门课程进行现场演示，完整演示5门课程得1分，少于5门课程或现场不演示不得分。</w:t>
            </w:r>
          </w:p>
        </w:tc>
      </w:tr>
      <w:tr w:rsidR="004924CD" w:rsidTr="005227A5">
        <w:tc>
          <w:tcPr>
            <w:tcW w:w="465" w:type="pct"/>
            <w:vAlign w:val="center"/>
          </w:tcPr>
          <w:p w:rsidR="004924CD" w:rsidRDefault="004924CD" w:rsidP="005227A5">
            <w:pPr>
              <w:spacing w:line="360" w:lineRule="auto"/>
              <w:jc w:val="center"/>
              <w:rPr>
                <w:rFonts w:ascii="宋体" w:hAnsi="宋体" w:cs="宋体" w:hint="eastAsia"/>
                <w:sz w:val="21"/>
                <w:szCs w:val="21"/>
              </w:rPr>
            </w:pPr>
            <w:r>
              <w:rPr>
                <w:rFonts w:ascii="宋体" w:hAnsi="宋体" w:cs="宋体" w:hint="eastAsia"/>
                <w:sz w:val="21"/>
                <w:szCs w:val="21"/>
              </w:rPr>
              <w:t>2</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通识素养测评：在学生测评过程中记录学生的参与时间、最终成绩、每道题目的答题情况等详细数据。</w:t>
            </w:r>
          </w:p>
        </w:tc>
      </w:tr>
      <w:tr w:rsidR="004924CD" w:rsidTr="005227A5">
        <w:tc>
          <w:tcPr>
            <w:tcW w:w="465" w:type="pct"/>
            <w:vAlign w:val="center"/>
          </w:tcPr>
          <w:p w:rsidR="004924CD" w:rsidRDefault="004924CD" w:rsidP="005227A5">
            <w:pPr>
              <w:pStyle w:val="ParaCharCharCharCharCharCharCharCharChar1CharCharCharChar"/>
              <w:widowControl/>
              <w:spacing w:line="360" w:lineRule="auto"/>
              <w:jc w:val="center"/>
              <w:rPr>
                <w:rFonts w:ascii="宋体" w:hAnsi="宋体" w:cs="宋体" w:hint="eastAsia"/>
                <w:sz w:val="21"/>
                <w:szCs w:val="21"/>
              </w:rPr>
            </w:pPr>
            <w:r>
              <w:rPr>
                <w:rFonts w:ascii="宋体" w:hAnsi="宋体" w:cs="宋体" w:hint="eastAsia"/>
                <w:sz w:val="21"/>
                <w:szCs w:val="21"/>
              </w:rPr>
              <w:t>3</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引导功能：测评完成后，必须能够推荐相关学习资料，帮助学生提高通识素养能力。要求推荐不少于6门相关课程及10本相关图书。学生应能够直接在测评系统内试看推荐的课程，并能够直接进入选课系统选课。推荐的相关图书应能够直接阅读全文。</w:t>
            </w:r>
          </w:p>
        </w:tc>
      </w:tr>
      <w:tr w:rsidR="004924CD" w:rsidTr="005227A5">
        <w:tc>
          <w:tcPr>
            <w:tcW w:w="465" w:type="pct"/>
            <w:vAlign w:val="center"/>
          </w:tcPr>
          <w:p w:rsidR="004924CD" w:rsidRDefault="004924CD" w:rsidP="005227A5">
            <w:pPr>
              <w:spacing w:line="360" w:lineRule="auto"/>
              <w:jc w:val="center"/>
              <w:rPr>
                <w:rFonts w:ascii="宋体" w:hAnsi="宋体" w:cs="宋体" w:hint="eastAsia"/>
                <w:sz w:val="21"/>
                <w:szCs w:val="21"/>
              </w:rPr>
            </w:pPr>
            <w:r>
              <w:rPr>
                <w:rFonts w:ascii="宋体" w:hAnsi="宋体" w:cs="宋体" w:hint="eastAsia"/>
                <w:sz w:val="21"/>
                <w:szCs w:val="21"/>
              </w:rPr>
              <w:t>4</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供应商能提供不低于300个品种的精选优质通识教育经典阅读书目清。</w:t>
            </w:r>
          </w:p>
        </w:tc>
      </w:tr>
      <w:tr w:rsidR="004924CD" w:rsidTr="005227A5">
        <w:trPr>
          <w:trHeight w:val="90"/>
        </w:trPr>
        <w:tc>
          <w:tcPr>
            <w:tcW w:w="465" w:type="pct"/>
            <w:vAlign w:val="center"/>
          </w:tcPr>
          <w:p w:rsidR="004924CD" w:rsidRDefault="004924CD" w:rsidP="005227A5">
            <w:pPr>
              <w:pStyle w:val="a6"/>
              <w:ind w:firstLineChars="0" w:firstLine="0"/>
              <w:jc w:val="center"/>
              <w:rPr>
                <w:rFonts w:ascii="宋体" w:hAnsi="宋体" w:cs="宋体"/>
                <w:sz w:val="21"/>
                <w:szCs w:val="21"/>
              </w:rPr>
            </w:pPr>
            <w:r>
              <w:rPr>
                <w:rFonts w:ascii="宋体" w:hAnsi="宋体" w:cs="宋体" w:hint="eastAsia"/>
                <w:sz w:val="21"/>
                <w:szCs w:val="21"/>
              </w:rPr>
              <w:t>5</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支持教师对课程资源进行二次建设，在平台提供的资源基础上建设，并在校内范围教学使用。</w:t>
            </w:r>
          </w:p>
        </w:tc>
      </w:tr>
      <w:tr w:rsidR="004924CD" w:rsidTr="005227A5">
        <w:tc>
          <w:tcPr>
            <w:tcW w:w="465" w:type="pct"/>
            <w:vAlign w:val="center"/>
          </w:tcPr>
          <w:p w:rsidR="004924CD" w:rsidRDefault="004924CD" w:rsidP="005227A5">
            <w:pPr>
              <w:pStyle w:val="a6"/>
              <w:ind w:firstLineChars="0" w:firstLine="0"/>
              <w:jc w:val="center"/>
              <w:rPr>
                <w:rFonts w:ascii="宋体" w:hAnsi="宋体" w:cs="宋体"/>
                <w:sz w:val="21"/>
                <w:szCs w:val="21"/>
              </w:rPr>
            </w:pPr>
            <w:r>
              <w:rPr>
                <w:rFonts w:ascii="宋体" w:hAnsi="宋体" w:cs="宋体" w:hint="eastAsia"/>
                <w:sz w:val="21"/>
                <w:szCs w:val="21"/>
              </w:rPr>
              <w:t>6</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提供统计分析管理，包含作业统计、考试统计、讨论统计、答疑统计、学习进度统计,以及学生反复观看学习课程视频的比率。</w:t>
            </w:r>
          </w:p>
        </w:tc>
      </w:tr>
      <w:tr w:rsidR="004924CD" w:rsidTr="005227A5">
        <w:tc>
          <w:tcPr>
            <w:tcW w:w="465" w:type="pct"/>
            <w:vAlign w:val="center"/>
          </w:tcPr>
          <w:p w:rsidR="004924CD" w:rsidRDefault="004924CD" w:rsidP="005227A5">
            <w:pPr>
              <w:pStyle w:val="a6"/>
              <w:ind w:firstLineChars="0" w:firstLine="0"/>
              <w:jc w:val="center"/>
              <w:rPr>
                <w:rFonts w:ascii="宋体" w:hAnsi="宋体" w:cs="宋体"/>
                <w:sz w:val="21"/>
                <w:szCs w:val="21"/>
              </w:rPr>
            </w:pPr>
            <w:r>
              <w:rPr>
                <w:rFonts w:ascii="宋体" w:hAnsi="宋体" w:cs="宋体" w:hint="eastAsia"/>
                <w:sz w:val="21"/>
                <w:szCs w:val="21"/>
              </w:rPr>
              <w:t>7</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支持学习空间个人云盘：学生可以将自己的学习资料储存在云端，个人云盘空间不小100G。</w:t>
            </w:r>
          </w:p>
        </w:tc>
      </w:tr>
      <w:tr w:rsidR="004924CD" w:rsidTr="005227A5">
        <w:tc>
          <w:tcPr>
            <w:tcW w:w="465" w:type="pct"/>
            <w:vAlign w:val="center"/>
          </w:tcPr>
          <w:p w:rsidR="004924CD" w:rsidRDefault="004924CD" w:rsidP="005227A5">
            <w:pPr>
              <w:pStyle w:val="ParaCharCharCharCharCharCharCharCharChar1CharCharCharChar"/>
              <w:widowControl/>
              <w:spacing w:line="360" w:lineRule="auto"/>
              <w:jc w:val="center"/>
              <w:rPr>
                <w:rFonts w:ascii="宋体" w:hAnsi="宋体" w:cs="宋体"/>
                <w:sz w:val="21"/>
                <w:szCs w:val="21"/>
              </w:rPr>
            </w:pPr>
            <w:r>
              <w:rPr>
                <w:rFonts w:ascii="宋体" w:hAnsi="宋体" w:cs="宋体" w:hint="eastAsia"/>
                <w:sz w:val="21"/>
                <w:szCs w:val="21"/>
              </w:rPr>
              <w:t>8</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 xml:space="preserve">课堂报告：可以将课堂上的内容记录下来，生成课堂报告，进行数据统计分析，实现学习、互动全流程的数据记录分析。   </w:t>
            </w:r>
          </w:p>
        </w:tc>
      </w:tr>
      <w:tr w:rsidR="004924CD" w:rsidTr="005227A5">
        <w:tc>
          <w:tcPr>
            <w:tcW w:w="465" w:type="pct"/>
            <w:vAlign w:val="center"/>
          </w:tcPr>
          <w:p w:rsidR="004924CD" w:rsidRDefault="004924CD" w:rsidP="005227A5">
            <w:pPr>
              <w:spacing w:line="360" w:lineRule="auto"/>
              <w:jc w:val="center"/>
              <w:rPr>
                <w:rFonts w:ascii="宋体" w:hAnsi="宋体" w:cs="宋体"/>
                <w:sz w:val="21"/>
                <w:szCs w:val="21"/>
              </w:rPr>
            </w:pPr>
            <w:r>
              <w:rPr>
                <w:rFonts w:ascii="宋体" w:hAnsi="宋体" w:cs="宋体" w:hint="eastAsia"/>
                <w:sz w:val="21"/>
                <w:szCs w:val="21"/>
              </w:rPr>
              <w:t>9</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支持手机直播功能，学生可以通过移动端参加网络课程在线直播，并且可以在观看直播的同时，参与教学互动。</w:t>
            </w:r>
          </w:p>
        </w:tc>
      </w:tr>
      <w:tr w:rsidR="004924CD" w:rsidTr="005227A5">
        <w:tc>
          <w:tcPr>
            <w:tcW w:w="465" w:type="pct"/>
            <w:vAlign w:val="center"/>
          </w:tcPr>
          <w:p w:rsidR="004924CD" w:rsidRDefault="004924CD" w:rsidP="005227A5">
            <w:pPr>
              <w:spacing w:line="360" w:lineRule="auto"/>
              <w:jc w:val="center"/>
              <w:rPr>
                <w:rFonts w:ascii="宋体" w:hAnsi="宋体" w:cs="宋体"/>
                <w:sz w:val="21"/>
                <w:szCs w:val="21"/>
              </w:rPr>
            </w:pPr>
            <w:r>
              <w:rPr>
                <w:rFonts w:ascii="宋体" w:hAnsi="宋体" w:cs="宋体" w:hint="eastAsia"/>
                <w:sz w:val="21"/>
                <w:szCs w:val="21"/>
              </w:rPr>
              <w:t>10</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通知管理：实时接收或发送教务和教学相关通知，并可查看通知阅读状态，已读和</w:t>
            </w:r>
            <w:r>
              <w:rPr>
                <w:rFonts w:ascii="宋体" w:hAnsi="宋体" w:cs="宋体" w:hint="eastAsia"/>
                <w:sz w:val="21"/>
                <w:szCs w:val="21"/>
              </w:rPr>
              <w:lastRenderedPageBreak/>
              <w:t>未读名单。教师、学生可组建小组群聊（也可设置屏蔽提醒）、好友验证等即时通信，对于未查阅通知的对象支持邮件，短信，电话等方式提醒查阅通知。</w:t>
            </w:r>
          </w:p>
        </w:tc>
      </w:tr>
      <w:tr w:rsidR="004924CD" w:rsidTr="005227A5">
        <w:tc>
          <w:tcPr>
            <w:tcW w:w="465" w:type="pct"/>
            <w:vAlign w:val="center"/>
          </w:tcPr>
          <w:p w:rsidR="004924CD" w:rsidRDefault="004924CD" w:rsidP="005227A5">
            <w:pPr>
              <w:spacing w:line="360" w:lineRule="auto"/>
              <w:jc w:val="center"/>
              <w:rPr>
                <w:rFonts w:ascii="宋体" w:hAnsi="宋体" w:cs="宋体"/>
                <w:sz w:val="21"/>
                <w:szCs w:val="21"/>
              </w:rPr>
            </w:pPr>
            <w:r>
              <w:rPr>
                <w:rFonts w:ascii="宋体" w:hAnsi="宋体" w:cs="宋体" w:hint="eastAsia"/>
                <w:sz w:val="21"/>
                <w:szCs w:val="21"/>
              </w:rPr>
              <w:lastRenderedPageBreak/>
              <w:t>11</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支持在线阅读相关期刊、电子书，同步记录学生的阅读进度。提供不少于100个订阅源。如科技，教育，文史等。</w:t>
            </w:r>
          </w:p>
        </w:tc>
      </w:tr>
      <w:tr w:rsidR="004924CD" w:rsidTr="005227A5">
        <w:tc>
          <w:tcPr>
            <w:tcW w:w="465" w:type="pct"/>
            <w:vAlign w:val="center"/>
          </w:tcPr>
          <w:p w:rsidR="004924CD" w:rsidRDefault="004924CD" w:rsidP="005227A5">
            <w:pPr>
              <w:spacing w:line="360" w:lineRule="auto"/>
              <w:jc w:val="center"/>
              <w:rPr>
                <w:rFonts w:ascii="宋体" w:hAnsi="宋体" w:cs="宋体"/>
                <w:sz w:val="21"/>
                <w:szCs w:val="21"/>
              </w:rPr>
            </w:pPr>
            <w:r>
              <w:rPr>
                <w:rFonts w:ascii="宋体" w:hAnsi="宋体" w:cs="宋体" w:hint="eastAsia"/>
                <w:sz w:val="21"/>
                <w:szCs w:val="21"/>
              </w:rPr>
              <w:t>12</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包含个人移动学习评价系统，根据使用量、笔记量、订阅量、阅读量等进行排名、评级，从而激励学习行为，系统评价可以用积分的形式分类排名展示。</w:t>
            </w:r>
          </w:p>
        </w:tc>
      </w:tr>
      <w:tr w:rsidR="004924CD" w:rsidTr="005227A5">
        <w:tc>
          <w:tcPr>
            <w:tcW w:w="465" w:type="pct"/>
            <w:vAlign w:val="center"/>
          </w:tcPr>
          <w:p w:rsidR="004924CD" w:rsidRDefault="004924CD" w:rsidP="005227A5">
            <w:pPr>
              <w:spacing w:line="360" w:lineRule="auto"/>
              <w:jc w:val="center"/>
              <w:rPr>
                <w:rFonts w:ascii="宋体" w:hAnsi="宋体" w:cs="宋体"/>
                <w:sz w:val="21"/>
                <w:szCs w:val="21"/>
              </w:rPr>
            </w:pPr>
            <w:r>
              <w:rPr>
                <w:rFonts w:ascii="宋体" w:hAnsi="宋体" w:cs="宋体" w:hint="eastAsia"/>
                <w:sz w:val="21"/>
                <w:szCs w:val="21"/>
              </w:rPr>
              <w:t>13</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支持课程视频在线剪辑及插入测试题、PPT、图片等、插入的测试题在答错的情况下支持强制回看功能。</w:t>
            </w:r>
          </w:p>
        </w:tc>
      </w:tr>
      <w:tr w:rsidR="004924CD" w:rsidTr="005227A5">
        <w:tc>
          <w:tcPr>
            <w:tcW w:w="465" w:type="pct"/>
            <w:vAlign w:val="center"/>
          </w:tcPr>
          <w:p w:rsidR="004924CD" w:rsidRDefault="004924CD" w:rsidP="005227A5">
            <w:pPr>
              <w:spacing w:line="360" w:lineRule="auto"/>
              <w:jc w:val="center"/>
              <w:rPr>
                <w:rFonts w:ascii="宋体" w:hAnsi="宋体" w:cs="宋体"/>
                <w:sz w:val="21"/>
                <w:szCs w:val="21"/>
              </w:rPr>
            </w:pPr>
            <w:r>
              <w:rPr>
                <w:rFonts w:ascii="宋体" w:hAnsi="宋体" w:cs="宋体" w:hint="eastAsia"/>
                <w:sz w:val="21"/>
                <w:szCs w:val="21"/>
              </w:rPr>
              <w:t>14</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每门课程需要配有完善的教学大纲以及相关试题库，每门课程包含至少200道试题。</w:t>
            </w:r>
          </w:p>
        </w:tc>
      </w:tr>
      <w:tr w:rsidR="004924CD" w:rsidTr="005227A5">
        <w:tc>
          <w:tcPr>
            <w:tcW w:w="465" w:type="pct"/>
            <w:vAlign w:val="center"/>
          </w:tcPr>
          <w:p w:rsidR="004924CD" w:rsidRDefault="004924CD" w:rsidP="005227A5">
            <w:pPr>
              <w:spacing w:line="360" w:lineRule="auto"/>
              <w:jc w:val="center"/>
              <w:rPr>
                <w:rFonts w:ascii="宋体" w:hAnsi="宋体" w:cs="宋体"/>
                <w:sz w:val="21"/>
                <w:szCs w:val="21"/>
              </w:rPr>
            </w:pPr>
            <w:r>
              <w:rPr>
                <w:rFonts w:ascii="宋体" w:hAnsi="宋体" w:cs="宋体" w:hint="eastAsia"/>
                <w:sz w:val="21"/>
                <w:szCs w:val="21"/>
              </w:rPr>
              <w:t>15</w:t>
            </w:r>
          </w:p>
        </w:tc>
        <w:tc>
          <w:tcPr>
            <w:tcW w:w="4534" w:type="pct"/>
          </w:tcPr>
          <w:p w:rsidR="004924CD" w:rsidRDefault="004924CD" w:rsidP="005227A5">
            <w:pPr>
              <w:pStyle w:val="Default"/>
              <w:spacing w:line="288" w:lineRule="auto"/>
              <w:rPr>
                <w:rFonts w:ascii="宋体" w:hAnsi="宋体" w:cs="宋体" w:hint="eastAsia"/>
                <w:sz w:val="21"/>
                <w:szCs w:val="21"/>
              </w:rPr>
            </w:pPr>
            <w:r>
              <w:rPr>
                <w:rFonts w:ascii="宋体" w:hAnsi="宋体" w:cs="宋体" w:hint="eastAsia"/>
                <w:sz w:val="21"/>
                <w:szCs w:val="21"/>
              </w:rPr>
              <w:t>支持在线学习及过程监控，防止拖拽，防止跳集，可记录学生不良学习行为。</w:t>
            </w:r>
          </w:p>
        </w:tc>
      </w:tr>
    </w:tbl>
    <w:p w:rsidR="004924CD" w:rsidRDefault="004924CD" w:rsidP="004924CD">
      <w:pPr>
        <w:pStyle w:val="Default"/>
        <w:spacing w:line="288" w:lineRule="auto"/>
        <w:ind w:firstLineChars="200" w:firstLine="420"/>
        <w:jc w:val="center"/>
        <w:rPr>
          <w:rFonts w:ascii="宋体" w:hAnsi="宋体" w:cs="宋体" w:hint="eastAsia"/>
          <w:sz w:val="21"/>
          <w:szCs w:val="21"/>
        </w:rPr>
      </w:pPr>
    </w:p>
    <w:p w:rsidR="004924CD" w:rsidRDefault="004924CD" w:rsidP="004924CD">
      <w:pPr>
        <w:rPr>
          <w:rFonts w:ascii="宋体" w:hAnsi="宋体" w:cs="宋体"/>
          <w:b/>
          <w:bCs/>
          <w:sz w:val="21"/>
          <w:szCs w:val="21"/>
        </w:rPr>
      </w:pPr>
      <w:r>
        <w:rPr>
          <w:rFonts w:ascii="宋体" w:hAnsi="宋体" w:cs="宋体" w:hint="eastAsia"/>
          <w:b/>
          <w:bCs/>
          <w:sz w:val="21"/>
          <w:szCs w:val="21"/>
        </w:rPr>
        <w:t>备注：</w:t>
      </w:r>
    </w:p>
    <w:p w:rsidR="004924CD" w:rsidRDefault="004924CD" w:rsidP="004924CD">
      <w:pPr>
        <w:rPr>
          <w:rFonts w:ascii="宋体" w:hAnsi="宋体" w:cs="宋体"/>
          <w:b/>
          <w:bCs/>
          <w:sz w:val="21"/>
          <w:szCs w:val="21"/>
        </w:rPr>
      </w:pPr>
      <w:r>
        <w:rPr>
          <w:rFonts w:ascii="宋体" w:hAnsi="宋体" w:cs="宋体" w:hint="eastAsia"/>
          <w:b/>
          <w:bCs/>
          <w:sz w:val="21"/>
          <w:szCs w:val="21"/>
        </w:rPr>
        <w:t>1.本项目要求现场演示，演示内容详见上表；</w:t>
      </w:r>
    </w:p>
    <w:p w:rsidR="004924CD" w:rsidRDefault="004924CD" w:rsidP="004924CD">
      <w:pPr>
        <w:rPr>
          <w:rFonts w:ascii="宋体" w:hAnsi="宋体" w:cs="宋体"/>
          <w:b/>
          <w:bCs/>
          <w:sz w:val="21"/>
          <w:szCs w:val="21"/>
        </w:rPr>
      </w:pPr>
      <w:r>
        <w:rPr>
          <w:rFonts w:ascii="宋体" w:hAnsi="宋体" w:cs="宋体" w:hint="eastAsia"/>
          <w:b/>
          <w:bCs/>
          <w:sz w:val="21"/>
          <w:szCs w:val="21"/>
        </w:rPr>
        <w:t>2.演示时间：不超过20分钟；</w:t>
      </w:r>
    </w:p>
    <w:p w:rsidR="004924CD" w:rsidRDefault="004924CD" w:rsidP="004924CD">
      <w:pPr>
        <w:rPr>
          <w:rFonts w:ascii="宋体" w:hAnsi="宋体" w:cs="宋体" w:hint="eastAsia"/>
          <w:b/>
          <w:bCs/>
          <w:sz w:val="21"/>
          <w:szCs w:val="21"/>
        </w:rPr>
      </w:pPr>
      <w:r>
        <w:rPr>
          <w:rFonts w:ascii="宋体" w:hAnsi="宋体" w:cs="宋体" w:hint="eastAsia"/>
          <w:b/>
          <w:bCs/>
          <w:sz w:val="21"/>
          <w:szCs w:val="21"/>
        </w:rPr>
        <w:t>3.供应商需自备设备、网络搭建演示所需环境。</w:t>
      </w:r>
    </w:p>
    <w:p w:rsidR="008C049A" w:rsidRPr="004924CD" w:rsidRDefault="008C049A"/>
    <w:sectPr w:rsidR="008C049A" w:rsidRPr="004924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49A" w:rsidRDefault="008C049A" w:rsidP="004924CD">
      <w:r>
        <w:separator/>
      </w:r>
    </w:p>
  </w:endnote>
  <w:endnote w:type="continuationSeparator" w:id="1">
    <w:p w:rsidR="008C049A" w:rsidRDefault="008C049A" w:rsidP="004924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49A" w:rsidRDefault="008C049A" w:rsidP="004924CD">
      <w:r>
        <w:separator/>
      </w:r>
    </w:p>
  </w:footnote>
  <w:footnote w:type="continuationSeparator" w:id="1">
    <w:p w:rsidR="008C049A" w:rsidRDefault="008C049A" w:rsidP="004924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24CD"/>
    <w:rsid w:val="004924CD"/>
    <w:rsid w:val="008C04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924CD"/>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24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924CD"/>
    <w:rPr>
      <w:sz w:val="18"/>
      <w:szCs w:val="18"/>
    </w:rPr>
  </w:style>
  <w:style w:type="paragraph" w:styleId="a4">
    <w:name w:val="footer"/>
    <w:basedOn w:val="a"/>
    <w:link w:val="Char0"/>
    <w:uiPriority w:val="99"/>
    <w:semiHidden/>
    <w:unhideWhenUsed/>
    <w:rsid w:val="004924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924CD"/>
    <w:rPr>
      <w:sz w:val="18"/>
      <w:szCs w:val="18"/>
    </w:rPr>
  </w:style>
  <w:style w:type="paragraph" w:styleId="a5">
    <w:name w:val="Body Text"/>
    <w:basedOn w:val="a"/>
    <w:link w:val="Char1"/>
    <w:uiPriority w:val="99"/>
    <w:semiHidden/>
    <w:unhideWhenUsed/>
    <w:rsid w:val="004924CD"/>
    <w:pPr>
      <w:spacing w:after="120"/>
    </w:pPr>
  </w:style>
  <w:style w:type="character" w:customStyle="1" w:styleId="Char1">
    <w:name w:val="正文文本 Char"/>
    <w:basedOn w:val="a0"/>
    <w:link w:val="a5"/>
    <w:uiPriority w:val="99"/>
    <w:semiHidden/>
    <w:rsid w:val="004924CD"/>
    <w:rPr>
      <w:rFonts w:ascii="Times New Roman" w:eastAsia="宋体" w:hAnsi="Times New Roman" w:cs="Times New Roman"/>
      <w:sz w:val="28"/>
      <w:szCs w:val="24"/>
    </w:rPr>
  </w:style>
  <w:style w:type="paragraph" w:styleId="a6">
    <w:name w:val="Body Text First Indent"/>
    <w:basedOn w:val="a5"/>
    <w:link w:val="Char2"/>
    <w:uiPriority w:val="99"/>
    <w:unhideWhenUsed/>
    <w:rsid w:val="004924CD"/>
    <w:pPr>
      <w:spacing w:after="0" w:line="360" w:lineRule="auto"/>
      <w:ind w:firstLineChars="100" w:firstLine="420"/>
    </w:pPr>
    <w:rPr>
      <w:sz w:val="24"/>
    </w:rPr>
  </w:style>
  <w:style w:type="character" w:customStyle="1" w:styleId="Char2">
    <w:name w:val="正文首行缩进 Char"/>
    <w:basedOn w:val="Char1"/>
    <w:link w:val="a6"/>
    <w:uiPriority w:val="99"/>
    <w:rsid w:val="004924CD"/>
    <w:rPr>
      <w:sz w:val="24"/>
    </w:rPr>
  </w:style>
  <w:style w:type="paragraph" w:customStyle="1" w:styleId="ParaCharCharCharCharCharCharCharCharChar1CharCharCharChar">
    <w:name w:val="默认段落字体 Para Char Char Char Char Char Char Char Char Char1 Char Char Char Char"/>
    <w:basedOn w:val="a"/>
    <w:rsid w:val="004924CD"/>
    <w:rPr>
      <w:rFonts w:ascii="Tahoma" w:hAnsi="Tahoma"/>
      <w:sz w:val="24"/>
      <w:szCs w:val="20"/>
    </w:rPr>
  </w:style>
  <w:style w:type="paragraph" w:styleId="a7">
    <w:name w:val="List Paragraph"/>
    <w:basedOn w:val="a"/>
    <w:uiPriority w:val="34"/>
    <w:qFormat/>
    <w:rsid w:val="004924CD"/>
    <w:pPr>
      <w:ind w:firstLineChars="200" w:firstLine="420"/>
    </w:pPr>
    <w:rPr>
      <w:rFonts w:ascii="Calibri" w:hAnsi="Calibri"/>
      <w:sz w:val="21"/>
      <w:szCs w:val="22"/>
    </w:rPr>
  </w:style>
  <w:style w:type="paragraph" w:customStyle="1" w:styleId="Default">
    <w:name w:val="Default"/>
    <w:next w:val="a"/>
    <w:rsid w:val="004924CD"/>
    <w:pPr>
      <w:widowControl w:val="0"/>
      <w:autoSpaceDE w:val="0"/>
      <w:autoSpaceDN w:val="0"/>
      <w:adjustRightInd w:val="0"/>
    </w:pPr>
    <w:rPr>
      <w:rFonts w:ascii="Arial" w:eastAsia="宋体" w:hAnsi="Arial" w:cs="Arial"/>
      <w:color w:val="000000"/>
      <w:kern w:val="0"/>
      <w:sz w:val="24"/>
      <w:szCs w:val="24"/>
    </w:rPr>
  </w:style>
  <w:style w:type="table" w:styleId="a8">
    <w:name w:val="Table Grid"/>
    <w:basedOn w:val="a1"/>
    <w:uiPriority w:val="59"/>
    <w:rsid w:val="004924CD"/>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semiHidden/>
    <w:unhideWhenUsed/>
    <w:rsid w:val="004924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2019-12-05T09:02:00Z</dcterms:created>
  <dcterms:modified xsi:type="dcterms:W3CDTF">2019-12-05T09:02:00Z</dcterms:modified>
</cp:coreProperties>
</file>