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88" w:lineRule="auto"/>
        <w:ind w:left="0" w:leftChars="0" w:right="0" w:rightChars="0" w:firstLine="643" w:firstLineChars="200"/>
        <w:jc w:val="center"/>
        <w:textAlignment w:val="auto"/>
        <w:outlineLvl w:val="0"/>
        <w:rPr>
          <w:rFonts w:hint="eastAsia" w:ascii="宋体" w:hAnsi="宋体" w:cs="宋体"/>
          <w:color w:val="auto"/>
          <w:spacing w:val="-6"/>
          <w:kern w:val="0"/>
          <w:sz w:val="21"/>
          <w:szCs w:val="21"/>
          <w:highlight w:val="none"/>
        </w:rPr>
      </w:pPr>
      <w:r>
        <w:rPr>
          <w:rFonts w:hint="eastAsia" w:ascii="宋体" w:hAnsi="宋体"/>
          <w:b/>
          <w:bCs/>
          <w:color w:val="auto"/>
          <w:sz w:val="32"/>
          <w:szCs w:val="32"/>
          <w:highlight w:val="none"/>
        </w:rPr>
        <w:t>采购需求</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9"/>
        <w:rPr>
          <w:rFonts w:hint="eastAsia" w:ascii="宋体" w:hAnsi="宋体" w:cs="宋体"/>
          <w:b/>
          <w:color w:val="auto"/>
          <w:sz w:val="24"/>
          <w:highlight w:val="none"/>
        </w:rPr>
      </w:pPr>
      <w:bookmarkStart w:id="0" w:name="_Toc4284"/>
      <w:r>
        <w:rPr>
          <w:rFonts w:hint="eastAsia" w:ascii="宋体" w:hAnsi="宋体" w:cs="宋体"/>
          <w:b/>
          <w:color w:val="auto"/>
          <w:sz w:val="24"/>
          <w:highlight w:val="none"/>
        </w:rPr>
        <w:t>一、采购资金的支付方式、时间、条件：</w:t>
      </w:r>
      <w:bookmarkEnd w:id="0"/>
    </w:p>
    <w:p>
      <w:pPr>
        <w:pStyle w:val="2"/>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rightChars="0" w:firstLine="422" w:firstLineChars="200"/>
        <w:jc w:val="left"/>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履约保证金：</w:t>
      </w:r>
      <w:r>
        <w:rPr>
          <w:rFonts w:hint="eastAsia" w:ascii="宋体" w:hAnsi="宋体" w:eastAsia="宋体" w:cs="宋体"/>
          <w:b w:val="0"/>
          <w:bCs w:val="0"/>
          <w:color w:val="auto"/>
          <w:sz w:val="21"/>
          <w:szCs w:val="21"/>
          <w:highlight w:val="none"/>
          <w:lang w:eastAsia="zh-CN"/>
        </w:rPr>
        <w:t>合同总价的5%作为履约保证金，合同签订后七个工作日内由成交供应商提交给采购人，在采购人验收合格并正常使用满一年后确认成交供应商无违约行为后无息返还给成交供应商（遇寒暑假及国定假日顺延）。</w:t>
      </w:r>
    </w:p>
    <w:p>
      <w:pPr>
        <w:pStyle w:val="2"/>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rightChars="0" w:firstLine="422"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付款方式：</w:t>
      </w:r>
      <w:r>
        <w:rPr>
          <w:rFonts w:hint="eastAsia" w:ascii="宋体" w:hAnsi="宋体" w:cs="宋体"/>
          <w:color w:val="auto"/>
          <w:sz w:val="21"/>
          <w:szCs w:val="21"/>
        </w:rPr>
        <w:t>合同签订后7个工作日内，采购人支付合同50%合同金额，画册完成制作验收后支付剩余合同金额</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both"/>
        <w:textAlignment w:val="auto"/>
        <w:outlineLvl w:val="9"/>
        <w:rPr>
          <w:rFonts w:hint="eastAsia" w:ascii="宋体" w:hAnsi="宋体"/>
          <w:b/>
          <w:color w:val="auto"/>
          <w:sz w:val="24"/>
          <w:highlight w:val="none"/>
        </w:rPr>
      </w:pPr>
      <w:bookmarkStart w:id="1" w:name="_Toc4674"/>
    </w:p>
    <w:bookmarkEnd w:id="1"/>
    <w:p>
      <w:pPr>
        <w:keepNext w:val="0"/>
        <w:keepLines w:val="0"/>
        <w:pageBreakBefore w:val="0"/>
        <w:widowControl w:val="0"/>
        <w:kinsoku/>
        <w:wordWrap/>
        <w:overflowPunct/>
        <w:topLinePunct w:val="0"/>
        <w:autoSpaceDE/>
        <w:autoSpaceDN/>
        <w:bidi w:val="0"/>
        <w:adjustRightInd/>
        <w:snapToGrid/>
        <w:spacing w:line="288" w:lineRule="auto"/>
        <w:ind w:left="270" w:leftChars="0" w:right="0" w:rightChars="0" w:hanging="270" w:hangingChars="112"/>
        <w:jc w:val="both"/>
        <w:textAlignment w:val="auto"/>
        <w:outlineLvl w:val="9"/>
        <w:rPr>
          <w:rFonts w:ascii="宋体" w:hAnsi="宋体"/>
          <w:b/>
          <w:color w:val="auto"/>
          <w:sz w:val="24"/>
          <w:highlight w:val="none"/>
        </w:rPr>
      </w:pPr>
      <w:r>
        <w:rPr>
          <w:rFonts w:hint="eastAsia" w:ascii="宋体" w:hAnsi="宋体"/>
          <w:b/>
          <w:color w:val="auto"/>
          <w:sz w:val="24"/>
          <w:highlight w:val="none"/>
          <w:lang w:eastAsia="zh-CN"/>
        </w:rPr>
        <w:t>二、</w:t>
      </w:r>
      <w:r>
        <w:rPr>
          <w:rFonts w:hint="eastAsia" w:ascii="宋体" w:hAnsi="宋体"/>
          <w:b/>
          <w:color w:val="auto"/>
          <w:sz w:val="24"/>
          <w:highlight w:val="none"/>
        </w:rPr>
        <w:t>服务</w:t>
      </w:r>
      <w:r>
        <w:rPr>
          <w:rFonts w:ascii="宋体" w:hAnsi="宋体"/>
          <w:b/>
          <w:color w:val="auto"/>
          <w:sz w:val="24"/>
          <w:highlight w:val="none"/>
        </w:rPr>
        <w:t>要求</w:t>
      </w:r>
      <w:r>
        <w:rPr>
          <w:rFonts w:hint="eastAsia" w:ascii="宋体" w:hAnsi="宋体"/>
          <w:b/>
          <w:color w:val="auto"/>
          <w:spacing w:val="-6"/>
          <w:sz w:val="24"/>
          <w:highlight w:val="none"/>
        </w:rPr>
        <w:t>（技术要求里另有注明的以技术要求为准）</w:t>
      </w:r>
      <w:r>
        <w:rPr>
          <w:rFonts w:ascii="宋体" w:hAnsi="宋体"/>
          <w:b/>
          <w:color w:val="auto"/>
          <w:sz w:val="24"/>
          <w:highlight w:val="none"/>
        </w:rPr>
        <w:t>：</w:t>
      </w:r>
    </w:p>
    <w:tbl>
      <w:tblPr>
        <w:tblStyle w:val="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35"/>
        <w:gridCol w:w="75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35"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eastAsia="宋体" w:cs="宋体"/>
                <w:b/>
                <w:bCs/>
                <w:color w:val="auto"/>
                <w:sz w:val="21"/>
                <w:szCs w:val="21"/>
                <w:highlight w:val="none"/>
              </w:rPr>
            </w:pPr>
            <w:r>
              <w:rPr>
                <w:rFonts w:hint="eastAsia" w:ascii="宋体" w:hAnsi="宋体" w:cs="宋体"/>
                <w:b/>
                <w:bCs/>
                <w:spacing w:val="-6"/>
                <w:sz w:val="21"/>
                <w:szCs w:val="21"/>
                <w:lang w:bidi="ar"/>
              </w:rPr>
              <w:t>交付时间和地点</w:t>
            </w:r>
          </w:p>
        </w:tc>
        <w:tc>
          <w:tcPr>
            <w:tcW w:w="7593"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ascii="宋体" w:hAnsi="宋体" w:cs="宋体"/>
                <w:spacing w:val="-6"/>
                <w:sz w:val="21"/>
                <w:szCs w:val="21"/>
              </w:rPr>
            </w:pPr>
            <w:r>
              <w:rPr>
                <w:rFonts w:hint="eastAsia" w:ascii="宋体" w:hAnsi="宋体" w:cs="宋体"/>
                <w:spacing w:val="-6"/>
                <w:sz w:val="21"/>
                <w:szCs w:val="21"/>
                <w:lang w:bidi="ar"/>
              </w:rPr>
              <w:t>交付时间：2020年3月31日前交付。</w:t>
            </w:r>
          </w:p>
          <w:p>
            <w:pPr>
              <w:spacing w:line="288" w:lineRule="auto"/>
              <w:rPr>
                <w:rFonts w:hint="eastAsia" w:ascii="宋体" w:hAnsi="宋体" w:eastAsia="宋体" w:cs="宋体"/>
                <w:color w:val="auto"/>
                <w:sz w:val="21"/>
                <w:szCs w:val="21"/>
                <w:highlight w:val="none"/>
              </w:rPr>
            </w:pPr>
            <w:r>
              <w:rPr>
                <w:rFonts w:hint="eastAsia" w:ascii="宋体" w:hAnsi="宋体" w:cs="宋体"/>
                <w:spacing w:val="-6"/>
                <w:sz w:val="21"/>
                <w:szCs w:val="21"/>
                <w:lang w:bidi="ar"/>
              </w:rPr>
              <w:t>交货地点：采购人指定地点。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cs="宋体"/>
                <w:b/>
                <w:bCs/>
                <w:sz w:val="21"/>
                <w:szCs w:val="21"/>
              </w:rPr>
              <w:t>服务效率</w:t>
            </w:r>
          </w:p>
        </w:tc>
        <w:tc>
          <w:tcPr>
            <w:tcW w:w="75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cs="宋体"/>
                <w:sz w:val="21"/>
                <w:szCs w:val="21"/>
              </w:rPr>
              <w:t>成交供应商接到采购人通知应在不超过2小时内做出响应，不超过2个工作日内解决故障。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highlight w:val="none"/>
              </w:rPr>
            </w:pPr>
            <w:r>
              <w:rPr>
                <w:rFonts w:hint="eastAsia" w:ascii="宋体" w:hAnsi="宋体" w:cs="宋体"/>
                <w:b/>
                <w:bCs/>
                <w:sz w:val="21"/>
                <w:szCs w:val="21"/>
              </w:rPr>
              <w:t>验收标准</w:t>
            </w:r>
          </w:p>
        </w:tc>
        <w:tc>
          <w:tcPr>
            <w:tcW w:w="759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1"/>
                <w:szCs w:val="21"/>
              </w:rPr>
            </w:pPr>
            <w:r>
              <w:rPr>
                <w:rFonts w:hint="eastAsia" w:ascii="宋体" w:hAnsi="宋体" w:cs="宋体"/>
                <w:sz w:val="21"/>
                <w:szCs w:val="21"/>
              </w:rPr>
              <w:t>1.由采购人组织专家和用户代表或第三方机构，按照磋商文件、合同条款、动画制作要求和实际应用效果对项目进行验收；</w:t>
            </w:r>
          </w:p>
          <w:p>
            <w:pPr>
              <w:rPr>
                <w:rFonts w:hint="eastAsia" w:ascii="宋体" w:hAnsi="宋体" w:eastAsia="宋体" w:cs="宋体"/>
                <w:color w:val="auto"/>
                <w:sz w:val="21"/>
                <w:szCs w:val="21"/>
                <w:highlight w:val="none"/>
              </w:rPr>
            </w:pPr>
            <w:r>
              <w:rPr>
                <w:rFonts w:hint="eastAsia" w:ascii="宋体" w:hAnsi="宋体" w:cs="宋体"/>
                <w:sz w:val="21"/>
                <w:szCs w:val="21"/>
              </w:rPr>
              <w:t>2.验收费用由成交供应商承担。</w:t>
            </w:r>
          </w:p>
        </w:tc>
      </w:tr>
    </w:tbl>
    <w:p>
      <w:pPr>
        <w:keepNext w:val="0"/>
        <w:keepLines w:val="0"/>
        <w:pageBreakBefore w:val="0"/>
        <w:widowControl w:val="0"/>
        <w:kinsoku/>
        <w:wordWrap/>
        <w:overflowPunct/>
        <w:topLinePunct w:val="0"/>
        <w:autoSpaceDE/>
        <w:autoSpaceDN/>
        <w:bidi w:val="0"/>
        <w:adjustRightInd/>
        <w:snapToGrid/>
        <w:spacing w:line="288" w:lineRule="auto"/>
        <w:ind w:left="270" w:leftChars="0" w:right="0" w:rightChars="0" w:hanging="270" w:hangingChars="112"/>
        <w:jc w:val="both"/>
        <w:textAlignment w:val="auto"/>
        <w:outlineLvl w:val="9"/>
        <w:rPr>
          <w:rFonts w:hint="eastAsia" w:ascii="宋体" w:hAnsi="宋体"/>
          <w:b/>
          <w:color w:val="auto"/>
          <w:sz w:val="24"/>
          <w:highlight w:val="none"/>
          <w:lang w:val="zh-TW" w:eastAsia="zh-CN"/>
        </w:rPr>
      </w:pPr>
    </w:p>
    <w:p>
      <w:pPr>
        <w:keepNext w:val="0"/>
        <w:keepLines w:val="0"/>
        <w:pageBreakBefore w:val="0"/>
        <w:widowControl w:val="0"/>
        <w:kinsoku/>
        <w:wordWrap/>
        <w:overflowPunct/>
        <w:topLinePunct w:val="0"/>
        <w:autoSpaceDE/>
        <w:autoSpaceDN/>
        <w:bidi w:val="0"/>
        <w:adjustRightInd/>
        <w:snapToGrid/>
        <w:spacing w:line="288" w:lineRule="auto"/>
        <w:ind w:left="270" w:leftChars="0" w:right="0" w:rightChars="0" w:hanging="270" w:hangingChars="112"/>
        <w:jc w:val="both"/>
        <w:textAlignment w:val="auto"/>
        <w:outlineLvl w:val="9"/>
        <w:rPr>
          <w:rFonts w:hint="eastAsia" w:ascii="宋体" w:hAnsi="宋体"/>
          <w:b/>
          <w:color w:val="auto"/>
          <w:sz w:val="24"/>
          <w:highlight w:val="none"/>
          <w:lang w:val="zh-TW" w:eastAsia="zh-CN"/>
        </w:rPr>
      </w:pPr>
      <w:r>
        <w:rPr>
          <w:rFonts w:hint="eastAsia" w:ascii="宋体" w:hAnsi="宋体"/>
          <w:b/>
          <w:color w:val="auto"/>
          <w:sz w:val="24"/>
          <w:highlight w:val="none"/>
          <w:lang w:val="zh-TW" w:eastAsia="zh-CN"/>
        </w:rPr>
        <w:t>三、技术要求</w:t>
      </w:r>
    </w:p>
    <w:tbl>
      <w:tblPr>
        <w:tblStyle w:val="4"/>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1669"/>
        <w:gridCol w:w="2455"/>
        <w:gridCol w:w="1703"/>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576"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序号</w:t>
            </w:r>
          </w:p>
        </w:tc>
        <w:tc>
          <w:tcPr>
            <w:tcW w:w="980"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项目名称</w:t>
            </w:r>
          </w:p>
        </w:tc>
        <w:tc>
          <w:tcPr>
            <w:tcW w:w="1441"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项目内容</w:t>
            </w:r>
          </w:p>
        </w:tc>
        <w:tc>
          <w:tcPr>
            <w:tcW w:w="1000"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数量</w:t>
            </w:r>
          </w:p>
        </w:tc>
        <w:tc>
          <w:tcPr>
            <w:tcW w:w="1000"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576"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980" w:type="pct"/>
            <w:vMerge w:val="restar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画册设计</w:t>
            </w:r>
          </w:p>
        </w:tc>
        <w:tc>
          <w:tcPr>
            <w:tcW w:w="1441"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资料收集及汇编</w:t>
            </w:r>
          </w:p>
        </w:tc>
        <w:tc>
          <w:tcPr>
            <w:tcW w:w="1000"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1X5</w:t>
            </w:r>
          </w:p>
        </w:tc>
        <w:tc>
          <w:tcPr>
            <w:tcW w:w="1000"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576"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980" w:type="pct"/>
            <w:vMerge w:val="continue"/>
            <w:noWrap w:val="0"/>
            <w:vAlign w:val="center"/>
          </w:tcPr>
          <w:p>
            <w:pPr>
              <w:widowControl/>
              <w:jc w:val="left"/>
              <w:rPr>
                <w:rFonts w:hint="eastAsia" w:ascii="宋体" w:hAnsi="宋体" w:eastAsia="宋体" w:cs="宋体"/>
                <w:color w:val="000000"/>
                <w:kern w:val="0"/>
                <w:sz w:val="21"/>
                <w:szCs w:val="21"/>
              </w:rPr>
            </w:pPr>
          </w:p>
        </w:tc>
        <w:tc>
          <w:tcPr>
            <w:tcW w:w="1441"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装帧设计（封面）</w:t>
            </w:r>
          </w:p>
        </w:tc>
        <w:tc>
          <w:tcPr>
            <w:tcW w:w="1000"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2X5</w:t>
            </w:r>
          </w:p>
        </w:tc>
        <w:tc>
          <w:tcPr>
            <w:tcW w:w="1000" w:type="pct"/>
            <w:noWrap/>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576"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980" w:type="pct"/>
            <w:vMerge w:val="continue"/>
            <w:noWrap w:val="0"/>
            <w:vAlign w:val="center"/>
          </w:tcPr>
          <w:p>
            <w:pPr>
              <w:widowControl/>
              <w:jc w:val="left"/>
              <w:rPr>
                <w:rFonts w:hint="eastAsia" w:ascii="宋体" w:hAnsi="宋体" w:eastAsia="宋体" w:cs="宋体"/>
                <w:color w:val="000000"/>
                <w:kern w:val="0"/>
                <w:sz w:val="21"/>
                <w:szCs w:val="21"/>
              </w:rPr>
            </w:pPr>
          </w:p>
        </w:tc>
        <w:tc>
          <w:tcPr>
            <w:tcW w:w="1441"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装帧设计（内页）</w:t>
            </w:r>
          </w:p>
        </w:tc>
        <w:tc>
          <w:tcPr>
            <w:tcW w:w="1000"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400X5</w:t>
            </w:r>
          </w:p>
        </w:tc>
        <w:tc>
          <w:tcPr>
            <w:tcW w:w="1000" w:type="pct"/>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页</w:t>
            </w:r>
          </w:p>
        </w:tc>
      </w:tr>
    </w:tbl>
    <w:p>
      <w:pPr>
        <w:pStyle w:val="6"/>
        <w:keepNext w:val="0"/>
        <w:keepLines w:val="0"/>
        <w:pageBreakBefore w:val="0"/>
        <w:widowControl w:val="0"/>
        <w:kinsoku/>
        <w:wordWrap/>
        <w:overflowPunct/>
        <w:topLinePunct w:val="0"/>
        <w:bidi w:val="0"/>
        <w:snapToGrid/>
        <w:spacing w:before="0" w:after="0" w:line="288" w:lineRule="auto"/>
        <w:ind w:firstLine="420" w:firstLineChars="200"/>
        <w:jc w:val="both"/>
        <w:rPr>
          <w:rFonts w:hint="eastAsia" w:ascii="宋体" w:hAnsi="宋体" w:eastAsia="宋体" w:cs="宋体"/>
          <w:b w:val="0"/>
          <w:bCs w:val="0"/>
          <w:color w:val="auto"/>
          <w:sz w:val="21"/>
          <w:szCs w:val="21"/>
          <w:highlight w:val="none"/>
          <w:lang w:val="en-US" w:eastAsia="zh-CN" w:bidi="ar-SA"/>
        </w:rPr>
      </w:pPr>
    </w:p>
    <w:p>
      <w:pPr>
        <w:pStyle w:val="6"/>
        <w:keepNext w:val="0"/>
        <w:keepLines w:val="0"/>
        <w:pageBreakBefore w:val="0"/>
        <w:widowControl w:val="0"/>
        <w:kinsoku/>
        <w:wordWrap/>
        <w:overflowPunct/>
        <w:topLinePunct w:val="0"/>
        <w:bidi w:val="0"/>
        <w:snapToGrid/>
        <w:spacing w:before="0" w:after="0" w:line="288" w:lineRule="auto"/>
        <w:ind w:firstLine="420" w:firstLineChars="200"/>
        <w:jc w:val="both"/>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封面用纸：250G艺术纸</w:t>
      </w:r>
    </w:p>
    <w:p>
      <w:pPr>
        <w:pStyle w:val="6"/>
        <w:keepNext w:val="0"/>
        <w:keepLines w:val="0"/>
        <w:pageBreakBefore w:val="0"/>
        <w:widowControl w:val="0"/>
        <w:kinsoku/>
        <w:wordWrap/>
        <w:overflowPunct/>
        <w:topLinePunct w:val="0"/>
        <w:bidi w:val="0"/>
        <w:snapToGrid/>
        <w:spacing w:before="0" w:after="0" w:line="288" w:lineRule="auto"/>
        <w:ind w:firstLine="420" w:firstLineChars="200"/>
        <w:jc w:val="both"/>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内文用纸：120美感极致、4C+4C印刷</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5330CB"/>
    <w:rsid w:val="07533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next w:val="3"/>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
    <w:name w:val="flName"/>
    <w:basedOn w:val="1"/>
    <w:qFormat/>
    <w:uiPriority w:val="0"/>
    <w:pPr>
      <w:adjustRightInd w:val="0"/>
      <w:spacing w:before="320" w:after="160" w:line="360" w:lineRule="atLeast"/>
      <w:ind w:firstLine="0" w:firstLineChars="0"/>
      <w:jc w:val="center"/>
      <w:textAlignment w:val="baseline"/>
    </w:pPr>
    <w:rPr>
      <w:rFonts w:ascii="Arial" w:eastAsia="黑体"/>
      <w:kern w:val="0"/>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2019-11-22T10:55:00Z</dcterms:created>
  <dc:creator>41164</dc:creator>
  <cp:lastModifiedBy>41164</cp:lastModifiedBy>
  <dcterms:modified xsi:type="dcterms:W3CDTF">2019-11-22T10:55:55Z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