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imes New Roman" w:hAnsi="Times New Roman"/>
          <w:color w:val="000000" w:themeColor="text1"/>
          <w:sz w:val="32"/>
          <w:szCs w:val="32"/>
          <w14:textFill>
            <w14:solidFill>
              <w14:schemeClr w14:val="tx1"/>
            </w14:solidFill>
          </w14:textFill>
        </w:rPr>
      </w:pPr>
    </w:p>
    <w:p>
      <w:pPr>
        <w:spacing w:line="360" w:lineRule="auto"/>
        <w:jc w:val="left"/>
        <w:rPr>
          <w:rFonts w:ascii="Times New Roman" w:hAnsi="Times New Roman" w:eastAsia="黑体"/>
          <w:color w:val="000000" w:themeColor="text1"/>
          <w:sz w:val="32"/>
          <w:szCs w:val="32"/>
          <w14:textFill>
            <w14:solidFill>
              <w14:schemeClr w14:val="tx1"/>
            </w14:solidFill>
          </w14:textFill>
        </w:rPr>
      </w:pPr>
    </w:p>
    <w:p>
      <w:pPr>
        <w:spacing w:line="360" w:lineRule="auto"/>
        <w:jc w:val="left"/>
        <w:rPr>
          <w:rFonts w:ascii="Times New Roman" w:hAnsi="Times New Roman" w:eastAsia="黑体"/>
          <w:color w:val="000000" w:themeColor="text1"/>
          <w:sz w:val="32"/>
          <w:szCs w:val="32"/>
          <w14:textFill>
            <w14:solidFill>
              <w14:schemeClr w14:val="tx1"/>
            </w14:solidFill>
          </w14:textFill>
        </w:rPr>
      </w:pPr>
    </w:p>
    <w:p>
      <w:pPr>
        <w:spacing w:line="360" w:lineRule="auto"/>
        <w:jc w:val="center"/>
        <w:rPr>
          <w:rFonts w:ascii="Times New Roman" w:hAnsi="Times New Roman" w:eastAsia="黑体"/>
          <w:color w:val="000000" w:themeColor="text1"/>
          <w:sz w:val="44"/>
          <w:szCs w:val="36"/>
          <w14:textFill>
            <w14:solidFill>
              <w14:schemeClr w14:val="tx1"/>
            </w14:solidFill>
          </w14:textFill>
        </w:rPr>
      </w:pPr>
      <w:r>
        <w:rPr>
          <w:rFonts w:ascii="Times New Roman" w:hAnsi="Times New Roman" w:eastAsia="黑体"/>
          <w:color w:val="000000" w:themeColor="text1"/>
          <w:sz w:val="44"/>
          <w:szCs w:val="36"/>
          <w14:textFill>
            <w14:solidFill>
              <w14:schemeClr w14:val="tx1"/>
            </w14:solidFill>
          </w14:textFill>
        </w:rPr>
        <w:t>艮山东路过江隧道工程PPP项目</w:t>
      </w:r>
    </w:p>
    <w:p>
      <w:pPr>
        <w:spacing w:line="360" w:lineRule="auto"/>
        <w:jc w:val="center"/>
        <w:rPr>
          <w:rFonts w:ascii="Times New Roman" w:hAnsi="Times New Roman" w:eastAsia="黑体"/>
          <w:color w:val="000000" w:themeColor="text1"/>
          <w:sz w:val="44"/>
          <w:szCs w:val="36"/>
          <w14:textFill>
            <w14:solidFill>
              <w14:schemeClr w14:val="tx1"/>
            </w14:solidFill>
          </w14:textFill>
        </w:rPr>
      </w:pPr>
      <w:r>
        <w:rPr>
          <w:rFonts w:ascii="Times New Roman" w:hAnsi="Times New Roman" w:eastAsia="黑体"/>
          <w:color w:val="000000" w:themeColor="text1"/>
          <w:sz w:val="44"/>
          <w:szCs w:val="36"/>
          <w14:textFill>
            <w14:solidFill>
              <w14:schemeClr w14:val="tx1"/>
            </w14:solidFill>
          </w14:textFill>
        </w:rPr>
        <w:t>社会资本采购</w:t>
      </w:r>
    </w:p>
    <w:p>
      <w:pPr>
        <w:spacing w:line="360" w:lineRule="auto"/>
        <w:rPr>
          <w:rFonts w:ascii="Times New Roman" w:hAnsi="Times New Roman"/>
          <w:color w:val="000000" w:themeColor="text1"/>
          <w:sz w:val="32"/>
          <w:szCs w:val="32"/>
          <w14:textFill>
            <w14:solidFill>
              <w14:schemeClr w14:val="tx1"/>
            </w14:solidFill>
          </w14:textFill>
        </w:rPr>
      </w:pPr>
    </w:p>
    <w:p>
      <w:pPr>
        <w:spacing w:line="360" w:lineRule="auto"/>
        <w:rPr>
          <w:rFonts w:ascii="Times New Roman" w:hAnsi="Times New Roman"/>
          <w:color w:val="000000" w:themeColor="text1"/>
          <w:sz w:val="32"/>
          <w:szCs w:val="32"/>
          <w14:textFill>
            <w14:solidFill>
              <w14:schemeClr w14:val="tx1"/>
            </w14:solidFill>
          </w14:textFill>
        </w:rPr>
      </w:pPr>
    </w:p>
    <w:p>
      <w:pPr>
        <w:spacing w:line="360" w:lineRule="auto"/>
        <w:rPr>
          <w:rFonts w:ascii="Times New Roman" w:hAnsi="Times New Roman"/>
          <w:color w:val="000000" w:themeColor="text1"/>
          <w:sz w:val="32"/>
          <w:szCs w:val="32"/>
          <w14:textFill>
            <w14:solidFill>
              <w14:schemeClr w14:val="tx1"/>
            </w14:solidFill>
          </w14:textFill>
        </w:rPr>
      </w:pPr>
    </w:p>
    <w:p>
      <w:pPr>
        <w:spacing w:line="360" w:lineRule="auto"/>
        <w:jc w:val="center"/>
        <w:rPr>
          <w:rFonts w:ascii="Times New Roman" w:hAnsi="Times New Roman"/>
          <w:color w:val="000000" w:themeColor="text1"/>
          <w:sz w:val="84"/>
          <w:szCs w:val="84"/>
          <w14:textFill>
            <w14:solidFill>
              <w14:schemeClr w14:val="tx1"/>
            </w14:solidFill>
          </w14:textFill>
        </w:rPr>
      </w:pPr>
      <w:r>
        <w:rPr>
          <w:rFonts w:hint="eastAsia" w:ascii="Times New Roman" w:hAnsi="Times New Roman"/>
          <w:color w:val="000000" w:themeColor="text1"/>
          <w:sz w:val="84"/>
          <w:szCs w:val="84"/>
          <w14:textFill>
            <w14:solidFill>
              <w14:schemeClr w14:val="tx1"/>
            </w14:solidFill>
          </w14:textFill>
        </w:rPr>
        <w:t>招标文件</w:t>
      </w:r>
    </w:p>
    <w:p>
      <w:pPr>
        <w:spacing w:line="360" w:lineRule="auto"/>
        <w:rPr>
          <w:rFonts w:ascii="Times New Roman" w:hAnsi="Times New Roman"/>
          <w:color w:val="000000" w:themeColor="text1"/>
          <w:sz w:val="32"/>
          <w:szCs w:val="32"/>
          <w14:textFill>
            <w14:solidFill>
              <w14:schemeClr w14:val="tx1"/>
            </w14:solidFill>
          </w14:textFill>
        </w:rPr>
      </w:pPr>
    </w:p>
    <w:p>
      <w:pPr>
        <w:spacing w:line="360" w:lineRule="auto"/>
        <w:jc w:val="center"/>
        <w:rPr>
          <w:rFonts w:ascii="Times New Roman" w:hAnsi="Times New Roman"/>
          <w:color w:val="000000" w:themeColor="text1"/>
          <w:sz w:val="32"/>
          <w:szCs w:val="32"/>
          <w14:textFill>
            <w14:solidFill>
              <w14:schemeClr w14:val="tx1"/>
            </w14:solidFill>
          </w14:textFill>
        </w:rPr>
      </w:pPr>
      <w:r>
        <w:rPr>
          <w:rFonts w:hint="eastAsia" w:ascii="Times New Roman" w:hAnsi="Times New Roman"/>
          <w:color w:val="000000" w:themeColor="text1"/>
          <w:sz w:val="32"/>
          <w:szCs w:val="32"/>
          <w14:textFill>
            <w14:solidFill>
              <w14:schemeClr w14:val="tx1"/>
            </w14:solidFill>
          </w14:textFill>
        </w:rPr>
        <w:t>采购</w:t>
      </w:r>
      <w:r>
        <w:rPr>
          <w:rFonts w:ascii="Times New Roman" w:hAnsi="Times New Roman"/>
          <w:color w:val="000000" w:themeColor="text1"/>
          <w:sz w:val="32"/>
          <w:szCs w:val="32"/>
          <w14:textFill>
            <w14:solidFill>
              <w14:schemeClr w14:val="tx1"/>
            </w14:solidFill>
          </w14:textFill>
        </w:rPr>
        <w:t>项目编号：JDCG2018-GK-084</w:t>
      </w:r>
    </w:p>
    <w:p>
      <w:pPr>
        <w:spacing w:line="360" w:lineRule="auto"/>
        <w:rPr>
          <w:rFonts w:ascii="Times New Roman" w:hAnsi="Times New Roman"/>
          <w:color w:val="000000" w:themeColor="text1"/>
          <w:sz w:val="32"/>
          <w:szCs w:val="32"/>
          <w14:textFill>
            <w14:solidFill>
              <w14:schemeClr w14:val="tx1"/>
            </w14:solidFill>
          </w14:textFill>
        </w:rPr>
      </w:pPr>
    </w:p>
    <w:p>
      <w:pPr>
        <w:spacing w:line="360" w:lineRule="auto"/>
        <w:rPr>
          <w:rFonts w:ascii="Times New Roman" w:hAnsi="Times New Roman"/>
          <w:color w:val="000000" w:themeColor="text1"/>
          <w:sz w:val="32"/>
          <w:szCs w:val="32"/>
          <w14:textFill>
            <w14:solidFill>
              <w14:schemeClr w14:val="tx1"/>
            </w14:solidFill>
          </w14:textFill>
        </w:rPr>
      </w:pPr>
    </w:p>
    <w:p>
      <w:pPr>
        <w:spacing w:line="360" w:lineRule="auto"/>
        <w:rPr>
          <w:rFonts w:ascii="Times New Roman" w:hAnsi="Times New Roman"/>
          <w:color w:val="000000" w:themeColor="text1"/>
          <w:sz w:val="32"/>
          <w:szCs w:val="32"/>
          <w14:textFill>
            <w14:solidFill>
              <w14:schemeClr w14:val="tx1"/>
            </w14:solidFill>
          </w14:textFill>
        </w:rPr>
      </w:pPr>
    </w:p>
    <w:p>
      <w:pPr>
        <w:spacing w:line="360" w:lineRule="auto"/>
        <w:rPr>
          <w:rFonts w:ascii="Times New Roman" w:hAnsi="Times New Roman"/>
          <w:color w:val="000000" w:themeColor="text1"/>
          <w:sz w:val="32"/>
          <w:szCs w:val="32"/>
          <w14:textFill>
            <w14:solidFill>
              <w14:schemeClr w14:val="tx1"/>
            </w14:solidFill>
          </w14:textFill>
        </w:rPr>
      </w:pPr>
    </w:p>
    <w:p>
      <w:pPr>
        <w:spacing w:line="360" w:lineRule="auto"/>
        <w:rPr>
          <w:rFonts w:ascii="Times New Roman" w:hAnsi="Times New Roman"/>
          <w:color w:val="000000" w:themeColor="text1"/>
          <w:sz w:val="32"/>
          <w:szCs w:val="32"/>
          <w14:textFill>
            <w14:solidFill>
              <w14:schemeClr w14:val="tx1"/>
            </w14:solidFill>
          </w14:textFill>
        </w:rPr>
      </w:pPr>
    </w:p>
    <w:p>
      <w:pPr>
        <w:spacing w:line="360" w:lineRule="auto"/>
        <w:rPr>
          <w:rFonts w:ascii="Times New Roman" w:hAnsi="Times New Roman"/>
          <w:color w:val="000000" w:themeColor="text1"/>
          <w:sz w:val="32"/>
          <w:szCs w:val="32"/>
          <w14:textFill>
            <w14:solidFill>
              <w14:schemeClr w14:val="tx1"/>
            </w14:solidFill>
          </w14:textFill>
        </w:rPr>
      </w:pPr>
    </w:p>
    <w:p>
      <w:pPr>
        <w:spacing w:line="360" w:lineRule="auto"/>
        <w:ind w:left="2020" w:leftChars="200" w:hanging="1600" w:hangingChars="500"/>
        <w:rPr>
          <w:rFonts w:ascii="Times New Roman" w:hAnsi="Times New Roman" w:eastAsia="黑体"/>
          <w:color w:val="000000" w:themeColor="text1"/>
          <w:sz w:val="32"/>
          <w:szCs w:val="32"/>
          <w:u w:val="single"/>
          <w14:textFill>
            <w14:solidFill>
              <w14:schemeClr w14:val="tx1"/>
            </w14:solidFill>
          </w14:textFill>
        </w:rPr>
      </w:pPr>
      <w:r>
        <w:rPr>
          <w:rFonts w:hint="eastAsia" w:ascii="Times New Roman" w:hAnsi="Times New Roman" w:eastAsia="黑体"/>
          <w:color w:val="000000" w:themeColor="text1"/>
          <w:sz w:val="32"/>
          <w:szCs w:val="32"/>
          <w14:textFill>
            <w14:solidFill>
              <w14:schemeClr w14:val="tx1"/>
            </w14:solidFill>
          </w14:textFill>
        </w:rPr>
        <w:t>采</w:t>
      </w:r>
      <w:r>
        <w:rPr>
          <w:rFonts w:ascii="Times New Roman" w:hAnsi="Times New Roman" w:eastAsia="黑体"/>
          <w:color w:val="000000" w:themeColor="text1"/>
          <w:sz w:val="32"/>
          <w:szCs w:val="32"/>
          <w14:textFill>
            <w14:solidFill>
              <w14:schemeClr w14:val="tx1"/>
            </w14:solidFill>
          </w14:textFill>
        </w:rPr>
        <w:t xml:space="preserve">   </w:t>
      </w:r>
      <w:r>
        <w:rPr>
          <w:rFonts w:hint="eastAsia" w:ascii="Times New Roman" w:hAnsi="Times New Roman" w:eastAsia="黑体"/>
          <w:color w:val="000000" w:themeColor="text1"/>
          <w:sz w:val="32"/>
          <w:szCs w:val="32"/>
          <w14:textFill>
            <w14:solidFill>
              <w14:schemeClr w14:val="tx1"/>
            </w14:solidFill>
          </w14:textFill>
        </w:rPr>
        <w:t>购</w:t>
      </w:r>
      <w:r>
        <w:rPr>
          <w:rFonts w:ascii="Times New Roman" w:hAnsi="Times New Roman" w:eastAsia="黑体"/>
          <w:color w:val="000000" w:themeColor="text1"/>
          <w:sz w:val="32"/>
          <w:szCs w:val="32"/>
          <w14:textFill>
            <w14:solidFill>
              <w14:schemeClr w14:val="tx1"/>
            </w14:solidFill>
          </w14:textFill>
        </w:rPr>
        <w:t xml:space="preserve">   </w:t>
      </w:r>
      <w:r>
        <w:rPr>
          <w:rFonts w:hint="eastAsia" w:ascii="Times New Roman" w:hAnsi="Times New Roman" w:eastAsia="黑体"/>
          <w:color w:val="000000" w:themeColor="text1"/>
          <w:sz w:val="32"/>
          <w:szCs w:val="32"/>
          <w14:textFill>
            <w14:solidFill>
              <w14:schemeClr w14:val="tx1"/>
            </w14:solidFill>
          </w14:textFill>
        </w:rPr>
        <w:t>人：</w:t>
      </w:r>
      <w:r>
        <w:rPr>
          <w:rFonts w:hint="eastAsia" w:ascii="Times New Roman" w:hAnsi="Times New Roman" w:eastAsia="黑体"/>
          <w:color w:val="000000" w:themeColor="text1"/>
          <w:sz w:val="32"/>
          <w:szCs w:val="32"/>
          <w:u w:val="single"/>
          <w14:textFill>
            <w14:solidFill>
              <w14:schemeClr w14:val="tx1"/>
            </w14:solidFill>
          </w14:textFill>
        </w:rPr>
        <w:t>杭州大江东产业集聚区公路管理所</w:t>
      </w:r>
    </w:p>
    <w:p>
      <w:pPr>
        <w:spacing w:line="360" w:lineRule="auto"/>
        <w:ind w:firstLine="425" w:firstLineChars="133"/>
        <w:rPr>
          <w:rFonts w:ascii="Times New Roman" w:hAnsi="Times New Roman" w:eastAsia="黑体"/>
          <w:color w:val="000000" w:themeColor="text1"/>
          <w:sz w:val="32"/>
          <w:szCs w:val="32"/>
          <w14:textFill>
            <w14:solidFill>
              <w14:schemeClr w14:val="tx1"/>
            </w14:solidFill>
          </w14:textFill>
        </w:rPr>
      </w:pPr>
      <w:r>
        <w:rPr>
          <w:rFonts w:hint="eastAsia" w:ascii="Times New Roman" w:hAnsi="Times New Roman" w:eastAsia="黑体"/>
          <w:color w:val="000000" w:themeColor="text1"/>
          <w:sz w:val="32"/>
          <w:szCs w:val="32"/>
          <w14:textFill>
            <w14:solidFill>
              <w14:schemeClr w14:val="tx1"/>
            </w14:solidFill>
          </w14:textFill>
        </w:rPr>
        <w:t>采购代理机构：</w:t>
      </w:r>
      <w:r>
        <w:rPr>
          <w:rFonts w:hint="eastAsia" w:ascii="Times New Roman" w:hAnsi="Times New Roman" w:eastAsia="黑体"/>
          <w:color w:val="000000" w:themeColor="text1"/>
          <w:sz w:val="32"/>
          <w:szCs w:val="32"/>
          <w:u w:val="single"/>
          <w14:textFill>
            <w14:solidFill>
              <w14:schemeClr w14:val="tx1"/>
            </w14:solidFill>
          </w14:textFill>
        </w:rPr>
        <w:t>杭州政智经济信息咨询有限公司</w:t>
      </w:r>
    </w:p>
    <w:p>
      <w:pPr>
        <w:spacing w:line="360" w:lineRule="auto"/>
        <w:jc w:val="center"/>
        <w:rPr>
          <w:rFonts w:ascii="Times New Roman" w:hAnsi="Times New Roman" w:eastAsia="黑体"/>
          <w:color w:val="000000" w:themeColor="text1"/>
          <w:sz w:val="32"/>
          <w:szCs w:val="32"/>
          <w14:textFill>
            <w14:solidFill>
              <w14:schemeClr w14:val="tx1"/>
            </w14:solidFill>
          </w14:textFill>
        </w:rPr>
        <w:sectPr>
          <w:headerReference r:id="rId4" w:type="first"/>
          <w:headerReference r:id="rId3" w:type="default"/>
          <w:footerReference r:id="rId5" w:type="default"/>
          <w:footerReference r:id="rId6" w:type="even"/>
          <w:pgSz w:w="11906" w:h="16838"/>
          <w:pgMar w:top="1588" w:right="1418" w:bottom="1418" w:left="1418" w:header="850" w:footer="737" w:gutter="284"/>
          <w:cols w:space="720" w:num="1"/>
          <w:docGrid w:type="linesAndChars" w:linePitch="312" w:charSpace="0"/>
        </w:sectPr>
      </w:pPr>
      <w:r>
        <w:rPr>
          <w:rFonts w:hint="eastAsia" w:ascii="Times New Roman" w:hAnsi="Times New Roman" w:eastAsia="黑体"/>
          <w:color w:val="000000" w:themeColor="text1"/>
          <w:sz w:val="32"/>
          <w:szCs w:val="32"/>
          <w14:textFill>
            <w14:solidFill>
              <w14:schemeClr w14:val="tx1"/>
            </w14:solidFill>
          </w14:textFill>
        </w:rPr>
        <w:t>二</w:t>
      </w:r>
      <w:r>
        <w:rPr>
          <w:rFonts w:asciiTheme="minorEastAsia" w:hAnsiTheme="minorEastAsia" w:eastAsiaTheme="minorEastAsia"/>
          <w:color w:val="000000" w:themeColor="text1"/>
          <w:sz w:val="32"/>
          <w:szCs w:val="32"/>
          <w14:textFill>
            <w14:solidFill>
              <w14:schemeClr w14:val="tx1"/>
            </w14:solidFill>
          </w14:textFill>
        </w:rPr>
        <w:t>○</w:t>
      </w:r>
      <w:r>
        <w:rPr>
          <w:rFonts w:hint="eastAsia" w:ascii="Times New Roman" w:hAnsi="Times New Roman" w:eastAsia="黑体"/>
          <w:color w:val="000000" w:themeColor="text1"/>
          <w:sz w:val="32"/>
          <w:szCs w:val="32"/>
          <w14:textFill>
            <w14:solidFill>
              <w14:schemeClr w14:val="tx1"/>
            </w14:solidFill>
          </w14:textFill>
        </w:rPr>
        <w:t>一八年九月</w:t>
      </w:r>
    </w:p>
    <w:p>
      <w:pPr>
        <w:pStyle w:val="30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目</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录</w:t>
      </w:r>
    </w:p>
    <w:p>
      <w:pPr>
        <w:pStyle w:val="35"/>
        <w:rPr>
          <w:rFonts w:asciiTheme="minorHAnsi" w:hAnsiTheme="minorHAnsi" w:eastAsiaTheme="minorEastAsia" w:cstheme="minorBidi"/>
          <w:szCs w:val="22"/>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r>
        <w:fldChar w:fldCharType="begin"/>
      </w:r>
      <w:r>
        <w:instrText xml:space="preserve"> HYPERLINK \l "_Toc522635473" </w:instrText>
      </w:r>
      <w:r>
        <w:fldChar w:fldCharType="separate"/>
      </w:r>
      <w:r>
        <w:rPr>
          <w:rStyle w:val="54"/>
          <w:rFonts w:hint="eastAsia" w:eastAsia="黑体"/>
        </w:rPr>
        <w:t>第一卷</w:t>
      </w:r>
      <w:r>
        <w:rPr>
          <w:rStyle w:val="54"/>
          <w:rFonts w:eastAsia="黑体"/>
        </w:rPr>
        <w:t xml:space="preserve">  </w:t>
      </w:r>
      <w:r>
        <w:rPr>
          <w:rStyle w:val="54"/>
          <w:rFonts w:hint="eastAsia" w:eastAsia="黑体"/>
        </w:rPr>
        <w:t>投标须知</w:t>
      </w:r>
      <w:r>
        <w:tab/>
      </w:r>
      <w:r>
        <w:fldChar w:fldCharType="begin"/>
      </w:r>
      <w:r>
        <w:instrText xml:space="preserve"> PAGEREF _Toc522635473 \h </w:instrText>
      </w:r>
      <w:r>
        <w:fldChar w:fldCharType="separate"/>
      </w:r>
      <w:r>
        <w:t>1</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"_Toc522635474" </w:instrText>
      </w:r>
      <w:r>
        <w:fldChar w:fldCharType="separate"/>
      </w:r>
      <w:r>
        <w:rPr>
          <w:rStyle w:val="54"/>
          <w:rFonts w:hint="eastAsia"/>
        </w:rPr>
        <w:t>第一章</w:t>
      </w:r>
      <w:r>
        <w:rPr>
          <w:rStyle w:val="54"/>
        </w:rPr>
        <w:t xml:space="preserve">  </w:t>
      </w:r>
      <w:r>
        <w:rPr>
          <w:rStyle w:val="54"/>
          <w:rFonts w:hint="eastAsia"/>
        </w:rPr>
        <w:t>招标公告</w:t>
      </w:r>
      <w:r>
        <w:tab/>
      </w:r>
      <w:r>
        <w:fldChar w:fldCharType="begin"/>
      </w:r>
      <w:r>
        <w:instrText xml:space="preserve"> PAGEREF _Toc522635474 \h </w:instrText>
      </w:r>
      <w:r>
        <w:fldChar w:fldCharType="separate"/>
      </w:r>
      <w:r>
        <w:t>2</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"_Toc522635475" </w:instrText>
      </w:r>
      <w:r>
        <w:fldChar w:fldCharType="separate"/>
      </w:r>
      <w:r>
        <w:rPr>
          <w:rStyle w:val="54"/>
          <w:rFonts w:hint="eastAsia"/>
        </w:rPr>
        <w:t>第二章</w:t>
      </w:r>
      <w:r>
        <w:rPr>
          <w:rStyle w:val="54"/>
        </w:rPr>
        <w:t xml:space="preserve">  </w:t>
      </w:r>
      <w:r>
        <w:rPr>
          <w:rStyle w:val="54"/>
          <w:rFonts w:hint="eastAsia"/>
        </w:rPr>
        <w:t>投标须知前附表</w:t>
      </w:r>
      <w:r>
        <w:tab/>
      </w:r>
      <w:r>
        <w:fldChar w:fldCharType="begin"/>
      </w:r>
      <w:r>
        <w:instrText xml:space="preserve"> PAGEREF _Toc522635475 \h </w:instrText>
      </w:r>
      <w:r>
        <w:fldChar w:fldCharType="separate"/>
      </w:r>
      <w:r>
        <w:t>5</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"_Toc522635476" </w:instrText>
      </w:r>
      <w:r>
        <w:fldChar w:fldCharType="separate"/>
      </w:r>
      <w:r>
        <w:rPr>
          <w:rStyle w:val="54"/>
          <w:rFonts w:hint="eastAsia"/>
        </w:rPr>
        <w:t>第三章</w:t>
      </w:r>
      <w:r>
        <w:rPr>
          <w:rStyle w:val="54"/>
        </w:rPr>
        <w:t xml:space="preserve">  </w:t>
      </w:r>
      <w:r>
        <w:rPr>
          <w:rStyle w:val="54"/>
          <w:rFonts w:hint="eastAsia"/>
        </w:rPr>
        <w:t>投标须知正文</w:t>
      </w:r>
      <w:r>
        <w:tab/>
      </w:r>
      <w:r>
        <w:fldChar w:fldCharType="begin"/>
      </w:r>
      <w:r>
        <w:instrText xml:space="preserve"> PAGEREF _Toc522635476 \h </w:instrText>
      </w:r>
      <w:r>
        <w:fldChar w:fldCharType="separate"/>
      </w:r>
      <w:r>
        <w:t>14</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"_Toc522635477" </w:instrText>
      </w:r>
      <w:r>
        <w:fldChar w:fldCharType="separate"/>
      </w:r>
      <w:r>
        <w:rPr>
          <w:rStyle w:val="54"/>
          <w:rFonts w:hint="eastAsia"/>
        </w:rPr>
        <w:t>第一节</w:t>
      </w:r>
      <w:r>
        <w:rPr>
          <w:rStyle w:val="54"/>
        </w:rPr>
        <w:t xml:space="preserve">  </w:t>
      </w:r>
      <w:r>
        <w:rPr>
          <w:rStyle w:val="54"/>
          <w:rFonts w:hint="eastAsia"/>
        </w:rPr>
        <w:t>总则</w:t>
      </w:r>
      <w:r>
        <w:tab/>
      </w:r>
      <w:r>
        <w:fldChar w:fldCharType="begin"/>
      </w:r>
      <w:r>
        <w:instrText xml:space="preserve"> PAGEREF _Toc522635477 \h </w:instrText>
      </w:r>
      <w:r>
        <w:fldChar w:fldCharType="separate"/>
      </w:r>
      <w:r>
        <w:t>14</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"_Toc522635478" </w:instrText>
      </w:r>
      <w:r>
        <w:fldChar w:fldCharType="separate"/>
      </w:r>
      <w:r>
        <w:rPr>
          <w:rStyle w:val="54"/>
          <w:rFonts w:hint="eastAsia"/>
        </w:rPr>
        <w:t>第二节</w:t>
      </w:r>
      <w:r>
        <w:rPr>
          <w:rStyle w:val="54"/>
        </w:rPr>
        <w:t xml:space="preserve">  </w:t>
      </w:r>
      <w:r>
        <w:rPr>
          <w:rStyle w:val="54"/>
          <w:rFonts w:hint="eastAsia"/>
        </w:rPr>
        <w:t>招标文件</w:t>
      </w:r>
      <w:r>
        <w:tab/>
      </w:r>
      <w:r>
        <w:fldChar w:fldCharType="begin"/>
      </w:r>
      <w:r>
        <w:instrText xml:space="preserve"> PAGEREF _Toc522635478 \h </w:instrText>
      </w:r>
      <w:r>
        <w:fldChar w:fldCharType="separate"/>
      </w:r>
      <w:r>
        <w:t>14</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"_Toc522635479" </w:instrText>
      </w:r>
      <w:r>
        <w:fldChar w:fldCharType="separate"/>
      </w:r>
      <w:r>
        <w:rPr>
          <w:rStyle w:val="54"/>
          <w:rFonts w:hint="eastAsia"/>
        </w:rPr>
        <w:t>第三节</w:t>
      </w:r>
      <w:r>
        <w:rPr>
          <w:rStyle w:val="54"/>
        </w:rPr>
        <w:t xml:space="preserve">  </w:t>
      </w:r>
      <w:r>
        <w:rPr>
          <w:rStyle w:val="54"/>
          <w:rFonts w:hint="eastAsia"/>
        </w:rPr>
        <w:t>投标文件编制及递交</w:t>
      </w:r>
      <w:r>
        <w:tab/>
      </w:r>
      <w:r>
        <w:fldChar w:fldCharType="begin"/>
      </w:r>
      <w:r>
        <w:instrText xml:space="preserve"> PAGEREF _Toc522635479 \h </w:instrText>
      </w:r>
      <w:r>
        <w:fldChar w:fldCharType="separate"/>
      </w:r>
      <w:r>
        <w:t>15</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"_Toc522635480" </w:instrText>
      </w:r>
      <w:r>
        <w:fldChar w:fldCharType="separate"/>
      </w:r>
      <w:r>
        <w:rPr>
          <w:rStyle w:val="54"/>
          <w:rFonts w:hint="eastAsia"/>
        </w:rPr>
        <w:t>第四节</w:t>
      </w:r>
      <w:r>
        <w:rPr>
          <w:rStyle w:val="54"/>
        </w:rPr>
        <w:t xml:space="preserve">  </w:t>
      </w:r>
      <w:r>
        <w:rPr>
          <w:rStyle w:val="54"/>
          <w:rFonts w:hint="eastAsia"/>
        </w:rPr>
        <w:t>开标、评审、谈判及定标</w:t>
      </w:r>
      <w:r>
        <w:tab/>
      </w:r>
      <w:r>
        <w:fldChar w:fldCharType="begin"/>
      </w:r>
      <w:r>
        <w:instrText xml:space="preserve"> PAGEREF _Toc522635480 \h </w:instrText>
      </w:r>
      <w:r>
        <w:fldChar w:fldCharType="separate"/>
      </w:r>
      <w:r>
        <w:t>19</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"_Toc522635481" </w:instrText>
      </w:r>
      <w:r>
        <w:fldChar w:fldCharType="separate"/>
      </w:r>
      <w:r>
        <w:rPr>
          <w:rStyle w:val="54"/>
          <w:rFonts w:hint="eastAsia"/>
        </w:rPr>
        <w:t>附件</w:t>
      </w:r>
      <w:r>
        <w:rPr>
          <w:rStyle w:val="54"/>
        </w:rPr>
        <w:t xml:space="preserve">1  </w:t>
      </w:r>
      <w:r>
        <w:rPr>
          <w:rStyle w:val="54"/>
          <w:rFonts w:hint="eastAsia"/>
        </w:rPr>
        <w:t>资信投标文件分册格式</w:t>
      </w:r>
      <w:r>
        <w:tab/>
      </w:r>
      <w:r>
        <w:fldChar w:fldCharType="begin"/>
      </w:r>
      <w:r>
        <w:instrText xml:space="preserve"> PAGEREF _Toc522635481 \h </w:instrText>
      </w:r>
      <w:r>
        <w:fldChar w:fldCharType="separate"/>
      </w:r>
      <w:r>
        <w:t>26</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"_Toc522635482" </w:instrText>
      </w:r>
      <w:r>
        <w:fldChar w:fldCharType="separate"/>
      </w:r>
      <w:r>
        <w:rPr>
          <w:rStyle w:val="54"/>
          <w:rFonts w:hint="eastAsia"/>
        </w:rPr>
        <w:t>第一分册</w:t>
      </w:r>
      <w:r>
        <w:rPr>
          <w:rStyle w:val="54"/>
        </w:rPr>
        <w:t xml:space="preserve">  </w:t>
      </w:r>
      <w:r>
        <w:rPr>
          <w:rStyle w:val="54"/>
          <w:rFonts w:hint="eastAsia"/>
        </w:rPr>
        <w:t>投标人综述</w:t>
      </w:r>
      <w:r>
        <w:tab/>
      </w:r>
      <w:r>
        <w:fldChar w:fldCharType="begin"/>
      </w:r>
      <w:r>
        <w:instrText xml:space="preserve"> PAGEREF _Toc522635482 \h </w:instrText>
      </w:r>
      <w:r>
        <w:fldChar w:fldCharType="separate"/>
      </w:r>
      <w:r>
        <w:t>26</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"_Toc522635483" </w:instrText>
      </w:r>
      <w:r>
        <w:fldChar w:fldCharType="separate"/>
      </w:r>
      <w:r>
        <w:rPr>
          <w:rStyle w:val="54"/>
          <w:rFonts w:hint="eastAsia"/>
        </w:rPr>
        <w:t>第二分册</w:t>
      </w:r>
      <w:r>
        <w:rPr>
          <w:rStyle w:val="54"/>
        </w:rPr>
        <w:t xml:space="preserve">  </w:t>
      </w:r>
      <w:r>
        <w:rPr>
          <w:rStyle w:val="54"/>
          <w:rFonts w:hint="eastAsia"/>
        </w:rPr>
        <w:t>企业资信</w:t>
      </w:r>
      <w:r>
        <w:tab/>
      </w:r>
      <w:r>
        <w:fldChar w:fldCharType="begin"/>
      </w:r>
      <w:r>
        <w:instrText xml:space="preserve"> PAGEREF _Toc522635483 \h </w:instrText>
      </w:r>
      <w:r>
        <w:fldChar w:fldCharType="separate"/>
      </w:r>
      <w:r>
        <w:t>39</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"_Toc522635484" </w:instrText>
      </w:r>
      <w:r>
        <w:fldChar w:fldCharType="separate"/>
      </w:r>
      <w:r>
        <w:rPr>
          <w:rStyle w:val="54"/>
          <w:rFonts w:hint="eastAsia"/>
        </w:rPr>
        <w:t>附件</w:t>
      </w:r>
      <w:r>
        <w:rPr>
          <w:rStyle w:val="54"/>
        </w:rPr>
        <w:t xml:space="preserve">2  </w:t>
      </w:r>
      <w:r>
        <w:rPr>
          <w:rStyle w:val="54"/>
          <w:rFonts w:hint="eastAsia"/>
        </w:rPr>
        <w:t>技术投标文件分册格式</w:t>
      </w:r>
      <w:r>
        <w:tab/>
      </w:r>
      <w:r>
        <w:fldChar w:fldCharType="begin"/>
      </w:r>
      <w:r>
        <w:instrText xml:space="preserve"> PAGEREF _Toc522635484 \h </w:instrText>
      </w:r>
      <w:r>
        <w:fldChar w:fldCharType="separate"/>
      </w:r>
      <w:r>
        <w:t>44</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"_Toc522635485" </w:instrText>
      </w:r>
      <w:r>
        <w:fldChar w:fldCharType="separate"/>
      </w:r>
      <w:r>
        <w:rPr>
          <w:rStyle w:val="54"/>
          <w:rFonts w:hint="eastAsia"/>
        </w:rPr>
        <w:t>第一分册：项目建设管理方案</w:t>
      </w:r>
      <w:r>
        <w:tab/>
      </w:r>
      <w:r>
        <w:fldChar w:fldCharType="begin"/>
      </w:r>
      <w:r>
        <w:instrText xml:space="preserve"> PAGEREF _Toc522635485 \h </w:instrText>
      </w:r>
      <w:r>
        <w:fldChar w:fldCharType="separate"/>
      </w:r>
      <w:r>
        <w:t>44</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"_Toc522635486" </w:instrText>
      </w:r>
      <w:r>
        <w:fldChar w:fldCharType="separate"/>
      </w:r>
      <w:r>
        <w:rPr>
          <w:rStyle w:val="54"/>
          <w:rFonts w:hint="eastAsia"/>
        </w:rPr>
        <w:t>第二分册：运营维护及移交方案</w:t>
      </w:r>
      <w:r>
        <w:tab/>
      </w:r>
      <w:r>
        <w:fldChar w:fldCharType="begin"/>
      </w:r>
      <w:r>
        <w:instrText xml:space="preserve"> PAGEREF _Toc522635486 \h </w:instrText>
      </w:r>
      <w:r>
        <w:fldChar w:fldCharType="separate"/>
      </w:r>
      <w:r>
        <w:t>45</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"_Toc522635487" </w:instrText>
      </w:r>
      <w:r>
        <w:fldChar w:fldCharType="separate"/>
      </w:r>
      <w:r>
        <w:rPr>
          <w:rStyle w:val="54"/>
          <w:rFonts w:hint="eastAsia"/>
        </w:rPr>
        <w:t>第三分册：融资方案</w:t>
      </w:r>
      <w:r>
        <w:tab/>
      </w:r>
      <w:r>
        <w:fldChar w:fldCharType="begin"/>
      </w:r>
      <w:r>
        <w:instrText xml:space="preserve"> PAGEREF _Toc522635487 \h </w:instrText>
      </w:r>
      <w:r>
        <w:fldChar w:fldCharType="separate"/>
      </w:r>
      <w:r>
        <w:t>46</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"_Toc522635488" </w:instrText>
      </w:r>
      <w:r>
        <w:fldChar w:fldCharType="separate"/>
      </w:r>
      <w:r>
        <w:rPr>
          <w:rStyle w:val="54"/>
          <w:rFonts w:hint="eastAsia"/>
        </w:rPr>
        <w:t>第四分册：项目报价财务分析</w:t>
      </w:r>
      <w:r>
        <w:tab/>
      </w:r>
      <w:r>
        <w:fldChar w:fldCharType="begin"/>
      </w:r>
      <w:r>
        <w:instrText xml:space="preserve"> PAGEREF _Toc522635488 \h </w:instrText>
      </w:r>
      <w:r>
        <w:fldChar w:fldCharType="separate"/>
      </w:r>
      <w:r>
        <w:t>47</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"_Toc522635489" </w:instrText>
      </w:r>
      <w:r>
        <w:fldChar w:fldCharType="separate"/>
      </w:r>
      <w:r>
        <w:rPr>
          <w:rStyle w:val="54"/>
          <w:rFonts w:hint="eastAsia"/>
        </w:rPr>
        <w:t>第五分册：法律方案</w:t>
      </w:r>
      <w:r>
        <w:tab/>
      </w:r>
      <w:r>
        <w:fldChar w:fldCharType="begin"/>
      </w:r>
      <w:r>
        <w:instrText xml:space="preserve"> PAGEREF _Toc522635489 \h </w:instrText>
      </w:r>
      <w:r>
        <w:fldChar w:fldCharType="separate"/>
      </w:r>
      <w:r>
        <w:t>48</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"_Toc522635490" </w:instrText>
      </w:r>
      <w:r>
        <w:fldChar w:fldCharType="separate"/>
      </w:r>
      <w:r>
        <w:rPr>
          <w:rStyle w:val="54"/>
          <w:rFonts w:hint="eastAsia"/>
        </w:rPr>
        <w:t>附件</w:t>
      </w:r>
      <w:r>
        <w:rPr>
          <w:rStyle w:val="54"/>
        </w:rPr>
        <w:t xml:space="preserve">3  </w:t>
      </w:r>
      <w:r>
        <w:rPr>
          <w:rStyle w:val="54"/>
          <w:rFonts w:hint="eastAsia"/>
        </w:rPr>
        <w:t>投标报价函</w:t>
      </w:r>
      <w:r>
        <w:tab/>
      </w:r>
      <w:r>
        <w:fldChar w:fldCharType="begin"/>
      </w:r>
      <w:r>
        <w:instrText xml:space="preserve"> PAGEREF _Toc522635490 \h </w:instrText>
      </w:r>
      <w:r>
        <w:fldChar w:fldCharType="separate"/>
      </w:r>
      <w:r>
        <w:t>49</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"_Toc522635491" </w:instrText>
      </w:r>
      <w:r>
        <w:fldChar w:fldCharType="separate"/>
      </w:r>
      <w:r>
        <w:rPr>
          <w:rStyle w:val="54"/>
          <w:rFonts w:hint="eastAsia"/>
        </w:rPr>
        <w:t>附件</w:t>
      </w:r>
      <w:r>
        <w:rPr>
          <w:rStyle w:val="54"/>
        </w:rPr>
        <w:t xml:space="preserve">4  </w:t>
      </w:r>
      <w:r>
        <w:rPr>
          <w:rStyle w:val="54"/>
          <w:rFonts w:hint="eastAsia"/>
        </w:rPr>
        <w:t>封面格式</w:t>
      </w:r>
      <w:r>
        <w:tab/>
      </w:r>
      <w:r>
        <w:fldChar w:fldCharType="begin"/>
      </w:r>
      <w:r>
        <w:instrText xml:space="preserve"> PAGEREF _Toc522635491 \h </w:instrText>
      </w:r>
      <w:r>
        <w:fldChar w:fldCharType="separate"/>
      </w:r>
      <w:r>
        <w:t>51</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"_Toc522635492" </w:instrText>
      </w:r>
      <w:r>
        <w:fldChar w:fldCharType="separate"/>
      </w:r>
      <w:r>
        <w:rPr>
          <w:rStyle w:val="54"/>
          <w:rFonts w:hint="eastAsia"/>
        </w:rPr>
        <w:t>附件</w:t>
      </w:r>
      <w:r>
        <w:rPr>
          <w:rStyle w:val="54"/>
        </w:rPr>
        <w:t xml:space="preserve">4-1 </w:t>
      </w:r>
      <w:r>
        <w:rPr>
          <w:rStyle w:val="54"/>
          <w:rFonts w:hint="eastAsia"/>
        </w:rPr>
        <w:t>投标文件封面格式</w:t>
      </w:r>
      <w:r>
        <w:tab/>
      </w:r>
      <w:r>
        <w:fldChar w:fldCharType="begin"/>
      </w:r>
      <w:r>
        <w:instrText xml:space="preserve"> PAGEREF _Toc522635492 \h </w:instrText>
      </w:r>
      <w:r>
        <w:fldChar w:fldCharType="separate"/>
      </w:r>
      <w:r>
        <w:t>51</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"_Toc522635493" </w:instrText>
      </w:r>
      <w:r>
        <w:fldChar w:fldCharType="separate"/>
      </w:r>
      <w:r>
        <w:rPr>
          <w:rStyle w:val="54"/>
          <w:rFonts w:hint="eastAsia"/>
        </w:rPr>
        <w:t>附件</w:t>
      </w:r>
      <w:r>
        <w:rPr>
          <w:rStyle w:val="54"/>
        </w:rPr>
        <w:t>4-2</w:t>
      </w:r>
      <w:r>
        <w:rPr>
          <w:rStyle w:val="54"/>
          <w:rFonts w:hint="eastAsia"/>
        </w:rPr>
        <w:t>密封封面格式</w:t>
      </w:r>
      <w:r>
        <w:tab/>
      </w:r>
      <w:r>
        <w:fldChar w:fldCharType="begin"/>
      </w:r>
      <w:r>
        <w:instrText xml:space="preserve"> PAGEREF _Toc522635493 \h </w:instrText>
      </w:r>
      <w:r>
        <w:fldChar w:fldCharType="separate"/>
      </w:r>
      <w:r>
        <w:t>53</w:t>
      </w:r>
      <w:r>
        <w:fldChar w:fldCharType="end"/>
      </w:r>
      <w:r>
        <w:fldChar w:fldCharType="end"/>
      </w:r>
    </w:p>
    <w:p>
      <w:pPr>
        <w:pStyle w:val="35"/>
        <w:rPr>
          <w:rFonts w:asciiTheme="minorHAnsi" w:hAnsiTheme="minorHAnsi" w:eastAsiaTheme="minorEastAsia" w:cstheme="minorBidi"/>
          <w:szCs w:val="22"/>
        </w:rPr>
      </w:pPr>
      <w:r>
        <w:fldChar w:fldCharType="begin"/>
      </w:r>
      <w:r>
        <w:instrText xml:space="preserve"> HYPERLINK \l "_Toc522635494" </w:instrText>
      </w:r>
      <w:r>
        <w:fldChar w:fldCharType="separate"/>
      </w:r>
      <w:r>
        <w:rPr>
          <w:rStyle w:val="54"/>
          <w:rFonts w:hint="eastAsia" w:eastAsia="黑体"/>
        </w:rPr>
        <w:t>第二卷</w:t>
      </w:r>
      <w:r>
        <w:rPr>
          <w:rStyle w:val="54"/>
          <w:rFonts w:eastAsia="黑体"/>
        </w:rPr>
        <w:t xml:space="preserve">  PPP</w:t>
      </w:r>
      <w:r>
        <w:rPr>
          <w:rStyle w:val="54"/>
          <w:rFonts w:hint="eastAsia" w:eastAsia="黑体"/>
        </w:rPr>
        <w:t>项目合同</w:t>
      </w:r>
      <w:r>
        <w:tab/>
      </w:r>
      <w:r>
        <w:fldChar w:fldCharType="begin"/>
      </w:r>
      <w:r>
        <w:instrText xml:space="preserve"> PAGEREF _Toc522635494 \h </w:instrText>
      </w:r>
      <w:r>
        <w:fldChar w:fldCharType="separate"/>
      </w:r>
      <w:r>
        <w:t>54</w:t>
      </w:r>
      <w:r>
        <w:fldChar w:fldCharType="end"/>
      </w:r>
      <w:r>
        <w:fldChar w:fldCharType="end"/>
      </w:r>
    </w:p>
    <w:p>
      <w:pPr>
        <w:pStyle w:val="35"/>
        <w:rPr>
          <w:rFonts w:asciiTheme="minorHAnsi" w:hAnsiTheme="minorHAnsi" w:eastAsiaTheme="minorEastAsia" w:cstheme="minorBidi"/>
          <w:szCs w:val="22"/>
        </w:rPr>
      </w:pPr>
      <w:r>
        <w:fldChar w:fldCharType="begin"/>
      </w:r>
      <w:r>
        <w:instrText xml:space="preserve"> HYPERLINK \l "_Toc522635639" </w:instrText>
      </w:r>
      <w:r>
        <w:fldChar w:fldCharType="separate"/>
      </w:r>
      <w:r>
        <w:rPr>
          <w:rStyle w:val="54"/>
          <w:rFonts w:hint="eastAsia" w:eastAsia="黑体"/>
        </w:rPr>
        <w:t>第三卷</w:t>
      </w:r>
      <w:r>
        <w:rPr>
          <w:rStyle w:val="54"/>
          <w:rFonts w:eastAsia="黑体"/>
        </w:rPr>
        <w:t xml:space="preserve">  </w:t>
      </w:r>
      <w:r>
        <w:rPr>
          <w:rStyle w:val="54"/>
          <w:rFonts w:hint="eastAsia" w:eastAsia="黑体"/>
        </w:rPr>
        <w:t>项目资料</w:t>
      </w:r>
      <w:r>
        <w:tab/>
      </w:r>
      <w:r>
        <w:fldChar w:fldCharType="begin"/>
      </w:r>
      <w:r>
        <w:instrText xml:space="preserve"> PAGEREF _Toc522635639 \h </w:instrText>
      </w:r>
      <w:r>
        <w:fldChar w:fldCharType="separate"/>
      </w:r>
      <w:r>
        <w:t>138</w:t>
      </w:r>
      <w:r>
        <w:fldChar w:fldCharType="end"/>
      </w:r>
      <w:r>
        <w:fldChar w:fldCharType="end"/>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4"/>
          <w14:textFill>
            <w14:solidFill>
              <w14:schemeClr w14:val="tx1"/>
            </w14:solidFill>
          </w14:textFill>
        </w:rPr>
        <w:fldChar w:fldCharType="end"/>
      </w: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sectPr>
          <w:headerReference r:id="rId7" w:type="default"/>
          <w:footerReference r:id="rId8" w:type="default"/>
          <w:pgSz w:w="11906" w:h="16838"/>
          <w:pgMar w:top="1588" w:right="1418" w:bottom="1418" w:left="1418" w:header="850" w:footer="737" w:gutter="284"/>
          <w:pgNumType w:start="1"/>
          <w:cols w:space="720" w:num="1"/>
          <w:docGrid w:type="linesAndChars" w:linePitch="312" w:charSpace="0"/>
        </w:sect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pStyle w:val="2"/>
        <w:spacing w:line="360" w:lineRule="auto"/>
        <w:jc w:val="center"/>
        <w:rPr>
          <w:rFonts w:eastAsia="黑体"/>
          <w:color w:val="000000" w:themeColor="text1"/>
          <w14:textFill>
            <w14:solidFill>
              <w14:schemeClr w14:val="tx1"/>
            </w14:solidFill>
          </w14:textFill>
        </w:rPr>
      </w:pPr>
      <w:bookmarkStart w:id="0" w:name="_Toc496299868"/>
      <w:bookmarkStart w:id="1" w:name="_Toc522635473"/>
      <w:bookmarkStart w:id="2" w:name="_Toc492040641"/>
      <w:bookmarkStart w:id="3" w:name="_Toc496258641"/>
      <w:bookmarkStart w:id="4" w:name="_Toc492021851"/>
      <w:bookmarkStart w:id="5" w:name="_Toc465698626"/>
      <w:bookmarkStart w:id="6" w:name="_Toc496299704"/>
      <w:bookmarkStart w:id="7" w:name="_Toc487201017"/>
      <w:bookmarkStart w:id="8" w:name="_Toc491857534"/>
      <w:bookmarkStart w:id="9" w:name="_Toc439072974"/>
      <w:r>
        <w:rPr>
          <w:rFonts w:hint="eastAsia" w:eastAsia="黑体"/>
          <w:color w:val="000000" w:themeColor="text1"/>
          <w14:textFill>
            <w14:solidFill>
              <w14:schemeClr w14:val="tx1"/>
            </w14:solidFill>
          </w14:textFill>
        </w:rPr>
        <w:t>第一卷</w:t>
      </w:r>
      <w:r>
        <w:rPr>
          <w:rFonts w:eastAsia="黑体"/>
          <w:color w:val="000000" w:themeColor="text1"/>
          <w14:textFill>
            <w14:solidFill>
              <w14:schemeClr w14:val="tx1"/>
            </w14:solidFill>
          </w14:textFill>
        </w:rPr>
        <w:t xml:space="preserve">  </w:t>
      </w:r>
      <w:r>
        <w:rPr>
          <w:rFonts w:hint="eastAsia" w:eastAsia="黑体"/>
          <w:color w:val="000000" w:themeColor="text1"/>
          <w14:textFill>
            <w14:solidFill>
              <w14:schemeClr w14:val="tx1"/>
            </w14:solidFill>
          </w14:textFill>
        </w:rPr>
        <w:t>投标须知</w:t>
      </w:r>
      <w:bookmarkEnd w:id="0"/>
      <w:bookmarkEnd w:id="1"/>
      <w:bookmarkEnd w:id="2"/>
      <w:bookmarkEnd w:id="3"/>
      <w:bookmarkEnd w:id="4"/>
      <w:bookmarkEnd w:id="5"/>
      <w:bookmarkEnd w:id="6"/>
      <w:bookmarkEnd w:id="7"/>
      <w:bookmarkEnd w:id="8"/>
      <w:bookmarkEnd w:id="9"/>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sectPr>
          <w:footerReference r:id="rId9" w:type="default"/>
          <w:pgSz w:w="11906" w:h="16838"/>
          <w:pgMar w:top="1588" w:right="1418" w:bottom="1418" w:left="1418" w:header="850" w:footer="737" w:gutter="284"/>
          <w:pgNumType w:start="1"/>
          <w:cols w:space="720" w:num="1"/>
          <w:docGrid w:type="linesAndChars" w:linePitch="312" w:charSpace="0"/>
        </w:sectPr>
      </w:pPr>
    </w:p>
    <w:p>
      <w:pPr>
        <w:pStyle w:val="3"/>
        <w:spacing w:line="360" w:lineRule="auto"/>
        <w:jc w:val="center"/>
        <w:rPr>
          <w:rFonts w:ascii="Times New Roman" w:hAnsi="Times New Roman"/>
          <w:color w:val="000000" w:themeColor="text1"/>
          <w:sz w:val="24"/>
          <w:szCs w:val="24"/>
          <w14:textFill>
            <w14:solidFill>
              <w14:schemeClr w14:val="tx1"/>
            </w14:solidFill>
          </w14:textFill>
        </w:rPr>
      </w:pPr>
      <w:bookmarkStart w:id="10" w:name="_Toc465698627"/>
      <w:bookmarkStart w:id="11" w:name="_Toc491857535"/>
      <w:bookmarkStart w:id="12" w:name="_Toc496258642"/>
      <w:bookmarkStart w:id="13" w:name="_Toc438162688"/>
      <w:bookmarkStart w:id="14" w:name="_Toc496299869"/>
      <w:bookmarkStart w:id="15" w:name="_Toc439072975"/>
      <w:bookmarkStart w:id="16" w:name="_Toc492040642"/>
      <w:bookmarkStart w:id="17" w:name="_Toc522635474"/>
      <w:bookmarkStart w:id="18" w:name="_Toc496299705"/>
      <w:bookmarkStart w:id="19" w:name="_Toc492021852"/>
      <w:bookmarkStart w:id="20" w:name="_Toc487201018"/>
      <w:bookmarkStart w:id="21" w:name="_Toc231106172"/>
      <w:r>
        <w:rPr>
          <w:rFonts w:hint="eastAsia" w:ascii="Times New Roman" w:hAnsi="Times New Roman"/>
          <w:color w:val="000000" w:themeColor="text1"/>
          <w:sz w:val="24"/>
          <w:szCs w:val="24"/>
          <w14:textFill>
            <w14:solidFill>
              <w14:schemeClr w14:val="tx1"/>
            </w14:solidFill>
          </w14:textFill>
        </w:rPr>
        <w:t>第一章</w:t>
      </w:r>
      <w:r>
        <w:rPr>
          <w:rFonts w:ascii="Times New Roman" w:hAnsi="Times New Roman"/>
          <w:color w:val="000000" w:themeColor="text1"/>
          <w:sz w:val="24"/>
          <w:szCs w:val="24"/>
          <w14:textFill>
            <w14:solidFill>
              <w14:schemeClr w14:val="tx1"/>
            </w14:solidFill>
          </w14:textFill>
        </w:rPr>
        <w:t xml:space="preserve"> </w:t>
      </w:r>
      <w:bookmarkStart w:id="22" w:name="_Hlk497135851"/>
      <w:r>
        <w:rPr>
          <w:rFonts w:ascii="Times New Roman" w:hAnsi="Times New Roman"/>
          <w:color w:val="000000" w:themeColor="text1"/>
          <w:sz w:val="24"/>
          <w:szCs w:val="24"/>
          <w14:textFill>
            <w14:solidFill>
              <w14:schemeClr w14:val="tx1"/>
            </w14:solidFill>
          </w14:textFill>
        </w:rPr>
        <w:t xml:space="preserve"> </w:t>
      </w:r>
      <w:bookmarkStart w:id="23" w:name="_Hlk497849528"/>
      <w:r>
        <w:rPr>
          <w:rFonts w:hint="eastAsia" w:ascii="Times New Roman" w:hAnsi="Times New Roman"/>
          <w:color w:val="000000" w:themeColor="text1"/>
          <w:sz w:val="24"/>
          <w:szCs w:val="24"/>
          <w14:textFill>
            <w14:solidFill>
              <w14:schemeClr w14:val="tx1"/>
            </w14:solidFill>
          </w14:textFill>
        </w:rPr>
        <w:t>招标公告</w:t>
      </w:r>
      <w:bookmarkEnd w:id="10"/>
      <w:bookmarkEnd w:id="11"/>
      <w:bookmarkEnd w:id="12"/>
      <w:bookmarkEnd w:id="13"/>
      <w:bookmarkEnd w:id="14"/>
      <w:bookmarkEnd w:id="15"/>
      <w:bookmarkEnd w:id="16"/>
      <w:bookmarkEnd w:id="17"/>
      <w:bookmarkEnd w:id="18"/>
      <w:bookmarkEnd w:id="19"/>
      <w:bookmarkEnd w:id="20"/>
    </w:p>
    <w:p>
      <w:pPr>
        <w:tabs>
          <w:tab w:val="left" w:pos="7371"/>
        </w:tabs>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根据《中华人民共和国政府采购法》、《政府采购货物和服务招标投标管理办法》</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财政部令第</w:t>
      </w:r>
      <w:r>
        <w:rPr>
          <w:rFonts w:ascii="Times New Roman" w:hAnsi="Times New Roman"/>
          <w:color w:val="000000" w:themeColor="text1"/>
          <w:szCs w:val="21"/>
          <w14:textFill>
            <w14:solidFill>
              <w14:schemeClr w14:val="tx1"/>
            </w14:solidFill>
          </w14:textFill>
        </w:rPr>
        <w:t>87</w:t>
      </w:r>
      <w:r>
        <w:rPr>
          <w:rFonts w:hint="eastAsia" w:ascii="Times New Roman" w:hAnsi="Times New Roman"/>
          <w:color w:val="000000" w:themeColor="text1"/>
          <w:szCs w:val="21"/>
          <w14:textFill>
            <w14:solidFill>
              <w14:schemeClr w14:val="tx1"/>
            </w14:solidFill>
          </w14:textFill>
        </w:rPr>
        <w:t>号</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等有关规定，</w:t>
      </w:r>
      <w:bookmarkStart w:id="24" w:name="代理机构"/>
      <w:r>
        <w:rPr>
          <w:rFonts w:hint="eastAsia" w:ascii="Times New Roman" w:hAnsi="Times New Roman"/>
          <w:color w:val="000000" w:themeColor="text1"/>
          <w:szCs w:val="21"/>
          <w14:textFill>
            <w14:solidFill>
              <w14:schemeClr w14:val="tx1"/>
            </w14:solidFill>
          </w14:textFill>
        </w:rPr>
        <w:t>杭州政智经济信息咨询有限公司</w:t>
      </w:r>
      <w:bookmarkEnd w:id="24"/>
      <w:r>
        <w:rPr>
          <w:rFonts w:hint="eastAsia" w:ascii="Times New Roman" w:hAnsi="Times New Roman"/>
          <w:color w:val="000000" w:themeColor="text1"/>
          <w:szCs w:val="21"/>
          <w14:textFill>
            <w14:solidFill>
              <w14:schemeClr w14:val="tx1"/>
            </w14:solidFill>
          </w14:textFill>
        </w:rPr>
        <w:t>受杭州大江东产业集聚区公路管理所的委托，对</w:t>
      </w:r>
      <w:bookmarkStart w:id="25" w:name="项目名称"/>
      <w:r>
        <w:rPr>
          <w:rFonts w:hint="eastAsia" w:ascii="Times New Roman" w:hAnsi="Times New Roman"/>
          <w:color w:val="000000" w:themeColor="text1"/>
          <w:szCs w:val="21"/>
          <w14:textFill>
            <w14:solidFill>
              <w14:schemeClr w14:val="tx1"/>
            </w14:solidFill>
          </w14:textFill>
        </w:rPr>
        <w:t>艮山东路过江隧道工程</w:t>
      </w:r>
      <w:r>
        <w:rPr>
          <w:rFonts w:ascii="Times New Roman" w:hAnsi="Times New Roman"/>
          <w:color w:val="000000" w:themeColor="text1"/>
          <w:szCs w:val="21"/>
          <w14:textFill>
            <w14:solidFill>
              <w14:schemeClr w14:val="tx1"/>
            </w14:solidFill>
          </w14:textFill>
        </w:rPr>
        <w:t>PPP</w:t>
      </w:r>
      <w:r>
        <w:rPr>
          <w:rFonts w:hint="eastAsia" w:ascii="Times New Roman" w:hAnsi="Times New Roman"/>
          <w:color w:val="000000" w:themeColor="text1"/>
          <w:szCs w:val="21"/>
          <w14:textFill>
            <w14:solidFill>
              <w14:schemeClr w14:val="tx1"/>
            </w14:solidFill>
          </w14:textFill>
        </w:rPr>
        <w:t>项目</w:t>
      </w:r>
      <w:bookmarkEnd w:id="25"/>
      <w:r>
        <w:rPr>
          <w:rFonts w:hint="eastAsia" w:ascii="Times New Roman" w:hAnsi="Times New Roman"/>
          <w:color w:val="000000" w:themeColor="text1"/>
          <w:szCs w:val="21"/>
          <w14:textFill>
            <w14:solidFill>
              <w14:schemeClr w14:val="tx1"/>
            </w14:solidFill>
          </w14:textFill>
        </w:rPr>
        <w:t>进行公开招标采购社会资本。本项目现邀请通过资格预审的潜在投标人就</w:t>
      </w:r>
      <w:bookmarkStart w:id="26" w:name="采购项目名称"/>
      <w:r>
        <w:rPr>
          <w:rFonts w:hint="eastAsia" w:ascii="Times New Roman" w:hAnsi="Times New Roman"/>
          <w:color w:val="000000" w:themeColor="text1"/>
          <w:szCs w:val="21"/>
          <w14:textFill>
            <w14:solidFill>
              <w14:schemeClr w14:val="tx1"/>
            </w14:solidFill>
          </w14:textFill>
        </w:rPr>
        <w:t>艮山东路过江隧道工程</w:t>
      </w:r>
      <w:r>
        <w:rPr>
          <w:rFonts w:ascii="Times New Roman" w:hAnsi="Times New Roman"/>
          <w:color w:val="000000" w:themeColor="text1"/>
          <w:szCs w:val="21"/>
          <w14:textFill>
            <w14:solidFill>
              <w14:schemeClr w14:val="tx1"/>
            </w14:solidFill>
          </w14:textFill>
        </w:rPr>
        <w:t>PPP</w:t>
      </w:r>
      <w:r>
        <w:rPr>
          <w:rFonts w:hint="eastAsia" w:ascii="Times New Roman" w:hAnsi="Times New Roman"/>
          <w:color w:val="000000" w:themeColor="text1"/>
          <w:szCs w:val="21"/>
          <w14:textFill>
            <w14:solidFill>
              <w14:schemeClr w14:val="tx1"/>
            </w14:solidFill>
          </w14:textFill>
        </w:rPr>
        <w:t>项目社会资本采购</w:t>
      </w:r>
      <w:bookmarkEnd w:id="26"/>
      <w:r>
        <w:rPr>
          <w:rFonts w:hint="eastAsia" w:ascii="Times New Roman" w:hAnsi="Times New Roman"/>
          <w:color w:val="000000" w:themeColor="text1"/>
          <w:szCs w:val="21"/>
          <w14:textFill>
            <w14:solidFill>
              <w14:schemeClr w14:val="tx1"/>
            </w14:solidFill>
          </w14:textFill>
        </w:rPr>
        <w:t>提交密封投标</w:t>
      </w:r>
      <w:r>
        <w:rPr>
          <w:rFonts w:hint="eastAsia" w:ascii="Times New Roman" w:hAnsi="Times New Roman"/>
          <w:color w:val="000000" w:themeColor="text1"/>
          <w14:textFill>
            <w14:solidFill>
              <w14:schemeClr w14:val="tx1"/>
            </w14:solidFill>
          </w14:textFill>
        </w:rPr>
        <w:t>文件。</w:t>
      </w:r>
    </w:p>
    <w:p>
      <w:pPr>
        <w:spacing w:line="360"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一、采购项目编号：</w:t>
      </w:r>
      <w:r>
        <w:rPr>
          <w:rFonts w:ascii="Times New Roman" w:hAnsi="Times New Roman"/>
          <w:b/>
          <w:color w:val="000000" w:themeColor="text1"/>
          <w14:textFill>
            <w14:solidFill>
              <w14:schemeClr w14:val="tx1"/>
            </w14:solidFill>
          </w14:textFill>
        </w:rPr>
        <w:t>JDCG2018-GK-084</w:t>
      </w: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二、项目名称：</w:t>
      </w:r>
      <w:r>
        <w:rPr>
          <w:rFonts w:ascii="Times New Roman" w:hAnsi="Times New Roman"/>
          <w:color w:val="000000" w:themeColor="text1"/>
          <w:szCs w:val="21"/>
          <w14:textFill>
            <w14:solidFill>
              <w14:schemeClr w14:val="tx1"/>
            </w14:solidFill>
          </w14:textFill>
        </w:rPr>
        <w:fldChar w:fldCharType="begin"/>
      </w:r>
      <w:r>
        <w:rPr>
          <w:rFonts w:ascii="Times New Roman" w:hAnsi="Times New Roman"/>
          <w:b/>
          <w:color w:val="000000" w:themeColor="text1"/>
          <w14:textFill>
            <w14:solidFill>
              <w14:schemeClr w14:val="tx1"/>
            </w14:solidFill>
          </w14:textFill>
        </w:rPr>
        <w:instrText xml:space="preserve"> REF </w:instrText>
      </w:r>
      <w:r>
        <w:rPr>
          <w:rFonts w:hint="eastAsia" w:ascii="Times New Roman" w:hAnsi="Times New Roman"/>
          <w:b/>
          <w:color w:val="000000" w:themeColor="text1"/>
          <w14:textFill>
            <w14:solidFill>
              <w14:schemeClr w14:val="tx1"/>
            </w14:solidFill>
          </w14:textFill>
        </w:rPr>
        <w:instrText xml:space="preserve">采购项目名称</w:instrText>
      </w:r>
      <w:r>
        <w:rPr>
          <w:rFonts w:ascii="Times New Roman" w:hAnsi="Times New Roman"/>
          <w:b/>
          <w:color w:val="000000" w:themeColor="text1"/>
          <w14:textFill>
            <w14:solidFill>
              <w14:schemeClr w14:val="tx1"/>
            </w14:solidFill>
          </w14:textFill>
        </w:rPr>
        <w:instrText xml:space="preserve"> \h  \* MERGEFORMAT </w:instrText>
      </w:r>
      <w:r>
        <w:rPr>
          <w:rFonts w:ascii="Times New Roman" w:hAnsi="Times New Roman"/>
          <w:color w:val="000000" w:themeColor="text1"/>
          <w:szCs w:val="21"/>
          <w14:textFill>
            <w14:solidFill>
              <w14:schemeClr w14:val="tx1"/>
            </w14:solidFill>
          </w14:textFill>
        </w:rPr>
        <w:fldChar w:fldCharType="separate"/>
      </w:r>
      <w:r>
        <w:rPr>
          <w:rFonts w:hint="eastAsia" w:ascii="Times New Roman" w:hAnsi="Times New Roman"/>
          <w:color w:val="000000" w:themeColor="text1"/>
          <w:szCs w:val="21"/>
          <w14:textFill>
            <w14:solidFill>
              <w14:schemeClr w14:val="tx1"/>
            </w14:solidFill>
          </w14:textFill>
        </w:rPr>
        <w:t>艮山东路过江隧道工程</w:t>
      </w:r>
      <w:r>
        <w:rPr>
          <w:rFonts w:ascii="Times New Roman" w:hAnsi="Times New Roman"/>
          <w:color w:val="000000" w:themeColor="text1"/>
          <w:szCs w:val="21"/>
          <w14:textFill>
            <w14:solidFill>
              <w14:schemeClr w14:val="tx1"/>
            </w14:solidFill>
          </w14:textFill>
        </w:rPr>
        <w:t>PPP</w:t>
      </w:r>
      <w:r>
        <w:rPr>
          <w:rFonts w:hint="eastAsia" w:ascii="Times New Roman" w:hAnsi="Times New Roman"/>
          <w:color w:val="000000" w:themeColor="text1"/>
          <w:szCs w:val="21"/>
          <w14:textFill>
            <w14:solidFill>
              <w14:schemeClr w14:val="tx1"/>
            </w14:solidFill>
          </w14:textFill>
        </w:rPr>
        <w:t>项目社会资本采购</w:t>
      </w:r>
      <w:r>
        <w:rPr>
          <w:rFonts w:ascii="Times New Roman" w:hAnsi="Times New Roman"/>
          <w:color w:val="000000" w:themeColor="text1"/>
          <w:szCs w:val="21"/>
          <w14:textFill>
            <w14:solidFill>
              <w14:schemeClr w14:val="tx1"/>
            </w14:solidFill>
          </w14:textFill>
        </w:rPr>
        <w:fldChar w:fldCharType="end"/>
      </w: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三、采购内容：</w:t>
      </w:r>
      <w:r>
        <w:rPr>
          <w:rFonts w:hint="eastAsia" w:ascii="Times New Roman" w:hAnsi="Times New Roman"/>
          <w:color w:val="000000" w:themeColor="text1"/>
          <w14:textFill>
            <w14:solidFill>
              <w14:schemeClr w14:val="tx1"/>
            </w14:solidFill>
          </w14:textFill>
        </w:rPr>
        <w:t>详见招标文件。</w:t>
      </w: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四、采购组织类型：</w:t>
      </w:r>
      <w:r>
        <w:rPr>
          <w:rFonts w:hint="eastAsia" w:ascii="Times New Roman" w:hAnsi="Times New Roman"/>
          <w:color w:val="000000" w:themeColor="text1"/>
          <w14:textFill>
            <w14:solidFill>
              <w14:schemeClr w14:val="tx1"/>
            </w14:solidFill>
          </w14:textFill>
        </w:rPr>
        <w:t>分散采购</w:t>
      </w: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五、采购方式：</w:t>
      </w:r>
      <w:r>
        <w:rPr>
          <w:rFonts w:hint="eastAsia" w:ascii="Times New Roman" w:hAnsi="Times New Roman"/>
          <w:color w:val="000000" w:themeColor="text1"/>
          <w14:textFill>
            <w14:solidFill>
              <w14:schemeClr w14:val="tx1"/>
            </w14:solidFill>
          </w14:textFill>
        </w:rPr>
        <w:t>公开招标</w:t>
      </w:r>
    </w:p>
    <w:p>
      <w:pPr>
        <w:spacing w:line="360"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六、公告期限：</w:t>
      </w:r>
      <w:r>
        <w:rPr>
          <w:rFonts w:ascii="Times New Roman" w:hAnsi="Times New Roman"/>
          <w:b/>
          <w:color w:val="000000" w:themeColor="text1"/>
          <w14:textFill>
            <w14:solidFill>
              <w14:schemeClr w14:val="tx1"/>
            </w14:solidFill>
          </w14:textFill>
        </w:rPr>
        <w:t>2018</w:t>
      </w:r>
      <w:r>
        <w:rPr>
          <w:rFonts w:hint="eastAsia" w:ascii="Times New Roman" w:hAnsi="Times New Roman"/>
          <w:b/>
          <w:color w:val="000000" w:themeColor="text1"/>
          <w14:textFill>
            <w14:solidFill>
              <w14:schemeClr w14:val="tx1"/>
            </w14:solidFill>
          </w14:textFill>
        </w:rPr>
        <w:t>年</w:t>
      </w:r>
      <w:r>
        <w:rPr>
          <w:rFonts w:ascii="Times New Roman" w:hAnsi="Times New Roman"/>
          <w:b/>
          <w:color w:val="000000" w:themeColor="text1"/>
          <w14:textFill>
            <w14:solidFill>
              <w14:schemeClr w14:val="tx1"/>
            </w14:solidFill>
          </w14:textFill>
        </w:rPr>
        <w:t xml:space="preserve"> 9 </w:t>
      </w:r>
      <w:r>
        <w:rPr>
          <w:rFonts w:hint="eastAsia" w:ascii="Times New Roman" w:hAnsi="Times New Roman"/>
          <w:b/>
          <w:color w:val="000000" w:themeColor="text1"/>
          <w14:textFill>
            <w14:solidFill>
              <w14:schemeClr w14:val="tx1"/>
            </w14:solidFill>
          </w14:textFill>
        </w:rPr>
        <w:t>月</w:t>
      </w:r>
      <w:r>
        <w:rPr>
          <w:rFonts w:ascii="Times New Roman" w:hAnsi="Times New Roman"/>
          <w:b/>
          <w:color w:val="000000" w:themeColor="text1"/>
          <w14:textFill>
            <w14:solidFill>
              <w14:schemeClr w14:val="tx1"/>
            </w14:solidFill>
          </w14:textFill>
        </w:rPr>
        <w:t xml:space="preserve"> 22 </w:t>
      </w:r>
      <w:r>
        <w:rPr>
          <w:rFonts w:hint="eastAsia" w:ascii="Times New Roman" w:hAnsi="Times New Roman"/>
          <w:b/>
          <w:color w:val="000000" w:themeColor="text1"/>
          <w14:textFill>
            <w14:solidFill>
              <w14:schemeClr w14:val="tx1"/>
            </w14:solidFill>
          </w14:textFill>
        </w:rPr>
        <w:t>日至</w:t>
      </w:r>
      <w:r>
        <w:rPr>
          <w:rFonts w:ascii="Times New Roman" w:hAnsi="Times New Roman"/>
          <w:b/>
          <w:color w:val="000000" w:themeColor="text1"/>
          <w14:textFill>
            <w14:solidFill>
              <w14:schemeClr w14:val="tx1"/>
            </w14:solidFill>
          </w14:textFill>
        </w:rPr>
        <w:t>2018</w:t>
      </w:r>
      <w:r>
        <w:rPr>
          <w:rFonts w:hint="eastAsia" w:ascii="Times New Roman" w:hAnsi="Times New Roman"/>
          <w:b/>
          <w:color w:val="000000" w:themeColor="text1"/>
          <w14:textFill>
            <w14:solidFill>
              <w14:schemeClr w14:val="tx1"/>
            </w14:solidFill>
          </w14:textFill>
        </w:rPr>
        <w:t>年</w:t>
      </w:r>
      <w:r>
        <w:rPr>
          <w:rFonts w:ascii="Times New Roman" w:hAnsi="Times New Roman"/>
          <w:b/>
          <w:color w:val="000000" w:themeColor="text1"/>
          <w14:textFill>
            <w14:solidFill>
              <w14:schemeClr w14:val="tx1"/>
            </w14:solidFill>
          </w14:textFill>
        </w:rPr>
        <w:t xml:space="preserve"> 10 </w:t>
      </w:r>
      <w:r>
        <w:rPr>
          <w:rFonts w:hint="eastAsia" w:ascii="Times New Roman" w:hAnsi="Times New Roman"/>
          <w:b/>
          <w:color w:val="000000" w:themeColor="text1"/>
          <w14:textFill>
            <w14:solidFill>
              <w14:schemeClr w14:val="tx1"/>
            </w14:solidFill>
          </w14:textFill>
        </w:rPr>
        <w:t>月</w:t>
      </w:r>
      <w:r>
        <w:rPr>
          <w:rFonts w:ascii="Times New Roman" w:hAnsi="Times New Roman"/>
          <w:b/>
          <w:color w:val="000000" w:themeColor="text1"/>
          <w14:textFill>
            <w14:solidFill>
              <w14:schemeClr w14:val="tx1"/>
            </w14:solidFill>
          </w14:textFill>
        </w:rPr>
        <w:t xml:space="preserve"> 8 </w:t>
      </w:r>
      <w:r>
        <w:rPr>
          <w:rFonts w:hint="eastAsia" w:ascii="Times New Roman" w:hAnsi="Times New Roman"/>
          <w:b/>
          <w:color w:val="000000" w:themeColor="text1"/>
          <w14:textFill>
            <w14:solidFill>
              <w14:schemeClr w14:val="tx1"/>
            </w14:solidFill>
          </w14:textFill>
        </w:rPr>
        <w:t>日</w:t>
      </w:r>
    </w:p>
    <w:p>
      <w:pPr>
        <w:spacing w:line="360"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七、项目概况</w:t>
      </w:r>
    </w:p>
    <w:p>
      <w:pPr>
        <w:spacing w:before="120" w:beforeLines="50" w:after="120" w:afterLines="50" w:line="360" w:lineRule="auto"/>
        <w:ind w:firstLine="480" w:firstLineChars="200"/>
        <w:rPr>
          <w:rFonts w:ascii="宋体" w:hAnsi="宋体"/>
          <w:color w:val="000000"/>
          <w:sz w:val="24"/>
          <w:szCs w:val="28"/>
        </w:rPr>
      </w:pPr>
      <w:r>
        <w:rPr>
          <w:rFonts w:hint="eastAsia" w:ascii="宋体" w:hAnsi="宋体"/>
          <w:color w:val="000000"/>
          <w:sz w:val="24"/>
          <w:szCs w:val="28"/>
        </w:rPr>
        <w:t>（</w:t>
      </w:r>
      <w:r>
        <w:rPr>
          <w:rFonts w:ascii="宋体" w:hAnsi="宋体"/>
          <w:color w:val="000000"/>
          <w:sz w:val="24"/>
          <w:szCs w:val="28"/>
        </w:rPr>
        <w:t>1）项目建设规模</w:t>
      </w:r>
    </w:p>
    <w:p>
      <w:pPr>
        <w:spacing w:before="120" w:beforeLines="50" w:after="120" w:afterLines="50" w:line="360" w:lineRule="auto"/>
        <w:ind w:firstLine="480" w:firstLineChars="200"/>
        <w:rPr>
          <w:rFonts w:ascii="宋体" w:hAnsi="宋体"/>
          <w:color w:val="000000"/>
          <w:sz w:val="24"/>
          <w:szCs w:val="28"/>
        </w:rPr>
      </w:pPr>
      <w:r>
        <w:rPr>
          <w:rFonts w:hint="eastAsia" w:ascii="宋体" w:hAnsi="宋体"/>
          <w:color w:val="000000"/>
          <w:sz w:val="24"/>
          <w:szCs w:val="28"/>
        </w:rPr>
        <w:t>艮山东路过江隧道西起下沙艾博生物医药有限公司南侧，东至大江东滨江二路，工程总用地面积约</w:t>
      </w:r>
      <w:r>
        <w:rPr>
          <w:rFonts w:ascii="宋体" w:hAnsi="宋体"/>
          <w:color w:val="000000"/>
          <w:sz w:val="24"/>
          <w:szCs w:val="28"/>
        </w:rPr>
        <w:t>9.535公顷。项目建设内容包括过江隧道、综合管廊、地面接线工程及配套附属工程建设。工程全长4600米（含地面接线道路），其中隧道段长约4450米（含盾构段长约3210米），隧道盾构段外径14.5米，内径13.3米，车道净高4.5米，双向6车道设置，主线设计时速80公里/小时，匝道设计时速40公里/小时。附设平行匝道一对，风塔两座，管理用房一处建筑面积约2235平方米。管廊单独敷设段长约1600米（以实测为准），过江盾构段与隧道主体合建。</w:t>
      </w:r>
    </w:p>
    <w:p>
      <w:pPr>
        <w:spacing w:before="120" w:beforeLines="50" w:after="120" w:afterLines="50" w:line="360" w:lineRule="auto"/>
        <w:ind w:firstLine="480" w:firstLineChars="200"/>
        <w:rPr>
          <w:rFonts w:ascii="宋体" w:hAnsi="宋体"/>
          <w:color w:val="000000"/>
          <w:sz w:val="24"/>
          <w:szCs w:val="28"/>
        </w:rPr>
      </w:pPr>
      <w:r>
        <w:rPr>
          <w:rFonts w:hint="eastAsia" w:ascii="宋体" w:hAnsi="宋体"/>
          <w:color w:val="000000"/>
          <w:sz w:val="24"/>
          <w:szCs w:val="28"/>
        </w:rPr>
        <w:t>（</w:t>
      </w:r>
      <w:r>
        <w:rPr>
          <w:rFonts w:ascii="宋体" w:hAnsi="宋体"/>
          <w:color w:val="000000"/>
          <w:sz w:val="24"/>
          <w:szCs w:val="28"/>
        </w:rPr>
        <w:t>2）项目投资规模</w:t>
      </w:r>
    </w:p>
    <w:p>
      <w:pPr>
        <w:spacing w:before="120" w:beforeLines="50" w:after="120" w:afterLines="50" w:line="360" w:lineRule="auto"/>
        <w:ind w:firstLine="480" w:firstLineChars="200"/>
        <w:rPr>
          <w:rFonts w:ascii="宋体" w:hAnsi="宋体"/>
          <w:color w:val="000000"/>
          <w:sz w:val="24"/>
          <w:szCs w:val="28"/>
        </w:rPr>
      </w:pPr>
      <w:r>
        <w:rPr>
          <w:rFonts w:hint="eastAsia" w:ascii="宋体" w:hAnsi="宋体"/>
          <w:color w:val="000000"/>
          <w:sz w:val="24"/>
          <w:szCs w:val="28"/>
        </w:rPr>
        <w:t>本项目可行性研究报告批复估算总投资</w:t>
      </w:r>
      <w:r>
        <w:rPr>
          <w:rFonts w:ascii="宋体" w:hAnsi="宋体"/>
          <w:color w:val="000000"/>
          <w:sz w:val="24"/>
          <w:szCs w:val="28"/>
        </w:rPr>
        <w:t>441988.58万元，其中工程费用366333.43万元，工程建设其他费用42915.26万元，预备费32739.89万元。</w:t>
      </w:r>
    </w:p>
    <w:p>
      <w:pPr>
        <w:spacing w:before="120" w:beforeLines="50" w:after="120" w:afterLines="50" w:line="360" w:lineRule="auto"/>
        <w:ind w:firstLine="480" w:firstLineChars="200"/>
        <w:rPr>
          <w:rFonts w:ascii="宋体" w:hAnsi="宋体"/>
          <w:color w:val="000000"/>
          <w:sz w:val="24"/>
          <w:szCs w:val="28"/>
        </w:rPr>
      </w:pPr>
      <w:r>
        <w:rPr>
          <w:rFonts w:hint="eastAsia" w:ascii="宋体" w:hAnsi="宋体"/>
          <w:color w:val="000000"/>
          <w:sz w:val="24"/>
          <w:szCs w:val="28"/>
        </w:rPr>
        <w:t>纳入</w:t>
      </w:r>
      <w:r>
        <w:rPr>
          <w:rFonts w:ascii="宋体" w:hAnsi="宋体"/>
          <w:color w:val="000000"/>
          <w:sz w:val="24"/>
          <w:szCs w:val="28"/>
        </w:rPr>
        <w:t>PPP项目的建设投资包括工程费用366333.43万元，工程建设其他费用42915.26万元，预备费32739.89万元，合计441988.58万元</w:t>
      </w:r>
      <w:r>
        <w:rPr>
          <w:rFonts w:hint="eastAsia" w:ascii="宋体" w:hAnsi="宋体"/>
          <w:color w:val="000000"/>
          <w:sz w:val="24"/>
          <w:szCs w:val="28"/>
        </w:rPr>
        <w:t>（暂定）。</w:t>
      </w:r>
    </w:p>
    <w:p>
      <w:pPr>
        <w:spacing w:line="360" w:lineRule="auto"/>
        <w:rPr>
          <w:rFonts w:ascii="宋体" w:hAnsi="宋体"/>
          <w:b/>
          <w:color w:val="000000"/>
          <w:sz w:val="24"/>
          <w:szCs w:val="28"/>
        </w:rPr>
      </w:pPr>
      <w:r>
        <w:rPr>
          <w:rFonts w:hint="eastAsia" w:ascii="宋体" w:hAnsi="宋体"/>
          <w:b/>
          <w:color w:val="000000"/>
          <w:sz w:val="24"/>
          <w:szCs w:val="28"/>
        </w:rPr>
        <w:t>八、采购需求</w:t>
      </w:r>
    </w:p>
    <w:p>
      <w:pPr>
        <w:spacing w:line="360" w:lineRule="auto"/>
        <w:ind w:firstLine="480" w:firstLineChars="200"/>
        <w:rPr>
          <w:rFonts w:ascii="宋体" w:hAnsi="宋体"/>
          <w:color w:val="000000"/>
          <w:sz w:val="24"/>
          <w:szCs w:val="28"/>
        </w:rPr>
      </w:pPr>
      <w:bookmarkStart w:id="27" w:name="_Hlk481505330"/>
      <w:r>
        <w:rPr>
          <w:rFonts w:hint="eastAsia" w:ascii="宋体" w:hAnsi="宋体"/>
          <w:color w:val="000000"/>
          <w:sz w:val="24"/>
          <w:szCs w:val="28"/>
        </w:rPr>
        <w:t>本项目拟采用“</w:t>
      </w:r>
      <w:r>
        <w:rPr>
          <w:rFonts w:ascii="宋体" w:hAnsi="宋体"/>
          <w:color w:val="000000"/>
          <w:sz w:val="24"/>
          <w:szCs w:val="28"/>
        </w:rPr>
        <w:t>BOT”（建设-运营-移交）的运作方式。</w:t>
      </w:r>
    </w:p>
    <w:bookmarkEnd w:id="27"/>
    <w:p>
      <w:pPr>
        <w:spacing w:line="360" w:lineRule="auto"/>
        <w:ind w:firstLine="480" w:firstLineChars="200"/>
        <w:rPr>
          <w:rFonts w:ascii="宋体" w:hAnsi="宋体"/>
          <w:color w:val="000000"/>
          <w:sz w:val="24"/>
          <w:szCs w:val="28"/>
        </w:rPr>
      </w:pPr>
      <w:bookmarkStart w:id="28" w:name="_Hlk481505344"/>
      <w:r>
        <w:rPr>
          <w:rFonts w:ascii="宋体" w:hAnsi="宋体"/>
          <w:color w:val="000000"/>
          <w:sz w:val="24"/>
          <w:szCs w:val="28"/>
        </w:rPr>
        <w:t>项</w:t>
      </w:r>
      <w:bookmarkStart w:id="29" w:name="_Hlk483674718"/>
      <w:r>
        <w:rPr>
          <w:rFonts w:ascii="宋体" w:hAnsi="宋体"/>
          <w:color w:val="000000"/>
          <w:sz w:val="24"/>
          <w:szCs w:val="28"/>
        </w:rPr>
        <w:t>目实施机构通过</w:t>
      </w:r>
      <w:r>
        <w:rPr>
          <w:rFonts w:hint="eastAsia" w:ascii="宋体" w:hAnsi="宋体"/>
          <w:color w:val="000000"/>
          <w:sz w:val="24"/>
          <w:szCs w:val="28"/>
        </w:rPr>
        <w:t>公开招标方式采购</w:t>
      </w:r>
      <w:r>
        <w:rPr>
          <w:rFonts w:ascii="宋体" w:hAnsi="宋体"/>
          <w:color w:val="000000"/>
          <w:sz w:val="24"/>
          <w:szCs w:val="28"/>
        </w:rPr>
        <w:t>确定</w:t>
      </w:r>
      <w:r>
        <w:rPr>
          <w:rFonts w:hint="eastAsia" w:ascii="宋体" w:hAnsi="宋体"/>
          <w:color w:val="000000"/>
          <w:sz w:val="24"/>
          <w:szCs w:val="28"/>
        </w:rPr>
        <w:t>合作社会资本，签订</w:t>
      </w:r>
      <w:r>
        <w:rPr>
          <w:rFonts w:ascii="宋体" w:hAnsi="宋体"/>
          <w:color w:val="000000"/>
          <w:sz w:val="24"/>
          <w:szCs w:val="28"/>
        </w:rPr>
        <w:t>PPP项目合作合同。中标社会资本</w:t>
      </w:r>
      <w:r>
        <w:rPr>
          <w:rFonts w:hint="eastAsia" w:ascii="宋体" w:hAnsi="宋体"/>
          <w:color w:val="000000"/>
          <w:sz w:val="24"/>
          <w:szCs w:val="28"/>
        </w:rPr>
        <w:t>方</w:t>
      </w:r>
      <w:r>
        <w:rPr>
          <w:rFonts w:ascii="宋体" w:hAnsi="宋体"/>
          <w:color w:val="000000"/>
          <w:sz w:val="24"/>
          <w:szCs w:val="28"/>
        </w:rPr>
        <w:t>按相关要求及响应全资组建项目公司，项目公司与实施机构签订PPP项目合同。项目公司按照合同约定负责</w:t>
      </w:r>
      <w:r>
        <w:rPr>
          <w:rFonts w:hint="eastAsia" w:ascii="宋体" w:hAnsi="宋体"/>
          <w:color w:val="000000"/>
          <w:sz w:val="24"/>
          <w:szCs w:val="28"/>
        </w:rPr>
        <w:t>本</w:t>
      </w:r>
      <w:r>
        <w:rPr>
          <w:rFonts w:ascii="宋体" w:hAnsi="宋体"/>
          <w:color w:val="000000"/>
          <w:sz w:val="24"/>
          <w:szCs w:val="28"/>
        </w:rPr>
        <w:t>项目</w:t>
      </w:r>
      <w:r>
        <w:rPr>
          <w:rFonts w:hint="eastAsia" w:ascii="宋体" w:hAnsi="宋体"/>
          <w:color w:val="000000"/>
          <w:sz w:val="24"/>
          <w:szCs w:val="28"/>
        </w:rPr>
        <w:t>范围内的</w:t>
      </w:r>
      <w:r>
        <w:rPr>
          <w:rFonts w:ascii="宋体" w:hAnsi="宋体"/>
          <w:color w:val="000000"/>
          <w:sz w:val="24"/>
          <w:szCs w:val="28"/>
        </w:rPr>
        <w:t>建设、</w:t>
      </w:r>
      <w:r>
        <w:rPr>
          <w:rFonts w:hint="eastAsia" w:ascii="宋体" w:hAnsi="宋体"/>
          <w:color w:val="000000"/>
          <w:sz w:val="24"/>
          <w:szCs w:val="28"/>
        </w:rPr>
        <w:t>投</w:t>
      </w:r>
      <w:r>
        <w:rPr>
          <w:rFonts w:hint="eastAsia" w:ascii="宋体" w:hAnsi="宋体"/>
          <w:sz w:val="24"/>
          <w:szCs w:val="28"/>
        </w:rPr>
        <w:t>融资、</w:t>
      </w:r>
      <w:r>
        <w:rPr>
          <w:rFonts w:hint="eastAsia" w:ascii="宋体" w:hAnsi="宋体"/>
          <w:color w:val="000000"/>
          <w:sz w:val="24"/>
          <w:szCs w:val="28"/>
        </w:rPr>
        <w:t>运营</w:t>
      </w:r>
      <w:r>
        <w:rPr>
          <w:rFonts w:ascii="宋体" w:hAnsi="宋体"/>
          <w:color w:val="000000"/>
          <w:sz w:val="24"/>
          <w:szCs w:val="28"/>
        </w:rPr>
        <w:t>维</w:t>
      </w:r>
      <w:r>
        <w:rPr>
          <w:rFonts w:hint="eastAsia" w:ascii="宋体" w:hAnsi="宋体"/>
          <w:color w:val="000000"/>
          <w:sz w:val="24"/>
          <w:szCs w:val="28"/>
        </w:rPr>
        <w:t>护和</w:t>
      </w:r>
      <w:r>
        <w:rPr>
          <w:rFonts w:ascii="宋体" w:hAnsi="宋体"/>
          <w:color w:val="000000"/>
          <w:sz w:val="24"/>
          <w:szCs w:val="28"/>
        </w:rPr>
        <w:t>移交</w:t>
      </w:r>
      <w:r>
        <w:rPr>
          <w:rFonts w:hint="eastAsia" w:ascii="宋体" w:hAnsi="宋体"/>
          <w:color w:val="000000"/>
          <w:sz w:val="24"/>
          <w:szCs w:val="28"/>
        </w:rPr>
        <w:t>工作。</w:t>
      </w:r>
    </w:p>
    <w:p>
      <w:pPr>
        <w:spacing w:line="360" w:lineRule="auto"/>
        <w:ind w:firstLine="480" w:firstLineChars="200"/>
        <w:rPr>
          <w:rFonts w:ascii="宋体" w:hAnsi="宋体"/>
          <w:color w:val="000000"/>
          <w:sz w:val="24"/>
          <w:szCs w:val="28"/>
        </w:rPr>
      </w:pPr>
      <w:r>
        <w:rPr>
          <w:rFonts w:hint="eastAsia" w:ascii="宋体" w:hAnsi="宋体"/>
          <w:color w:val="000000"/>
          <w:sz w:val="24"/>
          <w:szCs w:val="28"/>
        </w:rPr>
        <w:t>合作期：建设期</w:t>
      </w:r>
      <w:r>
        <w:rPr>
          <w:rFonts w:ascii="宋体" w:hAnsi="宋体"/>
          <w:color w:val="000000"/>
          <w:sz w:val="24"/>
          <w:szCs w:val="28"/>
        </w:rPr>
        <w:t>38</w:t>
      </w:r>
      <w:r>
        <w:rPr>
          <w:rFonts w:hint="eastAsia" w:ascii="宋体" w:hAnsi="宋体"/>
          <w:color w:val="000000"/>
          <w:sz w:val="24"/>
          <w:szCs w:val="28"/>
        </w:rPr>
        <w:t>个月，运营期</w:t>
      </w:r>
      <w:r>
        <w:rPr>
          <w:rFonts w:ascii="宋体" w:hAnsi="宋体"/>
          <w:color w:val="000000"/>
          <w:sz w:val="24"/>
          <w:szCs w:val="28"/>
        </w:rPr>
        <w:t>20</w:t>
      </w:r>
      <w:r>
        <w:rPr>
          <w:rFonts w:hint="eastAsia" w:ascii="宋体" w:hAnsi="宋体"/>
          <w:color w:val="000000"/>
          <w:sz w:val="24"/>
          <w:szCs w:val="28"/>
        </w:rPr>
        <w:t>年。</w:t>
      </w:r>
    </w:p>
    <w:p>
      <w:pPr>
        <w:spacing w:line="360" w:lineRule="auto"/>
        <w:ind w:firstLine="480" w:firstLineChars="200"/>
        <w:rPr>
          <w:rFonts w:ascii="宋体" w:hAnsi="宋体"/>
          <w:color w:val="000000"/>
          <w:sz w:val="24"/>
          <w:szCs w:val="28"/>
        </w:rPr>
      </w:pPr>
      <w:r>
        <w:rPr>
          <w:rFonts w:ascii="宋体" w:hAnsi="宋体"/>
          <w:color w:val="000000"/>
          <w:sz w:val="24"/>
          <w:szCs w:val="28"/>
        </w:rPr>
        <w:t>合作期满后，项目公司</w:t>
      </w:r>
      <w:r>
        <w:rPr>
          <w:rFonts w:hint="eastAsia" w:ascii="宋体" w:hAnsi="宋体"/>
          <w:color w:val="000000"/>
          <w:sz w:val="24"/>
          <w:szCs w:val="28"/>
        </w:rPr>
        <w:t>按照</w:t>
      </w:r>
      <w:r>
        <w:rPr>
          <w:rFonts w:ascii="宋体" w:hAnsi="宋体"/>
          <w:color w:val="000000"/>
          <w:sz w:val="24"/>
          <w:szCs w:val="28"/>
        </w:rPr>
        <w:t>PPP合同中约定的移交程序和移交标准无偿</w:t>
      </w:r>
      <w:r>
        <w:rPr>
          <w:rFonts w:hint="eastAsia" w:ascii="宋体" w:hAnsi="宋体"/>
          <w:color w:val="000000"/>
          <w:sz w:val="24"/>
          <w:szCs w:val="28"/>
        </w:rPr>
        <w:t>将</w:t>
      </w:r>
      <w:r>
        <w:rPr>
          <w:rFonts w:ascii="宋体" w:hAnsi="宋体"/>
          <w:color w:val="000000"/>
          <w:sz w:val="24"/>
          <w:szCs w:val="28"/>
        </w:rPr>
        <w:t>项目移交</w:t>
      </w:r>
      <w:bookmarkEnd w:id="29"/>
      <w:r>
        <w:rPr>
          <w:rFonts w:ascii="宋体" w:hAnsi="宋体"/>
          <w:color w:val="000000"/>
          <w:sz w:val="24"/>
          <w:szCs w:val="28"/>
        </w:rPr>
        <w:t>实施机构或其指定的接收机构。</w:t>
      </w:r>
      <w:bookmarkEnd w:id="28"/>
    </w:p>
    <w:p>
      <w:pPr>
        <w:spacing w:line="360" w:lineRule="auto"/>
        <w:ind w:firstLine="480" w:firstLineChars="200"/>
        <w:rPr>
          <w:rFonts w:ascii="宋体" w:hAnsi="宋体"/>
          <w:color w:val="000000"/>
          <w:sz w:val="24"/>
          <w:szCs w:val="28"/>
        </w:rPr>
      </w:pPr>
      <w:r>
        <w:rPr>
          <w:rFonts w:ascii="宋体" w:hAnsi="宋体"/>
          <w:color w:val="000000"/>
          <w:sz w:val="24"/>
          <w:szCs w:val="28"/>
        </w:rPr>
        <w:t>项目</w:t>
      </w:r>
      <w:r>
        <w:rPr>
          <w:rFonts w:ascii="宋体" w:hAnsi="宋体"/>
          <w:sz w:val="24"/>
          <w:szCs w:val="28"/>
        </w:rPr>
        <w:t>公司由中标社会资本</w:t>
      </w:r>
      <w:r>
        <w:rPr>
          <w:rFonts w:hint="eastAsia" w:ascii="宋体" w:hAnsi="宋体"/>
          <w:sz w:val="24"/>
          <w:szCs w:val="28"/>
        </w:rPr>
        <w:t>方</w:t>
      </w:r>
      <w:r>
        <w:rPr>
          <w:rFonts w:ascii="宋体" w:hAnsi="宋体"/>
          <w:sz w:val="24"/>
          <w:szCs w:val="28"/>
        </w:rPr>
        <w:t>全资设立。项目资本金额度不低于签约投资额的20%。项目公司</w:t>
      </w:r>
      <w:r>
        <w:rPr>
          <w:rFonts w:hint="eastAsia" w:ascii="宋体" w:hAnsi="宋体"/>
          <w:sz w:val="24"/>
          <w:szCs w:val="28"/>
        </w:rPr>
        <w:t>注册资本</w:t>
      </w:r>
      <w:r>
        <w:rPr>
          <w:rFonts w:ascii="宋体" w:hAnsi="宋体"/>
          <w:sz w:val="24"/>
          <w:szCs w:val="28"/>
        </w:rPr>
        <w:t>7</w:t>
      </w:r>
      <w:r>
        <w:rPr>
          <w:rFonts w:hint="eastAsia" w:ascii="宋体" w:hAnsi="宋体"/>
          <w:sz w:val="24"/>
          <w:szCs w:val="28"/>
        </w:rPr>
        <w:t>亿元人民币。</w:t>
      </w:r>
    </w:p>
    <w:p>
      <w:pPr>
        <w:spacing w:line="360" w:lineRule="auto"/>
        <w:rPr>
          <w:rFonts w:ascii="宋体" w:hAnsi="宋体"/>
          <w:b/>
          <w:color w:val="000000"/>
          <w:sz w:val="24"/>
          <w:szCs w:val="28"/>
        </w:rPr>
      </w:pPr>
      <w:r>
        <w:rPr>
          <w:rFonts w:hint="eastAsia" w:ascii="宋体" w:hAnsi="宋体"/>
          <w:b/>
          <w:color w:val="000000"/>
          <w:sz w:val="24"/>
          <w:szCs w:val="28"/>
        </w:rPr>
        <w:t>九、本项目最高限价</w:t>
      </w:r>
    </w:p>
    <w:p>
      <w:pPr>
        <w:spacing w:line="360" w:lineRule="auto"/>
        <w:ind w:firstLine="480" w:firstLineChars="200"/>
        <w:rPr>
          <w:rFonts w:ascii="宋体" w:hAnsi="宋体"/>
          <w:color w:val="000000"/>
          <w:sz w:val="24"/>
          <w:szCs w:val="28"/>
        </w:rPr>
      </w:pPr>
      <w:r>
        <w:rPr>
          <w:rFonts w:hint="eastAsia" w:ascii="宋体" w:hAnsi="宋体"/>
          <w:color w:val="000000"/>
          <w:sz w:val="24"/>
          <w:szCs w:val="28"/>
        </w:rPr>
        <w:t>（</w:t>
      </w:r>
      <w:r>
        <w:rPr>
          <w:rFonts w:ascii="宋体" w:hAnsi="宋体"/>
          <w:color w:val="000000"/>
          <w:sz w:val="24"/>
          <w:szCs w:val="28"/>
        </w:rPr>
        <w:t>1）</w:t>
      </w:r>
      <w:r>
        <w:rPr>
          <w:rFonts w:hint="eastAsia" w:ascii="宋体" w:hAnsi="宋体"/>
          <w:color w:val="000000"/>
          <w:sz w:val="24"/>
          <w:szCs w:val="28"/>
        </w:rPr>
        <w:t>建安工程下浮率：不低于</w:t>
      </w:r>
      <w:r>
        <w:rPr>
          <w:rFonts w:ascii="宋体" w:hAnsi="宋体"/>
          <w:color w:val="000000"/>
          <w:sz w:val="24"/>
          <w:szCs w:val="28"/>
          <w:u w:val="single"/>
        </w:rPr>
        <w:t>8%</w:t>
      </w:r>
      <w:r>
        <w:rPr>
          <w:rFonts w:hint="eastAsia" w:ascii="宋体" w:hAnsi="宋体"/>
          <w:color w:val="000000"/>
          <w:sz w:val="24"/>
          <w:szCs w:val="28"/>
        </w:rPr>
        <w:t>。</w:t>
      </w:r>
    </w:p>
    <w:p>
      <w:pPr>
        <w:spacing w:line="360" w:lineRule="auto"/>
        <w:ind w:firstLine="480" w:firstLineChars="200"/>
        <w:rPr>
          <w:rFonts w:ascii="宋体" w:hAnsi="宋体"/>
          <w:color w:val="000000"/>
          <w:sz w:val="24"/>
          <w:szCs w:val="28"/>
        </w:rPr>
      </w:pPr>
      <w:r>
        <w:rPr>
          <w:rFonts w:hint="eastAsia" w:ascii="宋体" w:hAnsi="宋体"/>
          <w:color w:val="000000"/>
          <w:sz w:val="24"/>
          <w:szCs w:val="28"/>
        </w:rPr>
        <w:t>（</w:t>
      </w:r>
      <w:r>
        <w:rPr>
          <w:rFonts w:ascii="宋体" w:hAnsi="宋体"/>
          <w:color w:val="000000"/>
          <w:sz w:val="24"/>
          <w:szCs w:val="28"/>
        </w:rPr>
        <w:t>2）</w:t>
      </w:r>
      <w:r>
        <w:rPr>
          <w:rFonts w:hint="eastAsia" w:ascii="宋体" w:hAnsi="宋体"/>
          <w:color w:val="000000"/>
          <w:sz w:val="24"/>
          <w:szCs w:val="28"/>
        </w:rPr>
        <w:t>年投资回报率：中国人民银行发布的五年以上期贷款基准利率上浮不高于</w:t>
      </w:r>
      <w:r>
        <w:rPr>
          <w:rFonts w:ascii="宋体" w:hAnsi="宋体"/>
          <w:color w:val="000000"/>
          <w:sz w:val="24"/>
          <w:szCs w:val="28"/>
          <w:u w:val="single"/>
        </w:rPr>
        <w:t>35%</w:t>
      </w:r>
      <w:r>
        <w:rPr>
          <w:rFonts w:hint="eastAsia" w:ascii="宋体" w:hAnsi="宋体"/>
          <w:color w:val="000000"/>
          <w:sz w:val="24"/>
          <w:szCs w:val="28"/>
        </w:rPr>
        <w:t>，即不高于</w:t>
      </w:r>
      <w:r>
        <w:rPr>
          <w:rFonts w:ascii="宋体" w:hAnsi="宋体"/>
          <w:color w:val="000000"/>
          <w:sz w:val="24"/>
          <w:szCs w:val="28"/>
          <w:u w:val="single"/>
        </w:rPr>
        <w:t>6.615%</w:t>
      </w:r>
      <w:r>
        <w:rPr>
          <w:rFonts w:hint="eastAsia" w:ascii="宋体" w:hAnsi="宋体"/>
          <w:color w:val="000000"/>
          <w:sz w:val="24"/>
          <w:szCs w:val="28"/>
        </w:rPr>
        <w:t>。</w:t>
      </w:r>
    </w:p>
    <w:p>
      <w:pPr>
        <w:spacing w:line="360" w:lineRule="auto"/>
        <w:ind w:firstLine="480" w:firstLineChars="200"/>
        <w:rPr>
          <w:rFonts w:ascii="宋体" w:hAnsi="宋体"/>
          <w:color w:val="000000"/>
          <w:sz w:val="24"/>
          <w:szCs w:val="28"/>
        </w:rPr>
      </w:pPr>
      <w:r>
        <w:rPr>
          <w:rFonts w:hint="eastAsia" w:ascii="宋体" w:hAnsi="宋体"/>
          <w:color w:val="000000"/>
          <w:sz w:val="24"/>
          <w:szCs w:val="28"/>
        </w:rPr>
        <w:t>（</w:t>
      </w:r>
      <w:r>
        <w:rPr>
          <w:rFonts w:ascii="宋体" w:hAnsi="宋体"/>
          <w:color w:val="000000"/>
          <w:sz w:val="24"/>
          <w:szCs w:val="28"/>
        </w:rPr>
        <w:t>3）</w:t>
      </w:r>
      <w:r>
        <w:rPr>
          <w:rFonts w:hint="eastAsia" w:ascii="宋体" w:hAnsi="宋体"/>
          <w:color w:val="000000"/>
          <w:sz w:val="24"/>
          <w:szCs w:val="28"/>
        </w:rPr>
        <w:t>年运营维养成本：运营期内年运营维养成本不高于</w:t>
      </w:r>
      <w:r>
        <w:rPr>
          <w:rFonts w:ascii="宋体" w:hAnsi="宋体"/>
          <w:color w:val="000000"/>
          <w:sz w:val="24"/>
          <w:szCs w:val="28"/>
        </w:rPr>
        <w:t xml:space="preserve"> </w:t>
      </w:r>
      <w:r>
        <w:rPr>
          <w:rFonts w:ascii="宋体" w:hAnsi="宋体"/>
          <w:color w:val="000000"/>
          <w:sz w:val="24"/>
          <w:szCs w:val="28"/>
          <w:u w:val="single"/>
        </w:rPr>
        <w:t xml:space="preserve">2981.22 </w:t>
      </w:r>
      <w:r>
        <w:rPr>
          <w:rFonts w:hint="eastAsia" w:ascii="宋体" w:hAnsi="宋体"/>
          <w:color w:val="000000"/>
          <w:sz w:val="24"/>
          <w:szCs w:val="28"/>
        </w:rPr>
        <w:t>万元。</w:t>
      </w:r>
    </w:p>
    <w:p>
      <w:pPr>
        <w:spacing w:line="360"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十、投标人应具备的资格要求：</w:t>
      </w:r>
    </w:p>
    <w:p>
      <w:pPr>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响应本项目资格预审公告，通过资格预审的社会资本。</w:t>
      </w:r>
    </w:p>
    <w:p>
      <w:pPr>
        <w:spacing w:line="360" w:lineRule="auto"/>
        <w:rPr>
          <w:rFonts w:ascii="Times New Roman" w:hAnsi="Times New Roman"/>
          <w:color w:val="000000" w:themeColor="text1"/>
          <w:szCs w:val="21"/>
          <w:u w:val="single"/>
          <w14:textFill>
            <w14:solidFill>
              <w14:schemeClr w14:val="tx1"/>
            </w14:solidFill>
          </w14:textFill>
        </w:rPr>
      </w:pPr>
      <w:r>
        <w:rPr>
          <w:rFonts w:hint="eastAsia" w:ascii="Times New Roman" w:hAnsi="Times New Roman"/>
          <w:b/>
          <w:color w:val="000000" w:themeColor="text1"/>
          <w14:textFill>
            <w14:solidFill>
              <w14:schemeClr w14:val="tx1"/>
            </w14:solidFill>
          </w14:textFill>
        </w:rPr>
        <w:t>十一、招标文件获取：</w:t>
      </w:r>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 xml:space="preserve"> 9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lang w:val="en-US" w:eastAsia="zh-CN"/>
          <w14:textFill>
            <w14:solidFill>
              <w14:schemeClr w14:val="tx1"/>
            </w14:solidFill>
          </w14:textFill>
        </w:rPr>
        <w:t>2</w:t>
      </w:r>
      <w:bookmarkStart w:id="1062" w:name="_GoBack"/>
      <w:bookmarkEnd w:id="1062"/>
      <w:r>
        <w:rPr>
          <w:rFonts w:hint="eastAsia" w:ascii="Times New Roman" w:hAnsi="Times New Roman"/>
          <w:color w:val="000000" w:themeColor="text1"/>
          <w:lang w:val="en-US" w:eastAsia="zh-CN"/>
          <w14:textFill>
            <w14:solidFill>
              <w14:schemeClr w14:val="tx1"/>
            </w14:solidFill>
          </w14:textFill>
        </w:rPr>
        <w:t>5</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日至</w:t>
      </w:r>
      <w:r>
        <w:rPr>
          <w:rFonts w:ascii="Times New Roman" w:hAnsi="Times New Roman"/>
          <w:color w:val="000000" w:themeColor="text1"/>
          <w14:textFill>
            <w14:solidFill>
              <w14:schemeClr w14:val="tx1"/>
            </w14:solidFill>
          </w14:textFill>
        </w:rPr>
        <w:t xml:space="preserve"> 10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 xml:space="preserve"> 8 </w:t>
      </w:r>
      <w:r>
        <w:rPr>
          <w:rFonts w:hint="eastAsia" w:ascii="Times New Roman" w:hAnsi="Times New Roman"/>
          <w:color w:val="000000" w:themeColor="text1"/>
          <w14:textFill>
            <w14:solidFill>
              <w14:schemeClr w14:val="tx1"/>
            </w14:solidFill>
          </w14:textFill>
        </w:rPr>
        <w:t>日每日</w:t>
      </w:r>
      <w:r>
        <w:rPr>
          <w:rFonts w:ascii="Times New Roman" w:hAnsi="Times New Roman"/>
          <w:color w:val="000000" w:themeColor="text1"/>
          <w14:textFill>
            <w14:solidFill>
              <w14:schemeClr w14:val="tx1"/>
            </w14:solidFill>
          </w14:textFill>
        </w:rPr>
        <w:t>9:30-11:30</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14:00-17:00</w:t>
      </w:r>
      <w:r>
        <w:rPr>
          <w:rFonts w:hint="eastAsia" w:ascii="Times New Roman" w:hAnsi="Times New Roman"/>
          <w:color w:val="000000" w:themeColor="text1"/>
          <w14:textFill>
            <w14:solidFill>
              <w14:schemeClr w14:val="tx1"/>
            </w14:solidFill>
          </w14:textFill>
        </w:rPr>
        <w:t>（北京时间，双休日及法定节假日除外）至</w:t>
      </w:r>
      <w:r>
        <w:rPr>
          <w:rFonts w:hint="eastAsia" w:ascii="Times New Roman" w:hAnsi="Times New Roman"/>
          <w:color w:val="000000" w:themeColor="text1"/>
          <w:szCs w:val="21"/>
          <w:u w:val="single"/>
          <w14:textFill>
            <w14:solidFill>
              <w14:schemeClr w14:val="tx1"/>
            </w14:solidFill>
          </w14:textFill>
        </w:rPr>
        <w:t>杭州大江东产业集聚区办事服务中心</w:t>
      </w:r>
      <w:bookmarkStart w:id="30" w:name="_Hlk525037617"/>
      <w:r>
        <w:rPr>
          <w:rFonts w:hint="eastAsia" w:ascii="Times New Roman" w:hAnsi="Times New Roman"/>
          <w:color w:val="000000" w:themeColor="text1"/>
          <w:szCs w:val="21"/>
          <w:u w:val="single"/>
          <w14:textFill>
            <w14:solidFill>
              <w14:schemeClr w14:val="tx1"/>
            </w14:solidFill>
          </w14:textFill>
        </w:rPr>
        <w:t>四楼</w:t>
      </w:r>
      <w:r>
        <w:rPr>
          <w:rFonts w:ascii="Times New Roman" w:hAnsi="Times New Roman"/>
          <w:color w:val="000000" w:themeColor="text1"/>
          <w:szCs w:val="21"/>
          <w:u w:val="single"/>
          <w14:textFill>
            <w14:solidFill>
              <w14:schemeClr w14:val="tx1"/>
            </w14:solidFill>
          </w14:textFill>
        </w:rPr>
        <w:t>D07</w:t>
      </w:r>
      <w:r>
        <w:rPr>
          <w:rFonts w:hint="eastAsia" w:ascii="Times New Roman" w:hAnsi="Times New Roman"/>
          <w:color w:val="000000" w:themeColor="text1"/>
          <w:szCs w:val="21"/>
          <w:u w:val="single"/>
          <w14:textFill>
            <w14:solidFill>
              <w14:schemeClr w14:val="tx1"/>
            </w14:solidFill>
          </w14:textFill>
        </w:rPr>
        <w:t>号窗口</w:t>
      </w:r>
      <w:bookmarkEnd w:id="30"/>
      <w:r>
        <w:rPr>
          <w:rFonts w:hint="eastAsia" w:ascii="Times New Roman" w:hAnsi="Times New Roman"/>
          <w:color w:val="000000" w:themeColor="text1"/>
          <w:szCs w:val="21"/>
          <w:u w:val="single"/>
          <w14:textFill>
            <w14:solidFill>
              <w14:schemeClr w14:val="tx1"/>
            </w14:solidFill>
          </w14:textFill>
        </w:rPr>
        <w:t>（江东大道</w:t>
      </w:r>
      <w:r>
        <w:rPr>
          <w:rFonts w:ascii="Times New Roman" w:hAnsi="Times New Roman"/>
          <w:color w:val="000000" w:themeColor="text1"/>
          <w:szCs w:val="21"/>
          <w:u w:val="single"/>
          <w14:textFill>
            <w14:solidFill>
              <w14:schemeClr w14:val="tx1"/>
            </w14:solidFill>
          </w14:textFill>
        </w:rPr>
        <w:t>3899</w:t>
      </w:r>
      <w:r>
        <w:rPr>
          <w:rFonts w:hint="eastAsia" w:ascii="Times New Roman" w:hAnsi="Times New Roman"/>
          <w:color w:val="000000" w:themeColor="text1"/>
          <w:szCs w:val="21"/>
          <w:u w:val="single"/>
          <w14:textFill>
            <w14:solidFill>
              <w14:schemeClr w14:val="tx1"/>
            </w14:solidFill>
          </w14:textFill>
        </w:rPr>
        <w:t>号，江东大道与仓创线交叉口）报名。</w:t>
      </w:r>
    </w:p>
    <w:p>
      <w:pPr>
        <w:spacing w:line="360" w:lineRule="auto"/>
        <w:ind w:firstLine="411" w:firstLineChars="196"/>
        <w:rPr>
          <w:rFonts w:ascii="宋体" w:hAnsi="宋体"/>
          <w:color w:val="000000" w:themeColor="text1"/>
          <w:sz w:val="22"/>
          <w:szCs w:val="28"/>
          <w14:textFill>
            <w14:solidFill>
              <w14:schemeClr w14:val="tx1"/>
            </w14:solidFill>
          </w14:textFill>
        </w:rPr>
      </w:pPr>
      <w:r>
        <w:rPr>
          <w:rFonts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sz w:val="18"/>
          <w14:textFill>
            <w14:solidFill>
              <w14:schemeClr w14:val="tx1"/>
            </w14:solidFill>
          </w14:textFill>
        </w:rPr>
        <w:t xml:space="preserve"> </w:t>
      </w:r>
      <w:r>
        <w:rPr>
          <w:rFonts w:ascii="宋体" w:hAnsi="宋体"/>
          <w:color w:val="000000" w:themeColor="text1"/>
          <w:sz w:val="22"/>
          <w:szCs w:val="28"/>
          <w14:textFill>
            <w14:solidFill>
              <w14:schemeClr w14:val="tx1"/>
            </w14:solidFill>
          </w14:textFill>
        </w:rPr>
        <w:t>报名请携带以下材料：</w:t>
      </w:r>
    </w:p>
    <w:p>
      <w:pPr>
        <w:pStyle w:val="46"/>
        <w:numPr>
          <w:ilvl w:val="0"/>
          <w:numId w:val="1"/>
        </w:numPr>
        <w:spacing w:before="0" w:beforeAutospacing="0" w:after="0" w:afterAutospacing="0" w:line="360" w:lineRule="auto"/>
        <w:jc w:val="both"/>
        <w:rPr>
          <w:rFonts w:cs="Times New Roman"/>
          <w:color w:val="000000" w:themeColor="text1"/>
          <w:sz w:val="22"/>
          <w:szCs w:val="28"/>
          <w14:textFill>
            <w14:solidFill>
              <w14:schemeClr w14:val="tx1"/>
            </w14:solidFill>
          </w14:textFill>
        </w:rPr>
      </w:pPr>
      <w:r>
        <w:rPr>
          <w:rFonts w:hint="eastAsia" w:cs="Times New Roman"/>
          <w:color w:val="000000" w:themeColor="text1"/>
          <w:sz w:val="22"/>
          <w:szCs w:val="28"/>
          <w14:textFill>
            <w14:solidFill>
              <w14:schemeClr w14:val="tx1"/>
            </w14:solidFill>
          </w14:textFill>
        </w:rPr>
        <w:t>中国境内</w:t>
      </w:r>
      <w:r>
        <w:rPr>
          <w:rFonts w:cs="Times New Roman"/>
          <w:color w:val="000000" w:themeColor="text1"/>
          <w:sz w:val="22"/>
          <w:szCs w:val="28"/>
          <w14:textFill>
            <w14:solidFill>
              <w14:schemeClr w14:val="tx1"/>
            </w14:solidFill>
          </w14:textFill>
        </w:rPr>
        <w:t>企业营业执照副本复印件</w:t>
      </w:r>
      <w:r>
        <w:rPr>
          <w:rFonts w:hint="eastAsia" w:cs="Times New Roman"/>
          <w:color w:val="000000" w:themeColor="text1"/>
          <w:sz w:val="22"/>
          <w:szCs w:val="28"/>
          <w14:textFill>
            <w14:solidFill>
              <w14:schemeClr w14:val="tx1"/>
            </w14:solidFill>
          </w14:textFill>
        </w:rPr>
        <w:t>加盖公章</w:t>
      </w:r>
      <w:r>
        <w:rPr>
          <w:rFonts w:cs="Times New Roman"/>
          <w:color w:val="000000" w:themeColor="text1"/>
          <w:sz w:val="22"/>
          <w:szCs w:val="28"/>
          <w14:textFill>
            <w14:solidFill>
              <w14:schemeClr w14:val="tx1"/>
            </w14:solidFill>
          </w14:textFill>
        </w:rPr>
        <w:t>；</w:t>
      </w:r>
    </w:p>
    <w:p>
      <w:pPr>
        <w:pStyle w:val="46"/>
        <w:numPr>
          <w:ilvl w:val="0"/>
          <w:numId w:val="1"/>
        </w:numPr>
        <w:spacing w:before="0" w:beforeAutospacing="0" w:after="0" w:afterAutospacing="0" w:line="360" w:lineRule="auto"/>
        <w:jc w:val="both"/>
        <w:rPr>
          <w:rFonts w:cs="Times New Roman"/>
          <w:color w:val="000000" w:themeColor="text1"/>
          <w:sz w:val="22"/>
          <w:szCs w:val="28"/>
          <w14:textFill>
            <w14:solidFill>
              <w14:schemeClr w14:val="tx1"/>
            </w14:solidFill>
          </w14:textFill>
        </w:rPr>
      </w:pPr>
      <w:r>
        <w:rPr>
          <w:rFonts w:cs="Times New Roman"/>
          <w:color w:val="000000" w:themeColor="text1"/>
          <w:sz w:val="22"/>
          <w:szCs w:val="28"/>
          <w14:textFill>
            <w14:solidFill>
              <w14:schemeClr w14:val="tx1"/>
            </w14:solidFill>
          </w14:textFill>
        </w:rPr>
        <w:t>法定代表人授权委托书</w:t>
      </w:r>
      <w:r>
        <w:rPr>
          <w:rFonts w:hint="eastAsia" w:cs="Times New Roman"/>
          <w:color w:val="000000" w:themeColor="text1"/>
          <w:sz w:val="22"/>
          <w:szCs w:val="28"/>
          <w14:textFill>
            <w14:solidFill>
              <w14:schemeClr w14:val="tx1"/>
            </w14:solidFill>
          </w14:textFill>
        </w:rPr>
        <w:t>（原件）</w:t>
      </w:r>
      <w:r>
        <w:rPr>
          <w:rFonts w:cs="Times New Roman"/>
          <w:color w:val="000000" w:themeColor="text1"/>
          <w:sz w:val="22"/>
          <w:szCs w:val="28"/>
          <w14:textFill>
            <w14:solidFill>
              <w14:schemeClr w14:val="tx1"/>
            </w14:solidFill>
          </w14:textFill>
        </w:rPr>
        <w:t>；</w:t>
      </w:r>
    </w:p>
    <w:p>
      <w:pPr>
        <w:pStyle w:val="46"/>
        <w:numPr>
          <w:ilvl w:val="0"/>
          <w:numId w:val="1"/>
        </w:numPr>
        <w:spacing w:before="0" w:beforeAutospacing="0" w:after="0" w:afterAutospacing="0" w:line="360" w:lineRule="auto"/>
        <w:jc w:val="both"/>
        <w:rPr>
          <w:rFonts w:cs="Times New Roman"/>
          <w:color w:val="000000" w:themeColor="text1"/>
          <w:sz w:val="22"/>
          <w:szCs w:val="28"/>
          <w14:textFill>
            <w14:solidFill>
              <w14:schemeClr w14:val="tx1"/>
            </w14:solidFill>
          </w14:textFill>
        </w:rPr>
      </w:pPr>
      <w:r>
        <w:rPr>
          <w:rFonts w:cs="Times New Roman"/>
          <w:color w:val="000000" w:themeColor="text1"/>
          <w:sz w:val="22"/>
          <w:szCs w:val="28"/>
          <w14:textFill>
            <w14:solidFill>
              <w14:schemeClr w14:val="tx1"/>
            </w14:solidFill>
          </w14:textFill>
        </w:rPr>
        <w:t>法定代表人身份证复印件及授权代表身份证原件、复印件</w:t>
      </w:r>
      <w:r>
        <w:rPr>
          <w:rFonts w:hint="eastAsia" w:cs="Times New Roman"/>
          <w:color w:val="000000" w:themeColor="text1"/>
          <w:sz w:val="22"/>
          <w:szCs w:val="28"/>
          <w14:textFill>
            <w14:solidFill>
              <w14:schemeClr w14:val="tx1"/>
            </w14:solidFill>
          </w14:textFill>
        </w:rPr>
        <w:t>加盖公章；</w:t>
      </w:r>
    </w:p>
    <w:p>
      <w:pPr>
        <w:pStyle w:val="46"/>
        <w:numPr>
          <w:ilvl w:val="0"/>
          <w:numId w:val="1"/>
        </w:numPr>
        <w:spacing w:before="0" w:beforeAutospacing="0" w:after="0" w:afterAutospacing="0" w:line="360" w:lineRule="auto"/>
        <w:jc w:val="both"/>
        <w:rPr>
          <w:rFonts w:cs="Times New Roman"/>
          <w:color w:val="000000" w:themeColor="text1"/>
          <w:sz w:val="22"/>
          <w:szCs w:val="28"/>
          <w14:textFill>
            <w14:solidFill>
              <w14:schemeClr w14:val="tx1"/>
            </w14:solidFill>
          </w14:textFill>
        </w:rPr>
      </w:pPr>
      <w:r>
        <w:rPr>
          <w:rFonts w:cs="Times New Roman"/>
          <w:color w:val="000000" w:themeColor="text1"/>
          <w:sz w:val="22"/>
          <w:szCs w:val="28"/>
          <w14:textFill>
            <w14:solidFill>
              <w14:schemeClr w14:val="tx1"/>
            </w14:solidFill>
          </w14:textFill>
        </w:rPr>
        <w:t>申请人联系信息表（格式自拟，信息内容需包括申请人全称、通讯地址、联系人、联系方式、电子邮箱、传真等）。</w:t>
      </w:r>
    </w:p>
    <w:p>
      <w:pPr>
        <w:pStyle w:val="46"/>
        <w:spacing w:before="0" w:beforeAutospacing="0" w:after="0" w:afterAutospacing="0" w:line="360" w:lineRule="auto"/>
        <w:ind w:left="426" w:leftChars="203"/>
        <w:jc w:val="both"/>
        <w:rPr>
          <w:rFonts w:cs="Times New Roman"/>
          <w:color w:val="000000" w:themeColor="text1"/>
          <w:sz w:val="22"/>
          <w:szCs w:val="28"/>
          <w14:textFill>
            <w14:solidFill>
              <w14:schemeClr w14:val="tx1"/>
            </w14:solidFill>
          </w14:textFill>
        </w:rPr>
      </w:pPr>
      <w:r>
        <w:rPr>
          <w:rFonts w:cs="Times New Roman"/>
          <w:color w:val="000000" w:themeColor="text1"/>
          <w:sz w:val="22"/>
          <w:szCs w:val="28"/>
          <w14:textFill>
            <w14:solidFill>
              <w14:schemeClr w14:val="tx1"/>
            </w14:solidFill>
          </w14:textFill>
        </w:rPr>
        <w:t>上述非原件资料需全部加盖报名单位公章。</w:t>
      </w:r>
    </w:p>
    <w:p>
      <w:pPr>
        <w:pStyle w:val="46"/>
        <w:spacing w:before="0" w:beforeAutospacing="0" w:after="0" w:afterAutospacing="0" w:line="360" w:lineRule="auto"/>
        <w:ind w:left="426" w:leftChars="203"/>
        <w:jc w:val="both"/>
        <w:rPr>
          <w:rFonts w:cs="Times New Roman"/>
          <w:color w:val="000000" w:themeColor="text1"/>
          <w:sz w:val="22"/>
          <w:szCs w:val="28"/>
          <w14:textFill>
            <w14:solidFill>
              <w14:schemeClr w14:val="tx1"/>
            </w14:solidFill>
          </w14:textFill>
        </w:rPr>
      </w:pPr>
      <w:r>
        <w:rPr>
          <w:rFonts w:hint="eastAsia" w:cs="Times New Roman"/>
          <w:color w:val="000000" w:themeColor="text1"/>
          <w:sz w:val="22"/>
          <w:szCs w:val="28"/>
          <w14:textFill>
            <w14:solidFill>
              <w14:schemeClr w14:val="tx1"/>
            </w14:solidFill>
          </w14:textFill>
        </w:rPr>
        <w:t>招标文件请在</w:t>
      </w:r>
      <w:r>
        <w:rPr>
          <w:rFonts w:cs="Times New Roman"/>
          <w:color w:val="000000" w:themeColor="text1"/>
          <w:sz w:val="22"/>
          <w:szCs w:val="28"/>
          <w:u w:val="single"/>
          <w14:textFill>
            <w14:solidFill>
              <w14:schemeClr w14:val="tx1"/>
            </w14:solidFill>
          </w14:textFill>
        </w:rPr>
        <w:t xml:space="preserve"> </w:t>
      </w:r>
      <w:r>
        <w:rPr>
          <w:rFonts w:hint="eastAsia" w:cs="Times New Roman"/>
          <w:color w:val="000000" w:themeColor="text1"/>
          <w:sz w:val="22"/>
          <w:szCs w:val="28"/>
          <w:u w:val="single"/>
          <w14:textFill>
            <w14:solidFill>
              <w14:schemeClr w14:val="tx1"/>
            </w14:solidFill>
          </w14:textFill>
        </w:rPr>
        <w:t>杭州大江东产业集聚区公共资源交易网</w:t>
      </w:r>
      <w:r>
        <w:rPr>
          <w:rFonts w:cs="Times New Roman"/>
          <w:color w:val="000000" w:themeColor="text1"/>
          <w:sz w:val="22"/>
          <w:szCs w:val="28"/>
          <w:u w:val="single"/>
          <w14:textFill>
            <w14:solidFill>
              <w14:schemeClr w14:val="tx1"/>
            </w14:solidFill>
          </w14:textFill>
        </w:rPr>
        <w:t xml:space="preserve"> </w:t>
      </w:r>
      <w:r>
        <w:rPr>
          <w:rFonts w:hint="eastAsia" w:cs="Times New Roman"/>
          <w:color w:val="000000" w:themeColor="text1"/>
          <w:sz w:val="22"/>
          <w:szCs w:val="28"/>
          <w14:textFill>
            <w14:solidFill>
              <w14:schemeClr w14:val="tx1"/>
            </w14:solidFill>
          </w14:textFill>
        </w:rPr>
        <w:t>自行下载。</w:t>
      </w:r>
    </w:p>
    <w:p>
      <w:pPr>
        <w:spacing w:line="360"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十二、投标保证金：</w:t>
      </w:r>
    </w:p>
    <w:p>
      <w:pPr>
        <w:spacing w:line="360" w:lineRule="auto"/>
        <w:ind w:left="707" w:leftChars="202" w:hanging="283" w:hangingChars="135"/>
        <w:rPr>
          <w:rFonts w:ascii="Times New Roman" w:hAnsi="Times New Roman"/>
          <w:b/>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、本项目投标保证金人民币贰仟万元（</w:t>
      </w:r>
      <w:r>
        <w:rPr>
          <w:rFonts w:ascii="Times New Roman" w:hAnsi="Times New Roman"/>
          <w:color w:val="000000" w:themeColor="text1"/>
          <w14:textFill>
            <w14:solidFill>
              <w14:schemeClr w14:val="tx1"/>
            </w14:solidFill>
          </w14:textFill>
        </w:rPr>
        <w:t>RMB2000</w:t>
      </w:r>
      <w:r>
        <w:rPr>
          <w:rFonts w:hint="eastAsia" w:ascii="Times New Roman" w:hAnsi="Times New Roman"/>
          <w:color w:val="000000" w:themeColor="text1"/>
          <w14:textFill>
            <w14:solidFill>
              <w14:schemeClr w14:val="tx1"/>
            </w14:solidFill>
          </w14:textFill>
        </w:rPr>
        <w:t>万元），以保函形式递交，</w:t>
      </w:r>
      <w:r>
        <w:rPr>
          <w:rFonts w:hint="eastAsia" w:ascii="Times New Roman" w:hAnsi="Times New Roman"/>
          <w:b/>
          <w:color w:val="000000" w:themeColor="text1"/>
          <w14:textFill>
            <w14:solidFill>
              <w14:schemeClr w14:val="tx1"/>
            </w14:solidFill>
          </w14:textFill>
        </w:rPr>
        <w:t>保函受益人为杭州大江东产业集聚区公路管理所，联合体参加由联合体牵头公司开具。</w:t>
      </w:r>
    </w:p>
    <w:p>
      <w:pPr>
        <w:spacing w:line="360" w:lineRule="auto"/>
        <w:ind w:left="707" w:leftChars="202" w:hanging="283" w:hangingChars="13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、保函原件随投标文件一并递交。</w:t>
      </w:r>
    </w:p>
    <w:p>
      <w:pPr>
        <w:spacing w:line="360" w:lineRule="auto"/>
        <w:ind w:left="707" w:leftChars="202" w:hanging="283" w:hangingChars="13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、未中标人保函原件一经递交均需中标公示期满无异议后方可退还，中标人按招标文件约定条件和方式退还。</w:t>
      </w: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十三、投标文件递交时间：</w:t>
      </w:r>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 xml:space="preserve"> 10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 xml:space="preserve"> 25 </w:t>
      </w:r>
      <w:r>
        <w:rPr>
          <w:rFonts w:hint="eastAsia" w:ascii="Times New Roman" w:hAnsi="Times New Roman"/>
          <w:color w:val="000000" w:themeColor="text1"/>
          <w14:textFill>
            <w14:solidFill>
              <w14:schemeClr w14:val="tx1"/>
            </w14:solidFill>
          </w14:textFill>
        </w:rPr>
        <w:t>日</w:t>
      </w:r>
      <w:r>
        <w:rPr>
          <w:rFonts w:ascii="Times New Roman" w:hAnsi="Times New Roman"/>
          <w:color w:val="000000" w:themeColor="text1"/>
          <w14:textFill>
            <w14:solidFill>
              <w14:schemeClr w14:val="tx1"/>
            </w14:solidFill>
          </w14:textFill>
        </w:rPr>
        <w:t xml:space="preserve"> 9 </w:t>
      </w:r>
      <w:r>
        <w:rPr>
          <w:rFonts w:hint="eastAsia" w:ascii="Times New Roman" w:hAnsi="Times New Roman"/>
          <w:color w:val="000000" w:themeColor="text1"/>
          <w14:textFill>
            <w14:solidFill>
              <w14:schemeClr w14:val="tx1"/>
            </w14:solidFill>
          </w14:textFill>
        </w:rPr>
        <w:t>时</w:t>
      </w:r>
      <w:r>
        <w:rPr>
          <w:rFonts w:ascii="Times New Roman" w:hAnsi="Times New Roman"/>
          <w:color w:val="000000" w:themeColor="text1"/>
          <w14:textFill>
            <w14:solidFill>
              <w14:schemeClr w14:val="tx1"/>
            </w14:solidFill>
          </w14:textFill>
        </w:rPr>
        <w:t xml:space="preserve"> 00 </w:t>
      </w:r>
      <w:r>
        <w:rPr>
          <w:rFonts w:hint="eastAsia" w:ascii="Times New Roman" w:hAnsi="Times New Roman"/>
          <w:color w:val="000000" w:themeColor="text1"/>
          <w14:textFill>
            <w14:solidFill>
              <w14:schemeClr w14:val="tx1"/>
            </w14:solidFill>
          </w14:textFill>
        </w:rPr>
        <w:t>分</w:t>
      </w:r>
      <w:r>
        <w:rPr>
          <w:rFonts w:ascii="Times New Roman" w:hAnsi="Times New Roman"/>
          <w:color w:val="000000" w:themeColor="text1"/>
          <w14:textFill>
            <w14:solidFill>
              <w14:schemeClr w14:val="tx1"/>
            </w14:solidFill>
          </w14:textFill>
        </w:rPr>
        <w:t xml:space="preserve">— 9 </w:t>
      </w:r>
      <w:r>
        <w:rPr>
          <w:rFonts w:hint="eastAsia" w:ascii="Times New Roman" w:hAnsi="Times New Roman"/>
          <w:color w:val="000000" w:themeColor="text1"/>
          <w14:textFill>
            <w14:solidFill>
              <w14:schemeClr w14:val="tx1"/>
            </w14:solidFill>
          </w14:textFill>
        </w:rPr>
        <w:t>时</w:t>
      </w:r>
      <w:r>
        <w:rPr>
          <w:rFonts w:ascii="Times New Roman" w:hAnsi="Times New Roman"/>
          <w:color w:val="000000" w:themeColor="text1"/>
          <w14:textFill>
            <w14:solidFill>
              <w14:schemeClr w14:val="tx1"/>
            </w14:solidFill>
          </w14:textFill>
        </w:rPr>
        <w:t xml:space="preserve"> 30 </w:t>
      </w:r>
      <w:r>
        <w:rPr>
          <w:rFonts w:hint="eastAsia" w:ascii="Times New Roman" w:hAnsi="Times New Roman"/>
          <w:color w:val="000000" w:themeColor="text1"/>
          <w14:textFill>
            <w14:solidFill>
              <w14:schemeClr w14:val="tx1"/>
            </w14:solidFill>
          </w14:textFill>
        </w:rPr>
        <w:t>分</w:t>
      </w: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十四、开标时间（投标截止时间）</w:t>
      </w:r>
      <w:r>
        <w:rPr>
          <w:rFonts w:hint="eastAsia" w:ascii="Times New Roman" w:hAnsi="Times New Roman"/>
          <w:color w:val="000000" w:themeColor="text1"/>
          <w14:textFill>
            <w14:solidFill>
              <w14:schemeClr w14:val="tx1"/>
            </w14:solidFill>
          </w14:textFill>
        </w:rPr>
        <w:t>：</w:t>
      </w:r>
      <w:bookmarkStart w:id="31" w:name="开标时间"/>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 xml:space="preserve"> 10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 xml:space="preserve"> 25 </w:t>
      </w:r>
      <w:r>
        <w:rPr>
          <w:rFonts w:hint="eastAsia" w:ascii="Times New Roman" w:hAnsi="Times New Roman"/>
          <w:color w:val="000000" w:themeColor="text1"/>
          <w14:textFill>
            <w14:solidFill>
              <w14:schemeClr w14:val="tx1"/>
            </w14:solidFill>
          </w14:textFill>
        </w:rPr>
        <w:t>日</w:t>
      </w:r>
      <w:r>
        <w:rPr>
          <w:rFonts w:ascii="Times New Roman" w:hAnsi="Times New Roman"/>
          <w:color w:val="000000" w:themeColor="text1"/>
          <w14:textFill>
            <w14:solidFill>
              <w14:schemeClr w14:val="tx1"/>
            </w14:solidFill>
          </w14:textFill>
        </w:rPr>
        <w:t xml:space="preserve"> 9 </w:t>
      </w:r>
      <w:r>
        <w:rPr>
          <w:rFonts w:hint="eastAsia" w:ascii="Times New Roman" w:hAnsi="Times New Roman"/>
          <w:color w:val="000000" w:themeColor="text1"/>
          <w14:textFill>
            <w14:solidFill>
              <w14:schemeClr w14:val="tx1"/>
            </w14:solidFill>
          </w14:textFill>
        </w:rPr>
        <w:t>时</w:t>
      </w:r>
      <w:r>
        <w:rPr>
          <w:rFonts w:ascii="Times New Roman" w:hAnsi="Times New Roman"/>
          <w:color w:val="000000" w:themeColor="text1"/>
          <w14:textFill>
            <w14:solidFill>
              <w14:schemeClr w14:val="tx1"/>
            </w14:solidFill>
          </w14:textFill>
        </w:rPr>
        <w:t xml:space="preserve"> 30 </w:t>
      </w:r>
      <w:r>
        <w:rPr>
          <w:rFonts w:hint="eastAsia" w:ascii="Times New Roman" w:hAnsi="Times New Roman"/>
          <w:color w:val="000000" w:themeColor="text1"/>
          <w14:textFill>
            <w14:solidFill>
              <w14:schemeClr w14:val="tx1"/>
            </w14:solidFill>
          </w14:textFill>
        </w:rPr>
        <w:t>分</w:t>
      </w:r>
      <w:bookmarkEnd w:id="31"/>
      <w:r>
        <w:rPr>
          <w:rFonts w:hint="eastAsia" w:ascii="Times New Roman" w:hAnsi="Times New Roman"/>
          <w:color w:val="000000" w:themeColor="text1"/>
          <w14:textFill>
            <w14:solidFill>
              <w14:schemeClr w14:val="tx1"/>
            </w14:solidFill>
          </w14:textFill>
        </w:rPr>
        <w:t>（北京时间）</w:t>
      </w:r>
    </w:p>
    <w:p>
      <w:pPr>
        <w:spacing w:line="360" w:lineRule="auto"/>
        <w:ind w:left="3540" w:hanging="3540" w:hangingChars="1679"/>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十五、投标文件递交地点、开标地点：杭州大江东产业集聚区办事服务中心（江东大道</w:t>
      </w:r>
      <w:r>
        <w:rPr>
          <w:rFonts w:ascii="Times New Roman" w:hAnsi="Times New Roman"/>
          <w:b/>
          <w:color w:val="000000" w:themeColor="text1"/>
          <w14:textFill>
            <w14:solidFill>
              <w14:schemeClr w14:val="tx1"/>
            </w14:solidFill>
          </w14:textFill>
        </w:rPr>
        <w:t>3899</w:t>
      </w:r>
    </w:p>
    <w:p>
      <w:pPr>
        <w:spacing w:line="360"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号</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14:textFill>
            <w14:solidFill>
              <w14:schemeClr w14:val="tx1"/>
            </w14:solidFill>
          </w14:textFill>
        </w:rPr>
        <w:t>江东大道与仓创线交叉口）四楼</w:t>
      </w:r>
      <w:r>
        <w:rPr>
          <w:rFonts w:ascii="Times New Roman" w:hAnsi="Times New Roman"/>
          <w:b/>
          <w:color w:val="000000" w:themeColor="text1"/>
          <w14:textFill>
            <w14:solidFill>
              <w14:schemeClr w14:val="tx1"/>
            </w14:solidFill>
          </w14:textFill>
        </w:rPr>
        <w:t>409</w:t>
      </w:r>
      <w:r>
        <w:rPr>
          <w:rFonts w:hint="eastAsia" w:ascii="Times New Roman" w:hAnsi="Times New Roman"/>
          <w:b/>
          <w:color w:val="000000" w:themeColor="text1"/>
          <w14:textFill>
            <w14:solidFill>
              <w14:schemeClr w14:val="tx1"/>
            </w14:solidFill>
          </w14:textFill>
        </w:rPr>
        <w:t>第二开标室。</w:t>
      </w:r>
    </w:p>
    <w:p>
      <w:pPr>
        <w:spacing w:line="360"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十六、发布公告媒介：</w:t>
      </w:r>
      <w:r>
        <w:rPr>
          <w:rFonts w:hint="eastAsia" w:ascii="Times New Roman" w:hAnsi="Times New Roman"/>
          <w:color w:val="000000" w:themeColor="text1"/>
          <w14:textFill>
            <w14:solidFill>
              <w14:schemeClr w14:val="tx1"/>
            </w14:solidFill>
          </w14:textFill>
        </w:rPr>
        <w:t>本招标公告同时在浙江政府采购网（</w:t>
      </w:r>
      <w:r>
        <w:rPr>
          <w:rFonts w:ascii="Times New Roman" w:hAnsi="Times New Roman"/>
          <w:color w:val="000000" w:themeColor="text1"/>
          <w14:textFill>
            <w14:solidFill>
              <w14:schemeClr w14:val="tx1"/>
            </w14:solidFill>
          </w14:textFill>
        </w:rPr>
        <w:t>http://www.zjzfcg.gov.cn</w:t>
      </w:r>
      <w:r>
        <w:rPr>
          <w:rFonts w:hint="eastAsia" w:ascii="Times New Roman" w:hAnsi="Times New Roman"/>
          <w:color w:val="000000" w:themeColor="text1"/>
          <w14:textFill>
            <w14:solidFill>
              <w14:schemeClr w14:val="tx1"/>
            </w14:solidFill>
          </w14:textFill>
        </w:rPr>
        <w:t>）、</w:t>
      </w:r>
      <w:bookmarkStart w:id="32" w:name="_Hlk513627415"/>
      <w:r>
        <w:rPr>
          <w:rFonts w:hint="eastAsia" w:ascii="Times New Roman" w:hAnsi="Times New Roman"/>
          <w:color w:val="000000" w:themeColor="text1"/>
          <w14:textFill>
            <w14:solidFill>
              <w14:schemeClr w14:val="tx1"/>
            </w14:solidFill>
          </w14:textFill>
        </w:rPr>
        <w:t>杭州大江东产业集聚区公共资源交易网（</w:t>
      </w:r>
      <w:bookmarkStart w:id="33" w:name="_Hlk523486952"/>
      <w:r>
        <w:rPr>
          <w:rFonts w:ascii="Times New Roman" w:hAnsi="Times New Roman"/>
          <w:color w:val="000000" w:themeColor="text1"/>
          <w14:textFill>
            <w14:solidFill>
              <w14:schemeClr w14:val="tx1"/>
            </w14:solidFill>
          </w14:textFill>
        </w:rPr>
        <w:t>http://xzspj.hzdjd.gov.cn:33898/index.aspx</w:t>
      </w:r>
      <w:bookmarkEnd w:id="33"/>
      <w:r>
        <w:rPr>
          <w:rFonts w:hint="eastAsia" w:ascii="Times New Roman" w:hAnsi="Times New Roman"/>
          <w:color w:val="000000" w:themeColor="text1"/>
          <w14:textFill>
            <w14:solidFill>
              <w14:schemeClr w14:val="tx1"/>
            </w14:solidFill>
          </w14:textFill>
        </w:rPr>
        <w:t>）</w:t>
      </w:r>
      <w:bookmarkEnd w:id="32"/>
      <w:r>
        <w:rPr>
          <w:rFonts w:hint="eastAsia" w:ascii="Times New Roman" w:hAnsi="Times New Roman"/>
          <w:color w:val="000000" w:themeColor="text1"/>
          <w14:textFill>
            <w14:solidFill>
              <w14:schemeClr w14:val="tx1"/>
            </w14:solidFill>
          </w14:textFill>
        </w:rPr>
        <w:t>发布</w:t>
      </w:r>
      <w:r>
        <w:rPr>
          <w:rFonts w:hint="eastAsia" w:ascii="Times New Roman" w:hAnsi="Times New Roman"/>
          <w:b/>
          <w:color w:val="000000" w:themeColor="text1"/>
          <w14:textFill>
            <w14:solidFill>
              <w14:schemeClr w14:val="tx1"/>
            </w14:solidFill>
          </w14:textFill>
        </w:rPr>
        <w:t>。本项目资格预审公告与招标公告同时发布，</w:t>
      </w:r>
      <w:bookmarkStart w:id="34" w:name="_Hlk523390792"/>
      <w:r>
        <w:rPr>
          <w:rFonts w:hint="eastAsia" w:ascii="Times New Roman" w:hAnsi="Times New Roman"/>
          <w:b/>
          <w:color w:val="000000" w:themeColor="text1"/>
          <w14:textFill>
            <w14:solidFill>
              <w14:schemeClr w14:val="tx1"/>
            </w14:solidFill>
          </w14:textFill>
        </w:rPr>
        <w:t>请各投标人同时关注资格预审公告</w:t>
      </w:r>
      <w:bookmarkEnd w:id="34"/>
      <w:r>
        <w:rPr>
          <w:rFonts w:hint="eastAsia" w:ascii="Times New Roman" w:hAnsi="Times New Roman"/>
          <w:b/>
          <w:color w:val="000000" w:themeColor="text1"/>
          <w14:textFill>
            <w14:solidFill>
              <w14:schemeClr w14:val="tx1"/>
            </w14:solidFill>
          </w14:textFill>
        </w:rPr>
        <w:t>。</w:t>
      </w:r>
    </w:p>
    <w:p>
      <w:pPr>
        <w:spacing w:line="360"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十七、联系人及联系方式</w:t>
      </w:r>
    </w:p>
    <w:p>
      <w:pPr>
        <w:spacing w:line="360" w:lineRule="auto"/>
        <w:ind w:firstLine="422" w:firstLineChars="200"/>
        <w:rPr>
          <w:rFonts w:ascii="Times New Roman" w:hAnsi="Times New Roman"/>
          <w:color w:val="000000" w:themeColor="text1"/>
          <w:szCs w:val="21"/>
          <w14:textFill>
            <w14:solidFill>
              <w14:schemeClr w14:val="tx1"/>
            </w14:solidFill>
          </w14:textFill>
        </w:rPr>
      </w:pPr>
      <w:r>
        <w:rPr>
          <w:rFonts w:hint="eastAsia" w:ascii="Times New Roman" w:hAnsi="Times New Roman"/>
          <w:b/>
          <w:color w:val="000000" w:themeColor="text1"/>
          <w14:textFill>
            <w14:solidFill>
              <w14:schemeClr w14:val="tx1"/>
            </w14:solidFill>
          </w14:textFill>
        </w:rPr>
        <w:t>采购人</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14:textFill>
            <w14:solidFill>
              <w14:schemeClr w14:val="tx1"/>
            </w14:solidFill>
          </w14:textFill>
        </w:rPr>
        <w:t>实施机构：</w:t>
      </w:r>
      <w:bookmarkStart w:id="35" w:name="_Hlk524947448"/>
      <w:r>
        <w:rPr>
          <w:rFonts w:hint="eastAsia" w:ascii="Times New Roman" w:hAnsi="Times New Roman"/>
          <w:color w:val="000000" w:themeColor="text1"/>
          <w:szCs w:val="21"/>
          <w14:textFill>
            <w14:solidFill>
              <w14:schemeClr w14:val="tx1"/>
            </w14:solidFill>
          </w14:textFill>
        </w:rPr>
        <w:t>杭州大江东产业集聚区公路管理所</w:t>
      </w:r>
      <w:bookmarkEnd w:id="35"/>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联系人姓名：李先生</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电话：</w:t>
      </w:r>
      <w:r>
        <w:rPr>
          <w:rFonts w:ascii="Times New Roman" w:hAnsi="Times New Roman"/>
          <w:color w:val="000000" w:themeColor="text1"/>
          <w14:textFill>
            <w14:solidFill>
              <w14:schemeClr w14:val="tx1"/>
            </w14:solidFill>
          </w14:textFill>
        </w:rPr>
        <w:t xml:space="preserve"> 0571-82165570</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地址：</w:t>
      </w:r>
      <w:bookmarkStart w:id="36" w:name="_Hlk524859964"/>
      <w:r>
        <w:rPr>
          <w:rFonts w:hint="eastAsia" w:ascii="Times New Roman" w:hAnsi="Times New Roman"/>
          <w:color w:val="000000" w:themeColor="text1"/>
          <w14:textFill>
            <w14:solidFill>
              <w14:schemeClr w14:val="tx1"/>
            </w14:solidFill>
          </w14:textFill>
        </w:rPr>
        <w:t>杭州市萧山区围垦区义蓬街道金星村十组</w:t>
      </w:r>
      <w:r>
        <w:rPr>
          <w:rFonts w:ascii="Times New Roman" w:hAnsi="Times New Roman"/>
          <w:color w:val="000000" w:themeColor="text1"/>
          <w14:textFill>
            <w14:solidFill>
              <w14:schemeClr w14:val="tx1"/>
            </w14:solidFill>
          </w14:textFill>
        </w:rPr>
        <w:t>32</w:t>
      </w:r>
      <w:r>
        <w:rPr>
          <w:rFonts w:hint="eastAsia" w:ascii="Times New Roman" w:hAnsi="Times New Roman"/>
          <w:color w:val="000000" w:themeColor="text1"/>
          <w14:textFill>
            <w14:solidFill>
              <w14:schemeClr w14:val="tx1"/>
            </w14:solidFill>
          </w14:textFill>
        </w:rPr>
        <w:t>号</w:t>
      </w:r>
      <w:bookmarkEnd w:id="36"/>
    </w:p>
    <w:p>
      <w:pPr>
        <w:spacing w:line="360" w:lineRule="auto"/>
        <w:ind w:firstLine="422" w:firstLineChars="200"/>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采购代理机构：</w:t>
      </w:r>
      <w:r>
        <w:rPr>
          <w:rFonts w:ascii="Times New Roman" w:hAnsi="Times New Roman"/>
          <w:color w:val="000000" w:themeColor="text1"/>
          <w14:textFill>
            <w14:solidFill>
              <w14:schemeClr w14:val="tx1"/>
            </w14:solidFill>
          </w14:textFill>
        </w:rPr>
        <w:fldChar w:fldCharType="begin"/>
      </w:r>
      <w:r>
        <w:rPr>
          <w:rFonts w:ascii="Times New Roman" w:hAnsi="Times New Roman"/>
          <w:b/>
          <w:color w:val="000000" w:themeColor="text1"/>
          <w14:textFill>
            <w14:solidFill>
              <w14:schemeClr w14:val="tx1"/>
            </w14:solidFill>
          </w14:textFill>
        </w:rPr>
        <w:instrText xml:space="preserve"> REF </w:instrText>
      </w:r>
      <w:r>
        <w:rPr>
          <w:rFonts w:hint="eastAsia" w:ascii="Times New Roman" w:hAnsi="Times New Roman"/>
          <w:b/>
          <w:color w:val="000000" w:themeColor="text1"/>
          <w14:textFill>
            <w14:solidFill>
              <w14:schemeClr w14:val="tx1"/>
            </w14:solidFill>
          </w14:textFill>
        </w:rPr>
        <w:instrText xml:space="preserve">代理机构</w:instrText>
      </w:r>
      <w:r>
        <w:rPr>
          <w:rFonts w:ascii="Times New Roman" w:hAnsi="Times New Roman"/>
          <w:b/>
          <w:color w:val="000000" w:themeColor="text1"/>
          <w14:textFill>
            <w14:solidFill>
              <w14:schemeClr w14:val="tx1"/>
            </w14:solidFill>
          </w14:textFill>
        </w:rPr>
        <w:instrText xml:space="preserve"> \h  \* MERGEFORMAT </w:instrText>
      </w:r>
      <w:r>
        <w:rPr>
          <w:rFonts w:ascii="Times New Roman" w:hAnsi="Times New Roman"/>
          <w:color w:val="000000" w:themeColor="text1"/>
          <w14:textFill>
            <w14:solidFill>
              <w14:schemeClr w14:val="tx1"/>
            </w14:solidFill>
          </w14:textFill>
        </w:rPr>
        <w:fldChar w:fldCharType="separate"/>
      </w:r>
      <w:r>
        <w:rPr>
          <w:rFonts w:hint="eastAsia" w:ascii="Times New Roman" w:hAnsi="Times New Roman"/>
          <w:color w:val="000000" w:themeColor="text1"/>
          <w:szCs w:val="21"/>
          <w14:textFill>
            <w14:solidFill>
              <w14:schemeClr w14:val="tx1"/>
            </w14:solidFill>
          </w14:textFill>
        </w:rPr>
        <w:t>杭州政智经济信息咨询有限公司</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t xml:space="preserve"> </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代理机构项目联系人姓名：张先生</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电话：</w:t>
      </w:r>
      <w:r>
        <w:rPr>
          <w:rFonts w:ascii="Times New Roman" w:hAnsi="Times New Roman"/>
          <w:color w:val="000000" w:themeColor="text1"/>
          <w14:textFill>
            <w14:solidFill>
              <w14:schemeClr w14:val="tx1"/>
            </w14:solidFill>
          </w14:textFill>
        </w:rPr>
        <w:t xml:space="preserve">0571-82230995/13221830813   </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传真：</w:t>
      </w:r>
      <w:r>
        <w:rPr>
          <w:rFonts w:ascii="Times New Roman" w:hAnsi="Times New Roman"/>
          <w:color w:val="000000" w:themeColor="text1"/>
          <w14:textFill>
            <w14:solidFill>
              <w14:schemeClr w14:val="tx1"/>
            </w14:solidFill>
          </w14:textFill>
        </w:rPr>
        <w:t>0571-87035309</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地址：杭州市拱墅区莫干山路</w:t>
      </w:r>
      <w:r>
        <w:rPr>
          <w:rFonts w:ascii="Times New Roman" w:hAnsi="Times New Roman"/>
          <w:color w:val="000000" w:themeColor="text1"/>
          <w14:textFill>
            <w14:solidFill>
              <w14:schemeClr w14:val="tx1"/>
            </w14:solidFill>
          </w14:textFill>
        </w:rPr>
        <w:t>100</w:t>
      </w:r>
      <w:r>
        <w:rPr>
          <w:rFonts w:hint="eastAsia" w:ascii="Times New Roman" w:hAnsi="Times New Roman"/>
          <w:color w:val="000000" w:themeColor="text1"/>
          <w14:textFill>
            <w14:solidFill>
              <w14:schemeClr w14:val="tx1"/>
            </w14:solidFill>
          </w14:textFill>
        </w:rPr>
        <w:t>号耀江国际大厦</w:t>
      </w:r>
      <w:r>
        <w:rPr>
          <w:rFonts w:ascii="Times New Roman" w:hAnsi="Times New Roman"/>
          <w:color w:val="000000" w:themeColor="text1"/>
          <w14:textFill>
            <w14:solidFill>
              <w14:schemeClr w14:val="tx1"/>
            </w14:solidFill>
          </w14:textFill>
        </w:rPr>
        <w:t>A</w:t>
      </w:r>
      <w:r>
        <w:rPr>
          <w:rFonts w:hint="eastAsia" w:ascii="Times New Roman" w:hAnsi="Times New Roman"/>
          <w:color w:val="000000" w:themeColor="text1"/>
          <w14:textFill>
            <w14:solidFill>
              <w14:schemeClr w14:val="tx1"/>
            </w14:solidFill>
          </w14:textFill>
        </w:rPr>
        <w:t>座</w:t>
      </w:r>
      <w:r>
        <w:rPr>
          <w:rFonts w:ascii="Times New Roman" w:hAnsi="Times New Roman"/>
          <w:color w:val="000000" w:themeColor="text1"/>
          <w14:textFill>
            <w14:solidFill>
              <w14:schemeClr w14:val="tx1"/>
            </w14:solidFill>
          </w14:textFill>
        </w:rPr>
        <w:t>19</w:t>
      </w:r>
      <w:r>
        <w:rPr>
          <w:rFonts w:hint="eastAsia" w:ascii="Times New Roman" w:hAnsi="Times New Roman"/>
          <w:color w:val="000000" w:themeColor="text1"/>
          <w14:textFill>
            <w14:solidFill>
              <w14:schemeClr w14:val="tx1"/>
            </w14:solidFill>
          </w14:textFill>
        </w:rPr>
        <w:t>楼</w:t>
      </w:r>
    </w:p>
    <w:p>
      <w:pPr>
        <w:spacing w:line="360" w:lineRule="auto"/>
        <w:ind w:firstLine="422" w:firstLineChars="200"/>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同级政府采购监督管理部门：杭州市大江东财政局</w:t>
      </w:r>
      <w:r>
        <w:rPr>
          <w:rFonts w:ascii="Times New Roman" w:hAnsi="Times New Roman"/>
          <w:b/>
          <w:color w:val="000000" w:themeColor="text1"/>
          <w14:textFill>
            <w14:solidFill>
              <w14:schemeClr w14:val="tx1"/>
            </w14:solidFill>
          </w14:textFill>
        </w:rPr>
        <w:t xml:space="preserve">  </w:t>
      </w:r>
    </w:p>
    <w:p>
      <w:pPr>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联系人：沈女士</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联系电话：</w:t>
      </w:r>
      <w:r>
        <w:rPr>
          <w:rFonts w:ascii="Times New Roman" w:hAnsi="Times New Roman"/>
          <w:color w:val="000000" w:themeColor="text1"/>
          <w14:textFill>
            <w14:solidFill>
              <w14:schemeClr w14:val="tx1"/>
            </w14:solidFill>
          </w14:textFill>
        </w:rPr>
        <w:t>0571-82987263</w:t>
      </w: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b/>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jc w:val="right"/>
        <w:rPr>
          <w:rFonts w:ascii="Times New Roman" w:hAnsi="Times New Roman"/>
          <w:color w:val="000000" w:themeColor="text1"/>
          <w14:textFill>
            <w14:solidFill>
              <w14:schemeClr w14:val="tx1"/>
            </w14:solidFill>
          </w14:textFill>
        </w:rPr>
      </w:pPr>
    </w:p>
    <w:p>
      <w:pPr>
        <w:spacing w:line="360" w:lineRule="auto"/>
        <w:jc w:val="righ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杭州大江东产业集聚区公路管理所</w:t>
      </w:r>
      <w:r>
        <w:rPr>
          <w:rFonts w:ascii="Times New Roman" w:hAnsi="Times New Roman"/>
          <w:color w:val="000000" w:themeColor="text1"/>
          <w:szCs w:val="21"/>
          <w14:textFill>
            <w14:solidFill>
              <w14:schemeClr w14:val="tx1"/>
            </w14:solidFill>
          </w14:textFill>
        </w:rPr>
        <w:t xml:space="preserve"> </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fldChar w:fldCharType="begin"/>
      </w:r>
      <w:r>
        <w:rPr>
          <w:rFonts w:ascii="Times New Roman" w:hAnsi="Times New Roman"/>
          <w:color w:val="000000" w:themeColor="text1"/>
          <w:szCs w:val="21"/>
          <w14:textFill>
            <w14:solidFill>
              <w14:schemeClr w14:val="tx1"/>
            </w14:solidFill>
          </w14:textFill>
        </w:rPr>
        <w:instrText xml:space="preserve"> REF </w:instrText>
      </w:r>
      <w:r>
        <w:rPr>
          <w:rFonts w:hint="eastAsia" w:ascii="Times New Roman" w:hAnsi="Times New Roman"/>
          <w:color w:val="000000" w:themeColor="text1"/>
          <w:szCs w:val="21"/>
          <w14:textFill>
            <w14:solidFill>
              <w14:schemeClr w14:val="tx1"/>
            </w14:solidFill>
          </w14:textFill>
        </w:rPr>
        <w:instrText xml:space="preserve">代理机构</w:instrText>
      </w:r>
      <w:r>
        <w:rPr>
          <w:rFonts w:ascii="Times New Roman" w:hAnsi="Times New Roman"/>
          <w:color w:val="000000" w:themeColor="text1"/>
          <w:szCs w:val="21"/>
          <w14:textFill>
            <w14:solidFill>
              <w14:schemeClr w14:val="tx1"/>
            </w14:solidFill>
          </w14:textFill>
        </w:rPr>
        <w:instrText xml:space="preserve"> \h  \* MERGEFORMAT </w:instrText>
      </w:r>
      <w:r>
        <w:rPr>
          <w:rFonts w:ascii="Times New Roman" w:hAnsi="Times New Roman"/>
          <w:color w:val="000000" w:themeColor="text1"/>
          <w:szCs w:val="21"/>
          <w14:textFill>
            <w14:solidFill>
              <w14:schemeClr w14:val="tx1"/>
            </w14:solidFill>
          </w14:textFill>
        </w:rPr>
        <w:fldChar w:fldCharType="separate"/>
      </w:r>
      <w:r>
        <w:rPr>
          <w:rFonts w:hint="eastAsia" w:ascii="Times New Roman" w:hAnsi="Times New Roman"/>
          <w:color w:val="000000" w:themeColor="text1"/>
          <w:szCs w:val="21"/>
          <w14:textFill>
            <w14:solidFill>
              <w14:schemeClr w14:val="tx1"/>
            </w14:solidFill>
          </w14:textFill>
        </w:rPr>
        <w:t>杭州政智经济信息咨询有限公司</w:t>
      </w:r>
      <w:r>
        <w:rPr>
          <w:rFonts w:ascii="Times New Roman" w:hAnsi="Times New Roman"/>
          <w:color w:val="000000" w:themeColor="text1"/>
          <w:szCs w:val="21"/>
          <w14:textFill>
            <w14:solidFill>
              <w14:schemeClr w14:val="tx1"/>
            </w14:solidFill>
          </w14:textFill>
        </w:rPr>
        <w:fldChar w:fldCharType="end"/>
      </w:r>
    </w:p>
    <w:p>
      <w:pPr>
        <w:wordWrap w:val="0"/>
        <w:spacing w:line="360" w:lineRule="auto"/>
        <w:jc w:val="righ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二〇一八年</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九</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二十一</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日</w:t>
      </w:r>
    </w:p>
    <w:bookmarkEnd w:id="22"/>
    <w:bookmarkEnd w:id="23"/>
    <w:p>
      <w:pPr>
        <w:spacing w:line="360" w:lineRule="auto"/>
        <w:jc w:val="right"/>
        <w:rPr>
          <w:rFonts w:ascii="Times New Roman" w:hAnsi="Times New Roman"/>
          <w:color w:val="000000" w:themeColor="text1"/>
          <w14:textFill>
            <w14:solidFill>
              <w14:schemeClr w14:val="tx1"/>
            </w14:solidFill>
          </w14:textFill>
        </w:rPr>
      </w:pPr>
    </w:p>
    <w:p>
      <w:pPr>
        <w:pStyle w:val="3"/>
        <w:spacing w:line="36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lang w:val="en-US"/>
          <w14:textFill>
            <w14:solidFill>
              <w14:schemeClr w14:val="tx1"/>
            </w14:solidFill>
          </w14:textFill>
        </w:rPr>
        <w:br w:type="page"/>
      </w:r>
      <w:bookmarkStart w:id="37" w:name="_Toc465698628"/>
      <w:bookmarkStart w:id="38" w:name="_Toc487201019"/>
      <w:bookmarkStart w:id="39" w:name="_Toc491857536"/>
      <w:bookmarkStart w:id="40" w:name="_Toc492021853"/>
      <w:bookmarkStart w:id="41" w:name="_Toc492040643"/>
      <w:bookmarkStart w:id="42" w:name="_Toc438162689"/>
      <w:bookmarkStart w:id="43" w:name="_Toc439072976"/>
      <w:bookmarkStart w:id="44" w:name="_Toc496258643"/>
      <w:bookmarkStart w:id="45" w:name="_Toc496299706"/>
      <w:bookmarkStart w:id="46" w:name="_Toc496299870"/>
      <w:bookmarkStart w:id="47" w:name="_Toc522635475"/>
      <w:r>
        <w:rPr>
          <w:rFonts w:hint="eastAsia" w:ascii="Times New Roman" w:hAnsi="Times New Roman"/>
          <w:color w:val="000000" w:themeColor="text1"/>
          <w:sz w:val="24"/>
          <w:szCs w:val="24"/>
          <w14:textFill>
            <w14:solidFill>
              <w14:schemeClr w14:val="tx1"/>
            </w14:solidFill>
          </w14:textFill>
        </w:rPr>
        <w:t>第二章</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投标须知前附表</w:t>
      </w:r>
      <w:bookmarkEnd w:id="37"/>
      <w:bookmarkEnd w:id="38"/>
      <w:bookmarkEnd w:id="39"/>
      <w:bookmarkEnd w:id="40"/>
      <w:bookmarkEnd w:id="41"/>
      <w:bookmarkEnd w:id="42"/>
      <w:bookmarkEnd w:id="43"/>
      <w:bookmarkEnd w:id="44"/>
      <w:bookmarkEnd w:id="45"/>
      <w:bookmarkEnd w:id="46"/>
      <w:bookmarkEnd w:id="47"/>
    </w:p>
    <w:tbl>
      <w:tblPr>
        <w:tblStyle w:val="57"/>
        <w:tblW w:w="9067" w:type="dxa"/>
        <w:jc w:val="center"/>
        <w:tblInd w:w="0" w:type="dxa"/>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777"/>
        <w:gridCol w:w="6378"/>
      </w:tblGrid>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blHeader/>
          <w:jc w:val="center"/>
        </w:trPr>
        <w:tc>
          <w:tcPr>
            <w:tcW w:w="912" w:type="dxa"/>
            <w:shd w:val="clear" w:color="auto" w:fill="D9D9D9"/>
            <w:vAlign w:val="center"/>
          </w:tcPr>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序号</w:t>
            </w:r>
          </w:p>
        </w:tc>
        <w:tc>
          <w:tcPr>
            <w:tcW w:w="1777" w:type="dxa"/>
            <w:shd w:val="clear" w:color="auto" w:fill="D9D9D9"/>
            <w:vAlign w:val="center"/>
          </w:tcPr>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项目</w:t>
            </w:r>
          </w:p>
        </w:tc>
        <w:tc>
          <w:tcPr>
            <w:tcW w:w="6378" w:type="dxa"/>
            <w:shd w:val="clear" w:color="auto" w:fill="D9D9D9"/>
            <w:vAlign w:val="center"/>
          </w:tcPr>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内容</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1</w:t>
            </w:r>
          </w:p>
        </w:tc>
        <w:tc>
          <w:tcPr>
            <w:tcW w:w="8155" w:type="dxa"/>
            <w:gridSpan w:val="2"/>
            <w:vAlign w:val="center"/>
          </w:tcPr>
          <w:p>
            <w:pP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项目简介及核心边界条件（核心边界条件不予谈判）</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0"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联系方式</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实施机构：杭州大江东产业集聚区公路管理所</w:t>
            </w:r>
            <w:r>
              <w:rPr>
                <w:rFonts w:ascii="Times New Roman" w:hAnsi="Times New Roman"/>
                <w:color w:val="000000" w:themeColor="text1"/>
                <w14:textFill>
                  <w14:solidFill>
                    <w14:schemeClr w14:val="tx1"/>
                  </w14:solidFill>
                </w14:textFill>
              </w:rPr>
              <w:t xml:space="preserve"> </w:t>
            </w:r>
          </w:p>
          <w:p>
            <w:pPr>
              <w:ind w:firstLine="462" w:firstLineChars="2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联系人：</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李先生</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联系电话：</w:t>
            </w:r>
            <w:r>
              <w:rPr>
                <w:rFonts w:ascii="Times New Roman" w:hAnsi="Times New Roman"/>
                <w:color w:val="000000" w:themeColor="text1"/>
                <w14:textFill>
                  <w14:solidFill>
                    <w14:schemeClr w14:val="tx1"/>
                  </w14:solidFill>
                </w14:textFill>
              </w:rPr>
              <w:t>0571-82165570</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）采购代理机构：</w:t>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REF </w:instrText>
            </w:r>
            <w:r>
              <w:rPr>
                <w:rFonts w:hint="eastAsia" w:ascii="Times New Roman" w:hAnsi="Times New Roman"/>
                <w:color w:val="000000" w:themeColor="text1"/>
                <w14:textFill>
                  <w14:solidFill>
                    <w14:schemeClr w14:val="tx1"/>
                  </w14:solidFill>
                </w14:textFill>
              </w:rPr>
              <w:instrText xml:space="preserve">代理机构</w:instrText>
            </w:r>
            <w:r>
              <w:rPr>
                <w:rFonts w:ascii="Times New Roman" w:hAnsi="Times New Roman"/>
                <w:color w:val="000000" w:themeColor="text1"/>
                <w14:textFill>
                  <w14:solidFill>
                    <w14:schemeClr w14:val="tx1"/>
                  </w14:solidFill>
                </w14:textFill>
              </w:rPr>
              <w:instrText xml:space="preserve"> \h  \* MERGEFORMAT </w:instrText>
            </w:r>
            <w:r>
              <w:rPr>
                <w:rFonts w:ascii="Times New Roman" w:hAnsi="Times New Roman"/>
                <w:color w:val="000000" w:themeColor="text1"/>
                <w14:textFill>
                  <w14:solidFill>
                    <w14:schemeClr w14:val="tx1"/>
                  </w14:solidFill>
                </w14:textFill>
              </w:rPr>
              <w:fldChar w:fldCharType="separate"/>
            </w:r>
            <w:r>
              <w:rPr>
                <w:rFonts w:hint="eastAsia" w:ascii="Times New Roman" w:hAnsi="Times New Roman"/>
                <w:color w:val="000000" w:themeColor="text1"/>
                <w:szCs w:val="21"/>
                <w14:textFill>
                  <w14:solidFill>
                    <w14:schemeClr w14:val="tx1"/>
                  </w14:solidFill>
                </w14:textFill>
              </w:rPr>
              <w:t>杭州政智经济信息咨询有限公司</w:t>
            </w:r>
            <w:r>
              <w:rPr>
                <w:rFonts w:ascii="Times New Roman" w:hAnsi="Times New Roman"/>
                <w:color w:val="000000" w:themeColor="text1"/>
                <w14:textFill>
                  <w14:solidFill>
                    <w14:schemeClr w14:val="tx1"/>
                  </w14:solidFill>
                </w14:textFill>
              </w:rPr>
              <w:fldChar w:fldCharType="end"/>
            </w:r>
          </w:p>
          <w:p>
            <w:pPr>
              <w:ind w:firstLine="462" w:firstLineChars="2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联系人：张先生</w:t>
            </w:r>
            <w:r>
              <w:rPr>
                <w:rFonts w:ascii="Times New Roman" w:hAnsi="Times New Roman"/>
                <w:color w:val="000000" w:themeColor="text1"/>
                <w14:textFill>
                  <w14:solidFill>
                    <w14:schemeClr w14:val="tx1"/>
                  </w14:solidFill>
                </w14:textFill>
              </w:rPr>
              <w:t xml:space="preserve"> </w:t>
            </w:r>
          </w:p>
          <w:p>
            <w:pPr>
              <w:ind w:firstLine="462" w:firstLineChars="2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联系电话：</w:t>
            </w:r>
            <w:r>
              <w:rPr>
                <w:rFonts w:ascii="Times New Roman" w:hAnsi="Times New Roman"/>
                <w:color w:val="000000" w:themeColor="text1"/>
                <w14:textFill>
                  <w14:solidFill>
                    <w14:schemeClr w14:val="tx1"/>
                  </w14:solidFill>
                </w14:textFill>
              </w:rPr>
              <w:t xml:space="preserve">0571-82230995   </w:t>
            </w:r>
            <w:r>
              <w:rPr>
                <w:rFonts w:hint="eastAsia" w:ascii="Times New Roman" w:hAnsi="Times New Roman"/>
                <w:color w:val="000000" w:themeColor="text1"/>
                <w14:textFill>
                  <w14:solidFill>
                    <w14:schemeClr w14:val="tx1"/>
                  </w14:solidFill>
                </w14:textFill>
              </w:rPr>
              <w:t>传真</w:t>
            </w:r>
            <w:r>
              <w:rPr>
                <w:rFonts w:ascii="Times New Roman" w:hAnsi="Times New Roman"/>
                <w:color w:val="000000" w:themeColor="text1"/>
                <w14:textFill>
                  <w14:solidFill>
                    <w14:schemeClr w14:val="tx1"/>
                  </w14:solidFill>
                </w14:textFill>
              </w:rPr>
              <w:t>: 0571-87035309</w:t>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REF </w:instrText>
            </w:r>
            <w:r>
              <w:rPr>
                <w:rFonts w:hint="eastAsia" w:ascii="Times New Roman" w:hAnsi="Times New Roman"/>
                <w:color w:val="000000" w:themeColor="text1"/>
                <w14:textFill>
                  <w14:solidFill>
                    <w14:schemeClr w14:val="tx1"/>
                  </w14:solidFill>
                </w14:textFill>
              </w:rPr>
              <w:instrText xml:space="preserve">代理传真</w:instrText>
            </w:r>
            <w:r>
              <w:rPr>
                <w:rFonts w:ascii="Times New Roman" w:hAnsi="Times New Roman"/>
                <w:color w:val="000000" w:themeColor="text1"/>
                <w14:textFill>
                  <w14:solidFill>
                    <w14:schemeClr w14:val="tx1"/>
                  </w14:solidFill>
                </w14:textFill>
              </w:rPr>
              <w:instrText xml:space="preserve"> \h  \* MERGEFORMAT </w:instrText>
            </w:r>
            <w:r>
              <w:rPr>
                <w:rFonts w:ascii="Times New Roman" w:hAnsi="Times New Roman"/>
                <w:color w:val="000000" w:themeColor="text1"/>
                <w14:textFill>
                  <w14:solidFill>
                    <w14:schemeClr w14:val="tx1"/>
                  </w14:solidFill>
                </w14:textFill>
              </w:rPr>
              <w:fldChar w:fldCharType="end"/>
            </w:r>
          </w:p>
          <w:p>
            <w:pPr>
              <w:ind w:firstLine="462" w:firstLineChars="2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邮箱：</w:t>
            </w:r>
            <w:r>
              <w:rPr>
                <w:rFonts w:ascii="Times New Roman" w:hAnsi="Times New Roman"/>
                <w:color w:val="000000" w:themeColor="text1"/>
                <w14:textFill>
                  <w14:solidFill>
                    <w14:schemeClr w14:val="tx1"/>
                  </w14:solidFill>
                </w14:textFill>
              </w:rPr>
              <w:t>1176528072@qq.com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项目名称</w:t>
            </w:r>
          </w:p>
        </w:tc>
        <w:tc>
          <w:tcPr>
            <w:tcW w:w="6378" w:type="dxa"/>
            <w:vAlign w:val="center"/>
          </w:tcPr>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REF </w:instrText>
            </w:r>
            <w:r>
              <w:rPr>
                <w:rFonts w:hint="eastAsia" w:ascii="Times New Roman" w:hAnsi="Times New Roman"/>
                <w:color w:val="000000" w:themeColor="text1"/>
                <w14:textFill>
                  <w14:solidFill>
                    <w14:schemeClr w14:val="tx1"/>
                  </w14:solidFill>
                </w14:textFill>
              </w:rPr>
              <w:instrText xml:space="preserve">采购项目名称</w:instrText>
            </w:r>
            <w:r>
              <w:rPr>
                <w:rFonts w:ascii="Times New Roman" w:hAnsi="Times New Roman"/>
                <w:color w:val="000000" w:themeColor="text1"/>
                <w14:textFill>
                  <w14:solidFill>
                    <w14:schemeClr w14:val="tx1"/>
                  </w14:solidFill>
                </w14:textFill>
              </w:rPr>
              <w:instrText xml:space="preserve"> \h  \* MERGEFORMAT </w:instrText>
            </w:r>
            <w:r>
              <w:rPr>
                <w:rFonts w:ascii="Times New Roman" w:hAnsi="Times New Roman"/>
                <w:color w:val="000000" w:themeColor="text1"/>
                <w14:textFill>
                  <w14:solidFill>
                    <w14:schemeClr w14:val="tx1"/>
                  </w14:solidFill>
                </w14:textFill>
              </w:rPr>
              <w:fldChar w:fldCharType="separate"/>
            </w:r>
            <w:r>
              <w:rPr>
                <w:rFonts w:hint="eastAsia" w:ascii="Times New Roman" w:hAnsi="Times New Roman"/>
                <w:color w:val="000000" w:themeColor="text1"/>
                <w:szCs w:val="21"/>
                <w14:textFill>
                  <w14:solidFill>
                    <w14:schemeClr w14:val="tx1"/>
                  </w14:solidFill>
                </w14:textFill>
              </w:rPr>
              <w:t>艮山东路过江隧道工程</w:t>
            </w:r>
            <w:r>
              <w:rPr>
                <w:rFonts w:ascii="Times New Roman" w:hAnsi="Times New Roman"/>
                <w:color w:val="000000" w:themeColor="text1"/>
                <w:szCs w:val="21"/>
                <w14:textFill>
                  <w14:solidFill>
                    <w14:schemeClr w14:val="tx1"/>
                  </w14:solidFill>
                </w14:textFill>
              </w:rPr>
              <w:t>PPP</w:t>
            </w:r>
            <w:r>
              <w:rPr>
                <w:rFonts w:hint="eastAsia" w:ascii="Times New Roman" w:hAnsi="Times New Roman"/>
                <w:color w:val="000000" w:themeColor="text1"/>
                <w:szCs w:val="21"/>
                <w14:textFill>
                  <w14:solidFill>
                    <w14:schemeClr w14:val="tx1"/>
                  </w14:solidFill>
                </w14:textFill>
              </w:rPr>
              <w:t>项目社会资本采购</w:t>
            </w:r>
            <w:r>
              <w:rPr>
                <w:rFonts w:ascii="Times New Roman" w:hAnsi="Times New Roman"/>
                <w:color w:val="000000" w:themeColor="text1"/>
                <w14:textFill>
                  <w14:solidFill>
                    <w14:schemeClr w14:val="tx1"/>
                  </w14:solidFill>
                </w14:textFill>
              </w:rPr>
              <w:fldChar w:fldCharType="end"/>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工程概况</w:t>
            </w:r>
          </w:p>
        </w:tc>
        <w:tc>
          <w:tcPr>
            <w:tcW w:w="6378" w:type="dxa"/>
          </w:tcPr>
          <w:p>
            <w:pPr>
              <w:rPr>
                <w:rFonts w:ascii="Times New Roman" w:hAnsi="Times New Roman"/>
                <w:color w:val="000000" w:themeColor="text1"/>
                <w14:textFill>
                  <w14:solidFill>
                    <w14:schemeClr w14:val="tx1"/>
                  </w14:solidFill>
                </w14:textFill>
              </w:rPr>
            </w:pPr>
            <w:bookmarkStart w:id="48" w:name="_Hlk513626821"/>
            <w:r>
              <w:rPr>
                <w:rFonts w:hint="eastAsia" w:ascii="Times New Roman" w:hAnsi="Times New Roman"/>
                <w:color w:val="000000" w:themeColor="text1"/>
                <w14:textFill>
                  <w14:solidFill>
                    <w14:schemeClr w14:val="tx1"/>
                  </w14:solidFill>
                </w14:textFill>
              </w:rPr>
              <w:t>（一）项目建设规模</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艮山东路过江隧道西起下沙艾博生物医药有限公司南侧，东至大江东滨江二路，工程总用地面积约</w:t>
            </w:r>
            <w:r>
              <w:rPr>
                <w:rFonts w:ascii="Times New Roman" w:hAnsi="Times New Roman"/>
                <w:color w:val="000000" w:themeColor="text1"/>
                <w14:textFill>
                  <w14:solidFill>
                    <w14:schemeClr w14:val="tx1"/>
                  </w14:solidFill>
                </w14:textFill>
              </w:rPr>
              <w:t>9.535</w:t>
            </w:r>
            <w:r>
              <w:rPr>
                <w:rFonts w:hint="eastAsia" w:ascii="Times New Roman" w:hAnsi="Times New Roman"/>
                <w:color w:val="000000" w:themeColor="text1"/>
                <w14:textFill>
                  <w14:solidFill>
                    <w14:schemeClr w14:val="tx1"/>
                  </w14:solidFill>
                </w14:textFill>
              </w:rPr>
              <w:t>公顷。项目建设内容包括过江隧道、综合管廊、地面接线工程及配套附属工程建设。工程全长</w:t>
            </w:r>
            <w:r>
              <w:rPr>
                <w:rFonts w:ascii="Times New Roman" w:hAnsi="Times New Roman"/>
                <w:color w:val="000000" w:themeColor="text1"/>
                <w14:textFill>
                  <w14:solidFill>
                    <w14:schemeClr w14:val="tx1"/>
                  </w14:solidFill>
                </w14:textFill>
              </w:rPr>
              <w:t>4600</w:t>
            </w:r>
            <w:r>
              <w:rPr>
                <w:rFonts w:hint="eastAsia" w:ascii="Times New Roman" w:hAnsi="Times New Roman"/>
                <w:color w:val="000000" w:themeColor="text1"/>
                <w14:textFill>
                  <w14:solidFill>
                    <w14:schemeClr w14:val="tx1"/>
                  </w14:solidFill>
                </w14:textFill>
              </w:rPr>
              <w:t>（含地面接线道路），其中隧道段长约</w:t>
            </w:r>
            <w:r>
              <w:rPr>
                <w:rFonts w:ascii="Times New Roman" w:hAnsi="Times New Roman"/>
                <w:color w:val="000000" w:themeColor="text1"/>
                <w14:textFill>
                  <w14:solidFill>
                    <w14:schemeClr w14:val="tx1"/>
                  </w14:solidFill>
                </w14:textFill>
              </w:rPr>
              <w:t>4450</w:t>
            </w:r>
            <w:r>
              <w:rPr>
                <w:rFonts w:hint="eastAsia" w:ascii="Times New Roman" w:hAnsi="Times New Roman"/>
                <w:color w:val="000000" w:themeColor="text1"/>
                <w14:textFill>
                  <w14:solidFill>
                    <w14:schemeClr w14:val="tx1"/>
                  </w14:solidFill>
                </w14:textFill>
              </w:rPr>
              <w:t>米（含盾构段长约</w:t>
            </w:r>
            <w:r>
              <w:rPr>
                <w:rFonts w:ascii="Times New Roman" w:hAnsi="Times New Roman"/>
                <w:color w:val="000000" w:themeColor="text1"/>
                <w14:textFill>
                  <w14:solidFill>
                    <w14:schemeClr w14:val="tx1"/>
                  </w14:solidFill>
                </w14:textFill>
              </w:rPr>
              <w:t>3210</w:t>
            </w:r>
            <w:r>
              <w:rPr>
                <w:rFonts w:hint="eastAsia" w:ascii="Times New Roman" w:hAnsi="Times New Roman"/>
                <w:color w:val="000000" w:themeColor="text1"/>
                <w14:textFill>
                  <w14:solidFill>
                    <w14:schemeClr w14:val="tx1"/>
                  </w14:solidFill>
                </w14:textFill>
              </w:rPr>
              <w:t>米），隧道盾构段外径</w:t>
            </w:r>
            <w:r>
              <w:rPr>
                <w:rFonts w:ascii="Times New Roman" w:hAnsi="Times New Roman"/>
                <w:color w:val="000000" w:themeColor="text1"/>
                <w14:textFill>
                  <w14:solidFill>
                    <w14:schemeClr w14:val="tx1"/>
                  </w14:solidFill>
                </w14:textFill>
              </w:rPr>
              <w:t>14.5</w:t>
            </w:r>
            <w:r>
              <w:rPr>
                <w:rFonts w:hint="eastAsia" w:ascii="Times New Roman" w:hAnsi="Times New Roman"/>
                <w:color w:val="000000" w:themeColor="text1"/>
                <w14:textFill>
                  <w14:solidFill>
                    <w14:schemeClr w14:val="tx1"/>
                  </w14:solidFill>
                </w14:textFill>
              </w:rPr>
              <w:t>米，内径</w:t>
            </w:r>
            <w:r>
              <w:rPr>
                <w:rFonts w:ascii="Times New Roman" w:hAnsi="Times New Roman"/>
                <w:color w:val="000000" w:themeColor="text1"/>
                <w14:textFill>
                  <w14:solidFill>
                    <w14:schemeClr w14:val="tx1"/>
                  </w14:solidFill>
                </w14:textFill>
              </w:rPr>
              <w:t>13.3</w:t>
            </w:r>
            <w:r>
              <w:rPr>
                <w:rFonts w:hint="eastAsia" w:ascii="Times New Roman" w:hAnsi="Times New Roman"/>
                <w:color w:val="000000" w:themeColor="text1"/>
                <w14:textFill>
                  <w14:solidFill>
                    <w14:schemeClr w14:val="tx1"/>
                  </w14:solidFill>
                </w14:textFill>
              </w:rPr>
              <w:t>米，车道净高</w:t>
            </w:r>
            <w:r>
              <w:rPr>
                <w:rFonts w:ascii="Times New Roman" w:hAnsi="Times New Roman"/>
                <w:color w:val="000000" w:themeColor="text1"/>
                <w14:textFill>
                  <w14:solidFill>
                    <w14:schemeClr w14:val="tx1"/>
                  </w14:solidFill>
                </w14:textFill>
              </w:rPr>
              <w:t>4.5</w:t>
            </w:r>
            <w:r>
              <w:rPr>
                <w:rFonts w:hint="eastAsia" w:ascii="Times New Roman" w:hAnsi="Times New Roman"/>
                <w:color w:val="000000" w:themeColor="text1"/>
                <w14:textFill>
                  <w14:solidFill>
                    <w14:schemeClr w14:val="tx1"/>
                  </w14:solidFill>
                </w14:textFill>
              </w:rPr>
              <w:t>米，双向</w:t>
            </w:r>
            <w:r>
              <w:rPr>
                <w:rFonts w:ascii="Times New Roman" w:hAnsi="Times New Roman"/>
                <w:color w:val="000000" w:themeColor="text1"/>
                <w14:textFill>
                  <w14:solidFill>
                    <w14:schemeClr w14:val="tx1"/>
                  </w14:solidFill>
                </w14:textFill>
              </w:rPr>
              <w:t>6</w:t>
            </w:r>
            <w:r>
              <w:rPr>
                <w:rFonts w:hint="eastAsia" w:ascii="Times New Roman" w:hAnsi="Times New Roman"/>
                <w:color w:val="000000" w:themeColor="text1"/>
                <w14:textFill>
                  <w14:solidFill>
                    <w14:schemeClr w14:val="tx1"/>
                  </w14:solidFill>
                </w14:textFill>
              </w:rPr>
              <w:t>车道设置，主线设计时速</w:t>
            </w:r>
            <w:r>
              <w:rPr>
                <w:rFonts w:ascii="Times New Roman" w:hAnsi="Times New Roman"/>
                <w:color w:val="000000" w:themeColor="text1"/>
                <w14:textFill>
                  <w14:solidFill>
                    <w14:schemeClr w14:val="tx1"/>
                  </w14:solidFill>
                </w14:textFill>
              </w:rPr>
              <w:t>80</w:t>
            </w:r>
            <w:r>
              <w:rPr>
                <w:rFonts w:hint="eastAsia" w:ascii="Times New Roman" w:hAnsi="Times New Roman"/>
                <w:color w:val="000000" w:themeColor="text1"/>
                <w14:textFill>
                  <w14:solidFill>
                    <w14:schemeClr w14:val="tx1"/>
                  </w14:solidFill>
                </w14:textFill>
              </w:rPr>
              <w:t>公里</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小时，匝道设计时速</w:t>
            </w:r>
            <w:r>
              <w:rPr>
                <w:rFonts w:ascii="Times New Roman" w:hAnsi="Times New Roman"/>
                <w:color w:val="000000" w:themeColor="text1"/>
                <w14:textFill>
                  <w14:solidFill>
                    <w14:schemeClr w14:val="tx1"/>
                  </w14:solidFill>
                </w14:textFill>
              </w:rPr>
              <w:t>40</w:t>
            </w:r>
            <w:r>
              <w:rPr>
                <w:rFonts w:hint="eastAsia" w:ascii="Times New Roman" w:hAnsi="Times New Roman"/>
                <w:color w:val="000000" w:themeColor="text1"/>
                <w14:textFill>
                  <w14:solidFill>
                    <w14:schemeClr w14:val="tx1"/>
                  </w14:solidFill>
                </w14:textFill>
              </w:rPr>
              <w:t>公里</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小时。附设平行匝道一对，风塔两座，管理用房一处建筑面积约</w:t>
            </w:r>
            <w:r>
              <w:rPr>
                <w:rFonts w:ascii="Times New Roman" w:hAnsi="Times New Roman"/>
                <w:color w:val="000000" w:themeColor="text1"/>
                <w14:textFill>
                  <w14:solidFill>
                    <w14:schemeClr w14:val="tx1"/>
                  </w14:solidFill>
                </w14:textFill>
              </w:rPr>
              <w:t>2235</w:t>
            </w:r>
            <w:r>
              <w:rPr>
                <w:rFonts w:hint="eastAsia" w:ascii="Times New Roman" w:hAnsi="Times New Roman"/>
                <w:color w:val="000000" w:themeColor="text1"/>
                <w14:textFill>
                  <w14:solidFill>
                    <w14:schemeClr w14:val="tx1"/>
                  </w14:solidFill>
                </w14:textFill>
              </w:rPr>
              <w:t>平方米。管廊单独敷设段长约</w:t>
            </w:r>
            <w:r>
              <w:rPr>
                <w:rFonts w:ascii="Times New Roman" w:hAnsi="Times New Roman"/>
                <w:color w:val="000000" w:themeColor="text1"/>
                <w14:textFill>
                  <w14:solidFill>
                    <w14:schemeClr w14:val="tx1"/>
                  </w14:solidFill>
                </w14:textFill>
              </w:rPr>
              <w:t>1600</w:t>
            </w:r>
            <w:r>
              <w:rPr>
                <w:rFonts w:hint="eastAsia" w:ascii="Times New Roman" w:hAnsi="Times New Roman"/>
                <w:color w:val="000000" w:themeColor="text1"/>
                <w14:textFill>
                  <w14:solidFill>
                    <w14:schemeClr w14:val="tx1"/>
                  </w14:solidFill>
                </w14:textFill>
              </w:rPr>
              <w:t>米（以实测为准），过江盾构段与隧道主体合建。</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（二）项目投资规模</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本项目可行性研究报告批复估算总投资</w:t>
            </w:r>
            <w:r>
              <w:rPr>
                <w:rFonts w:ascii="Times New Roman" w:hAnsi="Times New Roman"/>
                <w:color w:val="000000" w:themeColor="text1"/>
                <w14:textFill>
                  <w14:solidFill>
                    <w14:schemeClr w14:val="tx1"/>
                  </w14:solidFill>
                </w14:textFill>
              </w:rPr>
              <w:t>441988.58</w:t>
            </w:r>
            <w:r>
              <w:rPr>
                <w:rFonts w:hint="eastAsia" w:ascii="Times New Roman" w:hAnsi="Times New Roman"/>
                <w:color w:val="000000" w:themeColor="text1"/>
                <w14:textFill>
                  <w14:solidFill>
                    <w14:schemeClr w14:val="tx1"/>
                  </w14:solidFill>
                </w14:textFill>
              </w:rPr>
              <w:t>万元，其中工程费用</w:t>
            </w:r>
            <w:r>
              <w:rPr>
                <w:rFonts w:ascii="Times New Roman" w:hAnsi="Times New Roman"/>
                <w:color w:val="000000" w:themeColor="text1"/>
                <w14:textFill>
                  <w14:solidFill>
                    <w14:schemeClr w14:val="tx1"/>
                  </w14:solidFill>
                </w14:textFill>
              </w:rPr>
              <w:t>366333.43</w:t>
            </w:r>
            <w:r>
              <w:rPr>
                <w:rFonts w:hint="eastAsia" w:ascii="Times New Roman" w:hAnsi="Times New Roman"/>
                <w:color w:val="000000" w:themeColor="text1"/>
                <w14:textFill>
                  <w14:solidFill>
                    <w14:schemeClr w14:val="tx1"/>
                  </w14:solidFill>
                </w14:textFill>
              </w:rPr>
              <w:t>万元，工程建设其他费用</w:t>
            </w:r>
            <w:r>
              <w:rPr>
                <w:rFonts w:ascii="Times New Roman" w:hAnsi="Times New Roman"/>
                <w:color w:val="000000" w:themeColor="text1"/>
                <w14:textFill>
                  <w14:solidFill>
                    <w14:schemeClr w14:val="tx1"/>
                  </w14:solidFill>
                </w14:textFill>
              </w:rPr>
              <w:t>42915.26</w:t>
            </w:r>
            <w:r>
              <w:rPr>
                <w:rFonts w:hint="eastAsia" w:ascii="Times New Roman" w:hAnsi="Times New Roman"/>
                <w:color w:val="000000" w:themeColor="text1"/>
                <w14:textFill>
                  <w14:solidFill>
                    <w14:schemeClr w14:val="tx1"/>
                  </w14:solidFill>
                </w14:textFill>
              </w:rPr>
              <w:t>万元，预备费</w:t>
            </w:r>
            <w:r>
              <w:rPr>
                <w:rFonts w:ascii="Times New Roman" w:hAnsi="Times New Roman"/>
                <w:color w:val="000000" w:themeColor="text1"/>
                <w14:textFill>
                  <w14:solidFill>
                    <w14:schemeClr w14:val="tx1"/>
                  </w14:solidFill>
                </w14:textFill>
              </w:rPr>
              <w:t>32739.89</w:t>
            </w:r>
            <w:r>
              <w:rPr>
                <w:rFonts w:hint="eastAsia" w:ascii="Times New Roman" w:hAnsi="Times New Roman"/>
                <w:color w:val="000000" w:themeColor="text1"/>
                <w14:textFill>
                  <w14:solidFill>
                    <w14:schemeClr w14:val="tx1"/>
                  </w14:solidFill>
                </w14:textFill>
              </w:rPr>
              <w:t>万元。</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纳入</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项目的建设投资包括工程费用</w:t>
            </w:r>
            <w:r>
              <w:rPr>
                <w:rFonts w:ascii="Times New Roman" w:hAnsi="Times New Roman"/>
                <w:color w:val="000000" w:themeColor="text1"/>
                <w14:textFill>
                  <w14:solidFill>
                    <w14:schemeClr w14:val="tx1"/>
                  </w14:solidFill>
                </w14:textFill>
              </w:rPr>
              <w:t>366333.43</w:t>
            </w:r>
            <w:r>
              <w:rPr>
                <w:rFonts w:hint="eastAsia" w:ascii="Times New Roman" w:hAnsi="Times New Roman"/>
                <w:color w:val="000000" w:themeColor="text1"/>
                <w14:textFill>
                  <w14:solidFill>
                    <w14:schemeClr w14:val="tx1"/>
                  </w14:solidFill>
                </w14:textFill>
              </w:rPr>
              <w:t>万元，工程建设其他费用</w:t>
            </w:r>
            <w:r>
              <w:rPr>
                <w:rFonts w:ascii="Times New Roman" w:hAnsi="Times New Roman"/>
                <w:color w:val="000000" w:themeColor="text1"/>
                <w14:textFill>
                  <w14:solidFill>
                    <w14:schemeClr w14:val="tx1"/>
                  </w14:solidFill>
                </w14:textFill>
              </w:rPr>
              <w:t>42915.26</w:t>
            </w:r>
            <w:r>
              <w:rPr>
                <w:rFonts w:hint="eastAsia" w:ascii="Times New Roman" w:hAnsi="Times New Roman"/>
                <w:color w:val="000000" w:themeColor="text1"/>
                <w14:textFill>
                  <w14:solidFill>
                    <w14:schemeClr w14:val="tx1"/>
                  </w14:solidFill>
                </w14:textFill>
              </w:rPr>
              <w:t>万元，预备费</w:t>
            </w:r>
            <w:r>
              <w:rPr>
                <w:rFonts w:ascii="Times New Roman" w:hAnsi="Times New Roman"/>
                <w:color w:val="000000" w:themeColor="text1"/>
                <w14:textFill>
                  <w14:solidFill>
                    <w14:schemeClr w14:val="tx1"/>
                  </w14:solidFill>
                </w14:textFill>
              </w:rPr>
              <w:t>32739.89</w:t>
            </w:r>
            <w:r>
              <w:rPr>
                <w:rFonts w:hint="eastAsia" w:ascii="Times New Roman" w:hAnsi="Times New Roman"/>
                <w:color w:val="000000" w:themeColor="text1"/>
                <w14:textFill>
                  <w14:solidFill>
                    <w14:schemeClr w14:val="tx1"/>
                  </w14:solidFill>
                </w14:textFill>
              </w:rPr>
              <w:t>万元，合计</w:t>
            </w:r>
            <w:r>
              <w:rPr>
                <w:rFonts w:ascii="Times New Roman" w:hAnsi="Times New Roman"/>
                <w:color w:val="000000" w:themeColor="text1"/>
                <w14:textFill>
                  <w14:solidFill>
                    <w14:schemeClr w14:val="tx1"/>
                  </w14:solidFill>
                </w14:textFill>
              </w:rPr>
              <w:t>441988.58</w:t>
            </w:r>
            <w:r>
              <w:rPr>
                <w:rFonts w:hint="eastAsia" w:ascii="Times New Roman" w:hAnsi="Times New Roman"/>
                <w:color w:val="000000" w:themeColor="text1"/>
                <w14:textFill>
                  <w14:solidFill>
                    <w14:schemeClr w14:val="tx1"/>
                  </w14:solidFill>
                </w14:textFill>
              </w:rPr>
              <w:t>万元（暂定）。</w:t>
            </w:r>
            <w:bookmarkEnd w:id="48"/>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7"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运作方式</w:t>
            </w:r>
          </w:p>
        </w:tc>
        <w:tc>
          <w:tcPr>
            <w:tcW w:w="6378" w:type="dxa"/>
            <w:vAlign w:val="center"/>
          </w:tcPr>
          <w:p>
            <w:pPr>
              <w:ind w:firstLine="315" w:firstLineChars="15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本项目采用“建设</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运营</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移交（</w:t>
            </w:r>
            <w:r>
              <w:rPr>
                <w:rFonts w:ascii="Times New Roman" w:hAnsi="Times New Roman"/>
                <w:color w:val="000000" w:themeColor="text1"/>
                <w14:textFill>
                  <w14:solidFill>
                    <w14:schemeClr w14:val="tx1"/>
                  </w14:solidFill>
                </w14:textFill>
              </w:rPr>
              <w:t>BOT</w:t>
            </w:r>
            <w:r>
              <w:rPr>
                <w:rFonts w:hint="eastAsia" w:ascii="Times New Roman" w:hAnsi="Times New Roman"/>
                <w:color w:val="000000" w:themeColor="text1"/>
                <w14:textFill>
                  <w14:solidFill>
                    <w14:schemeClr w14:val="tx1"/>
                  </w14:solidFill>
                </w14:textFill>
              </w:rPr>
              <w:t>）”的运作方式。</w:t>
            </w:r>
          </w:p>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杭州经济技术开发区管理委员会委托杭州大江东产业集聚区管理委员会负责实施本项目，由杭州大江东产业集聚区管理委员会授权杭州大江东产业集聚区公路管理所作为项目实施机构及采购人，依法选择确定中标社会资本。由中标社会资本负责组建项目公司。</w:t>
            </w:r>
          </w:p>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）在设定的合作期内，由项目公司负责投（融）资、建设、运营和移交。</w:t>
            </w:r>
          </w:p>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）本项目运营期内项目公司主要针对隧道（含设施设备）及配套、综合管廊进行管养与维护，并向入廊单位收取入廊费和日常维护费（管廊）。由采购人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项目实施机构对项目公司进行运营绩效考核。</w:t>
            </w:r>
          </w:p>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4</w:t>
            </w:r>
            <w:r>
              <w:rPr>
                <w:rFonts w:hint="eastAsia" w:ascii="Times New Roman" w:hAnsi="Times New Roman"/>
                <w:color w:val="000000" w:themeColor="text1"/>
                <w14:textFill>
                  <w14:solidFill>
                    <w14:schemeClr w14:val="tx1"/>
                  </w14:solidFill>
                </w14:textFill>
              </w:rPr>
              <w:t>）合作期届满，由项目公司无偿移交项目设施、技术资料等。</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合作期限</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项目</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建设期</w:t>
            </w:r>
            <w:r>
              <w:rPr>
                <w:rFonts w:ascii="Times New Roman" w:hAnsi="Times New Roman"/>
                <w:color w:val="000000" w:themeColor="text1"/>
                <w14:textFill>
                  <w14:solidFill>
                    <w14:schemeClr w14:val="tx1"/>
                  </w14:solidFill>
                </w14:textFill>
              </w:rPr>
              <w:t>38</w:t>
            </w:r>
            <w:r>
              <w:rPr>
                <w:rFonts w:hint="eastAsia" w:ascii="Times New Roman" w:hAnsi="Times New Roman"/>
                <w:color w:val="000000" w:themeColor="text1"/>
                <w14:textFill>
                  <w14:solidFill>
                    <w14:schemeClr w14:val="tx1"/>
                  </w14:solidFill>
                </w14:textFill>
              </w:rPr>
              <w:t>个月，运营期</w:t>
            </w:r>
            <w:r>
              <w:rPr>
                <w:rFonts w:ascii="Times New Roman" w:hAnsi="Times New Roman"/>
                <w:color w:val="000000" w:themeColor="text1"/>
                <w14:textFill>
                  <w14:solidFill>
                    <w14:schemeClr w14:val="tx1"/>
                  </w14:solidFill>
                </w14:textFill>
              </w:rPr>
              <w:t>20</w:t>
            </w:r>
            <w:r>
              <w:rPr>
                <w:rFonts w:hint="eastAsia" w:ascii="Times New Roman" w:hAnsi="Times New Roman"/>
                <w:color w:val="000000" w:themeColor="text1"/>
                <w14:textFill>
                  <w14:solidFill>
                    <w14:schemeClr w14:val="tx1"/>
                  </w14:solidFill>
                </w14:textFill>
              </w:rPr>
              <w:t>年，自项目公司与实施机构正式签订</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项目合同并生效之日起算。其中：</w:t>
            </w:r>
          </w:p>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）建设期：自签订</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项目合同并生效之日起至通车之日，项目建设期不超过</w:t>
            </w:r>
            <w:r>
              <w:rPr>
                <w:rFonts w:ascii="Times New Roman" w:hAnsi="Times New Roman"/>
                <w:color w:val="000000" w:themeColor="text1"/>
                <w14:textFill>
                  <w14:solidFill>
                    <w14:schemeClr w14:val="tx1"/>
                  </w14:solidFill>
                </w14:textFill>
              </w:rPr>
              <w:t>38</w:t>
            </w:r>
            <w:r>
              <w:rPr>
                <w:rFonts w:hint="eastAsia" w:ascii="Times New Roman" w:hAnsi="Times New Roman"/>
                <w:color w:val="000000" w:themeColor="text1"/>
                <w14:textFill>
                  <w14:solidFill>
                    <w14:schemeClr w14:val="tx1"/>
                  </w14:solidFill>
                </w14:textFill>
              </w:rPr>
              <w:t>个月。</w:t>
            </w:r>
          </w:p>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）运营期：通车日次日至运营期届满。</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项目公司</w:t>
            </w:r>
          </w:p>
        </w:tc>
        <w:tc>
          <w:tcPr>
            <w:tcW w:w="6378" w:type="dxa"/>
            <w:vAlign w:val="center"/>
          </w:tcPr>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）本项目由中标社会资本独资组建项目公司，由项目公司承担本项目的投（融）资、建设、运营和移交，并按约定的回报机制获得项目收益。</w:t>
            </w:r>
          </w:p>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）项目资本金不低于项目签约投资额的</w:t>
            </w:r>
            <w:r>
              <w:rPr>
                <w:rFonts w:ascii="Times New Roman" w:hAnsi="Times New Roman"/>
                <w:color w:val="000000" w:themeColor="text1"/>
                <w14:textFill>
                  <w14:solidFill>
                    <w14:schemeClr w14:val="tx1"/>
                  </w14:solidFill>
                </w14:textFill>
              </w:rPr>
              <w:t>20%</w:t>
            </w:r>
            <w:r>
              <w:rPr>
                <w:rFonts w:hint="eastAsia" w:ascii="Times New Roman" w:hAnsi="Times New Roman"/>
                <w:color w:val="000000" w:themeColor="text1"/>
                <w14:textFill>
                  <w14:solidFill>
                    <w14:schemeClr w14:val="tx1"/>
                  </w14:solidFill>
                </w14:textFill>
              </w:rPr>
              <w:t>。项目注册资本</w:t>
            </w:r>
            <w:r>
              <w:rPr>
                <w:rFonts w:ascii="Times New Roman" w:hAnsi="Times New Roman"/>
                <w:color w:val="000000" w:themeColor="text1"/>
                <w14:textFill>
                  <w14:solidFill>
                    <w14:schemeClr w14:val="tx1"/>
                  </w14:solidFill>
                </w14:textFill>
              </w:rPr>
              <w:t>7</w:t>
            </w:r>
            <w:r>
              <w:rPr>
                <w:rFonts w:hint="eastAsia" w:ascii="Times New Roman" w:hAnsi="Times New Roman"/>
                <w:color w:val="000000" w:themeColor="text1"/>
                <w14:textFill>
                  <w14:solidFill>
                    <w14:schemeClr w14:val="tx1"/>
                  </w14:solidFill>
                </w14:textFill>
              </w:rPr>
              <w:t>亿元。</w:t>
            </w:r>
          </w:p>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）项目公司注册资本应当以货币形式出资。在项目公司正式成立（营业执照签发）之日起三十（</w:t>
            </w:r>
            <w:r>
              <w:rPr>
                <w:rFonts w:ascii="Times New Roman" w:hAnsi="Times New Roman"/>
                <w:color w:val="000000" w:themeColor="text1"/>
                <w14:textFill>
                  <w14:solidFill>
                    <w14:schemeClr w14:val="tx1"/>
                  </w14:solidFill>
                </w14:textFill>
              </w:rPr>
              <w:t>30</w:t>
            </w:r>
            <w:r>
              <w:rPr>
                <w:rFonts w:hint="eastAsia" w:ascii="Times New Roman" w:hAnsi="Times New Roman"/>
                <w:color w:val="000000" w:themeColor="text1"/>
                <w14:textFill>
                  <w14:solidFill>
                    <w14:schemeClr w14:val="tx1"/>
                  </w14:solidFill>
                </w14:textFill>
              </w:rPr>
              <w:t>）日内，实缴到位注册资本的</w:t>
            </w:r>
            <w:r>
              <w:rPr>
                <w:rFonts w:ascii="Times New Roman" w:hAnsi="Times New Roman"/>
                <w:color w:val="000000" w:themeColor="text1"/>
                <w14:textFill>
                  <w14:solidFill>
                    <w14:schemeClr w14:val="tx1"/>
                  </w14:solidFill>
                </w14:textFill>
              </w:rPr>
              <w:t>50%</w:t>
            </w:r>
            <w:r>
              <w:rPr>
                <w:rFonts w:hint="eastAsia" w:ascii="Times New Roman" w:hAnsi="Times New Roman"/>
                <w:color w:val="000000" w:themeColor="text1"/>
                <w14:textFill>
                  <w14:solidFill>
                    <w14:schemeClr w14:val="tx1"/>
                  </w14:solidFill>
                </w14:textFill>
              </w:rPr>
              <w:t>，在项目公司正式成立（营业执照签发）之日起一（</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）年内，实缴到位注册资本的</w:t>
            </w:r>
            <w:r>
              <w:rPr>
                <w:rFonts w:ascii="Times New Roman" w:hAnsi="Times New Roman"/>
                <w:color w:val="000000" w:themeColor="text1"/>
                <w14:textFill>
                  <w14:solidFill>
                    <w14:schemeClr w14:val="tx1"/>
                  </w14:solidFill>
                </w14:textFill>
              </w:rPr>
              <w:t>100%</w:t>
            </w:r>
            <w:r>
              <w:rPr>
                <w:rFonts w:hint="eastAsia" w:ascii="Times New Roman" w:hAnsi="Times New Roman"/>
                <w:color w:val="000000" w:themeColor="text1"/>
                <w14:textFill>
                  <w14:solidFill>
                    <w14:schemeClr w14:val="tx1"/>
                  </w14:solidFill>
                </w14:textFill>
              </w:rPr>
              <w:t>，其余项目资本金根据实际需要按实到位。</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建设投资范围</w:t>
            </w:r>
          </w:p>
        </w:tc>
        <w:tc>
          <w:tcPr>
            <w:tcW w:w="6378" w:type="dxa"/>
            <w:vAlign w:val="center"/>
          </w:tcPr>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）政府方及采购人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项目实施机构负责完成本项目土地征迁、规划、初步设计、施工图设计、预算编制及监理单位委托。本项目投资范围内的其他工作均由项目公司完成。项目公司按照政府方及采购人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项目实施机构提供的施工图纸或政府方及采购人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项目实施机构批准的设计优化方案组织并完成施工。</w:t>
            </w:r>
          </w:p>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）投资范围：项目公司根据合同约定承担本项目工程所需的所有投资，具体见第二卷</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项目合同相关内容。</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运营维护范围</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本项目隧道（含设施设备）及配套、综合管廊进行管养与维护。</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工程变更</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对变更的条件、变更的申报批准程序等根据《杭州大江东产业集聚区政府投资项目变更管理实施细则》（大江东财政〔</w:t>
            </w:r>
            <w:r>
              <w:rPr>
                <w:rFonts w:ascii="Times New Roman" w:hAnsi="Times New Roman"/>
                <w:color w:val="000000" w:themeColor="text1"/>
                <w14:textFill>
                  <w14:solidFill>
                    <w14:schemeClr w14:val="tx1"/>
                  </w14:solidFill>
                </w14:textFill>
              </w:rPr>
              <w:t>2016</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178</w:t>
            </w:r>
            <w:r>
              <w:rPr>
                <w:rFonts w:hint="eastAsia" w:ascii="Times New Roman" w:hAnsi="Times New Roman"/>
                <w:color w:val="000000" w:themeColor="text1"/>
                <w14:textFill>
                  <w14:solidFill>
                    <w14:schemeClr w14:val="tx1"/>
                  </w14:solidFill>
                </w14:textFill>
              </w:rPr>
              <w:t>号）规定执行，项目公司承担有关办法中承包商相关工作和职责。工程变更实施过程中相关办法规定</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承包商</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或</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施工单位</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需履行的相关工作由项目公司负责执行或承担。</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人工、材料调差</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根据</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项目合同第</w:t>
            </w:r>
            <w:r>
              <w:rPr>
                <w:rFonts w:ascii="Times New Roman" w:hAnsi="Times New Roman"/>
                <w:color w:val="000000" w:themeColor="text1"/>
                <w:u w:val="single"/>
                <w14:textFill>
                  <w14:solidFill>
                    <w14:schemeClr w14:val="tx1"/>
                  </w14:solidFill>
                </w14:textFill>
              </w:rPr>
              <w:t xml:space="preserve">2.3.4 </w:t>
            </w:r>
            <w:r>
              <w:rPr>
                <w:rFonts w:hint="eastAsia" w:ascii="Times New Roman" w:hAnsi="Times New Roman"/>
                <w:color w:val="000000" w:themeColor="text1"/>
                <w14:textFill>
                  <w14:solidFill>
                    <w14:schemeClr w14:val="tx1"/>
                  </w14:solidFill>
                </w14:textFill>
              </w:rPr>
              <w:t>条款约定执行</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投资审计（价）</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本项目按照政府投资项目管理相关规定实施。项目在竣工结算审计（价）和竣工财务决算审核完成后，按实际完成有效投资依照合同约定对可行性缺口补助进行调整，双方可签订补充协议明确相关调整事项。</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9"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回报机制</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本项目适用的回报机制为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可行性缺口补助</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，其中：</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）第三方收入</w:t>
            </w:r>
          </w:p>
          <w:p>
            <w:pPr>
              <w:tabs>
                <w:tab w:val="left" w:pos="1204"/>
              </w:tabs>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运营期内，项目公司向入廊单位收取入廊费和日常维护费（管廊）。入廊费主要用于弥补管廊建设成本，由入廊管线单位向管廊建设运营单位支付。日常维护费（管廊）主要用于弥补管廊日常小修保养、大中修、管理支出，由入廊管线单位按确定的计费周期向管廊运营单位逐期支付。</w:t>
            </w:r>
          </w:p>
          <w:p>
            <w:pPr>
              <w:tabs>
                <w:tab w:val="left" w:pos="1204"/>
              </w:tabs>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入廊费和日常维护费（管廊）的收费标准按照杭州市政府有关部门颁布的收费标准以及入廊管线单位与政府方以及项目公司签订的入廊协议的约定进行收取。</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）可行性缺口补助</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在本项目约定二十（</w:t>
            </w:r>
            <w:r>
              <w:rPr>
                <w:rFonts w:ascii="Times New Roman" w:hAnsi="Times New Roman"/>
                <w:color w:val="000000" w:themeColor="text1"/>
                <w14:textFill>
                  <w14:solidFill>
                    <w14:schemeClr w14:val="tx1"/>
                  </w14:solidFill>
                </w14:textFill>
              </w:rPr>
              <w:t>20</w:t>
            </w:r>
            <w:r>
              <w:rPr>
                <w:rFonts w:hint="eastAsia" w:ascii="Times New Roman" w:hAnsi="Times New Roman"/>
                <w:color w:val="000000" w:themeColor="text1"/>
                <w14:textFill>
                  <w14:solidFill>
                    <w14:schemeClr w14:val="tx1"/>
                  </w14:solidFill>
                </w14:textFill>
              </w:rPr>
              <w:t>）年运营期内，杭州经济技术开发区管理委员会、杭州大江东产业集聚区管理委员会和项目实施机构以社会资本公开竞争投报的回报机制指标（投资回报上浮率、建安费用下浮率和年运营维养成本）确定的运营期内每年的可行性缺口补助初始值作为付费基数，按有关调价机制约定的调整方式在运营期每满周年年末向项目公司支付。项目实施机构将采购确定的可行性缺口补助基数报送财政部门确认，财政部门根据项目支付计划，</w:t>
            </w:r>
            <w:bookmarkStart w:id="49" w:name="_Hlk497658662"/>
            <w:r>
              <w:rPr>
                <w:rFonts w:hint="eastAsia" w:ascii="Times New Roman" w:hAnsi="Times New Roman"/>
                <w:color w:val="000000" w:themeColor="text1"/>
                <w14:textFill>
                  <w14:solidFill>
                    <w14:schemeClr w14:val="tx1"/>
                  </w14:solidFill>
                </w14:textFill>
              </w:rPr>
              <w:t>将可行性缺口补助支付责任纳入年度财政公共预算支出责任</w:t>
            </w:r>
            <w:bookmarkEnd w:id="49"/>
            <w:r>
              <w:rPr>
                <w:rFonts w:hint="eastAsia" w:ascii="Times New Roman" w:hAnsi="Times New Roman"/>
                <w:color w:val="000000" w:themeColor="text1"/>
                <w14:textFill>
                  <w14:solidFill>
                    <w14:schemeClr w14:val="tx1"/>
                  </w14:solidFill>
                </w14:textFill>
              </w:rPr>
              <w:t>。</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9"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可行性缺口补助付费计算方式</w:t>
            </w:r>
          </w:p>
        </w:tc>
        <w:tc>
          <w:tcPr>
            <w:tcW w:w="6378" w:type="dxa"/>
            <w:vAlign w:val="center"/>
          </w:tcPr>
          <w:p>
            <w:pPr>
              <w:spacing w:line="360" w:lineRule="auto"/>
              <w:ind w:firstLine="420" w:firstLineChars="200"/>
              <w:rPr>
                <w:rFonts w:ascii="Times New Roman" w:hAnsi="Times New Roman"/>
                <w:color w:val="000000"/>
                <w:szCs w:val="21"/>
              </w:rPr>
            </w:pPr>
            <w:r>
              <w:rPr>
                <w:rFonts w:hint="eastAsia" w:ascii="Times New Roman" w:hAnsi="Times New Roman"/>
                <w:color w:val="000000"/>
                <w:szCs w:val="21"/>
              </w:rPr>
              <w:t>可用性服务费的</w:t>
            </w:r>
            <w:r>
              <w:rPr>
                <w:rFonts w:ascii="Times New Roman" w:hAnsi="Times New Roman"/>
                <w:color w:val="000000"/>
                <w:szCs w:val="21"/>
              </w:rPr>
              <w:t>70%</w:t>
            </w:r>
            <w:r>
              <w:rPr>
                <w:rFonts w:hint="eastAsia" w:ascii="Times New Roman" w:hAnsi="Times New Roman"/>
                <w:color w:val="000000"/>
                <w:szCs w:val="21"/>
              </w:rPr>
              <w:t>作为基数，在运营期</w:t>
            </w:r>
            <w:r>
              <w:rPr>
                <w:rFonts w:ascii="Times New Roman" w:hAnsi="Times New Roman"/>
                <w:color w:val="000000"/>
                <w:szCs w:val="21"/>
              </w:rPr>
              <w:t>20</w:t>
            </w:r>
            <w:r>
              <w:rPr>
                <w:rFonts w:hint="eastAsia" w:ascii="Times New Roman" w:hAnsi="Times New Roman"/>
                <w:color w:val="000000"/>
                <w:szCs w:val="21"/>
              </w:rPr>
              <w:t>年内以等额的方式支付，其余</w:t>
            </w:r>
            <w:r>
              <w:rPr>
                <w:rFonts w:ascii="Times New Roman" w:hAnsi="Times New Roman"/>
                <w:color w:val="000000"/>
                <w:szCs w:val="21"/>
              </w:rPr>
              <w:t>30%</w:t>
            </w:r>
            <w:r>
              <w:rPr>
                <w:rFonts w:hint="eastAsia" w:ascii="Times New Roman" w:hAnsi="Times New Roman"/>
                <w:color w:val="000000"/>
                <w:szCs w:val="21"/>
              </w:rPr>
              <w:t>在运营期</w:t>
            </w:r>
            <w:r>
              <w:rPr>
                <w:rFonts w:ascii="Times New Roman" w:hAnsi="Times New Roman"/>
                <w:color w:val="000000"/>
                <w:szCs w:val="21"/>
              </w:rPr>
              <w:t>20</w:t>
            </w:r>
            <w:r>
              <w:rPr>
                <w:rFonts w:hint="eastAsia" w:ascii="Times New Roman" w:hAnsi="Times New Roman"/>
                <w:color w:val="000000"/>
                <w:szCs w:val="21"/>
              </w:rPr>
              <w:t>年内作为考核基数根据运营绩效考核结果挂钩支付。具体计算方式如下：</w:t>
            </w:r>
          </w:p>
          <w:p>
            <w:pPr>
              <w:spacing w:line="360" w:lineRule="auto"/>
              <w:rPr>
                <w:rFonts w:ascii="Times New Roman" w:hAnsi="Times New Roman"/>
                <w:color w:val="000000"/>
                <w:szCs w:val="21"/>
              </w:rPr>
            </w:pPr>
            <m:oMathPara>
              <m:oMathParaPr>
                <m:jc m:val="center"/>
              </m:oMathParaPr>
              <m:oMath>
                <m:sSub>
                  <m:sSubPr>
                    <m:ctrlPr>
                      <w:rPr>
                        <w:rFonts w:ascii="Cambria Math" w:hAnsi="Cambria Math"/>
                        <w:i/>
                        <w:color w:val="000000"/>
                        <w:szCs w:val="21"/>
                      </w:rPr>
                    </m:ctrlPr>
                  </m:sSubPr>
                  <m:e>
                    <m:r>
                      <w:rPr>
                        <w:rFonts w:ascii="Cambria Math" w:hAnsi="Cambria Math"/>
                        <w:color w:val="000000"/>
                        <w:szCs w:val="21"/>
                      </w:rPr>
                      <m:t xml:space="preserve">   A</m:t>
                    </m:r>
                    <m:ctrlPr>
                      <w:rPr>
                        <w:rFonts w:ascii="Cambria Math" w:hAnsi="Cambria Math"/>
                        <w:i/>
                        <w:color w:val="000000"/>
                        <w:szCs w:val="21"/>
                      </w:rPr>
                    </m:ctrlPr>
                  </m:e>
                  <m:sub>
                    <m:r>
                      <w:rPr>
                        <w:rFonts w:ascii="Cambria Math" w:hAnsi="Cambria Math"/>
                        <w:color w:val="000000"/>
                        <w:szCs w:val="21"/>
                      </w:rPr>
                      <m:t>n</m:t>
                    </m:r>
                    <m:ctrlPr>
                      <w:rPr>
                        <w:rFonts w:ascii="Cambria Math" w:hAnsi="Cambria Math"/>
                        <w:i/>
                        <w:color w:val="000000"/>
                        <w:szCs w:val="21"/>
                      </w:rPr>
                    </m:ctrlPr>
                  </m:sub>
                </m:sSub>
                <m:r>
                  <w:rPr>
                    <w:rFonts w:ascii="Cambria Math" w:hAnsi="Cambria Math"/>
                    <w:color w:val="000000"/>
                    <w:szCs w:val="21"/>
                  </w:rPr>
                  <m:t>=</m:t>
                </m:r>
                <m:d>
                  <m:dPr>
                    <m:begChr m:val="["/>
                    <m:endChr m:val="]"/>
                    <m:ctrlPr>
                      <w:rPr>
                        <w:rFonts w:ascii="Cambria Math" w:hAnsi="Cambria Math"/>
                        <w:i/>
                        <w:color w:val="000000"/>
                        <w:szCs w:val="21"/>
                      </w:rPr>
                    </m:ctrlPr>
                  </m:dPr>
                  <m:e>
                    <m:r>
                      <w:rPr>
                        <w:rFonts w:ascii="Cambria Math" w:hAnsi="Cambria Math"/>
                        <w:color w:val="000000"/>
                        <w:szCs w:val="21"/>
                      </w:rPr>
                      <m:t xml:space="preserve"> P×</m:t>
                    </m:r>
                    <m:f>
                      <m:fPr>
                        <m:ctrlPr>
                          <w:rPr>
                            <w:rFonts w:ascii="Cambria Math" w:hAnsi="Cambria Math"/>
                            <w:i/>
                            <w:color w:val="000000"/>
                            <w:szCs w:val="21"/>
                          </w:rPr>
                        </m:ctrlPr>
                      </m:fPr>
                      <m:num>
                        <m:sSup>
                          <m:sSupPr>
                            <m:ctrlPr>
                              <w:rPr>
                                <w:rFonts w:ascii="Cambria Math" w:hAnsi="Cambria Math"/>
                                <w:i/>
                                <w:color w:val="000000"/>
                                <w:szCs w:val="21"/>
                              </w:rPr>
                            </m:ctrlPr>
                          </m:sSupPr>
                          <m:e>
                            <m:r>
                              <w:rPr>
                                <w:rFonts w:ascii="Cambria Math" w:hAnsi="Cambria Math"/>
                                <w:color w:val="000000"/>
                                <w:szCs w:val="21"/>
                              </w:rPr>
                              <m:t>i×</m:t>
                            </m:r>
                            <m:d>
                              <m:dPr>
                                <m:ctrlPr>
                                  <w:rPr>
                                    <w:rFonts w:ascii="Cambria Math" w:hAnsi="Cambria Math"/>
                                    <w:i/>
                                    <w:color w:val="000000"/>
                                    <w:szCs w:val="21"/>
                                  </w:rPr>
                                </m:ctrlPr>
                              </m:dPr>
                              <m:e>
                                <m:r>
                                  <w:rPr>
                                    <w:rFonts w:ascii="Cambria Math" w:hAnsi="Cambria Math"/>
                                    <w:color w:val="000000"/>
                                    <w:szCs w:val="21"/>
                                  </w:rPr>
                                  <m:t>1+i</m:t>
                                </m:r>
                                <m:ctrlPr>
                                  <w:rPr>
                                    <w:rFonts w:ascii="Cambria Math" w:hAnsi="Cambria Math"/>
                                    <w:i/>
                                    <w:color w:val="000000"/>
                                    <w:szCs w:val="21"/>
                                  </w:rPr>
                                </m:ctrlPr>
                              </m:e>
                            </m:d>
                            <m:ctrlPr>
                              <w:rPr>
                                <w:rFonts w:ascii="Cambria Math" w:hAnsi="Cambria Math"/>
                                <w:i/>
                                <w:color w:val="000000"/>
                                <w:szCs w:val="21"/>
                              </w:rPr>
                            </m:ctrlPr>
                          </m:e>
                          <m:sup>
                            <m:r>
                              <w:rPr>
                                <w:rFonts w:ascii="Cambria Math" w:hAnsi="Cambria Math"/>
                                <w:color w:val="000000"/>
                                <w:szCs w:val="21"/>
                              </w:rPr>
                              <m:t>20</m:t>
                            </m:r>
                            <m:ctrlPr>
                              <w:rPr>
                                <w:rFonts w:ascii="Cambria Math" w:hAnsi="Cambria Math"/>
                                <w:i/>
                                <w:color w:val="000000"/>
                                <w:szCs w:val="21"/>
                              </w:rPr>
                            </m:ctrlPr>
                          </m:sup>
                        </m:sSup>
                        <m:ctrlPr>
                          <w:rPr>
                            <w:rFonts w:ascii="Cambria Math" w:hAnsi="Cambria Math"/>
                            <w:i/>
                            <w:color w:val="000000"/>
                            <w:szCs w:val="21"/>
                          </w:rPr>
                        </m:ctrlPr>
                      </m:num>
                      <m:den>
                        <m:sSup>
                          <m:sSupPr>
                            <m:ctrlPr>
                              <w:rPr>
                                <w:rFonts w:ascii="Cambria Math" w:hAnsi="Cambria Math"/>
                                <w:i/>
                                <w:color w:val="000000"/>
                                <w:szCs w:val="21"/>
                              </w:rPr>
                            </m:ctrlPr>
                          </m:sSupPr>
                          <m:e>
                            <m:d>
                              <m:dPr>
                                <m:ctrlPr>
                                  <w:rPr>
                                    <w:rFonts w:ascii="Cambria Math" w:hAnsi="Cambria Math"/>
                                    <w:i/>
                                    <w:color w:val="000000"/>
                                    <w:szCs w:val="21"/>
                                  </w:rPr>
                                </m:ctrlPr>
                              </m:dPr>
                              <m:e>
                                <m:r>
                                  <w:rPr>
                                    <w:rFonts w:ascii="Cambria Math" w:hAnsi="Cambria Math"/>
                                    <w:color w:val="000000"/>
                                    <w:szCs w:val="21"/>
                                  </w:rPr>
                                  <m:t>1+i</m:t>
                                </m:r>
                                <m:ctrlPr>
                                  <w:rPr>
                                    <w:rFonts w:ascii="Cambria Math" w:hAnsi="Cambria Math"/>
                                    <w:i/>
                                    <w:color w:val="000000"/>
                                    <w:szCs w:val="21"/>
                                  </w:rPr>
                                </m:ctrlPr>
                              </m:e>
                            </m:d>
                            <m:ctrlPr>
                              <w:rPr>
                                <w:rFonts w:ascii="Cambria Math" w:hAnsi="Cambria Math"/>
                                <w:i/>
                                <w:color w:val="000000"/>
                                <w:szCs w:val="21"/>
                              </w:rPr>
                            </m:ctrlPr>
                          </m:e>
                          <m:sup>
                            <m:r>
                              <w:rPr>
                                <w:rFonts w:ascii="Cambria Math" w:hAnsi="Cambria Math"/>
                                <w:color w:val="000000"/>
                                <w:szCs w:val="21"/>
                              </w:rPr>
                              <m:t>20</m:t>
                            </m:r>
                            <m:ctrlPr>
                              <w:rPr>
                                <w:rFonts w:ascii="Cambria Math" w:hAnsi="Cambria Math"/>
                                <w:i/>
                                <w:color w:val="000000"/>
                                <w:szCs w:val="21"/>
                              </w:rPr>
                            </m:ctrlPr>
                          </m:sup>
                        </m:sSup>
                        <m:r>
                          <w:rPr>
                            <w:rFonts w:ascii="Cambria Math" w:hAnsi="Cambria Math"/>
                            <w:color w:val="000000"/>
                            <w:szCs w:val="21"/>
                          </w:rPr>
                          <m:t>-1</m:t>
                        </m:r>
                        <m:ctrlPr>
                          <w:rPr>
                            <w:rFonts w:ascii="Cambria Math" w:hAnsi="Cambria Math"/>
                            <w:i/>
                            <w:color w:val="000000"/>
                            <w:szCs w:val="21"/>
                          </w:rPr>
                        </m:ctrlPr>
                      </m:den>
                    </m:f>
                    <m:ctrlPr>
                      <w:rPr>
                        <w:rFonts w:ascii="Cambria Math" w:hAnsi="Cambria Math"/>
                        <w:i/>
                        <w:color w:val="000000"/>
                        <w:szCs w:val="21"/>
                      </w:rPr>
                    </m:ctrlPr>
                  </m:e>
                </m:d>
                <m:r>
                  <w:rPr>
                    <w:rFonts w:ascii="Cambria Math" w:hAnsi="Cambria Math"/>
                    <w:color w:val="000000"/>
                    <w:szCs w:val="21"/>
                  </w:rPr>
                  <m:t>×</m:t>
                </m:r>
                <m:d>
                  <m:dPr>
                    <m:begChr m:val="（"/>
                    <m:endChr m:val="）"/>
                    <m:ctrlPr>
                      <w:rPr>
                        <w:rFonts w:ascii="Cambria Math" w:hAnsi="Cambria Math"/>
                        <w:color w:val="000000"/>
                        <w:szCs w:val="21"/>
                      </w:rPr>
                    </m:ctrlPr>
                  </m:dPr>
                  <m:e>
                    <m:r>
                      <w:rPr>
                        <w:rFonts w:ascii="Cambria Math" w:hAnsi="Cambria Math"/>
                        <w:color w:val="000000"/>
                        <w:szCs w:val="21"/>
                      </w:rPr>
                      <m:t>70%+30%</m:t>
                    </m:r>
                    <w:bookmarkStart w:id="50" w:name="_Hlk505372283"/>
                    <m:r>
                      <w:rPr>
                        <w:rFonts w:ascii="Cambria Math" w:hAnsi="Cambria Math"/>
                        <w:color w:val="000000"/>
                        <w:szCs w:val="21"/>
                      </w:rPr>
                      <m:t>×</m:t>
                    </m:r>
                    <m:sSub>
                      <m:sSubPr>
                        <m:ctrlPr>
                          <w:rPr>
                            <w:rFonts w:ascii="Cambria Math" w:hAnsi="Cambria Math"/>
                            <w:i/>
                            <w:color w:val="000000"/>
                            <w:szCs w:val="21"/>
                          </w:rPr>
                        </m:ctrlPr>
                      </m:sSubPr>
                      <m:e>
                        <m:r>
                          <w:rPr>
                            <w:rFonts w:ascii="Cambria Math" w:hAnsi="Cambria Math"/>
                            <w:color w:val="000000"/>
                            <w:szCs w:val="21"/>
                          </w:rPr>
                          <m:t>R</m:t>
                        </m:r>
                        <m:ctrlPr>
                          <w:rPr>
                            <w:rFonts w:ascii="Cambria Math" w:hAnsi="Cambria Math"/>
                            <w:i/>
                            <w:color w:val="000000"/>
                            <w:szCs w:val="21"/>
                          </w:rPr>
                        </m:ctrlPr>
                      </m:e>
                      <m:sub>
                        <m:r>
                          <w:rPr>
                            <w:rFonts w:ascii="Cambria Math" w:hAnsi="Cambria Math"/>
                            <w:color w:val="000000"/>
                            <w:szCs w:val="21"/>
                          </w:rPr>
                          <m:t>n</m:t>
                        </m:r>
                        <m:ctrlPr>
                          <w:rPr>
                            <w:rFonts w:ascii="Cambria Math" w:hAnsi="Cambria Math"/>
                            <w:i/>
                            <w:color w:val="000000"/>
                            <w:szCs w:val="21"/>
                          </w:rPr>
                        </m:ctrlPr>
                        <w:bookmarkEnd w:id="50"/>
                      </m:sub>
                    </m:sSub>
                    <m:ctrlPr>
                      <w:rPr>
                        <w:rFonts w:ascii="Cambria Math" w:hAnsi="Cambria Math"/>
                        <w:color w:val="000000"/>
                        <w:szCs w:val="21"/>
                      </w:rPr>
                    </m:ctrlPr>
                  </m:e>
                </m:d>
                <m:r>
                  <w:rPr>
                    <w:rFonts w:ascii="Cambria Math" w:hAnsi="Cambria Math"/>
                    <w:color w:val="000000"/>
                    <w:szCs w:val="21"/>
                  </w:rPr>
                  <m:t xml:space="preserve">+ </m:t>
                </m:r>
                <m:sSub>
                  <m:sSubPr>
                    <m:ctrlPr>
                      <w:rPr>
                        <w:rFonts w:ascii="Cambria Math" w:hAnsi="Cambria Math"/>
                        <w:i/>
                        <w:color w:val="000000"/>
                        <w:szCs w:val="21"/>
                      </w:rPr>
                    </m:ctrlPr>
                  </m:sSubPr>
                  <m:e>
                    <m:r>
                      <w:rPr>
                        <w:rFonts w:ascii="Cambria Math" w:hAnsi="Cambria Math"/>
                        <w:color w:val="000000"/>
                        <w:szCs w:val="21"/>
                      </w:rPr>
                      <m:t>C</m:t>
                    </m:r>
                    <m:ctrlPr>
                      <w:rPr>
                        <w:rFonts w:ascii="Cambria Math" w:hAnsi="Cambria Math"/>
                        <w:i/>
                        <w:color w:val="000000"/>
                        <w:szCs w:val="21"/>
                      </w:rPr>
                    </m:ctrlPr>
                  </m:e>
                  <m:sub>
                    <m:r>
                      <w:rPr>
                        <w:rFonts w:ascii="Cambria Math" w:hAnsi="Cambria Math"/>
                        <w:color w:val="000000"/>
                        <w:szCs w:val="21"/>
                      </w:rPr>
                      <m:t>n</m:t>
                    </m:r>
                    <m:ctrlPr>
                      <w:rPr>
                        <w:rFonts w:ascii="Cambria Math" w:hAnsi="Cambria Math"/>
                        <w:i/>
                        <w:color w:val="000000"/>
                        <w:szCs w:val="21"/>
                      </w:rPr>
                    </m:ctrlPr>
                  </m:sub>
                </m:sSub>
                <m:r>
                  <w:rPr>
                    <w:rFonts w:ascii="Cambria Math" w:hAnsi="Cambria Math" w:cs="MS Gothic"/>
                    <w:color w:val="000000"/>
                    <w:szCs w:val="21"/>
                  </w:rPr>
                  <m:t>×</m:t>
                </m:r>
                <m:r>
                  <m:rPr>
                    <m:sty m:val="p"/>
                  </m:rPr>
                  <w:rPr>
                    <w:rFonts w:ascii="Cambria Math" w:hAnsi="Cambria Math" w:cs="MS Gothic"/>
                    <w:color w:val="000000"/>
                    <w:szCs w:val="21"/>
                  </w:rPr>
                  <m:t>100%</m:t>
                </m:r>
                <m:r>
                  <w:rPr>
                    <w:rFonts w:ascii="Cambria Math" w:hAnsi="Cambria Math"/>
                    <w:color w:val="000000"/>
                    <w:szCs w:val="21"/>
                  </w:rPr>
                  <m:t>×</m:t>
                </m:r>
                <m:sSub>
                  <m:sSubPr>
                    <m:ctrlPr>
                      <w:rPr>
                        <w:rFonts w:ascii="Cambria Math" w:hAnsi="Cambria Math"/>
                        <w:i/>
                        <w:color w:val="000000"/>
                        <w:szCs w:val="21"/>
                      </w:rPr>
                    </m:ctrlPr>
                  </m:sSubPr>
                  <m:e>
                    <m:r>
                      <w:rPr>
                        <w:rFonts w:ascii="Cambria Math" w:hAnsi="Cambria Math"/>
                        <w:color w:val="000000"/>
                        <w:szCs w:val="21"/>
                      </w:rPr>
                      <m:t>R</m:t>
                    </m:r>
                    <m:ctrlPr>
                      <w:rPr>
                        <w:rFonts w:ascii="Cambria Math" w:hAnsi="Cambria Math"/>
                        <w:i/>
                        <w:color w:val="000000"/>
                        <w:szCs w:val="21"/>
                      </w:rPr>
                    </m:ctrlPr>
                  </m:e>
                  <m:sub>
                    <m:r>
                      <w:rPr>
                        <w:rFonts w:ascii="Cambria Math" w:hAnsi="Cambria Math"/>
                        <w:color w:val="000000"/>
                        <w:szCs w:val="21"/>
                      </w:rPr>
                      <m:t>n</m:t>
                    </m:r>
                    <m:ctrlPr>
                      <w:rPr>
                        <w:rFonts w:ascii="Cambria Math" w:hAnsi="Cambria Math"/>
                        <w:i/>
                        <w:color w:val="000000"/>
                        <w:szCs w:val="21"/>
                      </w:rPr>
                    </m:ctrlPr>
                  </m:sub>
                </m:sSub>
                <m:r>
                  <w:rPr>
                    <w:rFonts w:ascii="Cambria Math" w:hAnsi="Cambria Math" w:eastAsia="微软雅黑" w:cs="微软雅黑"/>
                    <w:color w:val="000000"/>
                    <w:szCs w:val="21"/>
                  </w:rPr>
                  <m:t>-</m:t>
                </m:r>
                <m:sSub>
                  <m:sSubPr>
                    <m:ctrlPr>
                      <w:rPr>
                        <w:rFonts w:ascii="Cambria Math" w:hAnsi="Cambria Math"/>
                        <w:i/>
                        <w:color w:val="000000"/>
                        <w:szCs w:val="21"/>
                      </w:rPr>
                    </m:ctrlPr>
                  </m:sSubPr>
                  <m:e>
                    <m:r>
                      <w:rPr>
                        <w:rFonts w:ascii="Cambria Math" w:hAnsi="Cambria Math"/>
                        <w:color w:val="000000"/>
                        <w:szCs w:val="21"/>
                      </w:rPr>
                      <m:t>Q</m:t>
                    </m:r>
                    <m:ctrlPr>
                      <w:rPr>
                        <w:rFonts w:ascii="Cambria Math" w:hAnsi="Cambria Math"/>
                        <w:i/>
                        <w:color w:val="000000"/>
                        <w:szCs w:val="21"/>
                      </w:rPr>
                    </m:ctrlPr>
                  </m:e>
                  <m:sub>
                    <m:r>
                      <w:rPr>
                        <w:rFonts w:ascii="Cambria Math" w:hAnsi="Cambria Math"/>
                        <w:color w:val="000000"/>
                        <w:szCs w:val="21"/>
                      </w:rPr>
                      <m:t>n</m:t>
                    </m:r>
                    <m:ctrlPr>
                      <w:rPr>
                        <w:rFonts w:ascii="Cambria Math" w:hAnsi="Cambria Math"/>
                        <w:i/>
                        <w:color w:val="000000"/>
                        <w:szCs w:val="21"/>
                      </w:rPr>
                    </m:ctrlPr>
                  </m:sub>
                </m:sSub>
                <m:r>
                  <w:rPr>
                    <w:rFonts w:ascii="Cambria Math" w:hAnsi="Cambria Math" w:eastAsia="微软雅黑" w:cs="微软雅黑"/>
                    <w:color w:val="000000"/>
                    <w:szCs w:val="21"/>
                  </w:rPr>
                  <m:t>-</m:t>
                </m:r>
                <m:sSub>
                  <m:sSubPr>
                    <m:ctrlPr>
                      <w:rPr>
                        <w:rFonts w:ascii="Cambria Math" w:hAnsi="Cambria Math"/>
                        <w:i/>
                        <w:color w:val="000000"/>
                        <w:szCs w:val="21"/>
                      </w:rPr>
                    </m:ctrlPr>
                  </m:sSubPr>
                  <m:e>
                    <m:r>
                      <w:rPr>
                        <w:rFonts w:ascii="Cambria Math" w:hAnsi="Cambria Math"/>
                        <w:color w:val="000000"/>
                        <w:szCs w:val="21"/>
                      </w:rPr>
                      <m:t>G</m:t>
                    </m:r>
                    <m:ctrlPr>
                      <w:rPr>
                        <w:rFonts w:ascii="Cambria Math" w:hAnsi="Cambria Math"/>
                        <w:i/>
                        <w:color w:val="000000"/>
                        <w:szCs w:val="21"/>
                      </w:rPr>
                    </m:ctrlPr>
                  </m:e>
                  <m:sub>
                    <m:r>
                      <w:rPr>
                        <w:rFonts w:ascii="Cambria Math" w:hAnsi="Cambria Math"/>
                        <w:color w:val="000000"/>
                        <w:szCs w:val="21"/>
                      </w:rPr>
                      <m:t>n</m:t>
                    </m:r>
                    <m:ctrlPr>
                      <w:rPr>
                        <w:rFonts w:ascii="Cambria Math" w:hAnsi="Cambria Math"/>
                        <w:i/>
                        <w:color w:val="000000"/>
                        <w:szCs w:val="21"/>
                      </w:rPr>
                    </m:ctrlPr>
                  </m:sub>
                </m:sSub>
              </m:oMath>
            </m:oMathPara>
          </w:p>
          <w:p>
            <w:pPr>
              <w:spacing w:line="360" w:lineRule="auto"/>
              <w:ind w:left="742" w:leftChars="265" w:hanging="186" w:hangingChars="89"/>
              <w:rPr>
                <w:rFonts w:ascii="Times New Roman" w:hAnsi="Times New Roman"/>
                <w:color w:val="000000"/>
                <w:szCs w:val="21"/>
              </w:rPr>
            </w:pPr>
            <w:r>
              <w:rPr>
                <w:rFonts w:ascii="Times New Roman" w:hAnsi="Times New Roman"/>
                <w:color w:val="000000"/>
                <w:szCs w:val="21"/>
              </w:rPr>
              <w:t>A</w:t>
            </w:r>
            <w:r>
              <w:rPr>
                <w:rFonts w:ascii="Times New Roman" w:hAnsi="Times New Roman"/>
                <w:i/>
                <w:color w:val="000000"/>
                <w:szCs w:val="21"/>
                <w:vertAlign w:val="subscript"/>
              </w:rPr>
              <w:t>n</w:t>
            </w:r>
            <w:r>
              <w:rPr>
                <w:rFonts w:hint="eastAsia" w:ascii="Times New Roman" w:hAnsi="Times New Roman"/>
                <w:color w:val="000000"/>
                <w:szCs w:val="21"/>
              </w:rPr>
              <w:t>为政府第</w:t>
            </w:r>
            <w:r>
              <w:rPr>
                <w:rFonts w:ascii="Times New Roman" w:hAnsi="Times New Roman"/>
                <w:color w:val="000000"/>
                <w:szCs w:val="21"/>
              </w:rPr>
              <w:t>n</w:t>
            </w:r>
            <w:r>
              <w:rPr>
                <w:rFonts w:hint="eastAsia" w:ascii="Times New Roman" w:hAnsi="Times New Roman"/>
                <w:color w:val="000000"/>
                <w:szCs w:val="21"/>
              </w:rPr>
              <w:t>期支付的可行性缺口补助；</w:t>
            </w:r>
          </w:p>
          <w:p>
            <w:pPr>
              <w:spacing w:line="360" w:lineRule="auto"/>
              <w:ind w:left="742" w:leftChars="265" w:hanging="186" w:hangingChars="89"/>
              <w:rPr>
                <w:rFonts w:ascii="Times New Roman" w:hAnsi="Times New Roman"/>
                <w:color w:val="000000"/>
                <w:szCs w:val="21"/>
              </w:rPr>
            </w:pPr>
            <w:r>
              <w:rPr>
                <w:rFonts w:hint="eastAsia" w:ascii="Times New Roman" w:hAnsi="Times New Roman"/>
                <w:color w:val="000000"/>
                <w:szCs w:val="21"/>
              </w:rPr>
              <w:t>式中：</w:t>
            </w:r>
          </w:p>
          <w:p>
            <w:pPr>
              <w:ind w:firstLine="840" w:firstLineChars="400"/>
              <w:jc w:val="left"/>
              <w:rPr>
                <w:rFonts w:ascii="Times New Roman" w:hAnsi="Times New Roman"/>
                <w:color w:val="000000"/>
                <w:szCs w:val="21"/>
              </w:rPr>
            </w:pPr>
            <w:bookmarkStart w:id="51" w:name="_Hlk507410273"/>
            <m:oMathPara>
              <m:oMath>
                <m:r>
                  <w:rPr>
                    <w:rFonts w:ascii="Cambria Math" w:hAnsi="Cambria Math"/>
                    <w:color w:val="000000"/>
                    <w:szCs w:val="21"/>
                  </w:rPr>
                  <m:t>P=</m:t>
                </m:r>
                <m:d>
                  <m:dPr>
                    <m:begChr m:val="["/>
                    <m:endChr m:val="]"/>
                    <m:ctrlPr>
                      <w:rPr>
                        <w:rFonts w:ascii="Cambria Math" w:hAnsi="Cambria Math"/>
                        <w:i/>
                        <w:color w:val="000000"/>
                        <w:szCs w:val="21"/>
                      </w:rPr>
                    </m:ctrlPr>
                  </m:dPr>
                  <m:e>
                    <m:sSub>
                      <m:sSubPr>
                        <m:ctrlPr>
                          <w:rPr>
                            <w:rFonts w:ascii="Cambria Math" w:hAnsi="Cambria Math"/>
                            <w:i/>
                            <w:color w:val="000000"/>
                            <w:szCs w:val="21"/>
                          </w:rPr>
                        </m:ctrlPr>
                      </m:sSubPr>
                      <m:e>
                        <m:r>
                          <w:rPr>
                            <w:rFonts w:ascii="Cambria Math" w:hAnsi="Cambria Math"/>
                            <w:color w:val="000000"/>
                            <w:szCs w:val="21"/>
                          </w:rPr>
                          <m:t>B</m:t>
                        </m:r>
                        <m:ctrlPr>
                          <w:rPr>
                            <w:rFonts w:ascii="Cambria Math" w:hAnsi="Cambria Math"/>
                            <w:i/>
                            <w:color w:val="000000"/>
                            <w:szCs w:val="21"/>
                          </w:rPr>
                        </m:ctrlPr>
                      </m:e>
                      <m:sub>
                        <m:r>
                          <w:rPr>
                            <w:rFonts w:ascii="Cambria Math" w:hAnsi="Cambria Math"/>
                            <w:color w:val="000000"/>
                            <w:szCs w:val="21"/>
                          </w:rPr>
                          <m:t>1</m:t>
                        </m:r>
                        <m:ctrlPr>
                          <w:rPr>
                            <w:rFonts w:ascii="Cambria Math" w:hAnsi="Cambria Math"/>
                            <w:i/>
                            <w:color w:val="000000"/>
                            <w:szCs w:val="21"/>
                          </w:rPr>
                        </m:ctrlPr>
                      </m:sub>
                    </m:sSub>
                    <m:r>
                      <w:rPr>
                        <w:rFonts w:ascii="Cambria Math" w:hAnsi="Cambria Math"/>
                        <w:color w:val="000000"/>
                        <w:szCs w:val="21"/>
                      </w:rPr>
                      <m:t>×</m:t>
                    </m:r>
                    <m:d>
                      <m:dPr>
                        <m:ctrlPr>
                          <w:rPr>
                            <w:rFonts w:ascii="Cambria Math" w:hAnsi="Cambria Math"/>
                            <w:i/>
                            <w:color w:val="000000"/>
                            <w:szCs w:val="21"/>
                          </w:rPr>
                        </m:ctrlPr>
                      </m:dPr>
                      <m:e>
                        <m:r>
                          <w:rPr>
                            <w:rFonts w:ascii="Cambria Math" w:hAnsi="Cambria Math"/>
                            <w:color w:val="000000"/>
                            <w:szCs w:val="21"/>
                          </w:rPr>
                          <m:t>1-K</m:t>
                        </m:r>
                        <m:ctrlPr>
                          <w:rPr>
                            <w:rFonts w:ascii="Cambria Math" w:hAnsi="Cambria Math"/>
                            <w:i/>
                            <w:color w:val="000000"/>
                            <w:szCs w:val="21"/>
                          </w:rPr>
                        </m:ctrlPr>
                      </m:e>
                    </m:d>
                    <m:r>
                      <w:rPr>
                        <w:rFonts w:ascii="Cambria Math" w:hAnsi="Cambria Math"/>
                        <w:color w:val="000000"/>
                        <w:szCs w:val="21"/>
                      </w:rPr>
                      <m:t>+</m:t>
                    </m:r>
                    <m:sSub>
                      <m:sSubPr>
                        <m:ctrlPr>
                          <w:rPr>
                            <w:rFonts w:ascii="Cambria Math" w:hAnsi="Cambria Math"/>
                            <w:i/>
                            <w:color w:val="000000"/>
                            <w:szCs w:val="21"/>
                          </w:rPr>
                        </m:ctrlPr>
                      </m:sSubPr>
                      <m:e>
                        <m:r>
                          <w:rPr>
                            <w:rFonts w:ascii="Cambria Math" w:hAnsi="Cambria Math"/>
                            <w:color w:val="000000"/>
                            <w:szCs w:val="21"/>
                          </w:rPr>
                          <m:t>B</m:t>
                        </m:r>
                        <m:ctrlPr>
                          <w:rPr>
                            <w:rFonts w:ascii="Cambria Math" w:hAnsi="Cambria Math"/>
                            <w:i/>
                            <w:color w:val="000000"/>
                            <w:szCs w:val="21"/>
                          </w:rPr>
                        </m:ctrlPr>
                      </m:e>
                      <m:sub>
                        <m:r>
                          <w:rPr>
                            <w:rFonts w:ascii="Cambria Math" w:hAnsi="Cambria Math"/>
                            <w:color w:val="000000"/>
                            <w:szCs w:val="21"/>
                          </w:rPr>
                          <m:t>2</m:t>
                        </m:r>
                        <m:ctrlPr>
                          <w:rPr>
                            <w:rFonts w:ascii="Cambria Math" w:hAnsi="Cambria Math"/>
                            <w:i/>
                            <w:color w:val="000000"/>
                            <w:szCs w:val="21"/>
                          </w:rPr>
                        </m:ctrlPr>
                      </m:sub>
                    </m:sSub>
                    <m:r>
                      <w:rPr>
                        <w:rFonts w:ascii="Cambria Math" w:hAnsi="Cambria Math"/>
                        <w:color w:val="000000"/>
                        <w:szCs w:val="21"/>
                      </w:rPr>
                      <m:t>+</m:t>
                    </m:r>
                    <m:sSub>
                      <m:sSubPr>
                        <m:ctrlPr>
                          <w:rPr>
                            <w:rFonts w:ascii="Cambria Math" w:hAnsi="Cambria Math"/>
                            <w:color w:val="000000"/>
                            <w:szCs w:val="21"/>
                          </w:rPr>
                        </m:ctrlPr>
                      </m:sSubPr>
                      <m:e>
                        <m:r>
                          <m:rPr>
                            <m:sty m:val="p"/>
                          </m:rPr>
                          <w:rPr>
                            <w:rFonts w:hint="eastAsia" w:ascii="Cambria Math" w:hAnsi="Cambria Math"/>
                            <w:color w:val="000000"/>
                            <w:szCs w:val="21"/>
                          </w:rPr>
                          <m:t>∑</m:t>
                        </m:r>
                        <m:r>
                          <m:rPr>
                            <m:sty m:val="p"/>
                          </m:rPr>
                          <w:rPr>
                            <w:rFonts w:ascii="Cambria Math" w:hAnsi="Cambria Math"/>
                            <w:color w:val="000000"/>
                            <w:szCs w:val="21"/>
                          </w:rPr>
                          <m:t>F</m:t>
                        </m:r>
                        <m:ctrlPr>
                          <w:rPr>
                            <w:rFonts w:ascii="Cambria Math" w:hAnsi="Cambria Math"/>
                            <w:color w:val="000000"/>
                            <w:szCs w:val="21"/>
                          </w:rPr>
                        </m:ctrlPr>
                      </m:e>
                      <m:sub>
                        <m:r>
                          <w:rPr>
                            <w:rFonts w:ascii="Cambria Math" w:hAnsi="Cambria Math"/>
                            <w:color w:val="000000"/>
                            <w:szCs w:val="21"/>
                          </w:rPr>
                          <m:t>z</m:t>
                        </m:r>
                        <m:ctrlPr>
                          <w:rPr>
                            <w:rFonts w:ascii="Cambria Math" w:hAnsi="Cambria Math"/>
                            <w:color w:val="000000"/>
                            <w:szCs w:val="21"/>
                          </w:rPr>
                        </m:ctrlPr>
                      </m:sub>
                    </m:sSub>
                    <m:r>
                      <w:rPr>
                        <w:rFonts w:ascii="Cambria Math" w:hAnsi="Cambria Math"/>
                        <w:color w:val="000000"/>
                        <w:szCs w:val="21"/>
                      </w:rPr>
                      <m:t>×</m:t>
                    </m:r>
                    <m:d>
                      <m:dPr>
                        <m:ctrlPr>
                          <w:rPr>
                            <w:rFonts w:ascii="Cambria Math" w:hAnsi="Cambria Math"/>
                            <w:color w:val="000000"/>
                            <w:szCs w:val="21"/>
                          </w:rPr>
                        </m:ctrlPr>
                      </m:dPr>
                      <m:e>
                        <m:sSub>
                          <m:sSubPr>
                            <m:ctrlPr>
                              <w:rPr>
                                <w:rFonts w:ascii="Cambria Math" w:hAnsi="Cambria Math"/>
                                <w:i/>
                                <w:color w:val="000000"/>
                                <w:szCs w:val="21"/>
                              </w:rPr>
                            </m:ctrlPr>
                          </m:sSubPr>
                          <m:e>
                            <m:r>
                              <w:rPr>
                                <w:rFonts w:ascii="Cambria Math" w:hAnsi="Cambria Math"/>
                                <w:color w:val="000000"/>
                                <w:szCs w:val="21"/>
                              </w:rPr>
                              <m:t>T</m:t>
                            </m:r>
                            <m:ctrlPr>
                              <w:rPr>
                                <w:rFonts w:ascii="Cambria Math" w:hAnsi="Cambria Math"/>
                                <w:i/>
                                <w:color w:val="000000"/>
                                <w:szCs w:val="21"/>
                              </w:rPr>
                            </m:ctrlPr>
                          </m:e>
                          <m:sub>
                            <m:r>
                              <w:rPr>
                                <w:rFonts w:ascii="Cambria Math" w:hAnsi="Cambria Math"/>
                                <w:color w:val="000000"/>
                                <w:szCs w:val="21"/>
                              </w:rPr>
                              <m:t>z</m:t>
                            </m:r>
                            <m:ctrlPr>
                              <w:rPr>
                                <w:rFonts w:ascii="Cambria Math" w:hAnsi="Cambria Math"/>
                                <w:i/>
                                <w:color w:val="000000"/>
                                <w:szCs w:val="21"/>
                              </w:rPr>
                            </m:ctrlPr>
                          </m:sub>
                        </m:sSub>
                        <m:r>
                          <m:rPr>
                            <m:sty m:val="p"/>
                          </m:rPr>
                          <w:rPr>
                            <w:rFonts w:ascii="Cambria Math" w:hAnsi="Cambria Math"/>
                            <w:color w:val="000000"/>
                            <w:szCs w:val="21"/>
                          </w:rPr>
                          <m:t>×</m:t>
                        </m:r>
                        <m:r>
                          <w:rPr>
                            <w:rFonts w:ascii="Cambria Math" w:hAnsi="Cambria Math"/>
                            <w:color w:val="000000"/>
                            <w:szCs w:val="21"/>
                          </w:rPr>
                          <m:t>i</m:t>
                        </m:r>
                        <m:ctrlPr>
                          <w:rPr>
                            <w:rFonts w:ascii="Cambria Math" w:hAnsi="Cambria Math"/>
                            <w:color w:val="000000"/>
                            <w:szCs w:val="21"/>
                          </w:rPr>
                        </m:ctrlPr>
                      </m:e>
                    </m:d>
                    <m:ctrlPr>
                      <w:rPr>
                        <w:rFonts w:ascii="Cambria Math" w:hAnsi="Cambria Math"/>
                        <w:i/>
                        <w:color w:val="000000"/>
                        <w:szCs w:val="21"/>
                      </w:rPr>
                    </m:ctrlPr>
                  </m:e>
                </m:d>
                <m:r>
                  <w:rPr>
                    <w:rFonts w:ascii="Cambria Math" w:hAnsi="Cambria Math"/>
                    <w:color w:val="000000"/>
                    <w:szCs w:val="21"/>
                  </w:rPr>
                  <m:t>+</m:t>
                </m:r>
                <m:d>
                  <m:dPr>
                    <m:begChr m:val="["/>
                    <m:endChr m:val="]"/>
                    <m:ctrlPr>
                      <w:rPr>
                        <w:rFonts w:ascii="Cambria Math" w:hAnsi="Cambria Math"/>
                        <w:i/>
                        <w:color w:val="000000"/>
                        <w:szCs w:val="21"/>
                      </w:rPr>
                    </m:ctrlPr>
                  </m:dPr>
                  <m:e>
                    <m:sSub>
                      <m:sSubPr>
                        <m:ctrlPr>
                          <w:rPr>
                            <w:rFonts w:ascii="Cambria Math" w:hAnsi="Cambria Math"/>
                            <w:color w:val="000000"/>
                            <w:szCs w:val="21"/>
                          </w:rPr>
                        </m:ctrlPr>
                      </m:sSubPr>
                      <m:e>
                        <m:r>
                          <m:rPr>
                            <m:sty m:val="p"/>
                          </m:rPr>
                          <w:rPr>
                            <w:rFonts w:ascii="Cambria Math" w:hAnsi="Cambria Math"/>
                            <w:color w:val="000000"/>
                            <w:szCs w:val="21"/>
                          </w:rPr>
                          <m:t>E+</m:t>
                        </m:r>
                        <m:r>
                          <m:rPr>
                            <m:sty m:val="p"/>
                          </m:rPr>
                          <w:rPr>
                            <w:rFonts w:hint="eastAsia" w:ascii="Cambria Math" w:hAnsi="Cambria Math"/>
                            <w:color w:val="000000"/>
                            <w:szCs w:val="21"/>
                          </w:rPr>
                          <m:t>∑</m:t>
                        </m:r>
                        <m:r>
                          <w:rPr>
                            <w:rFonts w:ascii="Cambria Math" w:hAnsi="Cambria Math"/>
                            <w:color w:val="000000"/>
                            <w:szCs w:val="21"/>
                          </w:rPr>
                          <m:t>E</m:t>
                        </m:r>
                        <m:ctrlPr>
                          <w:rPr>
                            <w:rFonts w:ascii="Cambria Math" w:hAnsi="Cambria Math"/>
                            <w:color w:val="000000"/>
                            <w:szCs w:val="21"/>
                          </w:rPr>
                        </m:ctrlPr>
                      </m:e>
                      <m:sub>
                        <m:r>
                          <w:rPr>
                            <w:rFonts w:ascii="Cambria Math" w:hAnsi="Cambria Math"/>
                            <w:color w:val="000000"/>
                            <w:szCs w:val="21"/>
                          </w:rPr>
                          <m:t>m</m:t>
                        </m:r>
                        <m:ctrlPr>
                          <w:rPr>
                            <w:rFonts w:ascii="Cambria Math" w:hAnsi="Cambria Math"/>
                            <w:color w:val="000000"/>
                            <w:szCs w:val="21"/>
                          </w:rPr>
                        </m:ctrlPr>
                      </m:sub>
                    </m:sSub>
                    <m:r>
                      <m:rPr>
                        <m:sty m:val="p"/>
                      </m:rPr>
                      <w:rPr>
                        <w:rFonts w:ascii="Cambria Math" w:hAnsi="Cambria Math"/>
                        <w:color w:val="000000"/>
                        <w:szCs w:val="21"/>
                      </w:rPr>
                      <m:t>×</m:t>
                    </m:r>
                    <m:d>
                      <m:dPr>
                        <m:ctrlPr>
                          <w:rPr>
                            <w:rFonts w:ascii="Cambria Math" w:hAnsi="Cambria Math"/>
                            <w:color w:val="000000"/>
                            <w:szCs w:val="21"/>
                          </w:rPr>
                        </m:ctrlPr>
                      </m:dPr>
                      <m:e>
                        <m:sSub>
                          <m:sSubPr>
                            <m:ctrlPr>
                              <w:rPr>
                                <w:rFonts w:ascii="Cambria Math" w:hAnsi="Cambria Math"/>
                                <w:i/>
                                <w:color w:val="000000"/>
                                <w:szCs w:val="21"/>
                              </w:rPr>
                            </m:ctrlPr>
                          </m:sSubPr>
                          <m:e>
                            <m:r>
                              <w:rPr>
                                <w:rFonts w:ascii="Cambria Math" w:hAnsi="Cambria Math"/>
                                <w:color w:val="000000"/>
                                <w:szCs w:val="21"/>
                              </w:rPr>
                              <m:t>t</m:t>
                            </m:r>
                            <m:ctrlPr>
                              <w:rPr>
                                <w:rFonts w:ascii="Cambria Math" w:hAnsi="Cambria Math"/>
                                <w:i/>
                                <w:color w:val="000000"/>
                                <w:szCs w:val="21"/>
                              </w:rPr>
                            </m:ctrlPr>
                          </m:e>
                          <m:sub>
                            <m:r>
                              <w:rPr>
                                <w:rFonts w:ascii="Cambria Math" w:hAnsi="Cambria Math"/>
                                <w:color w:val="000000"/>
                                <w:szCs w:val="21"/>
                              </w:rPr>
                              <m:t>m</m:t>
                            </m:r>
                            <m:ctrlPr>
                              <w:rPr>
                                <w:rFonts w:ascii="Cambria Math" w:hAnsi="Cambria Math"/>
                                <w:i/>
                                <w:color w:val="000000"/>
                                <w:szCs w:val="21"/>
                              </w:rPr>
                            </m:ctrlPr>
                          </m:sub>
                        </m:sSub>
                        <m:r>
                          <m:rPr>
                            <m:sty m:val="p"/>
                          </m:rPr>
                          <w:rPr>
                            <w:rFonts w:ascii="Cambria Math" w:hAnsi="Cambria Math"/>
                            <w:color w:val="000000"/>
                            <w:szCs w:val="21"/>
                          </w:rPr>
                          <m:t>×</m:t>
                        </m:r>
                        <m:r>
                          <w:rPr>
                            <w:rFonts w:ascii="Cambria Math" w:hAnsi="Cambria Math"/>
                            <w:color w:val="000000"/>
                            <w:szCs w:val="21"/>
                          </w:rPr>
                          <m:t>i</m:t>
                        </m:r>
                        <m:ctrlPr>
                          <w:rPr>
                            <w:rFonts w:ascii="Cambria Math" w:hAnsi="Cambria Math"/>
                            <w:color w:val="000000"/>
                            <w:szCs w:val="21"/>
                          </w:rPr>
                        </m:ctrlPr>
                      </m:e>
                    </m:d>
                    <m:ctrlPr>
                      <w:rPr>
                        <w:rFonts w:ascii="Cambria Math" w:hAnsi="Cambria Math"/>
                        <w:i/>
                        <w:color w:val="000000"/>
                        <w:szCs w:val="21"/>
                      </w:rPr>
                    </m:ctrlPr>
                  </m:e>
                </m:d>
              </m:oMath>
            </m:oMathPara>
          </w:p>
          <w:bookmarkEnd w:id="51"/>
          <w:p>
            <w:pPr>
              <w:spacing w:line="360" w:lineRule="auto"/>
              <w:ind w:left="742" w:leftChars="265" w:hanging="186" w:hangingChars="89"/>
              <w:rPr>
                <w:rFonts w:ascii="Times New Roman" w:hAnsi="Times New Roman"/>
                <w:color w:val="000000"/>
                <w:szCs w:val="21"/>
              </w:rPr>
            </w:pPr>
            <m:oMath>
              <m:r>
                <w:rPr>
                  <w:rFonts w:ascii="Cambria Math" w:hAnsi="Cambria Math"/>
                  <w:color w:val="000000"/>
                  <w:szCs w:val="21"/>
                </w:rPr>
                <m:t>i</m:t>
              </m:r>
            </m:oMath>
            <w:r>
              <w:rPr>
                <w:rFonts w:hint="eastAsia" w:ascii="Times New Roman" w:hAnsi="Times New Roman"/>
                <w:color w:val="000000"/>
                <w:szCs w:val="21"/>
              </w:rPr>
              <w:t>为投资回报率（通过竞争投报产生，并按相关调价机制调整）；</w:t>
            </w:r>
          </w:p>
          <w:p>
            <w:pPr>
              <w:spacing w:line="360" w:lineRule="auto"/>
              <w:ind w:left="742" w:leftChars="265" w:hanging="186" w:hangingChars="89"/>
              <w:rPr>
                <w:rFonts w:ascii="Times New Roman" w:hAnsi="Times New Roman"/>
                <w:color w:val="000000"/>
                <w:szCs w:val="21"/>
              </w:rPr>
            </w:pPr>
            <w:r>
              <w:rPr>
                <w:rFonts w:ascii="Times New Roman" w:hAnsi="Times New Roman"/>
                <w:i/>
                <w:color w:val="000000"/>
                <w:szCs w:val="21"/>
              </w:rPr>
              <w:t>P</w:t>
            </w:r>
            <w:r>
              <w:rPr>
                <w:rFonts w:hint="eastAsia" w:ascii="Times New Roman" w:hAnsi="Times New Roman"/>
                <w:color w:val="000000"/>
                <w:szCs w:val="21"/>
              </w:rPr>
              <w:t>为P</w:t>
            </w:r>
            <w:r>
              <w:rPr>
                <w:rFonts w:ascii="Times New Roman" w:hAnsi="Times New Roman"/>
                <w:color w:val="000000"/>
                <w:szCs w:val="21"/>
              </w:rPr>
              <w:t>PP</w:t>
            </w:r>
            <w:r>
              <w:rPr>
                <w:rFonts w:hint="eastAsia" w:ascii="Times New Roman" w:hAnsi="Times New Roman"/>
                <w:color w:val="000000"/>
                <w:szCs w:val="21"/>
              </w:rPr>
              <w:t>总投资额（含工程费用、工程建设其他费用及建设期投资收益）；</w:t>
            </w:r>
          </w:p>
          <w:p>
            <w:pPr>
              <w:spacing w:line="360" w:lineRule="auto"/>
              <w:ind w:left="742" w:leftChars="265" w:hanging="186" w:hangingChars="89"/>
              <w:rPr>
                <w:rFonts w:ascii="Times New Roman" w:hAnsi="Times New Roman"/>
                <w:color w:val="000000"/>
                <w:szCs w:val="21"/>
              </w:rPr>
            </w:pPr>
            <m:oMath>
              <m:sSub>
                <m:sSubPr>
                  <m:ctrlPr>
                    <w:rPr>
                      <w:rFonts w:ascii="Cambria Math" w:hAnsi="Cambria Math"/>
                      <w:szCs w:val="21"/>
                    </w:rPr>
                  </m:ctrlPr>
                </m:sSubPr>
                <m:e>
                  <m:r>
                    <w:rPr>
                      <w:rFonts w:ascii="Cambria Math" w:hAnsi="Cambria Math"/>
                      <w:szCs w:val="21"/>
                    </w:rPr>
                    <m:t>G</m:t>
                  </m:r>
                  <m:ctrlPr>
                    <w:rPr>
                      <w:rFonts w:ascii="Cambria Math" w:hAnsi="Cambria Math"/>
                      <w:szCs w:val="21"/>
                    </w:rPr>
                  </m:ctrlPr>
                </m:e>
                <m:sub>
                  <m:r>
                    <m:rPr>
                      <m:sty m:val="p"/>
                    </m:rPr>
                    <w:rPr>
                      <w:rFonts w:ascii="Cambria Math" w:hAnsi="Cambria Math"/>
                      <w:szCs w:val="21"/>
                    </w:rPr>
                    <m:t>n</m:t>
                  </m:r>
                  <m:ctrlPr>
                    <w:rPr>
                      <w:rFonts w:ascii="Cambria Math" w:hAnsi="Cambria Math"/>
                      <w:szCs w:val="21"/>
                    </w:rPr>
                  </m:ctrlPr>
                </m:sub>
              </m:sSub>
            </m:oMath>
            <w:r>
              <w:rPr>
                <w:rFonts w:hint="eastAsia" w:ascii="Times New Roman" w:hAnsi="Times New Roman"/>
                <w:color w:val="000000"/>
                <w:szCs w:val="21"/>
              </w:rPr>
              <w:t>为入廊费用（不计息，实际按照到位金额计算）；</w:t>
            </w:r>
          </w:p>
          <w:p>
            <w:pPr>
              <w:spacing w:line="360" w:lineRule="auto"/>
              <w:ind w:left="742" w:leftChars="265" w:hanging="186" w:hangingChars="89"/>
              <w:rPr>
                <w:rFonts w:ascii="Times New Roman" w:hAnsi="Times New Roman"/>
                <w:color w:val="000000"/>
                <w:szCs w:val="21"/>
              </w:rPr>
            </w:pPr>
            <w:r>
              <w:rPr>
                <w:rFonts w:ascii="Times New Roman" w:hAnsi="Times New Roman"/>
                <w:color w:val="000000"/>
                <w:szCs w:val="21"/>
              </w:rPr>
              <w:t>E</w:t>
            </w:r>
            <w:r>
              <w:rPr>
                <w:rFonts w:hint="eastAsia" w:ascii="Times New Roman" w:hAnsi="Times New Roman"/>
                <w:color w:val="000000"/>
                <w:szCs w:val="21"/>
              </w:rPr>
              <w:t>为工程建设其他费；</w:t>
            </w:r>
          </w:p>
          <w:p>
            <w:pPr>
              <w:spacing w:line="360" w:lineRule="auto"/>
              <w:ind w:left="742" w:leftChars="265" w:hanging="186" w:hangingChars="89"/>
              <w:rPr>
                <w:rFonts w:ascii="Times New Roman" w:hAnsi="Times New Roman"/>
                <w:color w:val="000000"/>
                <w:szCs w:val="21"/>
              </w:rPr>
            </w:pPr>
            <m:oMath>
              <m:sSub>
                <m:sSubPr>
                  <m:ctrlPr>
                    <w:rPr>
                      <w:rFonts w:ascii="Cambria Math" w:hAnsi="Cambria Math"/>
                      <w:i/>
                      <w:color w:val="000000"/>
                      <w:szCs w:val="21"/>
                    </w:rPr>
                  </m:ctrlPr>
                </m:sSubPr>
                <m:e>
                  <m:r>
                    <w:rPr>
                      <w:rFonts w:ascii="Cambria Math" w:hAnsi="Cambria Math"/>
                      <w:color w:val="000000"/>
                      <w:szCs w:val="21"/>
                    </w:rPr>
                    <m:t>B</m:t>
                  </m:r>
                  <m:ctrlPr>
                    <w:rPr>
                      <w:rFonts w:ascii="Cambria Math" w:hAnsi="Cambria Math"/>
                      <w:i/>
                      <w:color w:val="000000"/>
                      <w:szCs w:val="21"/>
                    </w:rPr>
                  </m:ctrlPr>
                </m:e>
                <m:sub>
                  <m:r>
                    <w:rPr>
                      <w:rFonts w:ascii="Cambria Math" w:hAnsi="Cambria Math"/>
                      <w:color w:val="000000"/>
                      <w:szCs w:val="21"/>
                    </w:rPr>
                    <m:t>1</m:t>
                  </m:r>
                  <m:ctrlPr>
                    <w:rPr>
                      <w:rFonts w:ascii="Cambria Math" w:hAnsi="Cambria Math"/>
                      <w:i/>
                      <w:color w:val="000000"/>
                      <w:szCs w:val="21"/>
                    </w:rPr>
                  </m:ctrlPr>
                </m:sub>
              </m:sSub>
            </m:oMath>
            <w:r>
              <w:rPr>
                <w:rFonts w:hint="eastAsia" w:ascii="Times New Roman" w:hAnsi="Times New Roman"/>
                <w:color w:val="000000"/>
                <w:szCs w:val="21"/>
              </w:rPr>
              <w:t>为项目建安费用；</w:t>
            </w:r>
          </w:p>
          <w:p>
            <w:pPr>
              <w:spacing w:line="360" w:lineRule="auto"/>
              <w:ind w:left="742" w:leftChars="265" w:hanging="186" w:hangingChars="89"/>
              <w:rPr>
                <w:rFonts w:ascii="Times New Roman" w:hAnsi="Times New Roman"/>
                <w:color w:val="000000"/>
                <w:szCs w:val="21"/>
              </w:rPr>
            </w:pPr>
            <m:oMath>
              <m:sSub>
                <m:sSubPr>
                  <m:ctrlPr>
                    <w:rPr>
                      <w:rFonts w:ascii="Cambria Math" w:hAnsi="Cambria Math"/>
                      <w:i/>
                      <w:color w:val="000000"/>
                      <w:szCs w:val="21"/>
                    </w:rPr>
                  </m:ctrlPr>
                </m:sSubPr>
                <m:e>
                  <m:r>
                    <w:rPr>
                      <w:rFonts w:ascii="Cambria Math" w:hAnsi="Cambria Math"/>
                      <w:color w:val="000000"/>
                      <w:szCs w:val="21"/>
                    </w:rPr>
                    <m:t>B</m:t>
                  </m:r>
                  <m:ctrlPr>
                    <w:rPr>
                      <w:rFonts w:ascii="Cambria Math" w:hAnsi="Cambria Math"/>
                      <w:i/>
                      <w:color w:val="000000"/>
                      <w:szCs w:val="21"/>
                    </w:rPr>
                  </m:ctrlPr>
                </m:e>
                <m:sub>
                  <m:r>
                    <w:rPr>
                      <w:rFonts w:ascii="Cambria Math" w:hAnsi="Cambria Math"/>
                      <w:color w:val="000000"/>
                      <w:szCs w:val="21"/>
                    </w:rPr>
                    <m:t>2</m:t>
                  </m:r>
                  <m:ctrlPr>
                    <w:rPr>
                      <w:rFonts w:ascii="Cambria Math" w:hAnsi="Cambria Math"/>
                      <w:i/>
                      <w:color w:val="000000"/>
                      <w:szCs w:val="21"/>
                    </w:rPr>
                  </m:ctrlPr>
                </m:sub>
              </m:sSub>
            </m:oMath>
            <w:r>
              <w:rPr>
                <w:rFonts w:hint="eastAsia" w:ascii="Times New Roman" w:hAnsi="Times New Roman"/>
                <w:color w:val="000000"/>
                <w:szCs w:val="21"/>
              </w:rPr>
              <w:t>为项目设备及工器具购置费；</w:t>
            </w:r>
          </w:p>
          <w:p>
            <w:pPr>
              <w:spacing w:line="360" w:lineRule="auto"/>
              <w:ind w:left="742" w:leftChars="265" w:hanging="186" w:hangingChars="89"/>
              <w:rPr>
                <w:rFonts w:ascii="Times New Roman" w:hAnsi="Times New Roman"/>
                <w:color w:val="000000"/>
                <w:szCs w:val="21"/>
              </w:rPr>
            </w:pPr>
            <w:r>
              <w:rPr>
                <w:rFonts w:ascii="Times New Roman" w:hAnsi="Times New Roman"/>
                <w:color w:val="000000"/>
                <w:szCs w:val="21"/>
              </w:rPr>
              <w:t>K</w:t>
            </w:r>
            <w:r>
              <w:rPr>
                <w:rFonts w:hint="eastAsia" w:ascii="Times New Roman" w:hAnsi="Times New Roman"/>
                <w:color w:val="000000"/>
                <w:szCs w:val="21"/>
              </w:rPr>
              <w:t>为社会资本投报的建安费用下浮率（设备及工器具购置费不下浮）；</w:t>
            </w:r>
          </w:p>
          <w:p>
            <w:pPr>
              <w:spacing w:line="360" w:lineRule="auto"/>
              <w:ind w:firstLine="592" w:firstLineChars="282"/>
              <w:rPr>
                <w:rFonts w:ascii="Times New Roman" w:hAnsi="Times New Roman"/>
                <w:szCs w:val="21"/>
              </w:rPr>
            </w:pPr>
            <m:oMath>
              <m:sSub>
                <m:sSubPr>
                  <m:ctrlPr>
                    <w:rPr>
                      <w:rFonts w:ascii="Cambria Math" w:hAnsi="Cambria Math"/>
                      <w:szCs w:val="21"/>
                    </w:rPr>
                  </m:ctrlPr>
                </m:sSubPr>
                <m:e>
                  <m:r>
                    <w:rPr>
                      <w:rFonts w:ascii="Cambria Math" w:hAnsi="Cambria Math"/>
                      <w:szCs w:val="21"/>
                    </w:rPr>
                    <m:t>F</m:t>
                  </m:r>
                  <m:ctrlPr>
                    <w:rPr>
                      <w:rFonts w:ascii="Cambria Math" w:hAnsi="Cambria Math"/>
                      <w:szCs w:val="21"/>
                    </w:rPr>
                  </m:ctrlPr>
                </m:e>
                <m:sub>
                  <m:r>
                    <m:rPr>
                      <m:sty m:val="p"/>
                    </m:rPr>
                    <w:rPr>
                      <w:rFonts w:ascii="Cambria Math" w:hAnsi="Cambria Math"/>
                      <w:szCs w:val="21"/>
                    </w:rPr>
                    <m:t>z</m:t>
                  </m:r>
                  <m:ctrlPr>
                    <w:rPr>
                      <w:rFonts w:ascii="Cambria Math" w:hAnsi="Cambria Math"/>
                      <w:szCs w:val="21"/>
                    </w:rPr>
                  </m:ctrlPr>
                </m:sub>
              </m:sSub>
            </m:oMath>
            <w:r>
              <w:rPr>
                <w:rFonts w:hint="eastAsia" w:ascii="Times New Roman" w:hAnsi="Times New Roman"/>
                <w:szCs w:val="21"/>
              </w:rPr>
              <w:t>为由第</w:t>
            </w:r>
            <w:r>
              <w:rPr>
                <w:rFonts w:ascii="Times New Roman" w:hAnsi="Times New Roman"/>
                <w:szCs w:val="21"/>
              </w:rPr>
              <w:t>z</w:t>
            </w:r>
            <w:r>
              <w:rPr>
                <w:rFonts w:hint="eastAsia" w:ascii="Times New Roman" w:hAnsi="Times New Roman"/>
                <w:szCs w:val="21"/>
              </w:rPr>
              <w:t>笔项目公司支付的工程费用（当期乙方完成实际工程费用计量投资）；</w:t>
            </w:r>
          </w:p>
          <w:p>
            <w:pPr>
              <w:spacing w:line="360" w:lineRule="auto"/>
              <w:ind w:left="556" w:leftChars="265"/>
              <w:rPr>
                <w:rFonts w:ascii="Times New Roman" w:hAnsi="Times New Roman"/>
                <w:szCs w:val="21"/>
              </w:rPr>
            </w:pPr>
            <m:oMath>
              <m:sSub>
                <m:sSubPr>
                  <m:ctrlPr>
                    <w:rPr>
                      <w:rFonts w:ascii="Cambria Math" w:hAnsi="Cambria Math"/>
                      <w:i/>
                      <w:color w:val="000000"/>
                      <w:szCs w:val="21"/>
                    </w:rPr>
                  </m:ctrlPr>
                </m:sSubPr>
                <m:e>
                  <m:r>
                    <w:rPr>
                      <w:rFonts w:ascii="Cambria Math" w:hAnsi="Cambria Math"/>
                      <w:color w:val="000000"/>
                      <w:szCs w:val="21"/>
                    </w:rPr>
                    <m:t>T</m:t>
                  </m:r>
                  <m:ctrlPr>
                    <w:rPr>
                      <w:rFonts w:ascii="Cambria Math" w:hAnsi="Cambria Math"/>
                      <w:i/>
                      <w:color w:val="000000"/>
                      <w:szCs w:val="21"/>
                    </w:rPr>
                  </m:ctrlPr>
                </m:e>
                <m:sub>
                  <m:r>
                    <w:rPr>
                      <w:rFonts w:ascii="Cambria Math" w:hAnsi="Cambria Math"/>
                      <w:color w:val="000000"/>
                      <w:szCs w:val="21"/>
                    </w:rPr>
                    <m:t>z</m:t>
                  </m:r>
                  <m:ctrlPr>
                    <w:rPr>
                      <w:rFonts w:ascii="Cambria Math" w:hAnsi="Cambria Math"/>
                      <w:i/>
                      <w:color w:val="000000"/>
                      <w:szCs w:val="21"/>
                    </w:rPr>
                  </m:ctrlPr>
                </m:sub>
              </m:sSub>
            </m:oMath>
            <w:r>
              <w:rPr>
                <w:rFonts w:hint="eastAsia" w:ascii="Times New Roman" w:hAnsi="Times New Roman"/>
                <w:szCs w:val="21"/>
              </w:rPr>
              <w:t>为由第</w:t>
            </w:r>
            <w:r>
              <w:rPr>
                <w:rFonts w:ascii="Times New Roman" w:hAnsi="Times New Roman"/>
                <w:szCs w:val="21"/>
              </w:rPr>
              <w:t>z</w:t>
            </w:r>
            <w:r>
              <w:rPr>
                <w:rFonts w:hint="eastAsia" w:ascii="Times New Roman" w:hAnsi="Times New Roman"/>
                <w:szCs w:val="21"/>
              </w:rPr>
              <w:t>笔项目公司支付的工程费用在建设期占用时间；（以项目公司实际支付时点起算，扣减项目公司原因导致的延误工期）</w:t>
            </w:r>
          </w:p>
          <w:p>
            <w:pPr>
              <w:spacing w:line="360" w:lineRule="auto"/>
              <w:ind w:left="185" w:leftChars="88" w:firstLine="420" w:firstLineChars="200"/>
              <w:rPr>
                <w:rFonts w:ascii="Times New Roman" w:hAnsi="Times New Roman"/>
                <w:szCs w:val="21"/>
              </w:rPr>
            </w:pPr>
            <m:oMath>
              <m:sSub>
                <m:sSubPr>
                  <m:ctrlPr>
                    <w:rPr>
                      <w:rFonts w:ascii="Cambria Math" w:hAnsi="Cambria Math"/>
                      <w:szCs w:val="21"/>
                    </w:rPr>
                  </m:ctrlPr>
                </m:sSubPr>
                <m:e>
                  <m:r>
                    <w:rPr>
                      <w:rFonts w:ascii="Cambria Math" w:hAnsi="Cambria Math"/>
                      <w:szCs w:val="21"/>
                    </w:rPr>
                    <m:t>E</m:t>
                  </m:r>
                  <m:ctrlPr>
                    <w:rPr>
                      <w:rFonts w:ascii="Cambria Math" w:hAnsi="Cambria Math"/>
                      <w:szCs w:val="21"/>
                    </w:rPr>
                  </m:ctrlPr>
                </m:e>
                <m:sub>
                  <m:r>
                    <m:rPr>
                      <m:sty m:val="p"/>
                    </m:rPr>
                    <w:rPr>
                      <w:rFonts w:ascii="Cambria Math" w:hAnsi="Cambria Math"/>
                      <w:szCs w:val="21"/>
                    </w:rPr>
                    <m:t>m</m:t>
                  </m:r>
                  <m:ctrlPr>
                    <w:rPr>
                      <w:rFonts w:ascii="Cambria Math" w:hAnsi="Cambria Math"/>
                      <w:szCs w:val="21"/>
                    </w:rPr>
                  </m:ctrlPr>
                </m:sub>
              </m:sSub>
            </m:oMath>
            <w:r>
              <w:rPr>
                <w:rFonts w:hint="eastAsia" w:ascii="Times New Roman" w:hAnsi="Times New Roman"/>
                <w:szCs w:val="21"/>
              </w:rPr>
              <w:t>为由第</w:t>
            </w:r>
            <w:r>
              <w:rPr>
                <w:rFonts w:ascii="Times New Roman" w:hAnsi="Times New Roman"/>
                <w:szCs w:val="21"/>
              </w:rPr>
              <w:t>m</w:t>
            </w:r>
            <w:r>
              <w:rPr>
                <w:rFonts w:hint="eastAsia" w:ascii="Times New Roman" w:hAnsi="Times New Roman"/>
                <w:szCs w:val="21"/>
              </w:rPr>
              <w:t>笔项目公司支付工程建设其他费财务支出额；</w:t>
            </w:r>
          </w:p>
          <w:p>
            <w:pPr>
              <w:spacing w:line="360" w:lineRule="auto"/>
              <w:ind w:left="556" w:leftChars="265"/>
              <w:rPr>
                <w:rFonts w:ascii="Times New Roman" w:hAnsi="Times New Roman"/>
                <w:szCs w:val="21"/>
              </w:rPr>
            </w:pPr>
            <m:oMath>
              <m:sSub>
                <m:sSubPr>
                  <m:ctrlPr>
                    <w:rPr>
                      <w:rFonts w:ascii="Cambria Math" w:hAnsi="Cambria Math"/>
                      <w:i/>
                      <w:color w:val="000000"/>
                      <w:szCs w:val="21"/>
                    </w:rPr>
                  </m:ctrlPr>
                </m:sSubPr>
                <m:e>
                  <m:r>
                    <w:rPr>
                      <w:rFonts w:ascii="Cambria Math" w:hAnsi="Cambria Math"/>
                      <w:color w:val="000000"/>
                      <w:szCs w:val="21"/>
                    </w:rPr>
                    <m:t>t</m:t>
                  </m:r>
                  <m:ctrlPr>
                    <w:rPr>
                      <w:rFonts w:ascii="Cambria Math" w:hAnsi="Cambria Math"/>
                      <w:i/>
                      <w:color w:val="000000"/>
                      <w:szCs w:val="21"/>
                    </w:rPr>
                  </m:ctrlPr>
                </m:e>
                <m:sub>
                  <m:r>
                    <w:rPr>
                      <w:rFonts w:ascii="Cambria Math" w:hAnsi="Cambria Math"/>
                      <w:color w:val="000000"/>
                      <w:szCs w:val="21"/>
                    </w:rPr>
                    <m:t>m</m:t>
                  </m:r>
                  <m:ctrlPr>
                    <w:rPr>
                      <w:rFonts w:ascii="Cambria Math" w:hAnsi="Cambria Math"/>
                      <w:i/>
                      <w:color w:val="000000"/>
                      <w:szCs w:val="21"/>
                    </w:rPr>
                  </m:ctrlPr>
                </m:sub>
              </m:sSub>
            </m:oMath>
            <w:r>
              <w:rPr>
                <w:rFonts w:hint="eastAsia" w:ascii="Times New Roman" w:hAnsi="Times New Roman"/>
                <w:szCs w:val="21"/>
              </w:rPr>
              <w:t>为由第</w:t>
            </w:r>
            <w:r>
              <w:rPr>
                <w:rFonts w:ascii="Times New Roman" w:hAnsi="Times New Roman"/>
                <w:szCs w:val="21"/>
              </w:rPr>
              <w:t>m</w:t>
            </w:r>
            <w:r>
              <w:rPr>
                <w:rFonts w:hint="eastAsia" w:ascii="Times New Roman" w:hAnsi="Times New Roman"/>
                <w:szCs w:val="21"/>
              </w:rPr>
              <w:t>笔项目公司支付的工程建设其他费在建设期占用时间（以项目公司实际支付时点起算），扣减项目公司原因导致的延误工期；</w:t>
            </w:r>
          </w:p>
          <w:p>
            <w:pPr>
              <w:spacing w:line="360" w:lineRule="auto"/>
              <w:ind w:left="742" w:leftChars="265" w:hanging="186" w:hangingChars="89"/>
              <w:rPr>
                <w:rFonts w:ascii="Times New Roman" w:hAnsi="Times New Roman"/>
                <w:color w:val="000000"/>
                <w:szCs w:val="21"/>
              </w:rPr>
            </w:pPr>
            <m:oMath>
              <m:sSub>
                <m:sSubPr>
                  <m:ctrlPr>
                    <w:rPr>
                      <w:rFonts w:ascii="Cambria Math" w:hAnsi="Cambria Math"/>
                      <w:i/>
                      <w:color w:val="000000"/>
                      <w:szCs w:val="21"/>
                    </w:rPr>
                  </m:ctrlPr>
                </m:sSubPr>
                <m:e>
                  <m:r>
                    <w:rPr>
                      <w:rFonts w:ascii="Cambria Math" w:hAnsi="Cambria Math"/>
                      <w:color w:val="000000"/>
                      <w:szCs w:val="21"/>
                    </w:rPr>
                    <m:t>C</m:t>
                  </m:r>
                  <m:ctrlPr>
                    <w:rPr>
                      <w:rFonts w:ascii="Cambria Math" w:hAnsi="Cambria Math"/>
                      <w:i/>
                      <w:color w:val="000000"/>
                      <w:szCs w:val="21"/>
                    </w:rPr>
                  </m:ctrlPr>
                </m:e>
                <m:sub>
                  <m:r>
                    <w:rPr>
                      <w:rFonts w:ascii="Cambria Math" w:hAnsi="Cambria Math"/>
                      <w:color w:val="000000"/>
                      <w:szCs w:val="21"/>
                    </w:rPr>
                    <m:t>n</m:t>
                  </m:r>
                  <m:ctrlPr>
                    <w:rPr>
                      <w:rFonts w:ascii="Cambria Math" w:hAnsi="Cambria Math"/>
                      <w:i/>
                      <w:color w:val="000000"/>
                      <w:szCs w:val="21"/>
                    </w:rPr>
                  </m:ctrlPr>
                </m:sub>
              </m:sSub>
            </m:oMath>
            <w:r>
              <w:rPr>
                <w:rFonts w:hint="eastAsia" w:ascii="Times New Roman" w:hAnsi="Times New Roman"/>
                <w:color w:val="000000"/>
                <w:szCs w:val="21"/>
              </w:rPr>
              <w:t>为运营期内第</w:t>
            </w:r>
            <w:r>
              <w:rPr>
                <w:rFonts w:ascii="Times New Roman" w:hAnsi="Times New Roman"/>
                <w:color w:val="000000"/>
                <w:szCs w:val="21"/>
              </w:rPr>
              <w:t>n</w:t>
            </w:r>
            <w:r>
              <w:rPr>
                <w:rFonts w:hint="eastAsia" w:ascii="Times New Roman" w:hAnsi="Times New Roman"/>
                <w:color w:val="000000"/>
                <w:szCs w:val="21"/>
              </w:rPr>
              <w:t>年运营维养成本（通过竞争投报产生，并按相关调价机制调整）；</w:t>
            </w:r>
          </w:p>
          <w:p>
            <w:pPr>
              <w:spacing w:line="360" w:lineRule="auto"/>
              <w:ind w:left="742" w:leftChars="265" w:hanging="186" w:hangingChars="89"/>
              <w:rPr>
                <w:rFonts w:ascii="Times New Roman" w:hAnsi="Times New Roman"/>
                <w:color w:val="000000"/>
                <w:szCs w:val="21"/>
              </w:rPr>
            </w:pPr>
            <m:oMath>
              <m:sSub>
                <m:sSubPr>
                  <m:ctrlPr>
                    <w:rPr>
                      <w:rFonts w:ascii="Cambria Math" w:hAnsi="Cambria Math"/>
                      <w:i/>
                      <w:color w:val="000000"/>
                      <w:szCs w:val="21"/>
                    </w:rPr>
                  </m:ctrlPr>
                </m:sSubPr>
                <m:e>
                  <m:r>
                    <w:rPr>
                      <w:rFonts w:ascii="Cambria Math" w:hAnsi="Cambria Math"/>
                      <w:color w:val="000000"/>
                      <w:szCs w:val="21"/>
                    </w:rPr>
                    <m:t>Q</m:t>
                  </m:r>
                  <m:ctrlPr>
                    <w:rPr>
                      <w:rFonts w:ascii="Cambria Math" w:hAnsi="Cambria Math"/>
                      <w:i/>
                      <w:color w:val="000000"/>
                      <w:szCs w:val="21"/>
                    </w:rPr>
                  </m:ctrlPr>
                </m:e>
                <m:sub>
                  <m:r>
                    <w:rPr>
                      <w:rFonts w:ascii="Cambria Math" w:hAnsi="Cambria Math"/>
                      <w:color w:val="000000"/>
                      <w:szCs w:val="21"/>
                    </w:rPr>
                    <m:t>n</m:t>
                  </m:r>
                  <m:ctrlPr>
                    <w:rPr>
                      <w:rFonts w:ascii="Cambria Math" w:hAnsi="Cambria Math"/>
                      <w:i/>
                      <w:color w:val="000000"/>
                      <w:szCs w:val="21"/>
                    </w:rPr>
                  </m:ctrlPr>
                </m:sub>
              </m:sSub>
            </m:oMath>
            <w:r>
              <w:rPr>
                <w:rFonts w:hint="eastAsia" w:ascii="Times New Roman" w:hAnsi="Times New Roman"/>
                <w:color w:val="000000"/>
                <w:szCs w:val="21"/>
              </w:rPr>
              <w:t>为运营期内第</w:t>
            </w:r>
            <w:r>
              <w:rPr>
                <w:rFonts w:ascii="Times New Roman" w:hAnsi="Times New Roman"/>
                <w:color w:val="000000"/>
                <w:szCs w:val="21"/>
              </w:rPr>
              <w:t>n</w:t>
            </w:r>
            <w:r>
              <w:rPr>
                <w:rFonts w:hint="eastAsia" w:ascii="Times New Roman" w:hAnsi="Times New Roman"/>
                <w:color w:val="000000"/>
                <w:szCs w:val="21"/>
              </w:rPr>
              <w:t>年由项目公司委托政府方收取的日常维护费（管廊）；</w:t>
            </w:r>
          </w:p>
          <w:p>
            <w:pPr>
              <w:spacing w:line="360" w:lineRule="auto"/>
              <w:ind w:left="742" w:leftChars="265" w:hanging="186" w:hangingChars="89"/>
              <w:rPr>
                <w:rFonts w:ascii="Times New Roman" w:hAnsi="Times New Roman"/>
                <w:color w:val="000000"/>
                <w:szCs w:val="21"/>
              </w:rPr>
            </w:pPr>
            <m:oMath>
              <m:sSub>
                <m:sSubPr>
                  <m:ctrlPr>
                    <w:rPr>
                      <w:rFonts w:ascii="Cambria Math" w:hAnsi="Cambria Math"/>
                      <w:i/>
                      <w:color w:val="000000"/>
                      <w:szCs w:val="21"/>
                    </w:rPr>
                  </m:ctrlPr>
                </m:sSubPr>
                <m:e>
                  <m:r>
                    <w:rPr>
                      <w:rFonts w:ascii="Cambria Math" w:hAnsi="Cambria Math"/>
                      <w:color w:val="000000"/>
                      <w:szCs w:val="21"/>
                    </w:rPr>
                    <m:t>R</m:t>
                  </m:r>
                  <m:ctrlPr>
                    <w:rPr>
                      <w:rFonts w:ascii="Cambria Math" w:hAnsi="Cambria Math"/>
                      <w:i/>
                      <w:color w:val="000000"/>
                      <w:szCs w:val="21"/>
                    </w:rPr>
                  </m:ctrlPr>
                </m:e>
                <m:sub>
                  <m:r>
                    <w:rPr>
                      <w:rFonts w:ascii="Cambria Math" w:hAnsi="Cambria Math"/>
                      <w:color w:val="000000"/>
                      <w:szCs w:val="21"/>
                    </w:rPr>
                    <m:t>n</m:t>
                  </m:r>
                  <m:ctrlPr>
                    <w:rPr>
                      <w:rFonts w:ascii="Cambria Math" w:hAnsi="Cambria Math"/>
                      <w:i/>
                      <w:color w:val="000000"/>
                      <w:szCs w:val="21"/>
                    </w:rPr>
                  </m:ctrlPr>
                </m:sub>
              </m:sSub>
            </m:oMath>
            <w:r>
              <w:rPr>
                <w:rFonts w:hint="eastAsia" w:ascii="Times New Roman" w:hAnsi="Times New Roman"/>
                <w:color w:val="000000"/>
                <w:szCs w:val="21"/>
              </w:rPr>
              <w:t>为运营期第</w:t>
            </w:r>
            <w:r>
              <w:rPr>
                <w:rFonts w:ascii="Times New Roman" w:hAnsi="Times New Roman"/>
                <w:color w:val="000000"/>
                <w:szCs w:val="21"/>
              </w:rPr>
              <w:t>n</w:t>
            </w:r>
            <w:r>
              <w:rPr>
                <w:rFonts w:hint="eastAsia" w:ascii="Times New Roman" w:hAnsi="Times New Roman"/>
                <w:color w:val="000000"/>
                <w:szCs w:val="21"/>
              </w:rPr>
              <w:t>年的运营养护绩效考核系数。</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资产权属</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本项目的土地使用权由政府获得，并无偿提供给项目公司使用。项目公司不得变更项目建设用地的土地用途。本项目形成的资产归政府方所有。项目公司仅拥有本项目</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项目合同范围内资产的使用权和收益权</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项目公司不得利用项目用地和建成资产开展抵押融资或设定担保。</w:t>
            </w:r>
          </w:p>
          <w:p>
            <w:pPr>
              <w:ind w:firstLine="420" w:firstLineChars="20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14:textFill>
                  <w14:solidFill>
                    <w14:schemeClr w14:val="tx1"/>
                  </w14:solidFill>
                </w14:textFill>
              </w:rPr>
              <w:t>在项目合作期满移交完成后，项目公司不保留项目建成的任何资产设施。</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项目融资</w:t>
            </w:r>
          </w:p>
        </w:tc>
        <w:tc>
          <w:tcPr>
            <w:tcW w:w="6378" w:type="dxa"/>
            <w:vAlign w:val="center"/>
          </w:tcPr>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）项目公司股东应当通过股东贷款、资金注入、提供增信措施，确保项目公司成功融资。</w:t>
            </w:r>
          </w:p>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）为本项目融资之目的，经杭州大江东产业集聚区管理委员会及项目实施机构同意，项目公司可以将其在</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项目合同项下的各项权益（如预期收益权等）用于质押。</w:t>
            </w:r>
          </w:p>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）杭州大江东产业集聚区管理委员会及相关部门不提供任何形式的融资担保。</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施工总承包</w:t>
            </w:r>
          </w:p>
        </w:tc>
        <w:tc>
          <w:tcPr>
            <w:tcW w:w="6378" w:type="dxa"/>
            <w:vAlign w:val="center"/>
          </w:tcPr>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）本项目执行施工总承包。本项目的社会资本</w:t>
            </w:r>
            <w:r>
              <w:rPr>
                <w:rFonts w:hint="eastAsia" w:ascii="Times New Roman" w:hAnsi="Times New Roman"/>
                <w:color w:val="000000" w:themeColor="text1"/>
                <w:szCs w:val="21"/>
                <w14:textFill>
                  <w14:solidFill>
                    <w14:schemeClr w14:val="tx1"/>
                  </w14:solidFill>
                </w14:textFill>
              </w:rPr>
              <w:t>（联合体投标即为</w:t>
            </w:r>
            <w:bookmarkStart w:id="52" w:name="_Hlk496906566"/>
            <w:r>
              <w:rPr>
                <w:rFonts w:hint="eastAsia" w:ascii="Times New Roman" w:hAnsi="Times New Roman"/>
                <w:color w:val="000000" w:themeColor="text1"/>
                <w:szCs w:val="21"/>
                <w14:textFill>
                  <w14:solidFill>
                    <w14:schemeClr w14:val="tx1"/>
                  </w14:solidFill>
                </w14:textFill>
              </w:rPr>
              <w:t>负责项目建设施工的单位</w:t>
            </w:r>
            <w:bookmarkEnd w:id="52"/>
            <w:r>
              <w:rPr>
                <w:rFonts w:hint="eastAsia" w:ascii="Times New Roman" w:hAnsi="Times New Roman"/>
                <w:color w:val="000000" w:themeColor="text1"/>
                <w:szCs w:val="21"/>
                <w14:textFill>
                  <w14:solidFill>
                    <w14:schemeClr w14:val="tx1"/>
                  </w14:solidFill>
                </w14:textFill>
              </w:rPr>
              <w:t>）具有</w:t>
            </w:r>
            <w:r>
              <w:rPr>
                <w:rFonts w:hint="eastAsia" w:ascii="Times New Roman" w:hAnsi="Times New Roman"/>
                <w:color w:val="000000" w:themeColor="text1"/>
                <w14:textFill>
                  <w14:solidFill>
                    <w14:schemeClr w14:val="tx1"/>
                  </w14:solidFill>
                </w14:textFill>
              </w:rPr>
              <w:t>市政公用工程施工总承包壹级及以上资质。</w:t>
            </w:r>
          </w:p>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）本项目主体结构工程项目公司不得分包、转包，项目公司必须将工程主体结构工程发包给社会资本或联合体的成员单位负责施工总承包一方；部分专项工程报经实施机构同意后可分包给具有相应资质的单位。</w:t>
            </w:r>
          </w:p>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w:t>
            </w:r>
            <w:bookmarkStart w:id="53" w:name="_Hlk496897167"/>
            <w:r>
              <w:rPr>
                <w:rFonts w:hint="eastAsia" w:ascii="Times New Roman" w:hAnsi="Times New Roman"/>
                <w:color w:val="000000" w:themeColor="text1"/>
                <w14:textFill>
                  <w14:solidFill>
                    <w14:schemeClr w14:val="tx1"/>
                  </w14:solidFill>
                </w14:textFill>
              </w:rPr>
              <w:t>合同约定须通过二次招标采购实施的专项工程及设备，由项目公司在政府指定的交易平台进行招标采购，招标（采购）文件须经项目实施机构认可。</w:t>
            </w:r>
            <w:bookmarkEnd w:id="53"/>
          </w:p>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4</w:t>
            </w:r>
            <w:r>
              <w:rPr>
                <w:rFonts w:hint="eastAsia" w:ascii="Times New Roman" w:hAnsi="Times New Roman"/>
                <w:color w:val="000000" w:themeColor="text1"/>
                <w14:textFill>
                  <w14:solidFill>
                    <w14:schemeClr w14:val="tx1"/>
                  </w14:solidFill>
                </w14:textFill>
              </w:rPr>
              <w:t>）无信息价格的材料，价格经双方询价共同确认（包括材料和设备品牌、规格、技术参数、颜色、材质等）并以签证价格进入预结算。若双方无法对询价价格达成一致的，由项目公司通过政府指定的交易平台进行招标采购，招标（采购）文件须经项目实施机构认可。</w:t>
            </w:r>
          </w:p>
          <w:p>
            <w:pPr>
              <w:ind w:firstLine="210" w:firstLineChars="1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）项目公司在施工总承包合同以及分包工程、专项工程及设备采购合同等在合同签订后的十（</w:t>
            </w:r>
            <w:r>
              <w:rPr>
                <w:rFonts w:ascii="Times New Roman" w:hAnsi="Times New Roman"/>
                <w:color w:val="000000" w:themeColor="text1"/>
                <w14:textFill>
                  <w14:solidFill>
                    <w14:schemeClr w14:val="tx1"/>
                  </w14:solidFill>
                </w14:textFill>
              </w:rPr>
              <w:t>10</w:t>
            </w:r>
            <w:r>
              <w:rPr>
                <w:rFonts w:hint="eastAsia" w:ascii="Times New Roman" w:hAnsi="Times New Roman"/>
                <w:color w:val="000000" w:themeColor="text1"/>
                <w14:textFill>
                  <w14:solidFill>
                    <w14:schemeClr w14:val="tx1"/>
                  </w14:solidFill>
                </w14:textFill>
              </w:rPr>
              <w:t>）个工作日内需向实施机构备案（可提供复印件但必须提供原件正本核对）。</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竞价指标</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政府每年支付可行性缺口补助为招标竞争指标：</w:t>
            </w:r>
          </w:p>
          <w:p>
            <w:pPr>
              <w:ind w:firstLine="42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、建安费用下浮率，依据合同给定的建安费用预算编制依据及结算方法约定，由投标人投报，下浮率指标报价数值须不小于</w:t>
            </w:r>
            <w:r>
              <w:rPr>
                <w:rFonts w:ascii="Times New Roman" w:hAnsi="Times New Roman"/>
                <w:color w:val="000000" w:themeColor="text1"/>
                <w:u w:val="single"/>
                <w14:textFill>
                  <w14:solidFill>
                    <w14:schemeClr w14:val="tx1"/>
                  </w14:solidFill>
                </w14:textFill>
              </w:rPr>
              <w:t>8%</w:t>
            </w:r>
            <w:r>
              <w:rPr>
                <w:rFonts w:hint="eastAsia" w:ascii="Times New Roman" w:hAnsi="Times New Roman"/>
                <w:color w:val="000000" w:themeColor="text1"/>
                <w14:textFill>
                  <w14:solidFill>
                    <w14:schemeClr w14:val="tx1"/>
                  </w14:solidFill>
                </w14:textFill>
              </w:rPr>
              <w:t>，若该报价数值小于</w:t>
            </w:r>
            <w:r>
              <w:rPr>
                <w:rFonts w:ascii="Times New Roman" w:hAnsi="Times New Roman"/>
                <w:color w:val="000000" w:themeColor="text1"/>
                <w:u w:val="single"/>
                <w14:textFill>
                  <w14:solidFill>
                    <w14:schemeClr w14:val="tx1"/>
                  </w14:solidFill>
                </w14:textFill>
              </w:rPr>
              <w:t>8%</w:t>
            </w:r>
            <w:r>
              <w:rPr>
                <w:rFonts w:hint="eastAsia" w:ascii="Times New Roman" w:hAnsi="Times New Roman"/>
                <w:color w:val="000000" w:themeColor="text1"/>
                <w14:textFill>
                  <w14:solidFill>
                    <w14:schemeClr w14:val="tx1"/>
                  </w14:solidFill>
                </w14:textFill>
              </w:rPr>
              <w:t>，作无效响应处理，相应投标为无效标；</w:t>
            </w:r>
          </w:p>
          <w:p>
            <w:pPr>
              <w:ind w:firstLine="42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、年投资回报率，依据回报机制设定的计算方法由投标人投报，年投资回报率不得超出中国人民银行发布的五年以上期贷款基准利率上浮</w:t>
            </w:r>
            <w:r>
              <w:rPr>
                <w:rFonts w:ascii="Times New Roman" w:hAnsi="Times New Roman"/>
                <w:color w:val="000000" w:themeColor="text1"/>
                <w:u w:val="single"/>
                <w14:textFill>
                  <w14:solidFill>
                    <w14:schemeClr w14:val="tx1"/>
                  </w14:solidFill>
                </w14:textFill>
              </w:rPr>
              <w:t>35%</w:t>
            </w:r>
            <w:r>
              <w:rPr>
                <w:rFonts w:hint="eastAsia" w:ascii="Times New Roman" w:hAnsi="Times New Roman"/>
                <w:color w:val="000000" w:themeColor="text1"/>
                <w14:textFill>
                  <w14:solidFill>
                    <w14:schemeClr w14:val="tx1"/>
                  </w14:solidFill>
                </w14:textFill>
              </w:rPr>
              <w:t>，即</w:t>
            </w:r>
            <w:r>
              <w:rPr>
                <w:rFonts w:ascii="Times New Roman" w:hAnsi="Times New Roman"/>
                <w:color w:val="000000" w:themeColor="text1"/>
                <w:u w:val="single"/>
                <w14:textFill>
                  <w14:solidFill>
                    <w14:schemeClr w14:val="tx1"/>
                  </w14:solidFill>
                </w14:textFill>
              </w:rPr>
              <w:t>6.615%</w:t>
            </w:r>
            <w:r>
              <w:rPr>
                <w:rFonts w:hint="eastAsia" w:ascii="Times New Roman" w:hAnsi="Times New Roman"/>
                <w:color w:val="000000" w:themeColor="text1"/>
                <w14:textFill>
                  <w14:solidFill>
                    <w14:schemeClr w14:val="tx1"/>
                  </w14:solidFill>
                </w14:textFill>
              </w:rPr>
              <w:t>，若年投资回报率报价超出</w:t>
            </w:r>
            <w:r>
              <w:rPr>
                <w:rFonts w:ascii="Times New Roman" w:hAnsi="Times New Roman"/>
                <w:color w:val="000000" w:themeColor="text1"/>
                <w:u w:val="single"/>
                <w14:textFill>
                  <w14:solidFill>
                    <w14:schemeClr w14:val="tx1"/>
                  </w14:solidFill>
                </w14:textFill>
              </w:rPr>
              <w:t>6.615%</w:t>
            </w:r>
            <w:r>
              <w:rPr>
                <w:rFonts w:hint="eastAsia" w:ascii="Times New Roman" w:hAnsi="Times New Roman"/>
                <w:color w:val="000000" w:themeColor="text1"/>
                <w14:textFill>
                  <w14:solidFill>
                    <w14:schemeClr w14:val="tx1"/>
                  </w14:solidFill>
                </w14:textFill>
              </w:rPr>
              <w:t>的作无效响应处理，相应投标为无效标；</w:t>
            </w:r>
          </w:p>
          <w:p>
            <w:pPr>
              <w:ind w:firstLine="42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、年运营维养成本，运营期内年运营维养成本不高于</w:t>
            </w:r>
            <w:r>
              <w:rPr>
                <w:rFonts w:ascii="Times New Roman" w:hAnsi="Times New Roman"/>
                <w:color w:val="000000" w:themeColor="text1"/>
                <w:u w:val="single"/>
                <w14:textFill>
                  <w14:solidFill>
                    <w14:schemeClr w14:val="tx1"/>
                  </w14:solidFill>
                </w14:textFill>
              </w:rPr>
              <w:t xml:space="preserve"> 2981.22 </w:t>
            </w:r>
            <w:r>
              <w:rPr>
                <w:rFonts w:hint="eastAsia" w:ascii="Times New Roman" w:hAnsi="Times New Roman"/>
                <w:color w:val="000000" w:themeColor="text1"/>
                <w14:textFill>
                  <w14:solidFill>
                    <w14:schemeClr w14:val="tx1"/>
                  </w14:solidFill>
                </w14:textFill>
              </w:rPr>
              <w:t>万元。（包含大中修费用，中修至少两次，大修至少一次）若年运营维养成本数值大于</w:t>
            </w:r>
            <w:r>
              <w:rPr>
                <w:rFonts w:ascii="Times New Roman" w:hAnsi="Times New Roman"/>
                <w:color w:val="000000" w:themeColor="text1"/>
                <w:u w:val="single"/>
                <w14:textFill>
                  <w14:solidFill>
                    <w14:schemeClr w14:val="tx1"/>
                  </w14:solidFill>
                </w14:textFill>
              </w:rPr>
              <w:t xml:space="preserve"> 2981.22 </w:t>
            </w:r>
            <w:r>
              <w:rPr>
                <w:rFonts w:hint="eastAsia" w:ascii="Times New Roman" w:hAnsi="Times New Roman"/>
                <w:color w:val="000000" w:themeColor="text1"/>
                <w14:textFill>
                  <w14:solidFill>
                    <w14:schemeClr w14:val="tx1"/>
                  </w14:solidFill>
                </w14:textFill>
              </w:rPr>
              <w:t>万元</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年，作无效响应处理，相应投标为无效标。</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9"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签约保证金</w:t>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（现金形式）</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投标截止日起三（</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）个工作日内，由采购人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项目实施机构发出确认谈判通知函。拟谈判候选人根据收到确认谈判通知函载明的要求向采购人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项目实施机构指定账户交纳签约保证金，签约保证金额度伍仟（</w:t>
            </w:r>
            <w:r>
              <w:rPr>
                <w:rFonts w:ascii="Times New Roman" w:hAnsi="Times New Roman"/>
                <w:color w:val="000000" w:themeColor="text1"/>
                <w14:textFill>
                  <w14:solidFill>
                    <w14:schemeClr w14:val="tx1"/>
                  </w14:solidFill>
                </w14:textFill>
              </w:rPr>
              <w:t>5000</w:t>
            </w:r>
            <w:r>
              <w:rPr>
                <w:rFonts w:hint="eastAsia" w:ascii="Times New Roman" w:hAnsi="Times New Roman"/>
                <w:color w:val="000000" w:themeColor="text1"/>
                <w14:textFill>
                  <w14:solidFill>
                    <w14:schemeClr w14:val="tx1"/>
                  </w14:solidFill>
                </w14:textFill>
              </w:rPr>
              <w:t>）万元人民币。规定时间内候选人未按确认谈判通知函载明的要求交纳签约保证金的，视同放弃中标资格；规定时间双方未就合同确认谈判达成一致，在签署谈判备忘录后七（</w:t>
            </w:r>
            <w:r>
              <w:rPr>
                <w:rFonts w:ascii="Times New Roman" w:hAnsi="Times New Roman"/>
                <w:color w:val="000000" w:themeColor="text1"/>
                <w14:textFill>
                  <w14:solidFill>
                    <w14:schemeClr w14:val="tx1"/>
                  </w14:solidFill>
                </w14:textFill>
              </w:rPr>
              <w:t>7</w:t>
            </w:r>
            <w:r>
              <w:rPr>
                <w:rFonts w:hint="eastAsia" w:ascii="Times New Roman" w:hAnsi="Times New Roman"/>
                <w:color w:val="000000" w:themeColor="text1"/>
                <w14:textFill>
                  <w14:solidFill>
                    <w14:schemeClr w14:val="tx1"/>
                  </w14:solidFill>
                </w14:textFill>
              </w:rPr>
              <w:t>）个工作日内，退还签约保证金（不计息）；规定时间双方就合同确认谈判达成一致，并签署谈判备忘录的，在递交建设期履约保函后七（</w:t>
            </w:r>
            <w:r>
              <w:rPr>
                <w:rFonts w:ascii="Times New Roman" w:hAnsi="Times New Roman"/>
                <w:color w:val="000000" w:themeColor="text1"/>
                <w14:textFill>
                  <w14:solidFill>
                    <w14:schemeClr w14:val="tx1"/>
                  </w14:solidFill>
                </w14:textFill>
              </w:rPr>
              <w:t>7</w:t>
            </w:r>
            <w:r>
              <w:rPr>
                <w:rFonts w:hint="eastAsia" w:ascii="Times New Roman" w:hAnsi="Times New Roman"/>
                <w:color w:val="000000" w:themeColor="text1"/>
                <w14:textFill>
                  <w14:solidFill>
                    <w14:schemeClr w14:val="tx1"/>
                  </w14:solidFill>
                </w14:textFill>
              </w:rPr>
              <w:t>）个工作日内退还签约保证金（不计息）。</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建设期履约保函</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中标人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项目公司应于签订</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项目合同七（</w:t>
            </w:r>
            <w:r>
              <w:rPr>
                <w:rFonts w:ascii="Times New Roman" w:hAnsi="Times New Roman"/>
                <w:color w:val="000000" w:themeColor="text1"/>
                <w14:textFill>
                  <w14:solidFill>
                    <w14:schemeClr w14:val="tx1"/>
                  </w14:solidFill>
                </w14:textFill>
              </w:rPr>
              <w:t>7</w:t>
            </w:r>
            <w:r>
              <w:rPr>
                <w:rFonts w:hint="eastAsia" w:ascii="Times New Roman" w:hAnsi="Times New Roman"/>
                <w:color w:val="000000" w:themeColor="text1"/>
                <w14:textFill>
                  <w14:solidFill>
                    <w14:schemeClr w14:val="tx1"/>
                  </w14:solidFill>
                </w14:textFill>
              </w:rPr>
              <w:t>）个工作日内且投标保证金退还前向采购人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项目实施机构提交一份其可接受的金融机构出具的本工程建设期履约保函作为其履行整个建设期义务的保证。建设期履约保函解除应在项目通车之日，且递交运营期履约保函后三十（</w:t>
            </w:r>
            <w:r>
              <w:rPr>
                <w:rFonts w:ascii="Times New Roman" w:hAnsi="Times New Roman"/>
                <w:color w:val="000000" w:themeColor="text1"/>
                <w14:textFill>
                  <w14:solidFill>
                    <w14:schemeClr w14:val="tx1"/>
                  </w14:solidFill>
                </w14:textFill>
              </w:rPr>
              <w:t>30</w:t>
            </w:r>
            <w:r>
              <w:rPr>
                <w:rFonts w:hint="eastAsia" w:ascii="Times New Roman" w:hAnsi="Times New Roman"/>
                <w:color w:val="000000" w:themeColor="text1"/>
                <w14:textFill>
                  <w14:solidFill>
                    <w14:schemeClr w14:val="tx1"/>
                  </w14:solidFill>
                </w14:textFill>
              </w:rPr>
              <w:t>）日内。建设期履约保函金额为贰亿元（</w:t>
            </w:r>
            <w:r>
              <w:rPr>
                <w:rFonts w:ascii="Times New Roman" w:hAnsi="Times New Roman"/>
                <w:color w:val="000000" w:themeColor="text1"/>
                <w14:textFill>
                  <w14:solidFill>
                    <w14:schemeClr w14:val="tx1"/>
                  </w14:solidFill>
                </w14:textFill>
              </w:rPr>
              <w:t>20000</w:t>
            </w:r>
            <w:r>
              <w:rPr>
                <w:rFonts w:hint="eastAsia" w:ascii="Times New Roman" w:hAnsi="Times New Roman"/>
                <w:color w:val="000000" w:themeColor="text1"/>
                <w14:textFill>
                  <w14:solidFill>
                    <w14:schemeClr w14:val="tx1"/>
                  </w14:solidFill>
                </w14:textFill>
              </w:rPr>
              <w:t>万元）人民币（银行保函）。</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项目实施机构可接受的金融机构为</w:t>
            </w:r>
            <w:bookmarkStart w:id="54" w:name="金融机构要求"/>
            <w:r>
              <w:rPr>
                <w:rFonts w:hint="eastAsia" w:ascii="Times New Roman" w:hAnsi="Times New Roman"/>
                <w:color w:val="000000" w:themeColor="text1"/>
                <w14:textFill>
                  <w14:solidFill>
                    <w14:schemeClr w14:val="tx1"/>
                  </w14:solidFill>
                </w14:textFill>
              </w:rPr>
              <w:t>县区级及以上国有或股份制商业银行的支行或分行</w:t>
            </w:r>
            <w:bookmarkEnd w:id="54"/>
            <w:r>
              <w:rPr>
                <w:rFonts w:hint="eastAsia" w:ascii="Times New Roman" w:hAnsi="Times New Roman"/>
                <w:color w:val="000000" w:themeColor="text1"/>
                <w14:textFill>
                  <w14:solidFill>
                    <w14:schemeClr w14:val="tx1"/>
                  </w14:solidFill>
                </w14:textFill>
              </w:rPr>
              <w:t>。</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运营期履约保函</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运营期履约保函，由项目公司在通车日前三十（</w:t>
            </w:r>
            <w:r>
              <w:rPr>
                <w:rFonts w:ascii="Times New Roman" w:hAnsi="Times New Roman"/>
                <w:color w:val="000000" w:themeColor="text1"/>
                <w14:textFill>
                  <w14:solidFill>
                    <w14:schemeClr w14:val="tx1"/>
                  </w14:solidFill>
                </w14:textFill>
              </w:rPr>
              <w:t>30</w:t>
            </w:r>
            <w:r>
              <w:rPr>
                <w:rFonts w:hint="eastAsia" w:ascii="Times New Roman" w:hAnsi="Times New Roman"/>
                <w:color w:val="000000" w:themeColor="text1"/>
                <w14:textFill>
                  <w14:solidFill>
                    <w14:schemeClr w14:val="tx1"/>
                  </w14:solidFill>
                </w14:textFill>
              </w:rPr>
              <w:t>）日内向采购人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项目实施机构提交一份其可接受的金融机构出具的本工程运营期履约保函作为其履行整个运营期义务的保证。运营期履约保函金额为贰仟万元（</w:t>
            </w:r>
            <w:r>
              <w:rPr>
                <w:rFonts w:ascii="Times New Roman" w:hAnsi="Times New Roman"/>
                <w:color w:val="000000" w:themeColor="text1"/>
                <w14:textFill>
                  <w14:solidFill>
                    <w14:schemeClr w14:val="tx1"/>
                  </w14:solidFill>
                </w14:textFill>
              </w:rPr>
              <w:t>2000</w:t>
            </w:r>
            <w:r>
              <w:rPr>
                <w:rFonts w:hint="eastAsia" w:ascii="Times New Roman" w:hAnsi="Times New Roman"/>
                <w:color w:val="000000" w:themeColor="text1"/>
                <w14:textFill>
                  <w14:solidFill>
                    <w14:schemeClr w14:val="tx1"/>
                  </w14:solidFill>
                </w14:textFill>
              </w:rPr>
              <w:t>万元）人民币（银行保函），运营期履约保函解除应在运营期届满，且递交移交维护保函后三十（</w:t>
            </w:r>
            <w:r>
              <w:rPr>
                <w:rFonts w:ascii="Times New Roman" w:hAnsi="Times New Roman"/>
                <w:color w:val="000000" w:themeColor="text1"/>
                <w14:textFill>
                  <w14:solidFill>
                    <w14:schemeClr w14:val="tx1"/>
                  </w14:solidFill>
                </w14:textFill>
              </w:rPr>
              <w:t>30</w:t>
            </w:r>
            <w:r>
              <w:rPr>
                <w:rFonts w:hint="eastAsia" w:ascii="Times New Roman" w:hAnsi="Times New Roman"/>
                <w:color w:val="000000" w:themeColor="text1"/>
                <w14:textFill>
                  <w14:solidFill>
                    <w14:schemeClr w14:val="tx1"/>
                  </w14:solidFill>
                </w14:textFill>
              </w:rPr>
              <w:t>）日内。</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项目实施机构可接受的金融机构为县区级及以上国有或股份制商业银行的支行或分行。</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移交维护保函</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运营期届满三（</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）个月前，由中标人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项目公司向实施机构提交一份其可接受的金融机构出具的本工程移交维护保函作为其履行质保期义务的保证。移交履约保函金额为伍仟万元（</w:t>
            </w:r>
            <w:r>
              <w:rPr>
                <w:rFonts w:ascii="Times New Roman" w:hAnsi="Times New Roman"/>
                <w:color w:val="000000" w:themeColor="text1"/>
                <w14:textFill>
                  <w14:solidFill>
                    <w14:schemeClr w14:val="tx1"/>
                  </w14:solidFill>
                </w14:textFill>
              </w:rPr>
              <w:t>5000</w:t>
            </w:r>
            <w:r>
              <w:rPr>
                <w:rFonts w:hint="eastAsia" w:ascii="Times New Roman" w:hAnsi="Times New Roman"/>
                <w:color w:val="000000" w:themeColor="text1"/>
                <w14:textFill>
                  <w14:solidFill>
                    <w14:schemeClr w14:val="tx1"/>
                  </w14:solidFill>
                </w14:textFill>
              </w:rPr>
              <w:t>万元）人民币（银行保函），移交维护保函效期至移交日后满一（</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）年。</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项目实施机构可接受的金融机构为县区级及以上国有或股份制商业银行的支行或分行。</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强制保险</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项目公司在项目合作期内，可投保以下险种：</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）建设期：建筑安装工程一切险、第三者责任险、人身意外伤害险、农民工工伤保险等。</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）运营期：人身意外伤害险等。</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其中建筑安装工程一切险列入项目工程建设其他费用并纳入</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总投资；其他保险费用由项目公司自行承担。</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设计</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项目公司需按照施工图设计进行施工，若采购人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项目实施机构在原施工图基础上提出设计变更，由此原因导致的增加投资纳入投资结算审计。</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项目公司可根据运营管理需要对运营范围内的建筑设施进行适当优化，但优化设计必须符合相关强制性规范要求且取得采购人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项目实施机构的书面认可。</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监理</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本项目（新建工程）由实施机构按照国家、省、市有关建设工程监理有关规定委托监理单位并支付监理费用。监理费用纳入建设投资，项目公司在前期相关费用中支付给采购人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可由项目公司、采购人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项目实施机构、监理机构签订三方合同，约定各关权利义务及有关事项。</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工程建设其他费</w:t>
            </w:r>
          </w:p>
        </w:tc>
        <w:tc>
          <w:tcPr>
            <w:tcW w:w="6378" w:type="dxa"/>
            <w:vAlign w:val="center"/>
          </w:tcPr>
          <w:p>
            <w:pPr>
              <w:ind w:firstLine="420" w:firstLineChars="200"/>
              <w:rPr>
                <w:rFonts w:ascii="Times New Roman" w:hAnsi="Times New Roman"/>
                <w:color w:val="000000" w:themeColor="text1"/>
                <w:kern w:val="0"/>
                <w:szCs w:val="21"/>
                <w14:textFill>
                  <w14:solidFill>
                    <w14:schemeClr w14:val="tx1"/>
                  </w14:solidFill>
                </w14:textFill>
              </w:rPr>
            </w:pPr>
            <w:bookmarkStart w:id="55" w:name="OLE_LINK10"/>
            <w:r>
              <w:rPr>
                <w:rFonts w:hint="eastAsia" w:ascii="Times New Roman" w:hAnsi="Times New Roman"/>
                <w:color w:val="000000" w:themeColor="text1"/>
                <w:kern w:val="0"/>
                <w:szCs w:val="21"/>
                <w14:textFill>
                  <w14:solidFill>
                    <w14:schemeClr w14:val="tx1"/>
                  </w14:solidFill>
                </w14:textFill>
              </w:rPr>
              <w:t>本项目工程建设其他费由项目公司承担筹资责任，在合同约定的额度内由实施机构或其指定的机构据实使用，以约定支付时点、额度、约定支付方式由项目公司支付给实施机构或其指定的机构。</w:t>
            </w:r>
          </w:p>
          <w:p>
            <w:pPr>
              <w:ind w:firstLine="420" w:firstLineChars="200"/>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项目公司在建设期间承担项目管理职责，在概算批复建设单位管理费额度内开支使用，在工程竣工决算中直接认定项目公司完成投资。工程建设其他费用概算批复除项目公司管理费以外的部分，若已选定了设计、监理等第三方机构，需由项目公司直接支付的，经项目实施机构同意后，由项目公司与项目实施机构和设计、监理等第三方机构签订补充合同，所产生的服务费用由项目公司直接支付，并根据实际支付金额纳入</w:t>
            </w:r>
            <w:r>
              <w:rPr>
                <w:rFonts w:ascii="Times New Roman" w:hAnsi="Times New Roman"/>
                <w:color w:val="000000" w:themeColor="text1"/>
                <w:kern w:val="0"/>
                <w:szCs w:val="21"/>
                <w14:textFill>
                  <w14:solidFill>
                    <w14:schemeClr w14:val="tx1"/>
                  </w14:solidFill>
                </w14:textFill>
              </w:rPr>
              <w:t>PPP</w:t>
            </w:r>
            <w:r>
              <w:rPr>
                <w:rFonts w:hint="eastAsia" w:ascii="Times New Roman" w:hAnsi="Times New Roman"/>
                <w:color w:val="000000" w:themeColor="text1"/>
                <w:kern w:val="0"/>
                <w:szCs w:val="21"/>
                <w14:textFill>
                  <w14:solidFill>
                    <w14:schemeClr w14:val="tx1"/>
                  </w14:solidFill>
                </w14:textFill>
              </w:rPr>
              <w:t>总投资；若需由项目公司委托其他第三方机构，经项目实施机构同意后，由项目公司通过法定程序选定并第三方机构签订合同，所产生的服务费用由项目公司直接支付，并根据实际支付金额纳入</w:t>
            </w:r>
            <w:r>
              <w:rPr>
                <w:rFonts w:ascii="Times New Roman" w:hAnsi="Times New Roman"/>
                <w:color w:val="000000" w:themeColor="text1"/>
                <w:kern w:val="0"/>
                <w:szCs w:val="21"/>
                <w14:textFill>
                  <w14:solidFill>
                    <w14:schemeClr w14:val="tx1"/>
                  </w14:solidFill>
                </w14:textFill>
              </w:rPr>
              <w:t>PPP</w:t>
            </w:r>
            <w:r>
              <w:rPr>
                <w:rFonts w:hint="eastAsia" w:ascii="Times New Roman" w:hAnsi="Times New Roman"/>
                <w:color w:val="000000" w:themeColor="text1"/>
                <w:kern w:val="0"/>
                <w:szCs w:val="21"/>
                <w14:textFill>
                  <w14:solidFill>
                    <w14:schemeClr w14:val="tx1"/>
                  </w14:solidFill>
                </w14:textFill>
              </w:rPr>
              <w:t>总投资（不含项目公司自身管理或违约原因发生的违约赔付金）；其他工程建设其他费由项目公司按约定时点支付给实施机构或其指定机构，项目公司支付到账后由实施机构或其指定机构提供相应的收据，并根据实际支付金额纳入</w:t>
            </w:r>
            <w:r>
              <w:rPr>
                <w:rFonts w:ascii="Times New Roman" w:hAnsi="Times New Roman"/>
                <w:color w:val="000000" w:themeColor="text1"/>
                <w:kern w:val="0"/>
                <w:szCs w:val="21"/>
                <w14:textFill>
                  <w14:solidFill>
                    <w14:schemeClr w14:val="tx1"/>
                  </w14:solidFill>
                </w14:textFill>
              </w:rPr>
              <w:t>PPP</w:t>
            </w:r>
            <w:r>
              <w:rPr>
                <w:rFonts w:hint="eastAsia" w:ascii="Times New Roman" w:hAnsi="Times New Roman"/>
                <w:color w:val="000000" w:themeColor="text1"/>
                <w:kern w:val="0"/>
                <w:szCs w:val="21"/>
                <w14:textFill>
                  <w14:solidFill>
                    <w14:schemeClr w14:val="tx1"/>
                  </w14:solidFill>
                </w14:textFill>
              </w:rPr>
              <w:t>总投资。</w:t>
            </w:r>
            <w:bookmarkEnd w:id="55"/>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材料和设备采购</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施工图预算涉及装饰材料存在颜色、规格等表观要求不明确的情况下，材料采购或施工前须送样经实施机构确认。</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施工图预算若存在暂列项或暂定材料，作为要求独立发包或专项采购的工程或材料、设备设施，由项目公司按照政府投资项目管理办法规定进行采购或招标，招标文件需经采购人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项目实施机构认可，采购（招标）限价不得超出相应预算或暂列项或经甲方签证认可的控制金额。采购过程应由采购人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项目实施机构参与监督。</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建设期提前</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本项目整体建设期提前的，自动进入运营期。运营期的二十（</w:t>
            </w:r>
            <w:r>
              <w:rPr>
                <w:rFonts w:ascii="Times New Roman" w:hAnsi="Times New Roman"/>
                <w:color w:val="000000" w:themeColor="text1"/>
                <w14:textFill>
                  <w14:solidFill>
                    <w14:schemeClr w14:val="tx1"/>
                  </w14:solidFill>
                </w14:textFill>
              </w:rPr>
              <w:t>20</w:t>
            </w:r>
            <w:r>
              <w:rPr>
                <w:rFonts w:hint="eastAsia" w:ascii="Times New Roman" w:hAnsi="Times New Roman"/>
                <w:color w:val="000000" w:themeColor="text1"/>
                <w14:textFill>
                  <w14:solidFill>
                    <w14:schemeClr w14:val="tx1"/>
                  </w14:solidFill>
                </w14:textFill>
              </w:rPr>
              <w:t>）年保持不变。</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建设期延迟</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因本项目发生</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项目合同第</w:t>
            </w:r>
            <w:r>
              <w:rPr>
                <w:rFonts w:ascii="Times New Roman" w:hAnsi="Times New Roman"/>
                <w:color w:val="000000" w:themeColor="text1"/>
                <w14:textFill>
                  <w14:solidFill>
                    <w14:schemeClr w14:val="tx1"/>
                  </w14:solidFill>
                </w14:textFill>
              </w:rPr>
              <w:t>7.4.5</w:t>
            </w:r>
            <w:r>
              <w:rPr>
                <w:rFonts w:hint="eastAsia" w:ascii="Times New Roman" w:hAnsi="Times New Roman"/>
                <w:color w:val="000000" w:themeColor="text1"/>
                <w14:textFill>
                  <w14:solidFill>
                    <w14:schemeClr w14:val="tx1"/>
                  </w14:solidFill>
                </w14:textFill>
              </w:rPr>
              <w:t>条款（</w:t>
            </w:r>
            <w:r>
              <w:rPr>
                <w:rFonts w:ascii="Times New Roman" w:hAnsi="Times New Roman"/>
                <w:color w:val="000000" w:themeColor="text1"/>
                <w14:textFill>
                  <w14:solidFill>
                    <w14:schemeClr w14:val="tx1"/>
                  </w14:solidFill>
                </w14:textFill>
              </w:rPr>
              <w:t>a</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b</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c</w:t>
            </w:r>
            <w:r>
              <w:rPr>
                <w:rFonts w:hint="eastAsia" w:ascii="Times New Roman" w:hAnsi="Times New Roman"/>
                <w:color w:val="000000" w:themeColor="text1"/>
                <w14:textFill>
                  <w14:solidFill>
                    <w14:schemeClr w14:val="tx1"/>
                  </w14:solidFill>
                </w14:textFill>
              </w:rPr>
              <w:t>）情况，合作期顺延，运营期二十（</w:t>
            </w:r>
            <w:r>
              <w:rPr>
                <w:rFonts w:ascii="Times New Roman" w:hAnsi="Times New Roman"/>
                <w:color w:val="000000" w:themeColor="text1"/>
                <w14:textFill>
                  <w14:solidFill>
                    <w14:schemeClr w14:val="tx1"/>
                  </w14:solidFill>
                </w14:textFill>
              </w:rPr>
              <w:t>20</w:t>
            </w:r>
            <w:r>
              <w:rPr>
                <w:rFonts w:hint="eastAsia" w:ascii="Times New Roman" w:hAnsi="Times New Roman"/>
                <w:color w:val="000000" w:themeColor="text1"/>
                <w14:textFill>
                  <w14:solidFill>
                    <w14:schemeClr w14:val="tx1"/>
                  </w14:solidFill>
                </w14:textFill>
              </w:rPr>
              <w:t>）年不变。</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期满终止</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合作期满，项目公司应按照合同约定将所有运营范围内项目设施（含为项目设施正常运营所必须的各类项目设施、设备、各信息及管理系统、维护手册等）无偿移交给实施机构或其指定机构。项目公司应确保移交的项目设施不存在任何抵押、质押等担保权益或所有权约束，亦不得存在任何种类和性质的索赔权。</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自移交结束起设定移交范围设施的质量保证期（以移交日起一（</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）年），在质量保证期间，移交的项目设施发生质量缺陷或问题（由于接收机构使用或经营原因造成的除外）由项目公司承担维修责任和费用。发生质量维修的部位或项目自维修完成之日起重新计算质量保证期。</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提前终止补偿</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详见第二卷</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项目合同相关内容。</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912" w:type="dxa"/>
            <w:vAlign w:val="center"/>
          </w:tcPr>
          <w:p>
            <w:pPr>
              <w:pStyle w:val="188"/>
              <w:numPr>
                <w:ilvl w:val="0"/>
                <w:numId w:val="2"/>
              </w:numPr>
              <w:ind w:left="171" w:hanging="171"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移交标准</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详见第二卷</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项目合同相关内容。</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2</w:t>
            </w:r>
          </w:p>
        </w:tc>
        <w:tc>
          <w:tcPr>
            <w:tcW w:w="8155" w:type="dxa"/>
            <w:gridSpan w:val="2"/>
            <w:vAlign w:val="center"/>
          </w:tcPr>
          <w:p>
            <w:pP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投标相关要求</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3"/>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投标保证金</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投标保证金人民币贰仟万元（</w:t>
            </w:r>
            <w:r>
              <w:rPr>
                <w:rFonts w:ascii="Times New Roman" w:hAnsi="Times New Roman"/>
                <w:color w:val="000000" w:themeColor="text1"/>
                <w14:textFill>
                  <w14:solidFill>
                    <w14:schemeClr w14:val="tx1"/>
                  </w14:solidFill>
                </w14:textFill>
              </w:rPr>
              <w:t>RMB2000</w:t>
            </w:r>
            <w:r>
              <w:rPr>
                <w:rFonts w:hint="eastAsia" w:ascii="Times New Roman" w:hAnsi="Times New Roman"/>
                <w:color w:val="000000" w:themeColor="text1"/>
                <w14:textFill>
                  <w14:solidFill>
                    <w14:schemeClr w14:val="tx1"/>
                  </w14:solidFill>
                </w14:textFill>
              </w:rPr>
              <w:t>万元），以保函形式递交，</w:t>
            </w:r>
            <w:r>
              <w:rPr>
                <w:rFonts w:hint="eastAsia" w:ascii="Times New Roman" w:hAnsi="Times New Roman"/>
                <w:b/>
                <w:color w:val="000000" w:themeColor="text1"/>
                <w14:textFill>
                  <w14:solidFill>
                    <w14:schemeClr w14:val="tx1"/>
                  </w14:solidFill>
                </w14:textFill>
              </w:rPr>
              <w:t>保函受益人为采购人，联合体参加由联合体牵头公司开具。</w:t>
            </w:r>
            <w:r>
              <w:rPr>
                <w:rFonts w:hint="eastAsia" w:ascii="Times New Roman" w:hAnsi="Times New Roman"/>
                <w:b/>
                <w:color w:val="000000" w:themeColor="text1"/>
                <w:szCs w:val="21"/>
                <w14:textFill>
                  <w14:solidFill>
                    <w14:schemeClr w14:val="tx1"/>
                  </w14:solidFill>
                </w14:textFill>
              </w:rPr>
              <w:t>保函原件随投标文件一并递交。</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6" w:hRule="atLeast"/>
          <w:jc w:val="center"/>
        </w:trPr>
        <w:tc>
          <w:tcPr>
            <w:tcW w:w="912" w:type="dxa"/>
            <w:vAlign w:val="center"/>
          </w:tcPr>
          <w:p>
            <w:pPr>
              <w:pStyle w:val="188"/>
              <w:numPr>
                <w:ilvl w:val="0"/>
                <w:numId w:val="3"/>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投标保证金的没收</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投标人出现下列情况之一的，采购人有权没收其投标保证金：</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）投标人在投标文件递交截止时间之后且在投标文件有效期内撤回该投标文件或对其投标文件中的内容提出实质性修改的；</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）投标人在收到采购人发出的要求谈判的通知后，未能在采购人要求的期限内与采购人开始项目的谈判，或由于其自身原因未能在谈判通知要求的期限内完成项目合同的谈判及签署的；</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）投标人在谈判中违背投标文件中的承诺；</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4</w:t>
            </w:r>
            <w:r>
              <w:rPr>
                <w:rFonts w:hint="eastAsia" w:ascii="Times New Roman" w:hAnsi="Times New Roman"/>
                <w:color w:val="000000" w:themeColor="text1"/>
                <w14:textFill>
                  <w14:solidFill>
                    <w14:schemeClr w14:val="tx1"/>
                  </w14:solidFill>
                </w14:textFill>
              </w:rPr>
              <w:t>）因中标人的原因导致项目公司未能按合同约定提交建设期履约保函的；</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）投标人采取任何行贿、串通或者其他非法</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不正当手段（如提交的材料中被发现存在虚假陈述或重大隐瞒等），从而严重影响招标的公平和公正性的。</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912" w:type="dxa"/>
            <w:vAlign w:val="center"/>
          </w:tcPr>
          <w:p>
            <w:pPr>
              <w:pStyle w:val="188"/>
              <w:numPr>
                <w:ilvl w:val="0"/>
                <w:numId w:val="3"/>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投标保证金的退还</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）无特殊情况，未中标人的投标保证金在中标公示期满无异议后，五个工作日内退还保函原件。</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）中标人在与采购人签订</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项目合同后的七个工作日内并按规定交纳建设期履约保函后，凭采购人出具的证明到接收投标保证金的机构办理退还手续。</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）投标保证金不计息。</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912" w:type="dxa"/>
            <w:vAlign w:val="center"/>
          </w:tcPr>
          <w:p>
            <w:pPr>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3</w:t>
            </w:r>
          </w:p>
        </w:tc>
        <w:tc>
          <w:tcPr>
            <w:tcW w:w="8155" w:type="dxa"/>
            <w:gridSpan w:val="2"/>
            <w:vAlign w:val="center"/>
          </w:tcPr>
          <w:p>
            <w:pPr>
              <w:jc w:val="left"/>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招标文件</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912" w:type="dxa"/>
            <w:vAlign w:val="center"/>
          </w:tcPr>
          <w:p>
            <w:pPr>
              <w:pStyle w:val="188"/>
              <w:numPr>
                <w:ilvl w:val="0"/>
                <w:numId w:val="4"/>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招标文件组成</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）第一卷：投标须知</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）第二卷：</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项目合同及附件</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）第三卷：项目资料</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4"/>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投标人要求澄清招标文件的截止时间</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北京时间</w:t>
            </w:r>
            <w:r>
              <w:rPr>
                <w:rFonts w:ascii="Times New Roman" w:hAnsi="Times New Roman"/>
                <w:color w:val="000000" w:themeColor="text1"/>
                <w14:textFill>
                  <w14:solidFill>
                    <w14:schemeClr w14:val="tx1"/>
                  </w14:solidFill>
                </w14:textFill>
              </w:rPr>
              <w:t xml:space="preserve">2018 </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 xml:space="preserve"> 9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 xml:space="preserve"> 30  </w:t>
            </w:r>
            <w:r>
              <w:rPr>
                <w:rFonts w:hint="eastAsia" w:ascii="Times New Roman" w:hAnsi="Times New Roman"/>
                <w:color w:val="000000" w:themeColor="text1"/>
                <w14:textFill>
                  <w14:solidFill>
                    <w14:schemeClr w14:val="tx1"/>
                  </w14:solidFill>
                </w14:textFill>
              </w:rPr>
              <w:t xml:space="preserve">日 </w:t>
            </w:r>
            <w:r>
              <w:rPr>
                <w:rFonts w:ascii="Times New Roman" w:hAnsi="Times New Roman"/>
                <w:color w:val="000000" w:themeColor="text1"/>
                <w14:textFill>
                  <w14:solidFill>
                    <w14:schemeClr w14:val="tx1"/>
                  </w14:solidFill>
                </w14:textFill>
              </w:rPr>
              <w:t xml:space="preserve">14 </w:t>
            </w:r>
            <w:r>
              <w:rPr>
                <w:rFonts w:hint="eastAsia" w:ascii="Times New Roman" w:hAnsi="Times New Roman"/>
                <w:color w:val="000000" w:themeColor="text1"/>
                <w14:textFill>
                  <w14:solidFill>
                    <w14:schemeClr w14:val="tx1"/>
                  </w14:solidFill>
                </w14:textFill>
              </w:rPr>
              <w:t>时</w:t>
            </w:r>
            <w:r>
              <w:rPr>
                <w:rFonts w:ascii="Times New Roman" w:hAnsi="Times New Roman"/>
                <w:color w:val="000000" w:themeColor="text1"/>
                <w14:textFill>
                  <w14:solidFill>
                    <w14:schemeClr w14:val="tx1"/>
                  </w14:solidFill>
                </w14:textFill>
              </w:rPr>
              <w:t xml:space="preserve"> 00 </w:t>
            </w:r>
            <w:r>
              <w:rPr>
                <w:rFonts w:hint="eastAsia" w:ascii="Times New Roman" w:hAnsi="Times New Roman"/>
                <w:color w:val="000000" w:themeColor="text1"/>
                <w14:textFill>
                  <w14:solidFill>
                    <w14:schemeClr w14:val="tx1"/>
                  </w14:solidFill>
                </w14:textFill>
              </w:rPr>
              <w:t>分</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0" w:hRule="atLeast"/>
          <w:jc w:val="center"/>
        </w:trPr>
        <w:tc>
          <w:tcPr>
            <w:tcW w:w="912" w:type="dxa"/>
            <w:vAlign w:val="center"/>
          </w:tcPr>
          <w:p>
            <w:pPr>
              <w:pStyle w:val="188"/>
              <w:numPr>
                <w:ilvl w:val="0"/>
                <w:numId w:val="4"/>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澄清方式</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已获取招标文件的潜在投标人要求澄清的问题必须以加盖投标人公章的书面形式（含电子邮件）向采购人提出，其他形式无效。对确需澄清的问题，采购人将以书面形式对有关问题进行解答，同时以电子邮件或传真到所有获得招标文件的投标人。</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各招标文件收受人应在接到通知的二十四（</w:t>
            </w:r>
            <w:r>
              <w:rPr>
                <w:rFonts w:ascii="Times New Roman" w:hAnsi="Times New Roman"/>
                <w:color w:val="000000" w:themeColor="text1"/>
                <w14:textFill>
                  <w14:solidFill>
                    <w14:schemeClr w14:val="tx1"/>
                  </w14:solidFill>
                </w14:textFill>
              </w:rPr>
              <w:t>24</w:t>
            </w:r>
            <w:r>
              <w:rPr>
                <w:rFonts w:hint="eastAsia" w:ascii="Times New Roman" w:hAnsi="Times New Roman"/>
                <w:color w:val="000000" w:themeColor="text1"/>
                <w14:textFill>
                  <w14:solidFill>
                    <w14:schemeClr w14:val="tx1"/>
                  </w14:solidFill>
                </w14:textFill>
              </w:rPr>
              <w:t>）小时内进行回执盖章确认。采购人未在规定时间确认的视同投标人已收到该通知。</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4"/>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补遗方式</w:t>
            </w:r>
          </w:p>
        </w:tc>
        <w:tc>
          <w:tcPr>
            <w:tcW w:w="6378" w:type="dxa"/>
            <w:vAlign w:val="center"/>
          </w:tcPr>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投标截止时间的十五（</w:t>
            </w:r>
            <w:r>
              <w:rPr>
                <w:rFonts w:ascii="Times New Roman" w:hAnsi="Times New Roman"/>
                <w:color w:val="000000" w:themeColor="text1"/>
                <w14:textFill>
                  <w14:solidFill>
                    <w14:schemeClr w14:val="tx1"/>
                  </w14:solidFill>
                </w14:textFill>
              </w:rPr>
              <w:t>15</w:t>
            </w:r>
            <w:r>
              <w:rPr>
                <w:rFonts w:hint="eastAsia" w:ascii="Times New Roman" w:hAnsi="Times New Roman"/>
                <w:color w:val="000000" w:themeColor="text1"/>
                <w14:textFill>
                  <w14:solidFill>
                    <w14:schemeClr w14:val="tx1"/>
                  </w14:solidFill>
                </w14:textFill>
              </w:rPr>
              <w:t>）日前，采购人可能会对已发出的招标文件进行澄清、修改或补充，该内容为招标文件的组成部分。采购人将同时电子邮件或传真给所有获得招标文件的投标人。除书面形式以外的其他澄清、修改或补充内容均无效。</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采购人可以视采购具体情况，</w:t>
            </w:r>
            <w:r>
              <w:rPr>
                <w:rFonts w:hint="eastAsia" w:ascii="Times New Roman" w:hAnsi="Times New Roman"/>
                <w:b/>
                <w:color w:val="000000" w:themeColor="text1"/>
                <w14:textFill>
                  <w14:solidFill>
                    <w14:schemeClr w14:val="tx1"/>
                  </w14:solidFill>
                </w14:textFill>
              </w:rPr>
              <w:t>延长投标截止时间，</w:t>
            </w:r>
            <w:r>
              <w:rPr>
                <w:rFonts w:hint="eastAsia" w:ascii="Times New Roman" w:hAnsi="Times New Roman"/>
                <w:color w:val="000000" w:themeColor="text1"/>
                <w14:textFill>
                  <w14:solidFill>
                    <w14:schemeClr w14:val="tx1"/>
                  </w14:solidFill>
                </w14:textFill>
              </w:rPr>
              <w:t>并在招标文件要求提交投标文件的截止时间前，将变更时间书面通知所有招标文件收受人。</w:t>
            </w:r>
            <w:r>
              <w:rPr>
                <w:rFonts w:hint="eastAsia" w:ascii="Times New Roman" w:hAnsi="Times New Roman"/>
                <w:color w:val="000000" w:themeColor="text1"/>
                <w:kern w:val="0"/>
                <w:szCs w:val="21"/>
                <w14:textFill>
                  <w14:solidFill>
                    <w14:schemeClr w14:val="tx1"/>
                  </w14:solidFill>
                </w14:textFill>
              </w:rPr>
              <w:t>并在杭州大江东产业集聚区公共资源交易中心网和</w:t>
            </w:r>
            <w:r>
              <w:rPr>
                <w:rFonts w:hint="eastAsia" w:ascii="Times New Roman" w:hAnsi="Times New Roman"/>
                <w:b/>
                <w:color w:val="000000" w:themeColor="text1"/>
                <w:kern w:val="0"/>
                <w:szCs w:val="21"/>
                <w14:textFill>
                  <w14:solidFill>
                    <w14:schemeClr w14:val="tx1"/>
                  </w14:solidFill>
                </w14:textFill>
              </w:rPr>
              <w:t>浙江政府采购网</w:t>
            </w:r>
            <w:r>
              <w:rPr>
                <w:rFonts w:hint="eastAsia" w:ascii="Times New Roman" w:hAnsi="Times New Roman"/>
                <w:color w:val="000000" w:themeColor="text1"/>
                <w:kern w:val="0"/>
                <w:szCs w:val="21"/>
                <w14:textFill>
                  <w14:solidFill>
                    <w14:schemeClr w14:val="tx1"/>
                  </w14:solidFill>
                </w14:textFill>
              </w:rPr>
              <w:t>上发布更正公告。</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各招标文件收受人应在接到通知的二十四（</w:t>
            </w:r>
            <w:r>
              <w:rPr>
                <w:rFonts w:ascii="Times New Roman" w:hAnsi="Times New Roman"/>
                <w:color w:val="000000" w:themeColor="text1"/>
                <w14:textFill>
                  <w14:solidFill>
                    <w14:schemeClr w14:val="tx1"/>
                  </w14:solidFill>
                </w14:textFill>
              </w:rPr>
              <w:t>24</w:t>
            </w:r>
            <w:r>
              <w:rPr>
                <w:rFonts w:hint="eastAsia" w:ascii="Times New Roman" w:hAnsi="Times New Roman"/>
                <w:color w:val="000000" w:themeColor="text1"/>
                <w14:textFill>
                  <w14:solidFill>
                    <w14:schemeClr w14:val="tx1"/>
                  </w14:solidFill>
                </w14:textFill>
              </w:rPr>
              <w:t>）小时内进行回执盖章确认。采购人未在规定时间确认的视同投标人已收到该通知。</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912" w:type="dxa"/>
            <w:vAlign w:val="center"/>
          </w:tcPr>
          <w:p>
            <w:pPr>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4</w:t>
            </w:r>
          </w:p>
        </w:tc>
        <w:tc>
          <w:tcPr>
            <w:tcW w:w="8155" w:type="dxa"/>
            <w:gridSpan w:val="2"/>
            <w:vAlign w:val="center"/>
          </w:tcPr>
          <w:p>
            <w:pP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投标文件编制及递交</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5"/>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投标文件份数</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投标人须向采购人提交一式九（</w:t>
            </w:r>
            <w:r>
              <w:rPr>
                <w:rFonts w:ascii="Times New Roman" w:hAnsi="Times New Roman"/>
                <w:color w:val="000000" w:themeColor="text1"/>
                <w14:textFill>
                  <w14:solidFill>
                    <w14:schemeClr w14:val="tx1"/>
                  </w14:solidFill>
                </w14:textFill>
              </w:rPr>
              <w:t>9</w:t>
            </w:r>
            <w:r>
              <w:rPr>
                <w:rFonts w:hint="eastAsia" w:ascii="Times New Roman" w:hAnsi="Times New Roman"/>
                <w:color w:val="000000" w:themeColor="text1"/>
                <w14:textFill>
                  <w14:solidFill>
                    <w14:schemeClr w14:val="tx1"/>
                  </w14:solidFill>
                </w14:textFill>
              </w:rPr>
              <w:t>）份的资信投标文件和技术投标文件，包括一（</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）份正本，八（</w:t>
            </w:r>
            <w:r>
              <w:rPr>
                <w:rFonts w:ascii="Times New Roman" w:hAnsi="Times New Roman"/>
                <w:color w:val="000000" w:themeColor="text1"/>
                <w14:textFill>
                  <w14:solidFill>
                    <w14:schemeClr w14:val="tx1"/>
                  </w14:solidFill>
                </w14:textFill>
              </w:rPr>
              <w:t>8</w:t>
            </w:r>
            <w:r>
              <w:rPr>
                <w:rFonts w:hint="eastAsia" w:ascii="Times New Roman" w:hAnsi="Times New Roman"/>
                <w:color w:val="000000" w:themeColor="text1"/>
                <w14:textFill>
                  <w14:solidFill>
                    <w14:schemeClr w14:val="tx1"/>
                  </w14:solidFill>
                </w14:textFill>
              </w:rPr>
              <w:t>）份副本，含有全套投标文件电子版（</w:t>
            </w:r>
            <w:r>
              <w:rPr>
                <w:rFonts w:ascii="Times New Roman" w:hAnsi="Times New Roman"/>
                <w:color w:val="000000" w:themeColor="text1"/>
                <w14:textFill>
                  <w14:solidFill>
                    <w14:schemeClr w14:val="tx1"/>
                  </w14:solidFill>
                </w14:textFill>
              </w:rPr>
              <w:t>PDF</w:t>
            </w:r>
            <w:r>
              <w:rPr>
                <w:rFonts w:hint="eastAsia" w:ascii="Times New Roman" w:hAnsi="Times New Roman"/>
                <w:color w:val="000000" w:themeColor="text1"/>
                <w14:textFill>
                  <w14:solidFill>
                    <w14:schemeClr w14:val="tx1"/>
                  </w14:solidFill>
                </w14:textFill>
              </w:rPr>
              <w:t>和</w:t>
            </w:r>
            <w:r>
              <w:rPr>
                <w:rFonts w:ascii="Times New Roman" w:hAnsi="Times New Roman"/>
                <w:color w:val="000000" w:themeColor="text1"/>
                <w14:textFill>
                  <w14:solidFill>
                    <w14:schemeClr w14:val="tx1"/>
                  </w14:solidFill>
                </w14:textFill>
              </w:rPr>
              <w:t>WORD</w:t>
            </w:r>
            <w:r>
              <w:rPr>
                <w:rFonts w:hint="eastAsia" w:ascii="Times New Roman" w:hAnsi="Times New Roman"/>
                <w:color w:val="000000" w:themeColor="text1"/>
                <w14:textFill>
                  <w14:solidFill>
                    <w14:schemeClr w14:val="tx1"/>
                  </w14:solidFill>
                </w14:textFill>
              </w:rPr>
              <w:t>版各一份）的</w:t>
            </w:r>
            <w:r>
              <w:rPr>
                <w:rFonts w:ascii="Times New Roman" w:hAnsi="Times New Roman"/>
                <w:color w:val="000000" w:themeColor="text1"/>
                <w14:textFill>
                  <w14:solidFill>
                    <w14:schemeClr w14:val="tx1"/>
                  </w14:solidFill>
                </w14:textFill>
              </w:rPr>
              <w:t>U</w:t>
            </w:r>
            <w:r>
              <w:rPr>
                <w:rFonts w:hint="eastAsia" w:ascii="Times New Roman" w:hAnsi="Times New Roman"/>
                <w:color w:val="000000" w:themeColor="text1"/>
                <w14:textFill>
                  <w14:solidFill>
                    <w14:schemeClr w14:val="tx1"/>
                  </w14:solidFill>
                </w14:textFill>
              </w:rPr>
              <w:t>盘一（</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）个。其中，副本所有材料可为正本材料的复印件。电子版中的复印件材料应为扫描件。</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商务报价文件（投标报价函）一式一份，独立信封密封。</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912" w:type="dxa"/>
            <w:vAlign w:val="center"/>
          </w:tcPr>
          <w:p>
            <w:pPr>
              <w:pStyle w:val="188"/>
              <w:numPr>
                <w:ilvl w:val="0"/>
                <w:numId w:val="5"/>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投标文件内容</w:t>
            </w:r>
          </w:p>
        </w:tc>
        <w:tc>
          <w:tcPr>
            <w:tcW w:w="6378" w:type="dxa"/>
            <w:vAlign w:val="center"/>
          </w:tcPr>
          <w:p>
            <w:pPr>
              <w:pStyle w:val="331"/>
              <w:numPr>
                <w:ilvl w:val="0"/>
                <w:numId w:val="6"/>
              </w:numPr>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资信投标文件</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）第一分册</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投标人综述</w:t>
            </w:r>
            <w:r>
              <w:rPr>
                <w:rFonts w:ascii="Times New Roman" w:hAnsi="Times New Roman"/>
                <w:color w:val="000000" w:themeColor="text1"/>
                <w14:textFill>
                  <w14:solidFill>
                    <w14:schemeClr w14:val="tx1"/>
                  </w14:solidFill>
                </w14:textFill>
              </w:rPr>
              <w:t xml:space="preserve"> </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）第二分册</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企业资信</w:t>
            </w:r>
            <w:r>
              <w:rPr>
                <w:rFonts w:ascii="Times New Roman" w:hAnsi="Times New Roman"/>
                <w:color w:val="000000" w:themeColor="text1"/>
                <w14:textFill>
                  <w14:solidFill>
                    <w14:schemeClr w14:val="tx1"/>
                  </w14:solidFill>
                </w14:textFill>
              </w:rPr>
              <w:t xml:space="preserve">    </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、技术投标文件包括如下</w:t>
            </w:r>
            <w:r>
              <w:fldChar w:fldCharType="begin"/>
            </w:r>
            <w:r>
              <w:instrText xml:space="preserve"> HYPERLINK \l "_第三节__投标文件编制及递交" </w:instrText>
            </w:r>
            <w:r>
              <w:fldChar w:fldCharType="separate"/>
            </w:r>
            <w:r>
              <w:rPr>
                <w:rFonts w:hint="eastAsia"/>
                <w:u w:val="single"/>
              </w:rPr>
              <w:t>五</w:t>
            </w:r>
            <w:r>
              <w:rPr>
                <w:rStyle w:val="54"/>
                <w:rFonts w:hint="eastAsia"/>
                <w:color w:val="000000" w:themeColor="text1"/>
                <w14:textFill>
                  <w14:solidFill>
                    <w14:schemeClr w14:val="tx1"/>
                  </w14:solidFill>
                </w14:textFill>
              </w:rPr>
              <w:t>（</w:t>
            </w:r>
            <w:r>
              <w:rPr>
                <w:rStyle w:val="54"/>
                <w:color w:val="000000" w:themeColor="text1"/>
                <w14:textFill>
                  <w14:solidFill>
                    <w14:schemeClr w14:val="tx1"/>
                  </w14:solidFill>
                </w14:textFill>
              </w:rPr>
              <w:t>5</w:t>
            </w:r>
            <w:r>
              <w:rPr>
                <w:rStyle w:val="54"/>
                <w:rFonts w:hint="eastAsia"/>
                <w:color w:val="000000" w:themeColor="text1"/>
                <w14:textFill>
                  <w14:solidFill>
                    <w14:schemeClr w14:val="tx1"/>
                  </w14:solidFill>
                </w14:textFill>
              </w:rPr>
              <w:t>）个分册</w:t>
            </w:r>
            <w:r>
              <w:rPr>
                <w:rStyle w:val="54"/>
                <w:rFonts w:hint="eastAsia"/>
                <w:color w:val="000000" w:themeColor="text1"/>
                <w14:textFill>
                  <w14:solidFill>
                    <w14:schemeClr w14:val="tx1"/>
                  </w14:solidFill>
                </w14:textFill>
              </w:rPr>
              <w:fldChar w:fldCharType="end"/>
            </w:r>
            <w:r>
              <w:rPr>
                <w:rFonts w:hint="eastAsia" w:ascii="Times New Roman" w:hAnsi="Times New Roman"/>
                <w:color w:val="000000" w:themeColor="text1"/>
                <w14:textFill>
                  <w14:solidFill>
                    <w14:schemeClr w14:val="tx1"/>
                  </w14:solidFill>
                </w14:textFill>
              </w:rPr>
              <w:t>：</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）第一分册：项目建设管理方案</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）第二分册：运营维护及项目移交方案</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）第三分册：融资方案</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4</w:t>
            </w:r>
            <w:r>
              <w:rPr>
                <w:rFonts w:hint="eastAsia" w:ascii="Times New Roman" w:hAnsi="Times New Roman"/>
                <w:color w:val="000000" w:themeColor="text1"/>
                <w14:textFill>
                  <w14:solidFill>
                    <w14:schemeClr w14:val="tx1"/>
                  </w14:solidFill>
                </w14:textFill>
              </w:rPr>
              <w:t>）第四分册：项目报价财务分析</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）第五分册：法律方案</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、商务报价文件</w:t>
            </w:r>
          </w:p>
          <w:p>
            <w:pPr>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投标报价函</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912" w:type="dxa"/>
            <w:vAlign w:val="center"/>
          </w:tcPr>
          <w:p>
            <w:pPr>
              <w:pStyle w:val="188"/>
              <w:numPr>
                <w:ilvl w:val="0"/>
                <w:numId w:val="5"/>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签署、封装及标识</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投标文件应用不褪色的材料书写或打印，并由投标人的法定代表人（或其授权代表人）签字并加盖投标人公章。除投标文件内容中要求的签字（或签章，下同）、盖公章外，投标文件须在每册（包括正本和副本）的</w:t>
            </w:r>
            <w:r>
              <w:rPr>
                <w:rFonts w:hint="eastAsia" w:ascii="Times New Roman" w:hAnsi="Times New Roman"/>
                <w:b/>
                <w:color w:val="000000" w:themeColor="text1"/>
                <w14:textFill>
                  <w14:solidFill>
                    <w14:schemeClr w14:val="tx1"/>
                  </w14:solidFill>
                </w14:textFill>
              </w:rPr>
              <w:t>首页和骑缝处</w:t>
            </w:r>
            <w:r>
              <w:rPr>
                <w:rFonts w:hint="eastAsia" w:ascii="Times New Roman" w:hAnsi="Times New Roman"/>
                <w:color w:val="000000" w:themeColor="text1"/>
                <w14:textFill>
                  <w14:solidFill>
                    <w14:schemeClr w14:val="tx1"/>
                  </w14:solidFill>
                </w14:textFill>
              </w:rPr>
              <w:t>加盖投标人公章；</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）原则上每份资信投标文件或技术投标文件的所有分册装订成一册（不允许活页装订，活页装订指用卡条、订书机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器、抽杆夹等形式装订，使申请文件可以拆卸或在翻动过程易脱落的装订方式），并编制明确的导读目录及对应页码，页码应连续并不重复；若技术方案内容过多，可单独装订成册；</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）正本和副本应分别装订，当副本和正本不一致时，以正本为准；</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4</w:t>
            </w:r>
            <w:r>
              <w:rPr>
                <w:rFonts w:hint="eastAsia" w:ascii="Times New Roman" w:hAnsi="Times New Roman"/>
                <w:color w:val="000000" w:themeColor="text1"/>
                <w14:textFill>
                  <w14:solidFill>
                    <w14:schemeClr w14:val="tx1"/>
                  </w14:solidFill>
                </w14:textFill>
              </w:rPr>
              <w:t>）每册文件的封面上应清楚地标记</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正本</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或</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副本</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字样，并标明项目名称、投标文件名称、项目编号、投标人名称，</w:t>
            </w:r>
            <w:r>
              <w:fldChar w:fldCharType="begin"/>
            </w:r>
            <w:r>
              <w:instrText xml:space="preserve"> HYPERLINK \l "_1、投标文件封面格式" </w:instrText>
            </w:r>
            <w:r>
              <w:fldChar w:fldCharType="separate"/>
            </w:r>
            <w:r>
              <w:rPr>
                <w:rStyle w:val="54"/>
                <w:rFonts w:hint="eastAsia"/>
                <w:color w:val="000000" w:themeColor="text1"/>
                <w14:textFill>
                  <w14:solidFill>
                    <w14:schemeClr w14:val="tx1"/>
                  </w14:solidFill>
                </w14:textFill>
              </w:rPr>
              <w:t>详附件</w:t>
            </w:r>
            <w:r>
              <w:rPr>
                <w:rStyle w:val="54"/>
                <w:color w:val="000000" w:themeColor="text1"/>
                <w14:textFill>
                  <w14:solidFill>
                    <w14:schemeClr w14:val="tx1"/>
                  </w14:solidFill>
                </w14:textFill>
              </w:rPr>
              <w:t>4-1</w:t>
            </w:r>
            <w:r>
              <w:rPr>
                <w:rStyle w:val="54"/>
                <w:color w:val="000000" w:themeColor="text1"/>
                <w14:textFill>
                  <w14:solidFill>
                    <w14:schemeClr w14:val="tx1"/>
                  </w14:solidFill>
                </w14:textFill>
              </w:rPr>
              <w:fldChar w:fldCharType="end"/>
            </w:r>
            <w:r>
              <w:rPr>
                <w:rFonts w:hint="eastAsia" w:ascii="Times New Roman" w:hAnsi="Times New Roman"/>
                <w:color w:val="000000" w:themeColor="text1"/>
                <w14:textFill>
                  <w14:solidFill>
                    <w14:schemeClr w14:val="tx1"/>
                  </w14:solidFill>
                </w14:textFill>
              </w:rPr>
              <w:t>；</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）资信投标文件和技术投标文件须分别妥善密封，资信投标文件或技术投标文件的正本和副本文件一并密封（如投标文件过厚，每份副本可分开封装）。若副本分开封装，每个密封包的封套上须清楚标明</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正本</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或</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副本</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字样，并标明项目名称、投标文件名称、项目编号、投标人名称</w:t>
            </w:r>
            <w:r>
              <w:rPr>
                <w:rFonts w:hint="eastAsia" w:ascii="Times New Roman" w:hAnsi="Times New Roman"/>
                <w:b/>
                <w:color w:val="000000" w:themeColor="text1"/>
                <w:szCs w:val="21"/>
                <w14:textFill>
                  <w14:solidFill>
                    <w14:schemeClr w14:val="tx1"/>
                  </w14:solidFill>
                </w14:textFill>
              </w:rPr>
              <w:t>（如为联合体，应列明全部成员单位的名称）</w:t>
            </w:r>
            <w:r>
              <w:rPr>
                <w:rFonts w:hint="eastAsia" w:ascii="Times New Roman" w:hAnsi="Times New Roman"/>
                <w:color w:val="000000" w:themeColor="text1"/>
                <w14:textFill>
                  <w14:solidFill>
                    <w14:schemeClr w14:val="tx1"/>
                  </w14:solidFill>
                </w14:textFill>
              </w:rPr>
              <w:t>，并注明</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在递交截止时间</w:t>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REF </w:instrText>
            </w:r>
            <w:r>
              <w:rPr>
                <w:rFonts w:hint="eastAsia" w:ascii="Times New Roman" w:hAnsi="Times New Roman"/>
                <w:color w:val="000000" w:themeColor="text1"/>
                <w14:textFill>
                  <w14:solidFill>
                    <w14:schemeClr w14:val="tx1"/>
                  </w14:solidFill>
                </w14:textFill>
              </w:rPr>
              <w:instrText xml:space="preserve">开标时间</w:instrText>
            </w:r>
            <w:r>
              <w:rPr>
                <w:rFonts w:ascii="Times New Roman" w:hAnsi="Times New Roman"/>
                <w:color w:val="000000" w:themeColor="text1"/>
                <w14:textFill>
                  <w14:solidFill>
                    <w14:schemeClr w14:val="tx1"/>
                  </w14:solidFill>
                </w14:textFill>
              </w:rPr>
              <w:instrText xml:space="preserve"> \h  \* MERGEFORMAT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日</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时</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分</w:t>
            </w:r>
            <w:r>
              <w:rPr>
                <w:rFonts w:ascii="Times New Roman" w:hAnsi="Times New Roman"/>
                <w:color w:val="000000" w:themeColor="text1"/>
                <w14:textFill>
                  <w14:solidFill>
                    <w14:schemeClr w14:val="tx1"/>
                  </w14:solidFill>
                </w14:textFill>
              </w:rPr>
              <w:fldChar w:fldCharType="end"/>
            </w:r>
            <w:r>
              <w:rPr>
                <w:rFonts w:hint="eastAsia" w:ascii="Times New Roman" w:hAnsi="Times New Roman"/>
                <w:color w:val="000000" w:themeColor="text1"/>
                <w14:textFill>
                  <w14:solidFill>
                    <w14:schemeClr w14:val="tx1"/>
                  </w14:solidFill>
                </w14:textFill>
              </w:rPr>
              <w:t>之前不得启封</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字样（</w:t>
            </w:r>
            <w:r>
              <w:fldChar w:fldCharType="begin"/>
            </w:r>
            <w:r>
              <w:instrText xml:space="preserve"> HYPERLINK \l "_2、密封封面格式" </w:instrText>
            </w:r>
            <w:r>
              <w:fldChar w:fldCharType="separate"/>
            </w:r>
            <w:r>
              <w:rPr>
                <w:rStyle w:val="54"/>
                <w:rFonts w:hint="eastAsia"/>
                <w:color w:val="000000" w:themeColor="text1"/>
                <w14:textFill>
                  <w14:solidFill>
                    <w14:schemeClr w14:val="tx1"/>
                  </w14:solidFill>
                </w14:textFill>
              </w:rPr>
              <w:t>详附件</w:t>
            </w:r>
            <w:r>
              <w:rPr>
                <w:rStyle w:val="54"/>
                <w:color w:val="000000" w:themeColor="text1"/>
                <w14:textFill>
                  <w14:solidFill>
                    <w14:schemeClr w14:val="tx1"/>
                  </w14:solidFill>
                </w14:textFill>
              </w:rPr>
              <w:t>4-2</w:t>
            </w:r>
            <w:r>
              <w:rPr>
                <w:rStyle w:val="54"/>
                <w:color w:val="000000" w:themeColor="text1"/>
                <w14:textFill>
                  <w14:solidFill>
                    <w14:schemeClr w14:val="tx1"/>
                  </w14:solidFill>
                </w14:textFill>
              </w:rPr>
              <w:fldChar w:fldCharType="end"/>
            </w:r>
            <w:r>
              <w:rPr>
                <w:rFonts w:hint="eastAsia" w:ascii="Times New Roman" w:hAnsi="Times New Roman"/>
                <w:color w:val="000000" w:themeColor="text1"/>
                <w14:textFill>
                  <w14:solidFill>
                    <w14:schemeClr w14:val="tx1"/>
                  </w14:solidFill>
                </w14:textFill>
              </w:rPr>
              <w:t>），包封的骑缝处加盖投标人</w:t>
            </w:r>
            <w:r>
              <w:rPr>
                <w:rFonts w:hint="eastAsia" w:ascii="Times New Roman" w:hAnsi="Times New Roman"/>
                <w:color w:val="000000" w:themeColor="text1"/>
                <w:szCs w:val="21"/>
                <w14:textFill>
                  <w14:solidFill>
                    <w14:schemeClr w14:val="tx1"/>
                  </w14:solidFill>
                </w14:textFill>
              </w:rPr>
              <w:t>（</w:t>
            </w:r>
            <w:r>
              <w:rPr>
                <w:rFonts w:hint="eastAsia" w:ascii="Times New Roman" w:hAnsi="Times New Roman"/>
                <w:b/>
                <w:color w:val="000000" w:themeColor="text1"/>
                <w:szCs w:val="21"/>
                <w14:textFill>
                  <w14:solidFill>
                    <w14:schemeClr w14:val="tx1"/>
                  </w14:solidFill>
                </w14:textFill>
              </w:rPr>
              <w:t>如为联合体，指牵头公司</w:t>
            </w:r>
            <w:r>
              <w:rPr>
                <w:rFonts w:hint="eastAsia"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14:textFill>
                  <w14:solidFill>
                    <w14:schemeClr w14:val="tx1"/>
                  </w14:solidFill>
                </w14:textFill>
              </w:rPr>
              <w:t>公章，在未开封的状态下送达采购人规定地点；</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6</w:t>
            </w:r>
            <w:r>
              <w:rPr>
                <w:rFonts w:hint="eastAsia" w:ascii="Times New Roman" w:hAnsi="Times New Roman"/>
                <w:color w:val="000000" w:themeColor="text1"/>
                <w14:textFill>
                  <w14:solidFill>
                    <w14:schemeClr w14:val="tx1"/>
                  </w14:solidFill>
                </w14:textFill>
              </w:rPr>
              <w:t>）商务报价文件（投标报价函）应单独密封，封套上标明投标人名称、投标文件名称、项目编号、投标人名称</w:t>
            </w:r>
            <w:r>
              <w:rPr>
                <w:rFonts w:hint="eastAsia" w:ascii="Times New Roman" w:hAnsi="Times New Roman"/>
                <w:b/>
                <w:color w:val="000000" w:themeColor="text1"/>
                <w14:textFill>
                  <w14:solidFill>
                    <w14:schemeClr w14:val="tx1"/>
                  </w14:solidFill>
                </w14:textFill>
              </w:rPr>
              <w:t>（如为联合体，应列明全部成员单位的名称）</w:t>
            </w:r>
            <w:r>
              <w:rPr>
                <w:rFonts w:hint="eastAsia" w:ascii="Times New Roman" w:hAnsi="Times New Roman"/>
                <w:color w:val="000000" w:themeColor="text1"/>
                <w14:textFill>
                  <w14:solidFill>
                    <w14:schemeClr w14:val="tx1"/>
                  </w14:solidFill>
                </w14:textFill>
              </w:rPr>
              <w:t>，并注明“在递交截止时间</w:t>
            </w:r>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 xml:space="preserve">4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日</w:t>
            </w:r>
            <w:r>
              <w:rPr>
                <w:rFonts w:ascii="Times New Roman" w:hAnsi="Times New Roman"/>
                <w:color w:val="000000" w:themeColor="text1"/>
                <w14:textFill>
                  <w14:solidFill>
                    <w14:schemeClr w14:val="tx1"/>
                  </w14:solidFill>
                </w14:textFill>
              </w:rPr>
              <w:t>9</w:t>
            </w:r>
            <w:r>
              <w:rPr>
                <w:rFonts w:hint="eastAsia" w:ascii="Times New Roman" w:hAnsi="Times New Roman"/>
                <w:color w:val="000000" w:themeColor="text1"/>
                <w14:textFill>
                  <w14:solidFill>
                    <w14:schemeClr w14:val="tx1"/>
                  </w14:solidFill>
                </w14:textFill>
              </w:rPr>
              <w:t>时</w:t>
            </w:r>
            <w:r>
              <w:rPr>
                <w:rFonts w:ascii="Times New Roman" w:hAnsi="Times New Roman"/>
                <w:color w:val="000000" w:themeColor="text1"/>
                <w14:textFill>
                  <w14:solidFill>
                    <w14:schemeClr w14:val="tx1"/>
                  </w14:solidFill>
                </w14:textFill>
              </w:rPr>
              <w:t>00</w:t>
            </w:r>
            <w:r>
              <w:rPr>
                <w:rFonts w:hint="eastAsia" w:ascii="Times New Roman" w:hAnsi="Times New Roman"/>
                <w:color w:val="000000" w:themeColor="text1"/>
                <w14:textFill>
                  <w14:solidFill>
                    <w14:schemeClr w14:val="tx1"/>
                  </w14:solidFill>
                </w14:textFill>
              </w:rPr>
              <w:t>分之前不得启封”字样（详附件</w:t>
            </w:r>
            <w:r>
              <w:rPr>
                <w:rFonts w:ascii="Times New Roman" w:hAnsi="Times New Roman"/>
                <w:color w:val="000000" w:themeColor="text1"/>
                <w14:textFill>
                  <w14:solidFill>
                    <w14:schemeClr w14:val="tx1"/>
                  </w14:solidFill>
                </w14:textFill>
              </w:rPr>
              <w:t>4-2</w:t>
            </w:r>
            <w:r>
              <w:rPr>
                <w:rFonts w:hint="eastAsia" w:ascii="Times New Roman" w:hAnsi="Times New Roman"/>
                <w:color w:val="000000" w:themeColor="text1"/>
                <w14:textFill>
                  <w14:solidFill>
                    <w14:schemeClr w14:val="tx1"/>
                  </w14:solidFill>
                </w14:textFill>
              </w:rPr>
              <w:t>），并在骑缝处加盖投标人公章）。</w:t>
            </w:r>
            <w:r>
              <w:rPr>
                <w:rFonts w:ascii="Times New Roman" w:hAnsi="Times New Roman"/>
                <w:color w:val="000000" w:themeColor="text1"/>
                <w14:textFill>
                  <w14:solidFill>
                    <w14:schemeClr w14:val="tx1"/>
                  </w14:solidFill>
                </w14:textFill>
              </w:rPr>
              <w:t>U</w:t>
            </w:r>
            <w:r>
              <w:rPr>
                <w:rFonts w:hint="eastAsia" w:ascii="Times New Roman" w:hAnsi="Times New Roman"/>
                <w:color w:val="000000" w:themeColor="text1"/>
                <w14:textFill>
                  <w14:solidFill>
                    <w14:schemeClr w14:val="tx1"/>
                  </w14:solidFill>
                </w14:textFill>
              </w:rPr>
              <w:t>盘（含投标文件</w:t>
            </w:r>
            <w:r>
              <w:rPr>
                <w:rFonts w:ascii="Times New Roman" w:hAnsi="Times New Roman"/>
                <w:color w:val="000000" w:themeColor="text1"/>
                <w14:textFill>
                  <w14:solidFill>
                    <w14:schemeClr w14:val="tx1"/>
                  </w14:solidFill>
                </w14:textFill>
              </w:rPr>
              <w:t>PDF</w:t>
            </w:r>
            <w:r>
              <w:rPr>
                <w:rFonts w:hint="eastAsia" w:ascii="Times New Roman" w:hAnsi="Times New Roman"/>
                <w:color w:val="000000" w:themeColor="text1"/>
                <w14:textFill>
                  <w14:solidFill>
                    <w14:schemeClr w14:val="tx1"/>
                  </w14:solidFill>
                </w14:textFill>
              </w:rPr>
              <w:t>和</w:t>
            </w:r>
            <w:r>
              <w:rPr>
                <w:rFonts w:ascii="Times New Roman" w:hAnsi="Times New Roman"/>
                <w:color w:val="000000" w:themeColor="text1"/>
                <w14:textFill>
                  <w14:solidFill>
                    <w14:schemeClr w14:val="tx1"/>
                  </w14:solidFill>
                </w14:textFill>
              </w:rPr>
              <w:t>WORD</w:t>
            </w:r>
            <w:r>
              <w:rPr>
                <w:rFonts w:hint="eastAsia" w:ascii="Times New Roman" w:hAnsi="Times New Roman"/>
                <w:color w:val="000000" w:themeColor="text1"/>
                <w14:textFill>
                  <w14:solidFill>
                    <w14:schemeClr w14:val="tx1"/>
                  </w14:solidFill>
                </w14:textFill>
              </w:rPr>
              <w:t>版各一份）应</w:t>
            </w:r>
            <w:r>
              <w:rPr>
                <w:rFonts w:hint="eastAsia" w:ascii="Times New Roman" w:hAnsi="Times New Roman"/>
                <w:b/>
                <w:color w:val="000000" w:themeColor="text1"/>
                <w14:textFill>
                  <w14:solidFill>
                    <w14:schemeClr w14:val="tx1"/>
                  </w14:solidFill>
                </w14:textFill>
              </w:rPr>
              <w:t>单独密封</w:t>
            </w:r>
            <w:r>
              <w:rPr>
                <w:rFonts w:hint="eastAsia" w:ascii="Times New Roman" w:hAnsi="Times New Roman"/>
                <w:color w:val="000000" w:themeColor="text1"/>
                <w14:textFill>
                  <w14:solidFill>
                    <w14:schemeClr w14:val="tx1"/>
                  </w14:solidFill>
                </w14:textFill>
              </w:rPr>
              <w:t>，并载明投标人名称</w:t>
            </w:r>
            <w:r>
              <w:rPr>
                <w:rFonts w:hint="eastAsia" w:ascii="Times New Roman" w:hAnsi="Times New Roman"/>
                <w:b/>
                <w:color w:val="000000" w:themeColor="text1"/>
                <w14:textFill>
                  <w14:solidFill>
                    <w14:schemeClr w14:val="tx1"/>
                  </w14:solidFill>
                </w14:textFill>
              </w:rPr>
              <w:t>（如为联合体，应列明全部成员单位的名称）</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U</w:t>
            </w:r>
            <w:r>
              <w:rPr>
                <w:rFonts w:hint="eastAsia" w:ascii="Times New Roman" w:hAnsi="Times New Roman"/>
                <w:color w:val="000000" w:themeColor="text1"/>
                <w14:textFill>
                  <w14:solidFill>
                    <w14:schemeClr w14:val="tx1"/>
                  </w14:solidFill>
                </w14:textFill>
              </w:rPr>
              <w:t>盘与资信投标文件正本一起封装；</w:t>
            </w:r>
            <w:r>
              <w:rPr>
                <w:rFonts w:ascii="Times New Roman" w:hAnsi="Times New Roman"/>
                <w:color w:val="000000" w:themeColor="text1"/>
                <w14:textFill>
                  <w14:solidFill>
                    <w14:schemeClr w14:val="tx1"/>
                  </w14:solidFill>
                </w14:textFill>
              </w:rPr>
              <w:t xml:space="preserve"> </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7</w:t>
            </w:r>
            <w:r>
              <w:rPr>
                <w:rFonts w:hint="eastAsia" w:ascii="Times New Roman" w:hAnsi="Times New Roman"/>
                <w:color w:val="000000" w:themeColor="text1"/>
                <w14:textFill>
                  <w14:solidFill>
                    <w14:schemeClr w14:val="tx1"/>
                  </w14:solidFill>
                </w14:textFill>
              </w:rPr>
              <w:t>）递交投标文件后，投标人可在投标文件递交截止时间以前，以书面方式向采购人递交修改或撤回其投标文件的通知，该通知必须加盖投标人公章并经其法定代表人或授权代表人签章，密封并在包封的骑缝处须加盖投标人公章，在密封的状态下递交给采购人，否则该等通知将不会被接受。</w:t>
            </w:r>
          </w:p>
          <w:p>
            <w:pPr>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szCs w:val="21"/>
                <w14:textFill>
                  <w14:solidFill>
                    <w14:schemeClr w14:val="tx1"/>
                  </w14:solidFill>
                </w14:textFill>
              </w:rPr>
              <w:t>注：如属联合体投标的，本处所述投标人仅指联合体牵头公司（招标文件另有约定的除外）。</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5"/>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投标文件接收及递交截止时间</w:t>
            </w:r>
          </w:p>
        </w:tc>
        <w:tc>
          <w:tcPr>
            <w:tcW w:w="6378" w:type="dxa"/>
            <w:vAlign w:val="center"/>
          </w:tcPr>
          <w:p>
            <w:pPr>
              <w:ind w:left="420" w:hanging="420" w:hanging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投标文件接收时间：</w:t>
            </w:r>
          </w:p>
          <w:p>
            <w:pPr>
              <w:ind w:left="420" w:hanging="420" w:hanging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北京时间</w:t>
            </w:r>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 xml:space="preserve"> 10</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 xml:space="preserve"> 25</w:t>
            </w:r>
            <w:r>
              <w:rPr>
                <w:rFonts w:hint="eastAsia" w:ascii="Times New Roman" w:hAnsi="Times New Roman"/>
                <w:color w:val="000000" w:themeColor="text1"/>
                <w14:textFill>
                  <w14:solidFill>
                    <w14:schemeClr w14:val="tx1"/>
                  </w14:solidFill>
                </w14:textFill>
              </w:rPr>
              <w:t>日</w:t>
            </w:r>
            <w:r>
              <w:rPr>
                <w:rFonts w:ascii="Times New Roman" w:hAnsi="Times New Roman"/>
                <w:color w:val="000000" w:themeColor="text1"/>
                <w14:textFill>
                  <w14:solidFill>
                    <w14:schemeClr w14:val="tx1"/>
                  </w14:solidFill>
                </w14:textFill>
              </w:rPr>
              <w:t xml:space="preserve"> 9 </w:t>
            </w:r>
            <w:r>
              <w:rPr>
                <w:rFonts w:hint="eastAsia" w:ascii="Times New Roman" w:hAnsi="Times New Roman"/>
                <w:color w:val="000000" w:themeColor="text1"/>
                <w14:textFill>
                  <w14:solidFill>
                    <w14:schemeClr w14:val="tx1"/>
                  </w14:solidFill>
                </w14:textFill>
              </w:rPr>
              <w:t>时</w:t>
            </w:r>
            <w:r>
              <w:rPr>
                <w:rFonts w:ascii="Times New Roman" w:hAnsi="Times New Roman"/>
                <w:color w:val="000000" w:themeColor="text1"/>
                <w14:textFill>
                  <w14:solidFill>
                    <w14:schemeClr w14:val="tx1"/>
                  </w14:solidFill>
                </w14:textFill>
              </w:rPr>
              <w:t xml:space="preserve"> 00 </w:t>
            </w:r>
            <w:r>
              <w:rPr>
                <w:rFonts w:hint="eastAsia" w:ascii="Times New Roman" w:hAnsi="Times New Roman"/>
                <w:color w:val="000000" w:themeColor="text1"/>
                <w14:textFill>
                  <w14:solidFill>
                    <w14:schemeClr w14:val="tx1"/>
                  </w14:solidFill>
                </w14:textFill>
              </w:rPr>
              <w:t>分至</w:t>
            </w:r>
            <w:r>
              <w:rPr>
                <w:rFonts w:ascii="Times New Roman" w:hAnsi="Times New Roman"/>
                <w:color w:val="000000" w:themeColor="text1"/>
                <w14:textFill>
                  <w14:solidFill>
                    <w14:schemeClr w14:val="tx1"/>
                  </w14:solidFill>
                </w14:textFill>
              </w:rPr>
              <w:t>9</w:t>
            </w:r>
            <w:r>
              <w:rPr>
                <w:rFonts w:hint="eastAsia" w:ascii="Times New Roman" w:hAnsi="Times New Roman"/>
                <w:color w:val="000000" w:themeColor="text1"/>
                <w14:textFill>
                  <w14:solidFill>
                    <w14:schemeClr w14:val="tx1"/>
                  </w14:solidFill>
                </w14:textFill>
              </w:rPr>
              <w:t>时</w:t>
            </w:r>
            <w:r>
              <w:rPr>
                <w:rFonts w:ascii="Times New Roman" w:hAnsi="Times New Roman"/>
                <w:color w:val="000000" w:themeColor="text1"/>
                <w14:textFill>
                  <w14:solidFill>
                    <w14:schemeClr w14:val="tx1"/>
                  </w14:solidFill>
                </w14:textFill>
              </w:rPr>
              <w:t xml:space="preserve"> 30 </w:t>
            </w:r>
            <w:r>
              <w:rPr>
                <w:rFonts w:hint="eastAsia" w:ascii="Times New Roman" w:hAnsi="Times New Roman"/>
                <w:color w:val="000000" w:themeColor="text1"/>
                <w14:textFill>
                  <w14:solidFill>
                    <w14:schemeClr w14:val="tx1"/>
                  </w14:solidFill>
                </w14:textFill>
              </w:rPr>
              <w:t>分</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投标文件递交截止时间：北京时间</w:t>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REF </w:instrText>
            </w:r>
            <w:r>
              <w:rPr>
                <w:rFonts w:hint="eastAsia" w:ascii="Times New Roman" w:hAnsi="Times New Roman"/>
                <w:color w:val="000000" w:themeColor="text1"/>
                <w14:textFill>
                  <w14:solidFill>
                    <w14:schemeClr w14:val="tx1"/>
                  </w14:solidFill>
                </w14:textFill>
              </w:rPr>
              <w:instrText xml:space="preserve">开标时间</w:instrText>
            </w:r>
            <w:r>
              <w:rPr>
                <w:rFonts w:ascii="Times New Roman" w:hAnsi="Times New Roman"/>
                <w:color w:val="000000" w:themeColor="text1"/>
                <w14:textFill>
                  <w14:solidFill>
                    <w14:schemeClr w14:val="tx1"/>
                  </w14:solidFill>
                </w14:textFill>
              </w:rPr>
              <w:instrText xml:space="preserve"> \h  \* MERGEFORMAT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 xml:space="preserve"> 10</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 xml:space="preserve"> 25 </w:t>
            </w:r>
            <w:r>
              <w:rPr>
                <w:rFonts w:hint="eastAsia" w:ascii="Times New Roman" w:hAnsi="Times New Roman"/>
                <w:color w:val="000000" w:themeColor="text1"/>
                <w14:textFill>
                  <w14:solidFill>
                    <w14:schemeClr w14:val="tx1"/>
                  </w14:solidFill>
                </w14:textFill>
              </w:rPr>
              <w:t>日</w:t>
            </w:r>
            <w:r>
              <w:rPr>
                <w:rFonts w:ascii="Times New Roman" w:hAnsi="Times New Roman"/>
                <w:color w:val="000000" w:themeColor="text1"/>
                <w14:textFill>
                  <w14:solidFill>
                    <w14:schemeClr w14:val="tx1"/>
                  </w14:solidFill>
                </w14:textFill>
              </w:rPr>
              <w:t xml:space="preserve"> 9 </w:t>
            </w:r>
            <w:r>
              <w:rPr>
                <w:rFonts w:hint="eastAsia" w:ascii="Times New Roman" w:hAnsi="Times New Roman"/>
                <w:color w:val="000000" w:themeColor="text1"/>
                <w14:textFill>
                  <w14:solidFill>
                    <w14:schemeClr w14:val="tx1"/>
                  </w14:solidFill>
                </w14:textFill>
              </w:rPr>
              <w:t>时</w:t>
            </w:r>
            <w:r>
              <w:rPr>
                <w:rFonts w:ascii="Times New Roman" w:hAnsi="Times New Roman"/>
                <w:color w:val="000000" w:themeColor="text1"/>
                <w14:textFill>
                  <w14:solidFill>
                    <w14:schemeClr w14:val="tx1"/>
                  </w14:solidFill>
                </w14:textFill>
              </w:rPr>
              <w:t xml:space="preserve"> 30 </w:t>
            </w:r>
            <w:r>
              <w:rPr>
                <w:rFonts w:hint="eastAsia" w:ascii="Times New Roman" w:hAnsi="Times New Roman"/>
                <w:color w:val="000000" w:themeColor="text1"/>
                <w14:textFill>
                  <w14:solidFill>
                    <w14:schemeClr w14:val="tx1"/>
                  </w14:solidFill>
                </w14:textFill>
              </w:rPr>
              <w:t>分</w:t>
            </w:r>
            <w:r>
              <w:rPr>
                <w:rFonts w:ascii="Times New Roman" w:hAnsi="Times New Roman"/>
                <w:color w:val="000000" w:themeColor="text1"/>
                <w14:textFill>
                  <w14:solidFill>
                    <w14:schemeClr w14:val="tx1"/>
                  </w14:solidFill>
                </w14:textFill>
              </w:rPr>
              <w:fldChar w:fldCharType="end"/>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5"/>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投标文件递交地点</w:t>
            </w:r>
          </w:p>
        </w:tc>
        <w:tc>
          <w:tcPr>
            <w:tcW w:w="6378" w:type="dxa"/>
            <w:vAlign w:val="center"/>
          </w:tcPr>
          <w:p>
            <w:pP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杭州大江东产业集聚区办事服务中心（江东大道</w:t>
            </w:r>
            <w:r>
              <w:rPr>
                <w:rFonts w:ascii="Times New Roman" w:hAnsi="Times New Roman"/>
                <w:b/>
                <w:color w:val="000000" w:themeColor="text1"/>
                <w14:textFill>
                  <w14:solidFill>
                    <w14:schemeClr w14:val="tx1"/>
                  </w14:solidFill>
                </w14:textFill>
              </w:rPr>
              <w:t>3899</w:t>
            </w:r>
            <w:r>
              <w:rPr>
                <w:rFonts w:hint="eastAsia" w:ascii="Times New Roman" w:hAnsi="Times New Roman"/>
                <w:b/>
                <w:color w:val="000000" w:themeColor="text1"/>
                <w14:textFill>
                  <w14:solidFill>
                    <w14:schemeClr w14:val="tx1"/>
                  </w14:solidFill>
                </w14:textFill>
              </w:rPr>
              <w:t>号</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14:textFill>
                  <w14:solidFill>
                    <w14:schemeClr w14:val="tx1"/>
                  </w14:solidFill>
                </w14:textFill>
              </w:rPr>
              <w:t>江东大道与仓创线交叉口）四楼</w:t>
            </w:r>
            <w:r>
              <w:rPr>
                <w:rFonts w:ascii="Times New Roman" w:hAnsi="Times New Roman"/>
                <w:b/>
                <w:color w:val="000000" w:themeColor="text1"/>
                <w14:textFill>
                  <w14:solidFill>
                    <w14:schemeClr w14:val="tx1"/>
                  </w14:solidFill>
                </w14:textFill>
              </w:rPr>
              <w:t>409</w:t>
            </w:r>
            <w:r>
              <w:rPr>
                <w:rFonts w:hint="eastAsia" w:ascii="Times New Roman" w:hAnsi="Times New Roman"/>
                <w:b/>
                <w:color w:val="000000" w:themeColor="text1"/>
                <w14:textFill>
                  <w14:solidFill>
                    <w14:schemeClr w14:val="tx1"/>
                  </w14:solidFill>
                </w14:textFill>
              </w:rPr>
              <w:t>第二开标室</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 w:type="dxa"/>
            <w:vAlign w:val="center"/>
          </w:tcPr>
          <w:p>
            <w:pPr>
              <w:pStyle w:val="188"/>
              <w:numPr>
                <w:ilvl w:val="0"/>
                <w:numId w:val="5"/>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是否退还投标文件</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否</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912" w:type="dxa"/>
            <w:vAlign w:val="center"/>
          </w:tcPr>
          <w:p>
            <w:pPr>
              <w:pStyle w:val="188"/>
              <w:numPr>
                <w:ilvl w:val="0"/>
                <w:numId w:val="5"/>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投标初始有效期</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九十（</w:t>
            </w:r>
            <w:r>
              <w:rPr>
                <w:rFonts w:ascii="Times New Roman" w:hAnsi="Times New Roman"/>
                <w:color w:val="000000" w:themeColor="text1"/>
                <w14:textFill>
                  <w14:solidFill>
                    <w14:schemeClr w14:val="tx1"/>
                  </w14:solidFill>
                </w14:textFill>
              </w:rPr>
              <w:t>90</w:t>
            </w:r>
            <w:r>
              <w:rPr>
                <w:rFonts w:hint="eastAsia" w:ascii="Times New Roman" w:hAnsi="Times New Roman"/>
                <w:color w:val="000000" w:themeColor="text1"/>
                <w14:textFill>
                  <w14:solidFill>
                    <w14:schemeClr w14:val="tx1"/>
                  </w14:solidFill>
                </w14:textFill>
              </w:rPr>
              <w:t>）日（自投标截止日起算）</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912" w:type="dxa"/>
            <w:vAlign w:val="center"/>
          </w:tcPr>
          <w:p>
            <w:pPr>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5</w:t>
            </w:r>
          </w:p>
        </w:tc>
        <w:tc>
          <w:tcPr>
            <w:tcW w:w="8155" w:type="dxa"/>
            <w:gridSpan w:val="2"/>
            <w:vAlign w:val="center"/>
          </w:tcPr>
          <w:p>
            <w:pP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投标文件评审</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912" w:type="dxa"/>
            <w:vAlign w:val="center"/>
          </w:tcPr>
          <w:p>
            <w:pPr>
              <w:pStyle w:val="188"/>
              <w:numPr>
                <w:ilvl w:val="0"/>
                <w:numId w:val="7"/>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资格审查</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资格预审</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自资格预审申请截止日至投标截止日期间，已通过资格预审但发生对应资格条件变化且已不满足资格预审合格条件的单位，应在投标截止日前及时向采购人书面通告。任何单位在掌握确凿证据情况下也有权对其他通过资格预审或参与资格预审申请的单位就前述情形向采购人书面通知或函告有关情况。</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912" w:type="dxa"/>
            <w:vAlign w:val="center"/>
          </w:tcPr>
          <w:p>
            <w:pPr>
              <w:pStyle w:val="188"/>
              <w:numPr>
                <w:ilvl w:val="0"/>
                <w:numId w:val="7"/>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评标办法</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综合评分法</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912" w:type="dxa"/>
            <w:vAlign w:val="center"/>
          </w:tcPr>
          <w:p>
            <w:pPr>
              <w:pStyle w:val="188"/>
              <w:numPr>
                <w:ilvl w:val="0"/>
                <w:numId w:val="7"/>
              </w:numPr>
              <w:ind w:left="313" w:hanging="313" w:firstLineChars="0"/>
              <w:jc w:val="center"/>
              <w:rPr>
                <w:color w:val="000000" w:themeColor="text1"/>
                <w14:textFill>
                  <w14:solidFill>
                    <w14:schemeClr w14:val="tx1"/>
                  </w14:solidFill>
                </w14:textFill>
              </w:rPr>
            </w:pPr>
          </w:p>
        </w:tc>
        <w:tc>
          <w:tcPr>
            <w:tcW w:w="1777"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开标时间和地点</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开标时间为投标文件递交截止时间，开标地点为投标文件递交地</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4" w:hRule="atLeast"/>
          <w:jc w:val="center"/>
        </w:trPr>
        <w:tc>
          <w:tcPr>
            <w:tcW w:w="912" w:type="dxa"/>
            <w:vAlign w:val="center"/>
          </w:tcPr>
          <w:p>
            <w:pPr>
              <w:pStyle w:val="188"/>
              <w:numPr>
                <w:ilvl w:val="0"/>
                <w:numId w:val="7"/>
              </w:numPr>
              <w:ind w:left="313" w:hanging="313" w:firstLineChars="0"/>
              <w:jc w:val="center"/>
              <w:rPr>
                <w:color w:val="000000" w:themeColor="text1"/>
                <w14:textFill>
                  <w14:solidFill>
                    <w14:schemeClr w14:val="tx1"/>
                  </w14:solidFill>
                </w14:textFill>
              </w:rPr>
            </w:pPr>
          </w:p>
        </w:tc>
        <w:tc>
          <w:tcPr>
            <w:tcW w:w="1777"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评标委员会组建</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评标委员会由</w:t>
            </w:r>
            <w:r>
              <w:rPr>
                <w:rFonts w:ascii="Times New Roman" w:hAnsi="Times New Roman"/>
                <w:color w:val="000000" w:themeColor="text1"/>
                <w14:textFill>
                  <w14:solidFill>
                    <w14:schemeClr w14:val="tx1"/>
                  </w14:solidFill>
                </w14:textFill>
              </w:rPr>
              <w:t>9</w:t>
            </w:r>
            <w:r>
              <w:rPr>
                <w:rFonts w:hint="eastAsia" w:ascii="Times New Roman" w:hAnsi="Times New Roman"/>
                <w:color w:val="000000" w:themeColor="text1"/>
                <w14:textFill>
                  <w14:solidFill>
                    <w14:schemeClr w14:val="tx1"/>
                  </w14:solidFill>
                </w14:textFill>
              </w:rPr>
              <w:t>人及以上单数成员组成，负责投标文件综合评审，并向采购人推荐候选人。</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912" w:type="dxa"/>
            <w:vAlign w:val="center"/>
          </w:tcPr>
          <w:p>
            <w:pPr>
              <w:pStyle w:val="188"/>
              <w:numPr>
                <w:ilvl w:val="0"/>
                <w:numId w:val="7"/>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候选人数量</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三名，评标委员会根据各投标文件的综合得分从高到低向采购人推荐三名候选人。</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3" w:hRule="atLeast"/>
          <w:jc w:val="center"/>
        </w:trPr>
        <w:tc>
          <w:tcPr>
            <w:tcW w:w="912" w:type="dxa"/>
            <w:vAlign w:val="center"/>
          </w:tcPr>
          <w:p>
            <w:pPr>
              <w:pStyle w:val="188"/>
              <w:numPr>
                <w:ilvl w:val="0"/>
                <w:numId w:val="7"/>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确认谈判及定标程序</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采购人另行成立采购结果确认谈判工作组并与候选人进行确认谈判（谈判时间另行确定并通知）。被邀请参加确认谈判会议的候选人应在采购人发出的确认谈判通知函载明时间内签署谈判备忘录，就本合同达成一致；</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采购人将与排名第一的候选人作确认谈判。确认谈判需在规定期限内完成。如双方达成一致，则该投标人会被选定为中标人；如采购人未能与排名第一的候选人达成一致，可依次与排名第二、排名第三的候选人进行确认谈判。候选人中与采购人达成一致意向者即被确定为中标人。双方应当签署谈判备忘录，谈判备忘录为双方签订</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项目合同的附件或补充，与</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项目合同具备同等效力；</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）若经谈判未能确定中标人，则本次招标终止，由采购人按照相关规定对后续工作进行安排。</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912" w:type="dxa"/>
            <w:vAlign w:val="center"/>
          </w:tcPr>
          <w:p>
            <w:pPr>
              <w:pStyle w:val="188"/>
              <w:numPr>
                <w:ilvl w:val="0"/>
                <w:numId w:val="7"/>
              </w:numPr>
              <w:ind w:left="313" w:hanging="313" w:firstLineChars="0"/>
              <w:jc w:val="center"/>
              <w:rPr>
                <w:color w:val="000000" w:themeColor="text1"/>
                <w14:textFill>
                  <w14:solidFill>
                    <w14:schemeClr w14:val="tx1"/>
                  </w14:solidFill>
                </w14:textFill>
              </w:rPr>
            </w:pP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合同签署</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中标社会资本须在中标通知书发出后十五（</w:t>
            </w:r>
            <w:r>
              <w:rPr>
                <w:rFonts w:ascii="Times New Roman" w:hAnsi="Times New Roman"/>
                <w:color w:val="000000" w:themeColor="text1"/>
                <w14:textFill>
                  <w14:solidFill>
                    <w14:schemeClr w14:val="tx1"/>
                  </w14:solidFill>
                </w14:textFill>
              </w:rPr>
              <w:t>15</w:t>
            </w:r>
            <w:r>
              <w:rPr>
                <w:rFonts w:hint="eastAsia" w:ascii="Times New Roman" w:hAnsi="Times New Roman"/>
                <w:color w:val="000000" w:themeColor="text1"/>
                <w14:textFill>
                  <w14:solidFill>
                    <w14:schemeClr w14:val="tx1"/>
                  </w14:solidFill>
                </w14:textFill>
              </w:rPr>
              <w:t>）个工作日内与采购人签订</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项目合同。中标社会资本须在中标通知书发出后三十（</w:t>
            </w:r>
            <w:r>
              <w:rPr>
                <w:rFonts w:ascii="Times New Roman" w:hAnsi="Times New Roman"/>
                <w:color w:val="000000" w:themeColor="text1"/>
                <w14:textFill>
                  <w14:solidFill>
                    <w14:schemeClr w14:val="tx1"/>
                  </w14:solidFill>
                </w14:textFill>
              </w:rPr>
              <w:t>30</w:t>
            </w:r>
            <w:r>
              <w:rPr>
                <w:rFonts w:hint="eastAsia" w:ascii="Times New Roman" w:hAnsi="Times New Roman"/>
                <w:color w:val="000000" w:themeColor="text1"/>
                <w14:textFill>
                  <w14:solidFill>
                    <w14:schemeClr w14:val="tx1"/>
                  </w14:solidFill>
                </w14:textFill>
              </w:rPr>
              <w:t>）日内，在杭州大江东产业集聚区管理委员会注册成立（以营业执照签发时间为准）项目公司，待项目公司成立并获发营业执照后七（</w:t>
            </w:r>
            <w:r>
              <w:rPr>
                <w:rFonts w:ascii="Times New Roman" w:hAnsi="Times New Roman"/>
                <w:color w:val="000000" w:themeColor="text1"/>
                <w14:textFill>
                  <w14:solidFill>
                    <w14:schemeClr w14:val="tx1"/>
                  </w14:solidFill>
                </w14:textFill>
              </w:rPr>
              <w:t>7</w:t>
            </w:r>
            <w:r>
              <w:rPr>
                <w:rFonts w:hint="eastAsia" w:ascii="Times New Roman" w:hAnsi="Times New Roman"/>
                <w:color w:val="000000" w:themeColor="text1"/>
                <w14:textFill>
                  <w14:solidFill>
                    <w14:schemeClr w14:val="tx1"/>
                  </w14:solidFill>
                </w14:textFill>
              </w:rPr>
              <w:t>）个工作日内，项目公司与采购人签订关于承继</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项目合同的补充合同或重新签署</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项目合同及补充合同签署后、生效前均须报请杭州大江东产业集聚区管理委员会审核同意。</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912" w:type="dxa"/>
            <w:vAlign w:val="center"/>
          </w:tcPr>
          <w:p>
            <w:pPr>
              <w:pStyle w:val="188"/>
              <w:ind w:left="313" w:firstLine="0" w:firstLineChars="0"/>
              <w:rPr>
                <w:color w:val="000000" w:themeColor="text1"/>
                <w14:textFill>
                  <w14:solidFill>
                    <w14:schemeClr w14:val="tx1"/>
                  </w14:solidFill>
                </w14:textFill>
              </w:rPr>
            </w:pPr>
            <w:r>
              <w:rPr>
                <w:color w:val="000000" w:themeColor="text1"/>
                <w14:textFill>
                  <w14:solidFill>
                    <w14:schemeClr w14:val="tx1"/>
                  </w14:solidFill>
                </w14:textFill>
              </w:rPr>
              <w:t>6</w:t>
            </w: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现场踏勘</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投标人须根据实际需要自行踏勘现场，费用自理。</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912" w:type="dxa"/>
            <w:vAlign w:val="center"/>
          </w:tcPr>
          <w:p>
            <w:pPr>
              <w:pStyle w:val="188"/>
              <w:ind w:left="313" w:firstLine="0" w:firstLineChars="0"/>
              <w:rPr>
                <w:color w:val="000000" w:themeColor="text1"/>
                <w14:textFill>
                  <w14:solidFill>
                    <w14:schemeClr w14:val="tx1"/>
                  </w14:solidFill>
                </w14:textFill>
              </w:rPr>
            </w:pPr>
            <w:bookmarkStart w:id="56" w:name="_Hlk497925470"/>
            <w:r>
              <w:rPr>
                <w:color w:val="000000" w:themeColor="text1"/>
                <w14:textFill>
                  <w14:solidFill>
                    <w14:schemeClr w14:val="tx1"/>
                  </w14:solidFill>
                </w14:textFill>
              </w:rPr>
              <w:t>7</w:t>
            </w:r>
          </w:p>
        </w:tc>
        <w:tc>
          <w:tcPr>
            <w:tcW w:w="177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其他事项</w:t>
            </w:r>
          </w:p>
        </w:tc>
        <w:tc>
          <w:tcPr>
            <w:tcW w:w="6378"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中标社会资本未按招标文件要求与采购人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项目实施机构签订</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项目合同，每逾期一（</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）日，扣签约保证金的万分之五，逾期超过二十（</w:t>
            </w:r>
            <w:r>
              <w:rPr>
                <w:rFonts w:ascii="Times New Roman" w:hAnsi="Times New Roman"/>
                <w:color w:val="000000" w:themeColor="text1"/>
                <w14:textFill>
                  <w14:solidFill>
                    <w14:schemeClr w14:val="tx1"/>
                  </w14:solidFill>
                </w14:textFill>
              </w:rPr>
              <w:t>20</w:t>
            </w:r>
            <w:r>
              <w:rPr>
                <w:rFonts w:hint="eastAsia" w:ascii="Times New Roman" w:hAnsi="Times New Roman"/>
                <w:color w:val="000000" w:themeColor="text1"/>
                <w14:textFill>
                  <w14:solidFill>
                    <w14:schemeClr w14:val="tx1"/>
                  </w14:solidFill>
                </w14:textFill>
              </w:rPr>
              <w:t>）日，采购人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项目实施机构有权废除社会资本的中标资格。项目公司组建成立和项目公司的</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项目合同签订事项，未按招标文件规定时间内完成，则采购人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项目实施机构有权兑取建设期履约保函，每逾期一（</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）日，兑取建设期履约保函的</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。逾期超过二十（</w:t>
            </w:r>
            <w:r>
              <w:rPr>
                <w:rFonts w:ascii="Times New Roman" w:hAnsi="Times New Roman"/>
                <w:color w:val="000000" w:themeColor="text1"/>
                <w14:textFill>
                  <w14:solidFill>
                    <w14:schemeClr w14:val="tx1"/>
                  </w14:solidFill>
                </w14:textFill>
              </w:rPr>
              <w:t>20</w:t>
            </w:r>
            <w:r>
              <w:rPr>
                <w:rFonts w:hint="eastAsia" w:ascii="Times New Roman" w:hAnsi="Times New Roman"/>
                <w:color w:val="000000" w:themeColor="text1"/>
                <w14:textFill>
                  <w14:solidFill>
                    <w14:schemeClr w14:val="tx1"/>
                  </w14:solidFill>
                </w14:textFill>
              </w:rPr>
              <w:t>）日，采购人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项目实施机构有权终止合同。</w:t>
            </w:r>
          </w:p>
        </w:tc>
      </w:tr>
      <w:bookmarkEnd w:id="56"/>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912" w:type="dxa"/>
            <w:vAlign w:val="center"/>
          </w:tcPr>
          <w:p>
            <w:pPr>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8</w:t>
            </w:r>
          </w:p>
        </w:tc>
        <w:tc>
          <w:tcPr>
            <w:tcW w:w="1777" w:type="dxa"/>
            <w:vAlign w:val="center"/>
          </w:tcPr>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解释权</w:t>
            </w:r>
          </w:p>
        </w:tc>
        <w:tc>
          <w:tcPr>
            <w:tcW w:w="6378" w:type="dxa"/>
            <w:vAlign w:val="center"/>
          </w:tcPr>
          <w:p>
            <w:pP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本招标文件解释权属于招标采购人</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14:textFill>
                  <w14:solidFill>
                    <w14:schemeClr w14:val="tx1"/>
                  </w14:solidFill>
                </w14:textFill>
              </w:rPr>
              <w:t>实施机构</w:t>
            </w:r>
          </w:p>
        </w:tc>
      </w:tr>
    </w:tbl>
    <w:p>
      <w:pPr>
        <w:pStyle w:val="3"/>
        <w:spacing w:line="360" w:lineRule="auto"/>
        <w:jc w:val="center"/>
        <w:rPr>
          <w:rFonts w:ascii="Times New Roman" w:hAnsi="Times New Roman"/>
          <w:color w:val="000000" w:themeColor="text1"/>
          <w:sz w:val="24"/>
          <w:szCs w:val="24"/>
          <w14:textFill>
            <w14:solidFill>
              <w14:schemeClr w14:val="tx1"/>
            </w14:solidFill>
          </w14:textFill>
        </w:rPr>
      </w:pPr>
      <w:bookmarkStart w:id="57" w:name="_Toc439072977"/>
      <w:bookmarkStart w:id="58" w:name="_Toc438162690"/>
      <w:r>
        <w:rPr>
          <w:rFonts w:ascii="Times New Roman" w:hAnsi="Times New Roman"/>
          <w:color w:val="000000" w:themeColor="text1"/>
          <w:sz w:val="24"/>
          <w:szCs w:val="24"/>
          <w14:textFill>
            <w14:solidFill>
              <w14:schemeClr w14:val="tx1"/>
            </w14:solidFill>
          </w14:textFill>
        </w:rPr>
        <w:br w:type="page"/>
      </w:r>
    </w:p>
    <w:p>
      <w:pPr>
        <w:pStyle w:val="3"/>
        <w:spacing w:line="360" w:lineRule="auto"/>
        <w:jc w:val="center"/>
        <w:rPr>
          <w:rFonts w:ascii="Times New Roman" w:hAnsi="Times New Roman"/>
          <w:color w:val="000000" w:themeColor="text1"/>
          <w:sz w:val="24"/>
          <w:szCs w:val="24"/>
          <w14:textFill>
            <w14:solidFill>
              <w14:schemeClr w14:val="tx1"/>
            </w14:solidFill>
          </w14:textFill>
        </w:rPr>
      </w:pPr>
      <w:bookmarkStart w:id="59" w:name="_Toc492040644"/>
      <w:bookmarkStart w:id="60" w:name="_Toc465698629"/>
      <w:bookmarkStart w:id="61" w:name="_Toc487201020"/>
      <w:bookmarkStart w:id="62" w:name="_Toc491857537"/>
      <w:bookmarkStart w:id="63" w:name="_Toc492021854"/>
      <w:bookmarkStart w:id="64" w:name="_Toc496258644"/>
      <w:bookmarkStart w:id="65" w:name="_Toc496299707"/>
      <w:bookmarkStart w:id="66" w:name="_Toc496299871"/>
      <w:bookmarkStart w:id="67" w:name="_Toc522635476"/>
      <w:r>
        <w:rPr>
          <w:rFonts w:hint="eastAsia" w:ascii="Times New Roman" w:hAnsi="Times New Roman"/>
          <w:color w:val="000000" w:themeColor="text1"/>
          <w:sz w:val="24"/>
          <w:szCs w:val="24"/>
          <w14:textFill>
            <w14:solidFill>
              <w14:schemeClr w14:val="tx1"/>
            </w14:solidFill>
          </w14:textFill>
        </w:rPr>
        <w:t>第三章</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投标须知正文</w:t>
      </w:r>
      <w:bookmarkEnd w:id="57"/>
      <w:bookmarkEnd w:id="58"/>
      <w:bookmarkEnd w:id="59"/>
      <w:bookmarkEnd w:id="60"/>
      <w:bookmarkEnd w:id="61"/>
      <w:bookmarkEnd w:id="62"/>
      <w:bookmarkEnd w:id="63"/>
      <w:bookmarkEnd w:id="64"/>
      <w:bookmarkEnd w:id="65"/>
      <w:bookmarkEnd w:id="66"/>
      <w:bookmarkEnd w:id="67"/>
    </w:p>
    <w:p>
      <w:pPr>
        <w:pStyle w:val="4"/>
        <w:rPr>
          <w:color w:val="000000" w:themeColor="text1"/>
          <w14:textFill>
            <w14:solidFill>
              <w14:schemeClr w14:val="tx1"/>
            </w14:solidFill>
          </w14:textFill>
        </w:rPr>
      </w:pPr>
      <w:bookmarkStart w:id="68" w:name="_Toc491857538"/>
      <w:bookmarkStart w:id="69" w:name="_Toc492021855"/>
      <w:bookmarkStart w:id="70" w:name="_Toc492040645"/>
      <w:bookmarkStart w:id="71" w:name="_Toc487201021"/>
      <w:bookmarkStart w:id="72" w:name="_Toc438162691"/>
      <w:bookmarkStart w:id="73" w:name="_Toc439072978"/>
      <w:bookmarkStart w:id="74" w:name="_Toc465698630"/>
      <w:bookmarkStart w:id="75" w:name="_Toc496258645"/>
      <w:bookmarkStart w:id="76" w:name="_Toc496299708"/>
      <w:bookmarkStart w:id="77" w:name="_Toc496299872"/>
      <w:bookmarkStart w:id="78" w:name="_Toc522635477"/>
      <w:r>
        <w:rPr>
          <w:rFonts w:hint="eastAsia"/>
          <w:color w:val="000000" w:themeColor="text1"/>
          <w14:textFill>
            <w14:solidFill>
              <w14:schemeClr w14:val="tx1"/>
            </w14:solidFill>
          </w14:textFill>
        </w:rPr>
        <w:t>第一节</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总则</w:t>
      </w:r>
      <w:bookmarkEnd w:id="68"/>
      <w:bookmarkEnd w:id="69"/>
      <w:bookmarkEnd w:id="70"/>
      <w:bookmarkEnd w:id="71"/>
      <w:bookmarkEnd w:id="72"/>
      <w:bookmarkEnd w:id="73"/>
      <w:bookmarkEnd w:id="74"/>
      <w:bookmarkEnd w:id="75"/>
      <w:bookmarkEnd w:id="76"/>
      <w:bookmarkEnd w:id="77"/>
      <w:bookmarkEnd w:id="78"/>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79" w:name="_Toc438162692"/>
      <w:r>
        <w:rPr>
          <w:rFonts w:hint="eastAsia" w:ascii="Times New Roman" w:hAnsi="Times New Roman" w:cs="Times New Roman"/>
          <w:b/>
          <w:color w:val="000000" w:themeColor="text1"/>
          <w:sz w:val="21"/>
          <w:szCs w:val="21"/>
          <w14:textFill>
            <w14:solidFill>
              <w14:schemeClr w14:val="tx1"/>
            </w14:solidFill>
          </w14:textFill>
        </w:rPr>
        <w:t>一、适用范围</w:t>
      </w:r>
      <w:bookmarkEnd w:id="79"/>
    </w:p>
    <w:p>
      <w:pPr>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本招标文件仅适用于本次招标所述的</w:t>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REF </w:instrText>
      </w:r>
      <w:r>
        <w:rPr>
          <w:rFonts w:hint="eastAsia" w:ascii="Times New Roman" w:hAnsi="Times New Roman"/>
          <w:color w:val="000000" w:themeColor="text1"/>
          <w14:textFill>
            <w14:solidFill>
              <w14:schemeClr w14:val="tx1"/>
            </w14:solidFill>
          </w14:textFill>
        </w:rPr>
        <w:instrText xml:space="preserve">采购项目名称</w:instrText>
      </w:r>
      <w:r>
        <w:rPr>
          <w:rFonts w:ascii="Times New Roman" w:hAnsi="Times New Roman"/>
          <w:color w:val="000000" w:themeColor="text1"/>
          <w14:textFill>
            <w14:solidFill>
              <w14:schemeClr w14:val="tx1"/>
            </w14:solidFill>
          </w14:textFill>
        </w:rPr>
        <w:instrText xml:space="preserve"> \h  \* MERGEFORMAT </w:instrText>
      </w:r>
      <w:r>
        <w:rPr>
          <w:rFonts w:ascii="Times New Roman" w:hAnsi="Times New Roman"/>
          <w:color w:val="000000" w:themeColor="text1"/>
          <w14:textFill>
            <w14:solidFill>
              <w14:schemeClr w14:val="tx1"/>
            </w14:solidFill>
          </w14:textFill>
        </w:rPr>
        <w:fldChar w:fldCharType="separate"/>
      </w:r>
      <w:r>
        <w:rPr>
          <w:rFonts w:hint="eastAsia" w:ascii="Times New Roman" w:hAnsi="Times New Roman"/>
          <w:color w:val="000000" w:themeColor="text1"/>
          <w:szCs w:val="21"/>
          <w14:textFill>
            <w14:solidFill>
              <w14:schemeClr w14:val="tx1"/>
            </w14:solidFill>
          </w14:textFill>
        </w:rPr>
        <w:t>艮山东路过江隧道工程</w:t>
      </w:r>
      <w:r>
        <w:rPr>
          <w:rFonts w:ascii="Times New Roman" w:hAnsi="Times New Roman"/>
          <w:color w:val="000000" w:themeColor="text1"/>
          <w:szCs w:val="21"/>
          <w14:textFill>
            <w14:solidFill>
              <w14:schemeClr w14:val="tx1"/>
            </w14:solidFill>
          </w14:textFill>
        </w:rPr>
        <w:t>PPP</w:t>
      </w:r>
      <w:r>
        <w:rPr>
          <w:rFonts w:hint="eastAsia" w:ascii="Times New Roman" w:hAnsi="Times New Roman"/>
          <w:color w:val="000000" w:themeColor="text1"/>
          <w:szCs w:val="21"/>
          <w14:textFill>
            <w14:solidFill>
              <w14:schemeClr w14:val="tx1"/>
            </w14:solidFill>
          </w14:textFill>
        </w:rPr>
        <w:t>项目社会资本采购</w:t>
      </w:r>
      <w:r>
        <w:rPr>
          <w:rFonts w:ascii="Times New Roman" w:hAnsi="Times New Roman"/>
          <w:color w:val="000000" w:themeColor="text1"/>
          <w14:textFill>
            <w14:solidFill>
              <w14:schemeClr w14:val="tx1"/>
            </w14:solidFill>
          </w14:textFill>
        </w:rPr>
        <w:fldChar w:fldCharType="end"/>
      </w:r>
      <w:r>
        <w:rPr>
          <w:rFonts w:hint="eastAsia" w:ascii="Times New Roman" w:hAnsi="Times New Roman"/>
          <w:color w:val="000000" w:themeColor="text1"/>
          <w14:textFill>
            <w14:solidFill>
              <w14:schemeClr w14:val="tx1"/>
            </w14:solidFill>
          </w14:textFill>
        </w:rPr>
        <w:t>。</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80" w:name="_Toc438162693"/>
      <w:r>
        <w:rPr>
          <w:rFonts w:hint="eastAsia" w:ascii="Times New Roman" w:hAnsi="Times New Roman" w:cs="Times New Roman"/>
          <w:b/>
          <w:color w:val="000000" w:themeColor="text1"/>
          <w:sz w:val="21"/>
          <w:szCs w:val="21"/>
          <w14:textFill>
            <w14:solidFill>
              <w14:schemeClr w14:val="tx1"/>
            </w14:solidFill>
          </w14:textFill>
        </w:rPr>
        <w:t>二、定义</w:t>
      </w:r>
      <w:bookmarkEnd w:id="80"/>
    </w:p>
    <w:p>
      <w:pPr>
        <w:pStyle w:val="188"/>
        <w:numPr>
          <w:ilvl w:val="0"/>
          <w:numId w:val="8"/>
        </w:numPr>
        <w:spacing w:line="360" w:lineRule="auto"/>
        <w:ind w:firstLineChars="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采购人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系指采购本项目的杭州大江东产业集聚区公路管理所。</w:t>
      </w:r>
    </w:p>
    <w:p>
      <w:pPr>
        <w:pStyle w:val="188"/>
        <w:numPr>
          <w:ilvl w:val="0"/>
          <w:numId w:val="8"/>
        </w:numPr>
        <w:spacing w:line="360" w:lineRule="auto"/>
        <w:ind w:firstLineChars="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采购代理机构</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系指组织本次招标活动的</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w:instrText>
      </w:r>
      <w:r>
        <w:rPr>
          <w:rFonts w:hint="eastAsia"/>
          <w:color w:val="000000" w:themeColor="text1"/>
          <w14:textFill>
            <w14:solidFill>
              <w14:schemeClr w14:val="tx1"/>
            </w14:solidFill>
          </w14:textFill>
        </w:rPr>
        <w:instrText xml:space="preserve">代理机构</w:instrText>
      </w:r>
      <w:r>
        <w:rPr>
          <w:color w:val="000000" w:themeColor="text1"/>
          <w14:textFill>
            <w14:solidFill>
              <w14:schemeClr w14:val="tx1"/>
            </w14:solidFill>
          </w14:textFill>
        </w:rPr>
        <w:instrText xml:space="preserve"> \h  \* MERGEFORMAT </w:instrText>
      </w:r>
      <w:r>
        <w:rPr>
          <w:color w:val="000000" w:themeColor="text1"/>
          <w14:textFill>
            <w14:solidFill>
              <w14:schemeClr w14:val="tx1"/>
            </w14:solidFill>
          </w14:textFill>
        </w:rPr>
        <w:fldChar w:fldCharType="separate"/>
      </w:r>
      <w:r>
        <w:rPr>
          <w:rFonts w:hint="eastAsia"/>
          <w:color w:val="000000" w:themeColor="text1"/>
          <w:szCs w:val="21"/>
          <w14:textFill>
            <w14:solidFill>
              <w14:schemeClr w14:val="tx1"/>
            </w14:solidFill>
          </w14:textFill>
        </w:rPr>
        <w:t>杭州政智经济信息咨询有限公司</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p>
    <w:p>
      <w:pPr>
        <w:pStyle w:val="188"/>
        <w:numPr>
          <w:ilvl w:val="0"/>
          <w:numId w:val="8"/>
        </w:numPr>
        <w:spacing w:line="360" w:lineRule="auto"/>
        <w:ind w:firstLineChars="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投标人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（即</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社会资本</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投资人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）系指无条件接受招标文件的各项要求，具备相应履约能力、具有《中华人民共和国政府采购法》第</w:t>
      </w:r>
      <w:r>
        <w:rPr>
          <w:color w:val="000000" w:themeColor="text1"/>
          <w14:textFill>
            <w14:solidFill>
              <w14:schemeClr w14:val="tx1"/>
            </w14:solidFill>
          </w14:textFill>
        </w:rPr>
        <w:t>22</w:t>
      </w:r>
      <w:r>
        <w:rPr>
          <w:rFonts w:hint="eastAsia"/>
          <w:color w:val="000000" w:themeColor="text1"/>
          <w14:textFill>
            <w14:solidFill>
              <w14:schemeClr w14:val="tx1"/>
            </w14:solidFill>
          </w14:textFill>
        </w:rPr>
        <w:t>条规定的相关条件并提交响应文件的投标人。</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81" w:name="_Toc438162694"/>
      <w:r>
        <w:rPr>
          <w:rFonts w:hint="eastAsia" w:ascii="Times New Roman" w:hAnsi="Times New Roman" w:cs="Times New Roman"/>
          <w:b/>
          <w:color w:val="000000" w:themeColor="text1"/>
          <w:sz w:val="21"/>
          <w:szCs w:val="21"/>
          <w14:textFill>
            <w14:solidFill>
              <w14:schemeClr w14:val="tx1"/>
            </w14:solidFill>
          </w14:textFill>
        </w:rPr>
        <w:t>三、合格投标人的范围</w:t>
      </w:r>
      <w:bookmarkEnd w:id="81"/>
    </w:p>
    <w:p>
      <w:pPr>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通过资格预审的投标人均可参加。</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82" w:name="_Toc438162695"/>
      <w:r>
        <w:rPr>
          <w:rFonts w:hint="eastAsia" w:ascii="Times New Roman" w:hAnsi="Times New Roman" w:cs="Times New Roman"/>
          <w:b/>
          <w:color w:val="000000" w:themeColor="text1"/>
          <w:sz w:val="21"/>
          <w:szCs w:val="21"/>
          <w14:textFill>
            <w14:solidFill>
              <w14:schemeClr w14:val="tx1"/>
            </w14:solidFill>
          </w14:textFill>
        </w:rPr>
        <w:t>四、投标人代表</w:t>
      </w:r>
      <w:bookmarkEnd w:id="82"/>
    </w:p>
    <w:p>
      <w:pPr>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投标人代表必须是法定代表人或持有《法定代表人授权委托书》的被授权人。</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83" w:name="_Toc438162696"/>
      <w:r>
        <w:rPr>
          <w:rFonts w:hint="eastAsia" w:ascii="Times New Roman" w:hAnsi="Times New Roman" w:cs="Times New Roman"/>
          <w:b/>
          <w:color w:val="000000" w:themeColor="text1"/>
          <w:sz w:val="21"/>
          <w:szCs w:val="21"/>
          <w14:textFill>
            <w14:solidFill>
              <w14:schemeClr w14:val="tx1"/>
            </w14:solidFill>
          </w14:textFill>
        </w:rPr>
        <w:t>五、费用</w:t>
      </w:r>
      <w:bookmarkEnd w:id="83"/>
    </w:p>
    <w:p>
      <w:pPr>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无论招标结果如何，均由投标人自行承担所有参加招标有关的一切费用。</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84" w:name="_Toc438162697"/>
      <w:r>
        <w:rPr>
          <w:rFonts w:hint="eastAsia" w:ascii="Times New Roman" w:hAnsi="Times New Roman" w:cs="Times New Roman"/>
          <w:b/>
          <w:color w:val="000000" w:themeColor="text1"/>
          <w:sz w:val="21"/>
          <w:szCs w:val="21"/>
          <w14:textFill>
            <w14:solidFill>
              <w14:schemeClr w14:val="tx1"/>
            </w14:solidFill>
          </w14:textFill>
        </w:rPr>
        <w:t>六、踏勘现场</w:t>
      </w:r>
      <w:bookmarkEnd w:id="84"/>
    </w:p>
    <w:p>
      <w:pPr>
        <w:pStyle w:val="188"/>
        <w:numPr>
          <w:ilvl w:val="0"/>
          <w:numId w:val="9"/>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投标人自行踏勘现场；</w:t>
      </w:r>
    </w:p>
    <w:p>
      <w:pPr>
        <w:pStyle w:val="188"/>
        <w:numPr>
          <w:ilvl w:val="0"/>
          <w:numId w:val="9"/>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投标人踏勘现场发生的费用自理；</w:t>
      </w:r>
    </w:p>
    <w:p>
      <w:pPr>
        <w:pStyle w:val="188"/>
        <w:numPr>
          <w:ilvl w:val="0"/>
          <w:numId w:val="9"/>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及其人员经过采购人的允许，可为踏勘目的进入采购人的工程现场，但投标人及其人员不得因此使采购人及其人员承担有关的责任和蒙受损失。投标人应对由此次踏勘现场而造成的死亡、人身伤害、财产损失、损害以及任何其它损失、损害和引起的费用和开支承担责任和风险；</w:t>
      </w:r>
    </w:p>
    <w:p>
      <w:pPr>
        <w:pStyle w:val="188"/>
        <w:numPr>
          <w:ilvl w:val="0"/>
          <w:numId w:val="9"/>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采购人向投标人提供的有关现场的资料和数据，是采购人现有的能使投标人利用的资料。采购人对投标人由此而做出的推论、理解和结论概不负责；采购人向其介绍工程场地和相关环境的有关情况，投标人依据采购人介绍情况作出的判断和决策，由投标人自行负责。</w:t>
      </w:r>
    </w:p>
    <w:p>
      <w:pPr>
        <w:pStyle w:val="188"/>
        <w:numPr>
          <w:ilvl w:val="0"/>
          <w:numId w:val="9"/>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须对工程现场充分踏勘，熟悉施工现场及周围的地形、地貌、水文、地质、交通道路等情况，以获得一切可能影响投标报价的直接资料。中标后不得以不完全了解现场情况为由而提出追加费用或延长工期等要求。</w:t>
      </w:r>
    </w:p>
    <w:p>
      <w:pPr>
        <w:pStyle w:val="4"/>
        <w:rPr>
          <w:color w:val="000000" w:themeColor="text1"/>
          <w14:textFill>
            <w14:solidFill>
              <w14:schemeClr w14:val="tx1"/>
            </w14:solidFill>
          </w14:textFill>
        </w:rPr>
      </w:pPr>
      <w:bookmarkStart w:id="85" w:name="_Toc522635478"/>
      <w:bookmarkStart w:id="86" w:name="_Toc496299873"/>
      <w:bookmarkStart w:id="87" w:name="_Toc496299709"/>
      <w:bookmarkStart w:id="88" w:name="_Toc496258646"/>
      <w:bookmarkStart w:id="89" w:name="_Toc492021856"/>
      <w:bookmarkStart w:id="90" w:name="_Toc492040646"/>
      <w:bookmarkStart w:id="91" w:name="_Toc491857539"/>
      <w:bookmarkStart w:id="92" w:name="_Toc439072979"/>
      <w:bookmarkStart w:id="93" w:name="_Toc438162698"/>
      <w:bookmarkStart w:id="94" w:name="_Toc487201022"/>
      <w:bookmarkStart w:id="95" w:name="_Toc465698631"/>
      <w:r>
        <w:rPr>
          <w:rFonts w:hint="eastAsia"/>
          <w:color w:val="000000" w:themeColor="text1"/>
          <w14:textFill>
            <w14:solidFill>
              <w14:schemeClr w14:val="tx1"/>
            </w14:solidFill>
          </w14:textFill>
        </w:rPr>
        <w:t>第二节</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招标文件</w:t>
      </w:r>
      <w:bookmarkEnd w:id="85"/>
      <w:bookmarkEnd w:id="86"/>
      <w:bookmarkEnd w:id="87"/>
      <w:bookmarkEnd w:id="88"/>
      <w:bookmarkEnd w:id="89"/>
      <w:bookmarkEnd w:id="90"/>
      <w:bookmarkEnd w:id="91"/>
      <w:bookmarkEnd w:id="92"/>
      <w:bookmarkEnd w:id="93"/>
      <w:bookmarkEnd w:id="94"/>
      <w:bookmarkEnd w:id="95"/>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96" w:name="_Toc438162699"/>
      <w:r>
        <w:rPr>
          <w:rFonts w:hint="eastAsia" w:ascii="Times New Roman" w:hAnsi="Times New Roman" w:cs="Times New Roman"/>
          <w:b/>
          <w:color w:val="000000" w:themeColor="text1"/>
          <w:sz w:val="21"/>
          <w:szCs w:val="21"/>
          <w14:textFill>
            <w14:solidFill>
              <w14:schemeClr w14:val="tx1"/>
            </w14:solidFill>
          </w14:textFill>
        </w:rPr>
        <w:t>七、招标文件的组成</w:t>
      </w:r>
      <w:bookmarkEnd w:id="96"/>
    </w:p>
    <w:p>
      <w:pPr>
        <w:pStyle w:val="188"/>
        <w:numPr>
          <w:ilvl w:val="0"/>
          <w:numId w:val="10"/>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本招标文件包括：</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第一卷：投标须知</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第二卷：</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项目合同及附件</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第三卷：项目资料</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按要求对招标文件所作的补遗或澄清，构成招标文件的组成部分。</w:t>
      </w:r>
    </w:p>
    <w:p>
      <w:pPr>
        <w:pStyle w:val="188"/>
        <w:numPr>
          <w:ilvl w:val="0"/>
          <w:numId w:val="10"/>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收到招标文件时，应检查文本页数和附件数量。投标人发现任何页数或附件数量的遗缺、任何数字或词汇模糊不清、任何词义含混或意义不清，应在《投标人须知前附表》规定的时间前以书面形式通知采购人补全或澄清。如果投标人未按上述内容提出要求而造成不良后果，采购人不承担任何责任。</w:t>
      </w:r>
    </w:p>
    <w:p>
      <w:pPr>
        <w:pStyle w:val="188"/>
        <w:numPr>
          <w:ilvl w:val="0"/>
          <w:numId w:val="10"/>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应认真阅读招标文件的全部内容，理解所有条款、事项、规范、格式、图纸、清单等的要求。投标人未按招标文件要求提交全部资料或提交的投标文件未对招标文件做出全面的实质响应，其投标文件可能被拒绝。</w:t>
      </w:r>
    </w:p>
    <w:p>
      <w:pPr>
        <w:pStyle w:val="188"/>
        <w:numPr>
          <w:ilvl w:val="0"/>
          <w:numId w:val="10"/>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采购人在招标文件中或以其他方式向投标人提供的信息或资料仅供参考，采购人对其准确性不承担任何责任，投标人采用时应自行判断。</w:t>
      </w:r>
    </w:p>
    <w:p>
      <w:pPr>
        <w:pStyle w:val="188"/>
        <w:numPr>
          <w:ilvl w:val="0"/>
          <w:numId w:val="10"/>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采购人不承担投标人对招标文件作出的任何错误的理解、解释或结论的责任。</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97" w:name="_Toc438162700"/>
      <w:r>
        <w:rPr>
          <w:rFonts w:hint="eastAsia" w:ascii="Times New Roman" w:hAnsi="Times New Roman" w:cs="Times New Roman"/>
          <w:b/>
          <w:color w:val="000000" w:themeColor="text1"/>
          <w:sz w:val="21"/>
          <w:szCs w:val="21"/>
          <w14:textFill>
            <w14:solidFill>
              <w14:schemeClr w14:val="tx1"/>
            </w14:solidFill>
          </w14:textFill>
        </w:rPr>
        <w:t>八、招标文件的补遗或澄清</w:t>
      </w:r>
      <w:bookmarkEnd w:id="97"/>
    </w:p>
    <w:p>
      <w:pPr>
        <w:pStyle w:val="188"/>
        <w:numPr>
          <w:ilvl w:val="0"/>
          <w:numId w:val="11"/>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应仔细阅读和检查招标文件的全部内容，如有疑问，应在《投标人须知前附表》规定的时间前以书面形式（包括信函、电报、传真、电子邮件等可以有形地表现所载内容的形式，下同），要求采购人对招标文件进行补遗或澄清。</w:t>
      </w:r>
    </w:p>
    <w:p>
      <w:pPr>
        <w:pStyle w:val="188"/>
        <w:numPr>
          <w:ilvl w:val="0"/>
          <w:numId w:val="11"/>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补遗或澄清将电子邮件或传真给所有获得投标文件的投标人，澄清、答复或补遗均以书面文件为准。</w:t>
      </w:r>
    </w:p>
    <w:p>
      <w:pPr>
        <w:pStyle w:val="188"/>
        <w:numPr>
          <w:ilvl w:val="0"/>
          <w:numId w:val="11"/>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投标人在收到补遗或澄清后，应在二十四（</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）小时内以书面形式（加盖投标人公章）通知采购人或采购代理机构，确认已收到该补遗或澄清。未在规定时间确认的视同投标人已收到补遗或澄清。</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九、招标文件的修改</w:t>
      </w:r>
    </w:p>
    <w:p>
      <w:pPr>
        <w:pStyle w:val="188"/>
        <w:numPr>
          <w:ilvl w:val="0"/>
          <w:numId w:val="12"/>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采购人或者采购代理机构可以对已发出的招标文件进行必要的澄清或者修改。澄清或者修改的内容可能影响投标文件编制的，采购人或者采购代理机构应当在投标截止时间至少十五（</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）日前，以书面形式通知所有获取招标文件的潜在投标人；不足十五（</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）日的，采购人或者采购代理机构应当顺延提交投标文件的截止时间。</w:t>
      </w:r>
    </w:p>
    <w:p>
      <w:pPr>
        <w:pStyle w:val="188"/>
        <w:numPr>
          <w:ilvl w:val="0"/>
          <w:numId w:val="12"/>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投标人收到修改内容后，应在二十四（</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）小时内以书面形式（加盖投标人公章）通知采购人或采购代理机构，确认已收到该修改。未在规定时间确认的视同投标人已收到该修改。</w:t>
      </w:r>
    </w:p>
    <w:p>
      <w:pPr>
        <w:pStyle w:val="4"/>
        <w:rPr>
          <w:color w:val="000000" w:themeColor="text1"/>
          <w14:textFill>
            <w14:solidFill>
              <w14:schemeClr w14:val="tx1"/>
            </w14:solidFill>
          </w14:textFill>
        </w:rPr>
      </w:pPr>
      <w:bookmarkStart w:id="98" w:name="_第三节__投标文件编制及递交"/>
      <w:bookmarkEnd w:id="98"/>
      <w:bookmarkStart w:id="99" w:name="_Toc522635479"/>
      <w:bookmarkStart w:id="100" w:name="_Toc496299874"/>
      <w:bookmarkStart w:id="101" w:name="_Toc492040647"/>
      <w:bookmarkStart w:id="102" w:name="_Toc496299710"/>
      <w:bookmarkStart w:id="103" w:name="_Toc496258647"/>
      <w:bookmarkStart w:id="104" w:name="_Toc487201023"/>
      <w:bookmarkStart w:id="105" w:name="_Toc492021857"/>
      <w:bookmarkStart w:id="106" w:name="_Toc438162701"/>
      <w:bookmarkStart w:id="107" w:name="_Toc465698632"/>
      <w:bookmarkStart w:id="108" w:name="_Toc439072980"/>
      <w:bookmarkStart w:id="109" w:name="_Toc491857540"/>
      <w:bookmarkStart w:id="110" w:name="_Toc496299875"/>
      <w:bookmarkStart w:id="111" w:name="_Toc496299711"/>
      <w:bookmarkStart w:id="112" w:name="_Toc496258648"/>
      <w:bookmarkStart w:id="113" w:name="_Toc487201024"/>
      <w:bookmarkStart w:id="114" w:name="_Toc465698633"/>
      <w:bookmarkStart w:id="115" w:name="_Toc439072981"/>
      <w:bookmarkStart w:id="116" w:name="_Toc492021858"/>
      <w:bookmarkStart w:id="117" w:name="_Toc492040648"/>
      <w:bookmarkStart w:id="118" w:name="_Toc491857541"/>
      <w:bookmarkStart w:id="119" w:name="_Toc438162708"/>
      <w:r>
        <w:rPr>
          <w:rFonts w:hint="eastAsia"/>
          <w:color w:val="000000" w:themeColor="text1"/>
          <w14:textFill>
            <w14:solidFill>
              <w14:schemeClr w14:val="tx1"/>
            </w14:solidFill>
          </w14:textFill>
        </w:rPr>
        <w:t>第三节</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投标文件编制及递交</w:t>
      </w:r>
      <w:bookmarkEnd w:id="99"/>
      <w:bookmarkEnd w:id="100"/>
      <w:bookmarkEnd w:id="101"/>
      <w:bookmarkEnd w:id="102"/>
      <w:bookmarkEnd w:id="103"/>
      <w:bookmarkEnd w:id="104"/>
      <w:bookmarkEnd w:id="105"/>
      <w:bookmarkEnd w:id="106"/>
      <w:bookmarkEnd w:id="107"/>
      <w:bookmarkEnd w:id="108"/>
      <w:bookmarkEnd w:id="109"/>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除了《投标须知前附表》要求外，投标人还应按以下要求准备投标文件。</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120" w:name="_Toc438162702"/>
      <w:r>
        <w:rPr>
          <w:rFonts w:hint="eastAsia" w:ascii="Times New Roman" w:hAnsi="Times New Roman" w:cs="Times New Roman"/>
          <w:b/>
          <w:color w:val="000000" w:themeColor="text1"/>
          <w:sz w:val="21"/>
          <w:szCs w:val="21"/>
          <w14:textFill>
            <w14:solidFill>
              <w14:schemeClr w14:val="tx1"/>
            </w14:solidFill>
          </w14:textFill>
        </w:rPr>
        <w:t>十、投标文件内容</w:t>
      </w:r>
      <w:bookmarkEnd w:id="120"/>
    </w:p>
    <w:p>
      <w:pPr>
        <w:pStyle w:val="188"/>
        <w:numPr>
          <w:ilvl w:val="0"/>
          <w:numId w:val="13"/>
        </w:numPr>
        <w:spacing w:line="360" w:lineRule="auto"/>
        <w:ind w:left="567" w:hanging="561"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投标文件应包括下列内容：</w:t>
      </w:r>
    </w:p>
    <w:p>
      <w:pPr>
        <w:pStyle w:val="188"/>
        <w:numPr>
          <w:ilvl w:val="0"/>
          <w:numId w:val="14"/>
        </w:numPr>
        <w:spacing w:line="360" w:lineRule="auto"/>
        <w:ind w:left="851" w:hanging="28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资信投标文件</w:t>
      </w:r>
    </w:p>
    <w:p>
      <w:pPr>
        <w:pStyle w:val="188"/>
        <w:numPr>
          <w:ilvl w:val="0"/>
          <w:numId w:val="15"/>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第一分册</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投标人综述</w:t>
      </w:r>
    </w:p>
    <w:p>
      <w:pPr>
        <w:pStyle w:val="188"/>
        <w:numPr>
          <w:ilvl w:val="0"/>
          <w:numId w:val="15"/>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第二分册</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企业资信</w:t>
      </w:r>
    </w:p>
    <w:p>
      <w:pPr>
        <w:spacing w:line="360" w:lineRule="auto"/>
        <w:ind w:firstLine="420" w:firstLineChars="200"/>
        <w:rPr>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具体格式参见</w:t>
      </w:r>
      <w:r>
        <w:fldChar w:fldCharType="begin"/>
      </w:r>
      <w:r>
        <w:instrText xml:space="preserve"> HYPERLINK \l "_附件1__投标文件第一分册格式" </w:instrText>
      </w:r>
      <w:r>
        <w:fldChar w:fldCharType="separate"/>
      </w:r>
      <w:r>
        <w:rPr>
          <w:rStyle w:val="54"/>
          <w:rFonts w:hint="eastAsia"/>
          <w:b/>
          <w:color w:val="000000" w:themeColor="text1"/>
          <w14:textFill>
            <w14:solidFill>
              <w14:schemeClr w14:val="tx1"/>
            </w14:solidFill>
          </w14:textFill>
        </w:rPr>
        <w:t>附件</w:t>
      </w:r>
      <w:r>
        <w:rPr>
          <w:rStyle w:val="54"/>
          <w:b/>
          <w:color w:val="000000" w:themeColor="text1"/>
          <w14:textFill>
            <w14:solidFill>
              <w14:schemeClr w14:val="tx1"/>
            </w14:solidFill>
          </w14:textFill>
        </w:rPr>
        <w:t>1</w:t>
      </w:r>
      <w:r>
        <w:rPr>
          <w:rStyle w:val="54"/>
          <w:b/>
          <w:color w:val="000000" w:themeColor="text1"/>
          <w14:textFill>
            <w14:solidFill>
              <w14:schemeClr w14:val="tx1"/>
            </w14:solidFill>
          </w14:textFill>
        </w:rPr>
        <w:fldChar w:fldCharType="end"/>
      </w:r>
      <w:r>
        <w:rPr>
          <w:rFonts w:hint="eastAsia" w:ascii="Times New Roman" w:hAnsi="Times New Roman"/>
          <w:color w:val="000000" w:themeColor="text1"/>
          <w14:textFill>
            <w14:solidFill>
              <w14:schemeClr w14:val="tx1"/>
            </w14:solidFill>
          </w14:textFill>
        </w:rPr>
        <w:t>。</w:t>
      </w:r>
    </w:p>
    <w:p>
      <w:pPr>
        <w:pStyle w:val="188"/>
        <w:numPr>
          <w:ilvl w:val="0"/>
          <w:numId w:val="14"/>
        </w:numPr>
        <w:spacing w:line="360" w:lineRule="auto"/>
        <w:ind w:left="851" w:hanging="28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技术投标文件</w:t>
      </w:r>
    </w:p>
    <w:p>
      <w:pPr>
        <w:pStyle w:val="188"/>
        <w:numPr>
          <w:ilvl w:val="0"/>
          <w:numId w:val="16"/>
        </w:numPr>
        <w:spacing w:line="360" w:lineRule="auto"/>
        <w:ind w:left="993" w:hanging="28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第一分册：项目建设管理方案</w:t>
      </w:r>
    </w:p>
    <w:p>
      <w:pPr>
        <w:pStyle w:val="188"/>
        <w:numPr>
          <w:ilvl w:val="0"/>
          <w:numId w:val="16"/>
        </w:numPr>
        <w:spacing w:line="360" w:lineRule="auto"/>
        <w:ind w:left="993" w:hanging="28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第二分册：运营维护及项目移交方案</w:t>
      </w:r>
    </w:p>
    <w:p>
      <w:pPr>
        <w:pStyle w:val="188"/>
        <w:numPr>
          <w:ilvl w:val="0"/>
          <w:numId w:val="16"/>
        </w:numPr>
        <w:spacing w:line="360" w:lineRule="auto"/>
        <w:ind w:left="993" w:hanging="28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第三分册：融资方案</w:t>
      </w:r>
    </w:p>
    <w:p>
      <w:pPr>
        <w:pStyle w:val="188"/>
        <w:numPr>
          <w:ilvl w:val="0"/>
          <w:numId w:val="16"/>
        </w:numPr>
        <w:spacing w:line="360" w:lineRule="auto"/>
        <w:ind w:left="993" w:hanging="28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第四分册：项目报价财务分析</w:t>
      </w:r>
    </w:p>
    <w:p>
      <w:pPr>
        <w:pStyle w:val="188"/>
        <w:numPr>
          <w:ilvl w:val="0"/>
          <w:numId w:val="16"/>
        </w:numPr>
        <w:spacing w:line="360" w:lineRule="auto"/>
        <w:ind w:left="993" w:hanging="28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第五分册：法律方案</w:t>
      </w:r>
    </w:p>
    <w:p>
      <w:pPr>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具体格式参见</w:t>
      </w:r>
      <w:r>
        <w:fldChar w:fldCharType="begin"/>
      </w:r>
      <w:r>
        <w:instrText xml:space="preserve"> HYPERLINK \l "_附件2__投标文件" </w:instrText>
      </w:r>
      <w:r>
        <w:fldChar w:fldCharType="separate"/>
      </w:r>
      <w:r>
        <w:rPr>
          <w:rStyle w:val="54"/>
          <w:rFonts w:hint="eastAsia"/>
          <w:b/>
          <w:color w:val="000000" w:themeColor="text1"/>
          <w14:textFill>
            <w14:solidFill>
              <w14:schemeClr w14:val="tx1"/>
            </w14:solidFill>
          </w14:textFill>
        </w:rPr>
        <w:t>附件</w:t>
      </w:r>
      <w:r>
        <w:rPr>
          <w:rStyle w:val="54"/>
          <w:b/>
          <w:color w:val="000000" w:themeColor="text1"/>
          <w14:textFill>
            <w14:solidFill>
              <w14:schemeClr w14:val="tx1"/>
            </w14:solidFill>
          </w14:textFill>
        </w:rPr>
        <w:t>2</w:t>
      </w:r>
      <w:r>
        <w:rPr>
          <w:rStyle w:val="54"/>
          <w:b/>
          <w:color w:val="000000" w:themeColor="text1"/>
          <w14:textFill>
            <w14:solidFill>
              <w14:schemeClr w14:val="tx1"/>
            </w14:solidFill>
          </w14:textFill>
        </w:rPr>
        <w:fldChar w:fldCharType="end"/>
      </w:r>
      <w:r>
        <w:rPr>
          <w:rFonts w:hint="eastAsia" w:ascii="Times New Roman" w:hAnsi="Times New Roman"/>
          <w:color w:val="000000" w:themeColor="text1"/>
          <w14:textFill>
            <w14:solidFill>
              <w14:schemeClr w14:val="tx1"/>
            </w14:solidFill>
          </w14:textFill>
        </w:rPr>
        <w:t>。</w:t>
      </w:r>
    </w:p>
    <w:p>
      <w:pPr>
        <w:pStyle w:val="188"/>
        <w:numPr>
          <w:ilvl w:val="0"/>
          <w:numId w:val="14"/>
        </w:numPr>
        <w:spacing w:line="360" w:lineRule="auto"/>
        <w:ind w:left="851" w:hanging="28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商务报价文件</w:t>
      </w:r>
    </w:p>
    <w:p>
      <w:pPr>
        <w:pStyle w:val="188"/>
        <w:numPr>
          <w:ilvl w:val="0"/>
          <w:numId w:val="16"/>
        </w:numPr>
        <w:spacing w:line="360" w:lineRule="auto"/>
        <w:ind w:left="993" w:hanging="28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投标报价函（独立密封）</w:t>
      </w:r>
    </w:p>
    <w:p>
      <w:pPr>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具体格式参见</w:t>
      </w:r>
      <w:r>
        <w:fldChar w:fldCharType="begin"/>
      </w:r>
      <w:r>
        <w:instrText xml:space="preserve"> HYPERLINK \l "_附件3__投标报价函" </w:instrText>
      </w:r>
      <w:r>
        <w:fldChar w:fldCharType="separate"/>
      </w:r>
      <w:r>
        <w:rPr>
          <w:rStyle w:val="54"/>
          <w:rFonts w:hint="eastAsia"/>
          <w:b/>
          <w:color w:val="000000" w:themeColor="text1"/>
          <w14:textFill>
            <w14:solidFill>
              <w14:schemeClr w14:val="tx1"/>
            </w14:solidFill>
          </w14:textFill>
        </w:rPr>
        <w:t>附件</w:t>
      </w:r>
      <w:r>
        <w:rPr>
          <w:rStyle w:val="54"/>
          <w:b/>
          <w:color w:val="000000" w:themeColor="text1"/>
          <w14:textFill>
            <w14:solidFill>
              <w14:schemeClr w14:val="tx1"/>
            </w14:solidFill>
          </w14:textFill>
        </w:rPr>
        <w:t>3</w:t>
      </w:r>
      <w:r>
        <w:rPr>
          <w:rStyle w:val="54"/>
          <w:b/>
          <w:color w:val="000000" w:themeColor="text1"/>
          <w14:textFill>
            <w14:solidFill>
              <w14:schemeClr w14:val="tx1"/>
            </w14:solidFill>
          </w14:textFill>
        </w:rPr>
        <w:fldChar w:fldCharType="end"/>
      </w:r>
      <w:r>
        <w:rPr>
          <w:rFonts w:hint="eastAsia" w:ascii="Times New Roman" w:hAnsi="Times New Roman"/>
          <w:b/>
          <w:color w:val="000000" w:themeColor="text1"/>
          <w14:textFill>
            <w14:solidFill>
              <w14:schemeClr w14:val="tx1"/>
            </w14:solidFill>
          </w14:textFill>
        </w:rPr>
        <w:t>。</w:t>
      </w:r>
    </w:p>
    <w:p>
      <w:pPr>
        <w:pStyle w:val="188"/>
        <w:numPr>
          <w:ilvl w:val="0"/>
          <w:numId w:val="13"/>
        </w:numPr>
        <w:spacing w:line="360" w:lineRule="auto"/>
        <w:ind w:left="567" w:hanging="561"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投标人综述</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投标人综述主要内容包括：</w:t>
      </w:r>
    </w:p>
    <w:p>
      <w:pPr>
        <w:pStyle w:val="188"/>
        <w:numPr>
          <w:ilvl w:val="0"/>
          <w:numId w:val="17"/>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投标申请书</w:t>
      </w:r>
    </w:p>
    <w:p>
      <w:pPr>
        <w:pStyle w:val="188"/>
        <w:numPr>
          <w:ilvl w:val="0"/>
          <w:numId w:val="17"/>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投标保证金交纳证明复印件</w:t>
      </w:r>
    </w:p>
    <w:p>
      <w:pPr>
        <w:pStyle w:val="188"/>
        <w:numPr>
          <w:ilvl w:val="0"/>
          <w:numId w:val="17"/>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资格条件确认函复印件</w:t>
      </w:r>
    </w:p>
    <w:p>
      <w:pPr>
        <w:pStyle w:val="188"/>
        <w:numPr>
          <w:ilvl w:val="0"/>
          <w:numId w:val="17"/>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法定代表人资格证明书</w:t>
      </w:r>
    </w:p>
    <w:p>
      <w:pPr>
        <w:pStyle w:val="188"/>
        <w:numPr>
          <w:ilvl w:val="0"/>
          <w:numId w:val="17"/>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法定代表人身份证复印件</w:t>
      </w:r>
    </w:p>
    <w:p>
      <w:pPr>
        <w:pStyle w:val="188"/>
        <w:numPr>
          <w:ilvl w:val="0"/>
          <w:numId w:val="17"/>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法定代表人授权委托书</w:t>
      </w:r>
    </w:p>
    <w:p>
      <w:pPr>
        <w:pStyle w:val="188"/>
        <w:numPr>
          <w:ilvl w:val="0"/>
          <w:numId w:val="17"/>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授权代表人身份证复印件</w:t>
      </w:r>
    </w:p>
    <w:p>
      <w:pPr>
        <w:pStyle w:val="188"/>
        <w:numPr>
          <w:ilvl w:val="0"/>
          <w:numId w:val="17"/>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授权代表人社保证明文件复印件</w:t>
      </w:r>
    </w:p>
    <w:p>
      <w:pPr>
        <w:pStyle w:val="188"/>
        <w:numPr>
          <w:ilvl w:val="0"/>
          <w:numId w:val="17"/>
        </w:numPr>
        <w:spacing w:line="360" w:lineRule="auto"/>
        <w:ind w:left="1134" w:hanging="71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联合体协议（如有）</w:t>
      </w:r>
    </w:p>
    <w:p>
      <w:pPr>
        <w:pStyle w:val="188"/>
        <w:numPr>
          <w:ilvl w:val="0"/>
          <w:numId w:val="17"/>
        </w:numPr>
        <w:spacing w:line="360" w:lineRule="auto"/>
        <w:ind w:left="1134" w:hanging="71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投标人认为与评审有关的其他材料</w:t>
      </w:r>
    </w:p>
    <w:p>
      <w:pPr>
        <w:spacing w:line="360" w:lineRule="auto"/>
        <w:ind w:left="850" w:leftChars="202" w:hanging="426" w:hangingChars="203"/>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注：如法定代表人（联合体投标人指牵头公司法定代表人）</w:t>
      </w:r>
      <w:r>
        <w:rPr>
          <w:rFonts w:hint="eastAsia" w:ascii="Times New Roman" w:hAnsi="Times New Roman"/>
          <w:b/>
          <w:color w:val="000000" w:themeColor="text1"/>
          <w14:textFill>
            <w14:solidFill>
              <w14:schemeClr w14:val="tx1"/>
            </w14:solidFill>
          </w14:textFill>
        </w:rPr>
        <w:t>亲自</w:t>
      </w:r>
      <w:r>
        <w:rPr>
          <w:rFonts w:hint="eastAsia" w:ascii="Times New Roman" w:hAnsi="Times New Roman"/>
          <w:color w:val="000000" w:themeColor="text1"/>
          <w14:textFill>
            <w14:solidFill>
              <w14:schemeClr w14:val="tx1"/>
            </w14:solidFill>
          </w14:textFill>
        </w:rPr>
        <w:t>递交投标文件，则递交投标文件时无须提供法定代表人授权委托书、授权代表人身份证复印件，但提供法定代表人资格证明文件，并须验</w:t>
      </w:r>
      <w:r>
        <w:rPr>
          <w:rFonts w:hint="eastAsia" w:ascii="Times New Roman" w:hAnsi="Times New Roman"/>
          <w:b/>
          <w:color w:val="000000" w:themeColor="text1"/>
          <w14:textFill>
            <w14:solidFill>
              <w14:schemeClr w14:val="tx1"/>
            </w14:solidFill>
          </w14:textFill>
        </w:rPr>
        <w:t>法定代表人身份证原件</w:t>
      </w:r>
      <w:r>
        <w:rPr>
          <w:rFonts w:hint="eastAsia" w:ascii="Times New Roman" w:hAnsi="Times New Roman"/>
          <w:color w:val="000000" w:themeColor="text1"/>
          <w14:textFill>
            <w14:solidFill>
              <w14:schemeClr w14:val="tx1"/>
            </w14:solidFill>
          </w14:textFill>
        </w:rPr>
        <w:t>。</w:t>
      </w:r>
    </w:p>
    <w:p>
      <w:pPr>
        <w:spacing w:line="360" w:lineRule="auto"/>
        <w:ind w:left="567" w:leftChars="270"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投标人综述中要求提供复印件的，除法定代表人身份证（法定代表人亲自递交投标文件除外），均须在递交投标文件时携带</w:t>
      </w:r>
      <w:r>
        <w:rPr>
          <w:rFonts w:hint="eastAsia" w:ascii="Times New Roman" w:hAnsi="Times New Roman"/>
          <w:b/>
          <w:color w:val="000000" w:themeColor="text1"/>
          <w14:textFill>
            <w14:solidFill>
              <w14:schemeClr w14:val="tx1"/>
            </w14:solidFill>
          </w14:textFill>
        </w:rPr>
        <w:t>原件</w:t>
      </w:r>
      <w:r>
        <w:rPr>
          <w:rFonts w:hint="eastAsia" w:ascii="Times New Roman" w:hAnsi="Times New Roman"/>
          <w:color w:val="000000" w:themeColor="text1"/>
          <w14:textFill>
            <w14:solidFill>
              <w14:schemeClr w14:val="tx1"/>
            </w14:solidFill>
          </w14:textFill>
        </w:rPr>
        <w:t>（原件不需密封），以备查验。所有原件资料需制作资料清单一式两份，以供原件查验环节的资料点收核对。若投标人未制作原件资料清单导致的资料遗缺责任由投标人自负。</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此外，凡是招标文件中要求复印件的，提供纸质扫描件亦可。</w:t>
      </w:r>
    </w:p>
    <w:p>
      <w:pPr>
        <w:pStyle w:val="188"/>
        <w:numPr>
          <w:ilvl w:val="0"/>
          <w:numId w:val="13"/>
        </w:numPr>
        <w:spacing w:line="360" w:lineRule="auto"/>
        <w:ind w:left="567" w:hanging="561"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企业资信</w:t>
      </w:r>
    </w:p>
    <w:p>
      <w:pPr>
        <w:pStyle w:val="188"/>
        <w:spacing w:line="360" w:lineRule="auto"/>
        <w:ind w:left="567"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企业资信主要包括内容：</w:t>
      </w:r>
    </w:p>
    <w:p>
      <w:pPr>
        <w:pStyle w:val="188"/>
        <w:numPr>
          <w:ilvl w:val="0"/>
          <w:numId w:val="18"/>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企业业绩表</w:t>
      </w:r>
    </w:p>
    <w:p>
      <w:pPr>
        <w:pStyle w:val="188"/>
        <w:numPr>
          <w:ilvl w:val="0"/>
          <w:numId w:val="18"/>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企业授信余额证明文件</w:t>
      </w:r>
    </w:p>
    <w:p>
      <w:pPr>
        <w:pStyle w:val="331"/>
        <w:numPr>
          <w:ilvl w:val="0"/>
          <w:numId w:val="18"/>
        </w:numPr>
        <w:spacing w:line="360" w:lineRule="auto"/>
        <w:ind w:firstLineChars="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2017</w:t>
      </w:r>
      <w:r>
        <w:rPr>
          <w:rFonts w:hint="eastAsia" w:ascii="Times New Roman" w:hAnsi="Times New Roman"/>
          <w:color w:val="000000" w:themeColor="text1"/>
          <w:szCs w:val="24"/>
          <w14:textFill>
            <w14:solidFill>
              <w14:schemeClr w14:val="tx1"/>
            </w14:solidFill>
          </w14:textFill>
        </w:rPr>
        <w:t>年度经独立第三方审计机构审计的财务报告</w:t>
      </w:r>
    </w:p>
    <w:p>
      <w:pPr>
        <w:pStyle w:val="188"/>
        <w:numPr>
          <w:ilvl w:val="0"/>
          <w:numId w:val="18"/>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银行存款余额证明文件</w:t>
      </w:r>
    </w:p>
    <w:p>
      <w:pPr>
        <w:pStyle w:val="188"/>
        <w:numPr>
          <w:ilvl w:val="0"/>
          <w:numId w:val="18"/>
        </w:numPr>
        <w:spacing w:line="360" w:lineRule="auto"/>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其他证明文件</w:t>
      </w:r>
    </w:p>
    <w:p>
      <w:pPr>
        <w:pStyle w:val="188"/>
        <w:numPr>
          <w:ilvl w:val="0"/>
          <w:numId w:val="13"/>
        </w:numPr>
        <w:spacing w:line="360" w:lineRule="auto"/>
        <w:ind w:left="567" w:hanging="561"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项目建设管理方案</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主要包括但不限于以下内容：</w:t>
      </w:r>
    </w:p>
    <w:p>
      <w:pPr>
        <w:pStyle w:val="188"/>
        <w:numPr>
          <w:ilvl w:val="1"/>
          <w:numId w:val="19"/>
        </w:numPr>
        <w:spacing w:line="360" w:lineRule="auto"/>
        <w:ind w:left="993" w:hanging="573"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本项目建设管理组织机构、人员安排、管理制度，人员配置包括执业资格证书、职称、从业年限等；</w:t>
      </w:r>
    </w:p>
    <w:p>
      <w:pPr>
        <w:pStyle w:val="188"/>
        <w:numPr>
          <w:ilvl w:val="1"/>
          <w:numId w:val="19"/>
        </w:numPr>
        <w:spacing w:line="360" w:lineRule="auto"/>
        <w:ind w:left="993" w:hanging="573"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工程建设总体计划，包括项目公司注册、开工许可、施工工期、试运行等的工期计划安排；</w:t>
      </w:r>
    </w:p>
    <w:p>
      <w:pPr>
        <w:pStyle w:val="188"/>
        <w:numPr>
          <w:ilvl w:val="1"/>
          <w:numId w:val="19"/>
        </w:numPr>
        <w:spacing w:line="360" w:lineRule="auto"/>
        <w:ind w:left="993" w:hanging="573"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建设实施方案，包括前期准备、工期、工程质量、质量保修、安全和文明施工、投资控制、竣工及试运行组织等几个方面阐明相应的管理及保障措施，除设计、监理以外的施工等相关参与单位的选择落实方案；</w:t>
      </w:r>
    </w:p>
    <w:p>
      <w:pPr>
        <w:pStyle w:val="188"/>
        <w:numPr>
          <w:ilvl w:val="1"/>
          <w:numId w:val="19"/>
        </w:numPr>
        <w:spacing w:line="360" w:lineRule="auto"/>
        <w:ind w:left="993" w:hanging="573"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投标人认为有必要提供的项目建设管理方面其他资料。</w:t>
      </w:r>
    </w:p>
    <w:p>
      <w:pPr>
        <w:pStyle w:val="188"/>
        <w:numPr>
          <w:ilvl w:val="0"/>
          <w:numId w:val="13"/>
        </w:numPr>
        <w:spacing w:line="360" w:lineRule="auto"/>
        <w:ind w:left="567" w:hanging="561"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运营维护及移交方案</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主要包括但不限于以内容：</w:t>
      </w:r>
    </w:p>
    <w:p>
      <w:pPr>
        <w:pStyle w:val="188"/>
        <w:numPr>
          <w:ilvl w:val="0"/>
          <w:numId w:val="20"/>
        </w:numPr>
        <w:spacing w:line="360" w:lineRule="auto"/>
        <w:ind w:left="993" w:hanging="573"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项目运营管理总体方案，运营管理机构设置、人员配置及能力要求；</w:t>
      </w:r>
    </w:p>
    <w:p>
      <w:pPr>
        <w:pStyle w:val="188"/>
        <w:numPr>
          <w:ilvl w:val="0"/>
          <w:numId w:val="20"/>
        </w:numPr>
        <w:spacing w:line="360" w:lineRule="auto"/>
        <w:ind w:left="993" w:hanging="573"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商业运营方案；</w:t>
      </w:r>
    </w:p>
    <w:p>
      <w:pPr>
        <w:pStyle w:val="188"/>
        <w:numPr>
          <w:ilvl w:val="0"/>
          <w:numId w:val="20"/>
        </w:numPr>
        <w:spacing w:line="360" w:lineRule="auto"/>
        <w:ind w:left="993" w:hanging="573"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运营安全标准、环境标准的要求、保障措施和制度等；</w:t>
      </w:r>
    </w:p>
    <w:p>
      <w:pPr>
        <w:pStyle w:val="188"/>
        <w:numPr>
          <w:ilvl w:val="0"/>
          <w:numId w:val="20"/>
        </w:numPr>
        <w:spacing w:line="360" w:lineRule="auto"/>
        <w:ind w:left="993" w:hanging="573"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运营维护方案，包括设备设施日常维护、检修方案，以及资金计划；</w:t>
      </w:r>
    </w:p>
    <w:p>
      <w:pPr>
        <w:pStyle w:val="188"/>
        <w:numPr>
          <w:ilvl w:val="0"/>
          <w:numId w:val="20"/>
        </w:numPr>
        <w:spacing w:line="360" w:lineRule="auto"/>
        <w:ind w:left="993" w:hanging="573"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运营成本管理和控制措施；</w:t>
      </w:r>
    </w:p>
    <w:p>
      <w:pPr>
        <w:pStyle w:val="188"/>
        <w:numPr>
          <w:ilvl w:val="0"/>
          <w:numId w:val="20"/>
        </w:numPr>
        <w:spacing w:line="360" w:lineRule="auto"/>
        <w:ind w:left="993" w:hanging="573"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安全管理与突发事件应对方案；</w:t>
      </w:r>
    </w:p>
    <w:p>
      <w:pPr>
        <w:pStyle w:val="188"/>
        <w:numPr>
          <w:ilvl w:val="0"/>
          <w:numId w:val="20"/>
        </w:numPr>
        <w:spacing w:line="360" w:lineRule="auto"/>
        <w:ind w:left="993" w:hanging="573"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运营报告、财务报告、环境监测报告检测等周期及提供制度；</w:t>
      </w:r>
    </w:p>
    <w:p>
      <w:pPr>
        <w:pStyle w:val="188"/>
        <w:numPr>
          <w:ilvl w:val="0"/>
          <w:numId w:val="20"/>
        </w:numPr>
        <w:spacing w:line="360" w:lineRule="auto"/>
        <w:ind w:left="993" w:hanging="573"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设备设施资产移交前恢复性大修工作方案；</w:t>
      </w:r>
    </w:p>
    <w:p>
      <w:pPr>
        <w:pStyle w:val="188"/>
        <w:numPr>
          <w:ilvl w:val="0"/>
          <w:numId w:val="20"/>
        </w:numPr>
        <w:spacing w:line="360" w:lineRule="auto"/>
        <w:ind w:left="993" w:hanging="573"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移交验收程序及移交过程保证正常运营措施等内容；</w:t>
      </w:r>
    </w:p>
    <w:p>
      <w:pPr>
        <w:pStyle w:val="188"/>
        <w:numPr>
          <w:ilvl w:val="0"/>
          <w:numId w:val="20"/>
        </w:numPr>
        <w:spacing w:line="360" w:lineRule="auto"/>
        <w:ind w:left="1134" w:hanging="71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投标人认为有必要提供的项目运营维护管理和移交等方面其他资料。</w:t>
      </w:r>
    </w:p>
    <w:p>
      <w:pPr>
        <w:pStyle w:val="188"/>
        <w:numPr>
          <w:ilvl w:val="0"/>
          <w:numId w:val="13"/>
        </w:numPr>
        <w:spacing w:line="360" w:lineRule="auto"/>
        <w:ind w:left="567" w:hanging="561"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融资方案</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主要包括但不限于以下内容：</w:t>
      </w:r>
    </w:p>
    <w:p>
      <w:pPr>
        <w:pStyle w:val="188"/>
        <w:numPr>
          <w:ilvl w:val="0"/>
          <w:numId w:val="21"/>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融资结构；</w:t>
      </w:r>
    </w:p>
    <w:p>
      <w:pPr>
        <w:pStyle w:val="188"/>
        <w:numPr>
          <w:ilvl w:val="0"/>
          <w:numId w:val="21"/>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融资计划；</w:t>
      </w:r>
    </w:p>
    <w:p>
      <w:pPr>
        <w:pStyle w:val="188"/>
        <w:numPr>
          <w:ilvl w:val="0"/>
          <w:numId w:val="21"/>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优势融资渠道介绍；</w:t>
      </w:r>
    </w:p>
    <w:p>
      <w:pPr>
        <w:pStyle w:val="188"/>
        <w:numPr>
          <w:ilvl w:val="0"/>
          <w:numId w:val="21"/>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投标人认为有必要提供的项目融资有关补充的其他资料。</w:t>
      </w:r>
    </w:p>
    <w:p>
      <w:pPr>
        <w:pStyle w:val="188"/>
        <w:numPr>
          <w:ilvl w:val="0"/>
          <w:numId w:val="13"/>
        </w:numPr>
        <w:spacing w:line="360" w:lineRule="auto"/>
        <w:ind w:left="567" w:hanging="561"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报价财务分析</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主要包括但不限于以下内容：</w:t>
      </w:r>
    </w:p>
    <w:p>
      <w:pPr>
        <w:pStyle w:val="188"/>
        <w:numPr>
          <w:ilvl w:val="0"/>
          <w:numId w:val="22"/>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项目投资财务分析编制依据及说明；</w:t>
      </w:r>
    </w:p>
    <w:p>
      <w:pPr>
        <w:pStyle w:val="188"/>
        <w:numPr>
          <w:ilvl w:val="0"/>
          <w:numId w:val="22"/>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成本分析；</w:t>
      </w:r>
    </w:p>
    <w:p>
      <w:pPr>
        <w:pStyle w:val="188"/>
        <w:numPr>
          <w:ilvl w:val="0"/>
          <w:numId w:val="22"/>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收入分析；</w:t>
      </w:r>
    </w:p>
    <w:p>
      <w:pPr>
        <w:pStyle w:val="188"/>
        <w:numPr>
          <w:ilvl w:val="0"/>
          <w:numId w:val="22"/>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财务报表（包括建设期利息估算、运营期偿本付息、收入预测、成本分析、总成本、利润表、项目投资现金流量表、项目资本金现金流量表等）；</w:t>
      </w:r>
    </w:p>
    <w:p>
      <w:pPr>
        <w:pStyle w:val="188"/>
        <w:numPr>
          <w:ilvl w:val="0"/>
          <w:numId w:val="22"/>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财务分析结果指标；</w:t>
      </w:r>
    </w:p>
    <w:p>
      <w:pPr>
        <w:pStyle w:val="188"/>
        <w:numPr>
          <w:ilvl w:val="0"/>
          <w:numId w:val="22"/>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投标人认为有必要提供的项目财务分析其他资料。</w:t>
      </w:r>
    </w:p>
    <w:p>
      <w:pPr>
        <w:pStyle w:val="188"/>
        <w:numPr>
          <w:ilvl w:val="0"/>
          <w:numId w:val="13"/>
        </w:numPr>
        <w:spacing w:line="360" w:lineRule="auto"/>
        <w:ind w:left="567" w:hanging="561"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法律方案</w:t>
      </w:r>
    </w:p>
    <w:p>
      <w:pPr>
        <w:ind w:firstLine="420" w:firstLineChars="20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主要包括但不限于如下内容：</w:t>
      </w:r>
    </w:p>
    <w:p>
      <w:pPr>
        <w:pStyle w:val="188"/>
        <w:numPr>
          <w:ilvl w:val="0"/>
          <w:numId w:val="23"/>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对项目合同的接受：除调整建议涉及条款之外，投标人是否接受项目合同其余各项条款内容的明确陈述。</w:t>
      </w:r>
    </w:p>
    <w:p>
      <w:pPr>
        <w:pStyle w:val="188"/>
        <w:numPr>
          <w:ilvl w:val="0"/>
          <w:numId w:val="23"/>
        </w:numPr>
        <w:spacing w:line="360" w:lineRule="auto"/>
        <w:ind w:left="993" w:hanging="569"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对项目合同的调整建议：修改意见对本项目的核心边界条件有实质性修改，则作为无效投标处理。如投标人对该等项目合同内容有调整建议，则可在法律方案中以合同偏差表的方式提出对具体项目合同条款之调整建议，采购人有权决定是否采纳。</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121" w:name="_Toc438162705"/>
      <w:bookmarkStart w:id="122" w:name="_Toc438162703"/>
      <w:bookmarkStart w:id="123" w:name="_Toc231106126"/>
      <w:r>
        <w:rPr>
          <w:rFonts w:hint="eastAsia" w:ascii="Times New Roman" w:hAnsi="Times New Roman" w:cs="Times New Roman"/>
          <w:b/>
          <w:color w:val="000000" w:themeColor="text1"/>
          <w:sz w:val="21"/>
          <w:szCs w:val="21"/>
          <w14:textFill>
            <w14:solidFill>
              <w14:schemeClr w14:val="tx1"/>
            </w14:solidFill>
          </w14:textFill>
        </w:rPr>
        <w:t>十一、投标文件文档语言和格式</w:t>
      </w:r>
      <w:bookmarkEnd w:id="121"/>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文件应编制目录，且页码清晰准确（连续并不重复）。除专用术语外，投标文件及其所有附件须用简体中文书写。必要时，专用术语应附有中文注释。除技术规范另有规定外，投标文件使用的度量衡单位，均采用中华人民共和国法定计量单位。投标文件应用不褪色的材料书写或打印，保证其清楚、工整，相关材料的复印件应清晰可辨认。</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124" w:name="_Toc438162706"/>
      <w:r>
        <w:rPr>
          <w:rFonts w:hint="eastAsia" w:ascii="Times New Roman" w:hAnsi="Times New Roman" w:cs="Times New Roman"/>
          <w:b/>
          <w:color w:val="000000" w:themeColor="text1"/>
          <w:sz w:val="21"/>
          <w:szCs w:val="21"/>
          <w14:textFill>
            <w14:solidFill>
              <w14:schemeClr w14:val="tx1"/>
            </w14:solidFill>
          </w14:textFill>
        </w:rPr>
        <w:t>十二、投标文件的签署</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文件应用不褪色的材料书写或打印，并由投标人的法定代表人（或其授权代表人）签字并加盖投标人公章。委托代理人签字的，投标文件应附法定代表人签署的授权委托书。投标文件应尽量避免涂改、行间插字或删除。如果出现上述情况，改动之处应加盖投标人公章并由投标人的法定代表人（或授权代表人）签字确认。</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十三、投标文件的封装及标识</w:t>
      </w:r>
      <w:bookmarkEnd w:id="124"/>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详见</w:t>
      </w:r>
      <w:r>
        <w:rPr>
          <w:rFonts w:hint="eastAsia" w:ascii="Times New Roman" w:hAnsi="Times New Roman"/>
          <w:b/>
          <w:color w:val="000000" w:themeColor="text1"/>
          <w14:textFill>
            <w14:solidFill>
              <w14:schemeClr w14:val="tx1"/>
            </w14:solidFill>
          </w14:textFill>
        </w:rPr>
        <w:t>《投标须知前附表》</w:t>
      </w:r>
      <w:r>
        <w:rPr>
          <w:rFonts w:ascii="Times New Roman" w:hAnsi="Times New Roman"/>
          <w:b/>
          <w:color w:val="000000" w:themeColor="text1"/>
          <w14:textFill>
            <w14:solidFill>
              <w14:schemeClr w14:val="tx1"/>
            </w14:solidFill>
          </w14:textFill>
        </w:rPr>
        <w:t>4.3</w:t>
      </w:r>
      <w:r>
        <w:rPr>
          <w:rFonts w:hint="eastAsia" w:ascii="Times New Roman" w:hAnsi="Times New Roman"/>
          <w:color w:val="000000" w:themeColor="text1"/>
          <w14:textFill>
            <w14:solidFill>
              <w14:schemeClr w14:val="tx1"/>
            </w14:solidFill>
          </w14:textFill>
        </w:rPr>
        <w:t>。</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十四、投标文件有效期</w:t>
      </w:r>
      <w:bookmarkEnd w:id="122"/>
    </w:p>
    <w:p>
      <w:pPr>
        <w:pStyle w:val="188"/>
        <w:numPr>
          <w:ilvl w:val="1"/>
          <w:numId w:val="24"/>
        </w:numPr>
        <w:spacing w:line="360" w:lineRule="auto"/>
        <w:ind w:left="567"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投标文件的初始有效期为自递交截止时间起九十（</w:t>
      </w:r>
      <w:r>
        <w:rPr>
          <w:color w:val="000000" w:themeColor="text1"/>
          <w14:textFill>
            <w14:solidFill>
              <w14:schemeClr w14:val="tx1"/>
            </w14:solidFill>
          </w14:textFill>
        </w:rPr>
        <w:t>90</w:t>
      </w:r>
      <w:r>
        <w:rPr>
          <w:rFonts w:hint="eastAsia"/>
          <w:color w:val="000000" w:themeColor="text1"/>
          <w14:textFill>
            <w14:solidFill>
              <w14:schemeClr w14:val="tx1"/>
            </w14:solidFill>
          </w14:textFill>
        </w:rPr>
        <w:t>）日。采购人可以要求对投标文件有效期延长一次，但该延长期最长不超过三十（</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）日。</w:t>
      </w:r>
    </w:p>
    <w:p>
      <w:pPr>
        <w:pStyle w:val="188"/>
        <w:numPr>
          <w:ilvl w:val="1"/>
          <w:numId w:val="24"/>
        </w:numPr>
        <w:spacing w:line="360" w:lineRule="auto"/>
        <w:ind w:left="567"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采购人应在距投标文件有效期满二十（</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）日之前书面通知投标人，要求其延长投标文件有效期。如果投标人同意延长投标文件有效期的要求，其应在原投标文件有效期期满前以书面形式向采购人确认。</w:t>
      </w:r>
    </w:p>
    <w:p>
      <w:pPr>
        <w:pStyle w:val="188"/>
        <w:numPr>
          <w:ilvl w:val="1"/>
          <w:numId w:val="24"/>
        </w:numPr>
        <w:spacing w:line="360" w:lineRule="auto"/>
        <w:ind w:left="567"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如果采购人发出要求投标文件有效期延长的通知并在投标文件有效期届满前没有收到投标人发出同意其投标文件有效期延长的书面确认通知，则视为该投标人不接受上述延期的要求。投标人不接受延长投标文件有效期的要求，视为放弃投标，但不会导致其投标保证金被没收。</w:t>
      </w:r>
    </w:p>
    <w:bookmarkEnd w:id="123"/>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125" w:name="_Toc438162707"/>
      <w:bookmarkStart w:id="126" w:name="_Toc231106128"/>
      <w:bookmarkStart w:id="127" w:name="_Toc438162704"/>
      <w:r>
        <w:rPr>
          <w:rFonts w:hint="eastAsia" w:ascii="Times New Roman" w:hAnsi="Times New Roman" w:cs="Times New Roman"/>
          <w:b/>
          <w:color w:val="000000" w:themeColor="text1"/>
          <w:sz w:val="21"/>
          <w:szCs w:val="21"/>
          <w14:textFill>
            <w14:solidFill>
              <w14:schemeClr w14:val="tx1"/>
            </w14:solidFill>
          </w14:textFill>
        </w:rPr>
        <w:t>十五、投标文件递交</w:t>
      </w:r>
      <w:bookmarkEnd w:id="125"/>
    </w:p>
    <w:p>
      <w:pPr>
        <w:pStyle w:val="188"/>
        <w:numPr>
          <w:ilvl w:val="1"/>
          <w:numId w:val="25"/>
        </w:numPr>
        <w:spacing w:line="360" w:lineRule="auto"/>
        <w:ind w:left="567"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投标人应按《投标须知前附表》指定时间和地点，当面递交投标文件并签到，以其他方式递交的投标文件将拒收。如</w:t>
      </w:r>
      <w:r>
        <w:rPr>
          <w:rFonts w:hint="eastAsia"/>
          <w:b/>
          <w:color w:val="000000" w:themeColor="text1"/>
          <w14:textFill>
            <w14:solidFill>
              <w14:schemeClr w14:val="tx1"/>
            </w14:solidFill>
          </w14:textFill>
        </w:rPr>
        <w:t>由法定代表人亲自递交，应单独提供（投标文件正本中仍应提供）法定代表人资格证明书（格式见附件）和身份证；如由授权代表人递交，应单独提供（投标文件正本中仍应提供）法定代表人授权委托书（格式见附件，社保证明为授权委托书的附件）和身份证。</w:t>
      </w:r>
    </w:p>
    <w:p>
      <w:pPr>
        <w:pStyle w:val="188"/>
        <w:numPr>
          <w:ilvl w:val="1"/>
          <w:numId w:val="25"/>
        </w:numPr>
        <w:spacing w:line="360" w:lineRule="auto"/>
        <w:ind w:left="567"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投标文件有下列情形之一的，采购人不予受理：</w:t>
      </w:r>
    </w:p>
    <w:p>
      <w:pPr>
        <w:pStyle w:val="188"/>
        <w:numPr>
          <w:ilvl w:val="0"/>
          <w:numId w:val="26"/>
        </w:numPr>
        <w:spacing w:line="360" w:lineRule="auto"/>
        <w:ind w:left="993" w:hanging="567"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逾期送达的或者未送达指定地点的；</w:t>
      </w:r>
    </w:p>
    <w:p>
      <w:pPr>
        <w:pStyle w:val="188"/>
        <w:numPr>
          <w:ilvl w:val="0"/>
          <w:numId w:val="26"/>
        </w:numPr>
        <w:spacing w:line="360" w:lineRule="auto"/>
        <w:ind w:left="993" w:hanging="567"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投标文件未按照投标须知前附表</w:t>
      </w:r>
      <w:r>
        <w:rPr>
          <w:b/>
          <w:color w:val="000000" w:themeColor="text1"/>
          <w14:textFill>
            <w14:solidFill>
              <w14:schemeClr w14:val="tx1"/>
            </w14:solidFill>
          </w14:textFill>
        </w:rPr>
        <w:t>4.3</w:t>
      </w:r>
      <w:r>
        <w:rPr>
          <w:rFonts w:hint="eastAsia"/>
          <w:b/>
          <w:color w:val="000000" w:themeColor="text1"/>
          <w14:textFill>
            <w14:solidFill>
              <w14:schemeClr w14:val="tx1"/>
            </w14:solidFill>
          </w14:textFill>
        </w:rPr>
        <w:t>的要求予以装订、密封和标记的。</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十六、投标文件的补充</w:t>
      </w:r>
      <w:bookmarkEnd w:id="126"/>
      <w:r>
        <w:rPr>
          <w:rFonts w:hint="eastAsia" w:ascii="Times New Roman" w:hAnsi="Times New Roman" w:cs="Times New Roman"/>
          <w:b/>
          <w:color w:val="000000" w:themeColor="text1"/>
          <w:sz w:val="21"/>
          <w:szCs w:val="21"/>
          <w14:textFill>
            <w14:solidFill>
              <w14:schemeClr w14:val="tx1"/>
            </w14:solidFill>
          </w14:textFill>
        </w:rPr>
        <w:t>和修改</w:t>
      </w:r>
      <w:bookmarkEnd w:id="127"/>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投标人提交的用以补充或修改其投标文件的进一步文件，须在投标文件递交截止时间之前递交才会被采购人接受，评审阶段投标人对评标委员会澄清要求的答复除外。</w:t>
      </w:r>
    </w:p>
    <w:p>
      <w:pPr>
        <w:pStyle w:val="4"/>
        <w:rPr>
          <w:color w:val="000000" w:themeColor="text1"/>
          <w14:textFill>
            <w14:solidFill>
              <w14:schemeClr w14:val="tx1"/>
            </w14:solidFill>
          </w14:textFill>
        </w:rPr>
      </w:pPr>
      <w:bookmarkStart w:id="128" w:name="_Toc522635480"/>
      <w:r>
        <w:rPr>
          <w:rFonts w:hint="eastAsia"/>
          <w:color w:val="000000" w:themeColor="text1"/>
          <w14:textFill>
            <w14:solidFill>
              <w14:schemeClr w14:val="tx1"/>
            </w14:solidFill>
          </w14:textFill>
        </w:rPr>
        <w:t>第四节</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开标、评审、谈判及定标</w:t>
      </w:r>
      <w:bookmarkEnd w:id="110"/>
      <w:bookmarkEnd w:id="111"/>
      <w:bookmarkEnd w:id="112"/>
      <w:bookmarkEnd w:id="113"/>
      <w:bookmarkEnd w:id="114"/>
      <w:bookmarkEnd w:id="115"/>
      <w:bookmarkEnd w:id="116"/>
      <w:bookmarkEnd w:id="117"/>
      <w:bookmarkEnd w:id="118"/>
      <w:bookmarkEnd w:id="119"/>
      <w:bookmarkEnd w:id="128"/>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129" w:name="_Toc438162709"/>
      <w:r>
        <w:rPr>
          <w:rFonts w:hint="eastAsia" w:ascii="Times New Roman" w:hAnsi="Times New Roman" w:cs="Times New Roman"/>
          <w:b/>
          <w:color w:val="000000" w:themeColor="text1"/>
          <w:sz w:val="21"/>
          <w:szCs w:val="21"/>
          <w14:textFill>
            <w14:solidFill>
              <w14:schemeClr w14:val="tx1"/>
            </w14:solidFill>
          </w14:textFill>
        </w:rPr>
        <w:t>十七、开标</w:t>
      </w:r>
    </w:p>
    <w:p>
      <w:pPr>
        <w:pStyle w:val="188"/>
        <w:numPr>
          <w:ilvl w:val="0"/>
          <w:numId w:val="27"/>
        </w:numPr>
        <w:spacing w:line="360" w:lineRule="auto"/>
        <w:ind w:left="567"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采购人将于投标须知前附表第</w:t>
      </w:r>
      <w:r>
        <w:rPr>
          <w:color w:val="000000" w:themeColor="text1"/>
          <w14:textFill>
            <w14:solidFill>
              <w14:schemeClr w14:val="tx1"/>
            </w14:solidFill>
          </w14:textFill>
        </w:rPr>
        <w:t>5.3</w:t>
      </w:r>
      <w:r>
        <w:rPr>
          <w:rFonts w:hint="eastAsia"/>
          <w:color w:val="000000" w:themeColor="text1"/>
          <w14:textFill>
            <w14:solidFill>
              <w14:schemeClr w14:val="tx1"/>
            </w14:solidFill>
          </w14:textFill>
        </w:rPr>
        <w:t>项规定的时间和地点举行开标会议，采购人邀请投标人的法定代表人（或授权代表人）参加开标会议，</w:t>
      </w:r>
      <w:r>
        <w:rPr>
          <w:rFonts w:hint="eastAsia"/>
          <w:b/>
          <w:color w:val="000000" w:themeColor="text1"/>
          <w14:textFill>
            <w14:solidFill>
              <w14:schemeClr w14:val="tx1"/>
            </w14:solidFill>
          </w14:textFill>
        </w:rPr>
        <w:t>并带身份证和授权委托书（投标人法定代表人亲自参加不需要）等身份证明原件</w:t>
      </w:r>
      <w:r>
        <w:rPr>
          <w:rFonts w:hint="eastAsia"/>
          <w:color w:val="000000" w:themeColor="text1"/>
          <w14:textFill>
            <w14:solidFill>
              <w14:schemeClr w14:val="tx1"/>
            </w14:solidFill>
          </w14:textFill>
        </w:rPr>
        <w:t>，参加开标的投标人代表应签名报到，以证明其出席开标会议。未参加开标现场活动的，视同接受现场活动相关要求，相关风险自行考虑。</w:t>
      </w:r>
    </w:p>
    <w:p>
      <w:pPr>
        <w:pStyle w:val="188"/>
        <w:numPr>
          <w:ilvl w:val="0"/>
          <w:numId w:val="27"/>
        </w:numPr>
        <w:spacing w:line="360" w:lineRule="auto"/>
        <w:ind w:left="567"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开标会议在相关部门监督下，由采购人组织。</w:t>
      </w:r>
    </w:p>
    <w:p>
      <w:pPr>
        <w:pStyle w:val="188"/>
        <w:numPr>
          <w:ilvl w:val="0"/>
          <w:numId w:val="27"/>
        </w:numPr>
        <w:spacing w:line="360" w:lineRule="auto"/>
        <w:ind w:left="567"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开标程序</w:t>
      </w:r>
    </w:p>
    <w:p>
      <w:pPr>
        <w:pStyle w:val="188"/>
        <w:spacing w:line="360" w:lineRule="auto"/>
        <w:ind w:left="615" w:hanging="615" w:hangingChars="293"/>
        <w:rPr>
          <w:color w:val="000000" w:themeColor="text1"/>
          <w14:textFill>
            <w14:solidFill>
              <w14:schemeClr w14:val="tx1"/>
            </w14:solidFill>
          </w14:textFill>
        </w:rPr>
      </w:pPr>
      <w:r>
        <w:rPr>
          <w:color w:val="000000" w:themeColor="text1"/>
          <w14:textFill>
            <w14:solidFill>
              <w14:schemeClr w14:val="tx1"/>
            </w14:solidFill>
          </w14:textFill>
        </w:rPr>
        <w:t>17.3.1</w:t>
      </w:r>
      <w:r>
        <w:rPr>
          <w:rFonts w:hint="eastAsia"/>
          <w:color w:val="000000" w:themeColor="text1"/>
          <w14:textFill>
            <w14:solidFill>
              <w14:schemeClr w14:val="tx1"/>
            </w14:solidFill>
          </w14:textFill>
        </w:rPr>
        <w:t>开标时由投标人或其推选的代表查验投标文件密封情况。经确认无误后，由工作人员当众拆封唱标。</w:t>
      </w:r>
    </w:p>
    <w:p>
      <w:pPr>
        <w:pStyle w:val="188"/>
        <w:spacing w:line="360" w:lineRule="auto"/>
        <w:ind w:left="615" w:hanging="615" w:hangingChars="293"/>
        <w:rPr>
          <w:color w:val="000000" w:themeColor="text1"/>
          <w14:textFill>
            <w14:solidFill>
              <w14:schemeClr w14:val="tx1"/>
            </w14:solidFill>
          </w14:textFill>
        </w:rPr>
      </w:pPr>
      <w:r>
        <w:rPr>
          <w:color w:val="000000" w:themeColor="text1"/>
          <w14:textFill>
            <w14:solidFill>
              <w14:schemeClr w14:val="tx1"/>
            </w14:solidFill>
          </w14:textFill>
        </w:rPr>
        <w:t>17.3.2</w:t>
      </w:r>
      <w:r>
        <w:rPr>
          <w:rFonts w:hint="eastAsia"/>
          <w:color w:val="000000" w:themeColor="text1"/>
          <w14:textFill>
            <w14:solidFill>
              <w14:schemeClr w14:val="tx1"/>
            </w14:solidFill>
          </w14:textFill>
        </w:rPr>
        <w:t>采购人在招标文件要求递交投标文件的截止时间前收到的投标文件，开标时都将当众予以拆封、宣读。</w:t>
      </w:r>
      <w:bookmarkStart w:id="130" w:name="_Hlk521425375"/>
      <w:r>
        <w:rPr>
          <w:rFonts w:hint="eastAsia"/>
          <w:color w:val="000000" w:themeColor="text1"/>
          <w14:textFill>
            <w14:solidFill>
              <w14:schemeClr w14:val="tx1"/>
            </w14:solidFill>
          </w14:textFill>
        </w:rPr>
        <w:t>开标时先开启技术标，再开启资信标，待资信标和技术标评审得分统计并公布后再开启商务报价标。</w:t>
      </w:r>
      <w:bookmarkEnd w:id="130"/>
    </w:p>
    <w:p>
      <w:pPr>
        <w:spacing w:line="360" w:lineRule="auto"/>
        <w:ind w:left="615" w:hanging="615" w:hangingChars="293"/>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17.3.3</w:t>
      </w:r>
      <w:r>
        <w:rPr>
          <w:rFonts w:hint="eastAsia" w:ascii="Times New Roman" w:hAnsi="Times New Roman"/>
          <w:color w:val="000000" w:themeColor="text1"/>
          <w14:textFill>
            <w14:solidFill>
              <w14:schemeClr w14:val="tx1"/>
            </w14:solidFill>
          </w14:textFill>
        </w:rPr>
        <w:t>采购人对开标过程进行记录，并存档备查。</w:t>
      </w:r>
    </w:p>
    <w:p>
      <w:pPr>
        <w:pStyle w:val="188"/>
        <w:numPr>
          <w:ilvl w:val="0"/>
          <w:numId w:val="27"/>
        </w:numPr>
        <w:spacing w:line="360" w:lineRule="auto"/>
        <w:ind w:left="567"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投标人对开标有异议的，应当在开标现场提出，采购人应当当场作出答复，并制作记录。</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十八、评审</w:t>
      </w:r>
    </w:p>
    <w:p>
      <w:pPr>
        <w:pStyle w:val="188"/>
        <w:numPr>
          <w:ilvl w:val="0"/>
          <w:numId w:val="28"/>
        </w:numPr>
        <w:spacing w:line="360" w:lineRule="auto"/>
        <w:ind w:left="567"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评标委员会</w:t>
      </w:r>
      <w:bookmarkEnd w:id="129"/>
    </w:p>
    <w:p>
      <w:pPr>
        <w:spacing w:line="360" w:lineRule="auto"/>
        <w:ind w:left="567" w:hanging="567" w:hangingChars="27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18.1.1</w:t>
      </w:r>
      <w:r>
        <w:rPr>
          <w:rFonts w:hint="eastAsia" w:ascii="Times New Roman" w:hAnsi="Times New Roman"/>
          <w:color w:val="000000" w:themeColor="text1"/>
          <w14:textFill>
            <w14:solidFill>
              <w14:schemeClr w14:val="tx1"/>
            </w14:solidFill>
          </w14:textFill>
        </w:rPr>
        <w:t>本项目评标委员会由采购人依法组建，其成员名单在投标文件开启前确定，具体组成详见《投标须知前附表》</w:t>
      </w:r>
      <w:r>
        <w:rPr>
          <w:rFonts w:ascii="Times New Roman" w:hAnsi="Times New Roman"/>
          <w:color w:val="000000" w:themeColor="text1"/>
          <w14:textFill>
            <w14:solidFill>
              <w14:schemeClr w14:val="tx1"/>
            </w14:solidFill>
          </w14:textFill>
        </w:rPr>
        <w:t>5.4</w:t>
      </w:r>
      <w:r>
        <w:rPr>
          <w:rFonts w:hint="eastAsia" w:ascii="Times New Roman" w:hAnsi="Times New Roman"/>
          <w:color w:val="000000" w:themeColor="text1"/>
          <w14:textFill>
            <w14:solidFill>
              <w14:schemeClr w14:val="tx1"/>
            </w14:solidFill>
          </w14:textFill>
        </w:rPr>
        <w:t>。评标委员会成员名单在中标结果确定前保密。</w:t>
      </w:r>
    </w:p>
    <w:p>
      <w:pPr>
        <w:spacing w:line="360" w:lineRule="auto"/>
        <w:ind w:left="567" w:hanging="567" w:hangingChars="27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18.1.2</w:t>
      </w:r>
      <w:r>
        <w:rPr>
          <w:rFonts w:hint="eastAsia" w:ascii="Times New Roman" w:hAnsi="Times New Roman"/>
          <w:color w:val="000000" w:themeColor="text1"/>
          <w14:textFill>
            <w14:solidFill>
              <w14:schemeClr w14:val="tx1"/>
            </w14:solidFill>
          </w14:textFill>
        </w:rPr>
        <w:t>评审现场由全体评标委员会成员推举产生评标委员会主任委员一名，主持本项目评审工作。</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18.1.3</w:t>
      </w:r>
      <w:r>
        <w:rPr>
          <w:rFonts w:hint="eastAsia" w:ascii="Times New Roman" w:hAnsi="Times New Roman"/>
          <w:color w:val="000000" w:themeColor="text1"/>
          <w14:textFill>
            <w14:solidFill>
              <w14:schemeClr w14:val="tx1"/>
            </w14:solidFill>
          </w14:textFill>
        </w:rPr>
        <w:t>评标委员会成员有下列情形之一的，应当回避：</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）采购人或投标人的主要负责人的近亲属；</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）与投标人经济利益关系，可能影响对投标公正评审的；</w:t>
      </w:r>
    </w:p>
    <w:p>
      <w:pPr>
        <w:spacing w:line="360" w:lineRule="auto"/>
        <w:ind w:left="934" w:leftChars="201" w:hanging="512" w:hangingChars="2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）曾因在招标采购、评标以及其他与招标投标、政府采购有关活动中从事违法行为而受过行政处罚或刑事处罚的。</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18.1.4</w:t>
      </w:r>
      <w:r>
        <w:rPr>
          <w:rFonts w:hint="eastAsia" w:ascii="Times New Roman" w:hAnsi="Times New Roman"/>
          <w:color w:val="000000" w:themeColor="text1"/>
          <w14:textFill>
            <w14:solidFill>
              <w14:schemeClr w14:val="tx1"/>
            </w14:solidFill>
          </w14:textFill>
        </w:rPr>
        <w:t>评标原则</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评标委员会成员应当客观、公正地履行职责，遵守职业道德，对所提出的评审意见承担个人责任；评标委员会成员及工作人员应对整个评审活动保密。</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评标委员会做出的决定必须征得半数以上评标委员会成员的同意，招标文件另有约定的除外。</w:t>
      </w:r>
    </w:p>
    <w:p>
      <w:pPr>
        <w:spacing w:line="360" w:lineRule="auto"/>
        <w:ind w:left="567" w:hanging="567" w:hangingChars="27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18.1.5</w:t>
      </w:r>
      <w:r>
        <w:rPr>
          <w:rFonts w:hint="eastAsia" w:ascii="Times New Roman" w:hAnsi="Times New Roman"/>
          <w:color w:val="000000" w:themeColor="text1"/>
          <w14:textFill>
            <w14:solidFill>
              <w14:schemeClr w14:val="tx1"/>
            </w14:solidFill>
          </w14:textFill>
        </w:rPr>
        <w:t>采购人将设立评审技术服务工作组，负责评审过程中的统计、计算和评审资料整理等技术服务工作。</w:t>
      </w:r>
    </w:p>
    <w:p>
      <w:pPr>
        <w:pStyle w:val="188"/>
        <w:numPr>
          <w:ilvl w:val="0"/>
          <w:numId w:val="28"/>
        </w:numPr>
        <w:spacing w:line="360" w:lineRule="auto"/>
        <w:ind w:left="567"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评审</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18.2.1</w:t>
      </w:r>
      <w:r>
        <w:rPr>
          <w:rFonts w:hint="eastAsia" w:ascii="Times New Roman" w:hAnsi="Times New Roman"/>
          <w:color w:val="000000" w:themeColor="text1"/>
          <w14:textFill>
            <w14:solidFill>
              <w14:schemeClr w14:val="tx1"/>
            </w14:solidFill>
          </w14:textFill>
        </w:rPr>
        <w:t>评审方法和流程</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本项目采用综合评分法，由评标委员会对投标人递交的投标文件进行综合评审和打分。</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在进行评审之前，评标委员会应认真研究招标文件，了解和熟悉以下内容：招标项目概况；招标内容；招标文件中规定的主要要求、边界条件和商务条款；本文件规定的评审程序、评审方法、评审标准。</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评标委员会将根据评审细则对投标文件进行综合评审，每个评标委员会成员就投标人的资信标、技术标分别打分。</w:t>
      </w:r>
      <w:r>
        <w:rPr>
          <w:rFonts w:hint="eastAsia" w:ascii="Times New Roman" w:hAnsi="Times New Roman"/>
          <w:b/>
          <w:color w:val="000000" w:themeColor="text1"/>
          <w14:textFill>
            <w14:solidFill>
              <w14:schemeClr w14:val="tx1"/>
            </w14:solidFill>
          </w14:textFill>
        </w:rPr>
        <w:t>根据《浙江省政府采购活动现场组织管理办法》的通知（浙财采监〔</w:t>
      </w:r>
      <w:r>
        <w:rPr>
          <w:rFonts w:ascii="Times New Roman" w:hAnsi="Times New Roman"/>
          <w:b/>
          <w:color w:val="000000" w:themeColor="text1"/>
          <w14:textFill>
            <w14:solidFill>
              <w14:schemeClr w14:val="tx1"/>
            </w14:solidFill>
          </w14:textFill>
        </w:rPr>
        <w:t>2015</w:t>
      </w:r>
      <w:r>
        <w:rPr>
          <w:rFonts w:hint="eastAsia" w:ascii="Times New Roman" w:hAnsi="Times New Roman"/>
          <w:b/>
          <w:color w:val="000000" w:themeColor="text1"/>
          <w14:textFill>
            <w14:solidFill>
              <w14:schemeClr w14:val="tx1"/>
            </w14:solidFill>
          </w14:textFill>
        </w:rPr>
        <w:t>〕</w:t>
      </w:r>
      <w:r>
        <w:rPr>
          <w:rFonts w:ascii="Times New Roman" w:hAnsi="Times New Roman"/>
          <w:b/>
          <w:color w:val="000000" w:themeColor="text1"/>
          <w14:textFill>
            <w14:solidFill>
              <w14:schemeClr w14:val="tx1"/>
            </w14:solidFill>
          </w14:textFill>
        </w:rPr>
        <w:t>13</w:t>
      </w:r>
      <w:r>
        <w:rPr>
          <w:rFonts w:hint="eastAsia" w:ascii="Times New Roman" w:hAnsi="Times New Roman"/>
          <w:b/>
          <w:color w:val="000000" w:themeColor="text1"/>
          <w14:textFill>
            <w14:solidFill>
              <w14:schemeClr w14:val="tx1"/>
            </w14:solidFill>
          </w14:textFill>
        </w:rPr>
        <w:t>号）规定，“对明显畸高、畸低的评分（其总评分偏离平均分</w:t>
      </w:r>
      <w:r>
        <w:rPr>
          <w:rFonts w:ascii="Times New Roman" w:hAnsi="Times New Roman"/>
          <w:b/>
          <w:color w:val="000000" w:themeColor="text1"/>
          <w14:textFill>
            <w14:solidFill>
              <w14:schemeClr w14:val="tx1"/>
            </w14:solidFill>
          </w14:textFill>
        </w:rPr>
        <w:t>30%</w:t>
      </w:r>
      <w:r>
        <w:rPr>
          <w:rFonts w:hint="eastAsia" w:ascii="Times New Roman" w:hAnsi="Times New Roman"/>
          <w:b/>
          <w:color w:val="000000" w:themeColor="text1"/>
          <w14:textFill>
            <w14:solidFill>
              <w14:schemeClr w14:val="tx1"/>
            </w14:solidFill>
          </w14:textFill>
        </w:rPr>
        <w:t>以上的），评审小组组长应提醒相关评审人员进行复核或书面说明理由，评审人员拒绝说明的，由现场监督员据实记录”。</w:t>
      </w:r>
      <w:r>
        <w:rPr>
          <w:rFonts w:hint="eastAsia" w:ascii="Times New Roman" w:hAnsi="Times New Roman"/>
          <w:color w:val="000000" w:themeColor="text1"/>
          <w14:textFill>
            <w14:solidFill>
              <w14:schemeClr w14:val="tx1"/>
            </w14:solidFill>
          </w14:textFill>
        </w:rPr>
        <w:t>评标委员会成员若为</w:t>
      </w:r>
      <w:r>
        <w:rPr>
          <w:rFonts w:ascii="Times New Roman" w:hAnsi="Times New Roman"/>
          <w:color w:val="000000" w:themeColor="text1"/>
          <w14:textFill>
            <w14:solidFill>
              <w14:schemeClr w14:val="tx1"/>
            </w14:solidFill>
          </w14:textFill>
        </w:rPr>
        <w:t>7</w:t>
      </w:r>
      <w:r>
        <w:rPr>
          <w:rFonts w:hint="eastAsia" w:ascii="Times New Roman" w:hAnsi="Times New Roman"/>
          <w:color w:val="000000" w:themeColor="text1"/>
          <w14:textFill>
            <w14:solidFill>
              <w14:schemeClr w14:val="tx1"/>
            </w14:solidFill>
          </w14:textFill>
        </w:rPr>
        <w:t>人及以上，技术标打分应取掉一个最高分和一个最低分。</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评标委员会在评审结束后应编写综合评审报告，并在报告中按照得分从高到低的顺序向采购人推荐三名候选人。若投标人综合得分相同，按投标报价得分顺序排列，综合得分相同且投标报价得分相同的，由评标委员会按简单多数原则决定候选人排序。</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综合评审报告的主要内容包括：评标时间及地点；评标委员会成员名单；综合评审情况及说明；综合评审结果和候选人排序表（三名候选人）。综合评审报告应由评标委员会全体成员签字确认。对评审结论持有异议的评标委员会成员可以书面方式阐述其不同意见和理由。评标委员会成员拒绝在综合评审报告上签字且不陈述其不同意见和理由的，视为同意评审结论，评标委员会应当对此做出书面说明并记录在案。</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18.2.2</w:t>
      </w:r>
      <w:r>
        <w:rPr>
          <w:rFonts w:hint="eastAsia" w:ascii="Times New Roman" w:hAnsi="Times New Roman"/>
          <w:color w:val="000000" w:themeColor="text1"/>
          <w14:textFill>
            <w14:solidFill>
              <w14:schemeClr w14:val="tx1"/>
            </w14:solidFill>
          </w14:textFill>
        </w:rPr>
        <w:t>评审打分</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商务报价标、资信标和技术标相应各分项按照评审细则中的评分标准进行打分。</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商务报价标、资信标和技术标各分项评分之和为该投标人的最终得分。最终得分的计算方法：评委评分的算术平均值为该投标人的最终得分。如遇到招标文件中没有约定的特殊情况，将以该项所涉及的法律、法规的规定为准；如无相关法律法规规定，则以评标委员会半数以上成员通过的意见为准。</w:t>
      </w:r>
      <w:r>
        <w:rPr>
          <w:rFonts w:hint="eastAsia" w:ascii="Times New Roman" w:hAnsi="Times New Roman"/>
          <w:b/>
          <w:color w:val="000000" w:themeColor="text1"/>
          <w14:textFill>
            <w14:solidFill>
              <w14:schemeClr w14:val="tx1"/>
            </w14:solidFill>
          </w14:textFill>
        </w:rPr>
        <w:t>根据《政府采购货物和服务招标投标管理办法》</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14:textFill>
            <w14:solidFill>
              <w14:schemeClr w14:val="tx1"/>
            </w14:solidFill>
          </w14:textFill>
        </w:rPr>
        <w:t>财政部令第</w:t>
      </w:r>
      <w:r>
        <w:rPr>
          <w:rFonts w:ascii="Times New Roman" w:hAnsi="Times New Roman"/>
          <w:b/>
          <w:color w:val="000000" w:themeColor="text1"/>
          <w14:textFill>
            <w14:solidFill>
              <w14:schemeClr w14:val="tx1"/>
            </w14:solidFill>
          </w14:textFill>
        </w:rPr>
        <w:t>87</w:t>
      </w:r>
      <w:r>
        <w:rPr>
          <w:rFonts w:hint="eastAsia" w:ascii="Times New Roman" w:hAnsi="Times New Roman"/>
          <w:b/>
          <w:color w:val="000000" w:themeColor="text1"/>
          <w14:textFill>
            <w14:solidFill>
              <w14:schemeClr w14:val="tx1"/>
            </w14:solidFill>
          </w14:textFill>
        </w:rPr>
        <w:t>号</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14:textFill>
            <w14:solidFill>
              <w14:schemeClr w14:val="tx1"/>
            </w14:solidFill>
          </w14:textFill>
        </w:rPr>
        <w:t>规定，“评标委员会认为投标人的报价明显低于其他通过符合性审查投标人的报价，有可能影响产品质量或者不能诚信履约的，应当要求其在评标现场合理的时间内提供书面说明，必要时提交相关证明材料</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14:textFill>
            <w14:solidFill>
              <w14:schemeClr w14:val="tx1"/>
            </w14:solidFill>
          </w14:textFill>
        </w:rPr>
        <w:t>投标人不能证明其报价合理性的，评标委员会应当将其作为无效投标处理。”</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18.2.3</w:t>
      </w:r>
      <w:r>
        <w:rPr>
          <w:rFonts w:hint="eastAsia" w:ascii="Times New Roman" w:hAnsi="Times New Roman"/>
          <w:color w:val="000000" w:themeColor="text1"/>
          <w14:textFill>
            <w14:solidFill>
              <w14:schemeClr w14:val="tx1"/>
            </w14:solidFill>
          </w14:textFill>
        </w:rPr>
        <w:t>评审打分精度和修改</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评标委员会成员评分、插值法计算过程和计算结果按</w:t>
      </w:r>
      <w:r>
        <w:rPr>
          <w:rFonts w:ascii="Times New Roman" w:hAnsi="Times New Roman"/>
          <w:color w:val="000000" w:themeColor="text1"/>
          <w14:textFill>
            <w14:solidFill>
              <w14:schemeClr w14:val="tx1"/>
            </w14:solidFill>
          </w14:textFill>
        </w:rPr>
        <w:t>18.2.4</w:t>
      </w:r>
      <w:r>
        <w:rPr>
          <w:rFonts w:hint="eastAsia" w:ascii="Times New Roman" w:hAnsi="Times New Roman"/>
          <w:color w:val="000000" w:themeColor="text1"/>
          <w14:textFill>
            <w14:solidFill>
              <w14:schemeClr w14:val="tx1"/>
            </w14:solidFill>
          </w14:textFill>
        </w:rPr>
        <w:t>综合评审细则进行；计算各评标委员会成员打分的平均分时，保留小数点后两位，小数点后第三位四舍五入。</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评标委员会成员采用记名打分方式，在打分表中的任何改写处，均必须由该成员签字确认。</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18.2.4</w:t>
      </w:r>
      <w:r>
        <w:rPr>
          <w:rFonts w:hint="eastAsia" w:ascii="Times New Roman" w:hAnsi="Times New Roman"/>
          <w:color w:val="000000" w:themeColor="text1"/>
          <w14:textFill>
            <w14:solidFill>
              <w14:schemeClr w14:val="tx1"/>
            </w14:solidFill>
          </w14:textFill>
        </w:rPr>
        <w:t>综合评审细则</w:t>
      </w:r>
    </w:p>
    <w:p>
      <w:pPr>
        <w:spacing w:line="360" w:lineRule="auto"/>
        <w:ind w:firstLine="420"/>
        <w:rPr>
          <w:rFonts w:ascii="Times New Roman" w:hAnsi="Times New Roman"/>
          <w:color w:val="000000" w:themeColor="text1"/>
          <w14:textFill>
            <w14:solidFill>
              <w14:schemeClr w14:val="tx1"/>
            </w14:solidFill>
          </w14:textFill>
        </w:rPr>
      </w:pPr>
      <w:bookmarkStart w:id="131" w:name="_Hlk524174142"/>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）资信评审（满分</w:t>
      </w:r>
      <w:r>
        <w:rPr>
          <w:rFonts w:ascii="Times New Roman" w:hAnsi="Times New Roman"/>
          <w:color w:val="000000" w:themeColor="text1"/>
          <w14:textFill>
            <w14:solidFill>
              <w14:schemeClr w14:val="tx1"/>
            </w14:solidFill>
          </w14:textFill>
        </w:rPr>
        <w:t>20</w:t>
      </w:r>
      <w:r>
        <w:rPr>
          <w:rFonts w:hint="eastAsia" w:ascii="Times New Roman" w:hAnsi="Times New Roman"/>
          <w:color w:val="000000" w:themeColor="text1"/>
          <w14:textFill>
            <w14:solidFill>
              <w14:schemeClr w14:val="tx1"/>
            </w14:solidFill>
          </w14:textFill>
        </w:rPr>
        <w:t>分）</w:t>
      </w:r>
    </w:p>
    <w:bookmarkEnd w:id="131"/>
    <w:tbl>
      <w:tblPr>
        <w:tblStyle w:val="57"/>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845"/>
        <w:gridCol w:w="5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blHeader/>
        </w:trPr>
        <w:tc>
          <w:tcPr>
            <w:tcW w:w="2263" w:type="dxa"/>
            <w:vAlign w:val="center"/>
          </w:tcPr>
          <w:p>
            <w:pPr>
              <w:jc w:val="center"/>
              <w:rPr>
                <w:rFonts w:ascii="Times New Roman" w:hAnsi="Times New Roman"/>
                <w:color w:val="000000" w:themeColor="text1"/>
                <w14:textFill>
                  <w14:solidFill>
                    <w14:schemeClr w14:val="tx1"/>
                  </w14:solidFill>
                </w14:textFill>
              </w:rPr>
            </w:pPr>
            <w:bookmarkStart w:id="132" w:name="_Hlk524174110"/>
            <w:r>
              <w:rPr>
                <w:rFonts w:hint="eastAsia" w:ascii="Times New Roman" w:hAnsi="Times New Roman"/>
                <w:color w:val="000000" w:themeColor="text1"/>
                <w14:textFill>
                  <w14:solidFill>
                    <w14:schemeClr w14:val="tx1"/>
                  </w14:solidFill>
                </w14:textFill>
              </w:rPr>
              <w:t>评审内容</w:t>
            </w:r>
          </w:p>
        </w:tc>
        <w:tc>
          <w:tcPr>
            <w:tcW w:w="845"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分值</w:t>
            </w:r>
          </w:p>
        </w:tc>
        <w:tc>
          <w:tcPr>
            <w:tcW w:w="5676"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2263" w:type="dxa"/>
            <w:vMerge w:val="restart"/>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企业业绩</w:t>
            </w:r>
          </w:p>
        </w:tc>
        <w:tc>
          <w:tcPr>
            <w:tcW w:w="845"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w:t>
            </w:r>
          </w:p>
        </w:tc>
        <w:tc>
          <w:tcPr>
            <w:tcW w:w="5676"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施工业绩要求：</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、投标人具有</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个及以上</w:t>
            </w:r>
            <w:r>
              <w:rPr>
                <w:rFonts w:ascii="Times New Roman" w:hAnsi="Times New Roman"/>
                <w:color w:val="000000" w:themeColor="text1"/>
                <w14:textFill>
                  <w14:solidFill>
                    <w14:schemeClr w14:val="tx1"/>
                  </w14:solidFill>
                </w14:textFill>
              </w:rPr>
              <w:t>2008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日以来在中华人民共和国境内完成过采用盾构施工工艺且盾构外径</w:t>
            </w:r>
            <w:r>
              <w:rPr>
                <w:rFonts w:ascii="Times New Roman" w:hAnsi="Times New Roman"/>
                <w:color w:val="000000" w:themeColor="text1"/>
                <w14:textFill>
                  <w14:solidFill>
                    <w14:schemeClr w14:val="tx1"/>
                  </w14:solidFill>
                </w14:textFill>
              </w:rPr>
              <w:t>11</w:t>
            </w:r>
            <w:r>
              <w:rPr>
                <w:rFonts w:hint="eastAsia" w:ascii="Times New Roman" w:hAnsi="Times New Roman"/>
                <w:color w:val="000000" w:themeColor="text1"/>
                <w14:textFill>
                  <w14:solidFill>
                    <w14:schemeClr w14:val="tx1"/>
                  </w14:solidFill>
                </w14:textFill>
              </w:rPr>
              <w:t>米及以上、连续盾构段长度不低于</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公里的单洞隧道主体工程项目（须含过江，或河，或海，或湖，其中江、河、湖宽度须在</w:t>
            </w:r>
            <w:r>
              <w:rPr>
                <w:rFonts w:ascii="Times New Roman" w:hAnsi="Times New Roman"/>
                <w:color w:val="000000" w:themeColor="text1"/>
                <w14:textFill>
                  <w14:solidFill>
                    <w14:schemeClr w14:val="tx1"/>
                  </w14:solidFill>
                </w14:textFill>
              </w:rPr>
              <w:t>100</w:t>
            </w:r>
            <w:r>
              <w:rPr>
                <w:rFonts w:hint="eastAsia" w:ascii="Times New Roman" w:hAnsi="Times New Roman"/>
                <w:color w:val="000000" w:themeColor="text1"/>
                <w14:textFill>
                  <w14:solidFill>
                    <w14:schemeClr w14:val="tx1"/>
                  </w14:solidFill>
                </w14:textFill>
              </w:rPr>
              <w:t>米及以上）施工业绩（以交（竣）工验收报告载明时间为准）。符合上述要求的，有</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个得基本分</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分；若有</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个及以上符合上述要求的，再加</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分，最高加</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分。此项最高得</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分。</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、若投标人具有</w:t>
            </w:r>
            <w:r>
              <w:rPr>
                <w:rFonts w:ascii="Times New Roman" w:hAnsi="Times New Roman"/>
                <w:color w:val="000000" w:themeColor="text1"/>
                <w14:textFill>
                  <w14:solidFill>
                    <w14:schemeClr w14:val="tx1"/>
                  </w14:solidFill>
                </w14:textFill>
              </w:rPr>
              <w:t>2008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日以来在中华人民共和国境内完成过采用盾构施工工艺且盾构外径</w:t>
            </w:r>
            <w:r>
              <w:rPr>
                <w:rFonts w:ascii="Times New Roman" w:hAnsi="Times New Roman"/>
                <w:color w:val="000000" w:themeColor="text1"/>
                <w14:textFill>
                  <w14:solidFill>
                    <w14:schemeClr w14:val="tx1"/>
                  </w14:solidFill>
                </w14:textFill>
              </w:rPr>
              <w:t>14</w:t>
            </w:r>
            <w:r>
              <w:rPr>
                <w:rFonts w:hint="eastAsia" w:ascii="Times New Roman" w:hAnsi="Times New Roman"/>
                <w:color w:val="000000" w:themeColor="text1"/>
                <w14:textFill>
                  <w14:solidFill>
                    <w14:schemeClr w14:val="tx1"/>
                  </w14:solidFill>
                </w14:textFill>
              </w:rPr>
              <w:t>米及以上、连续盾构段长度不低于</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公里的单洞隧道主体工程项目（须含过江，或河，或海，或湖，其中江、河、湖宽度须在</w:t>
            </w:r>
            <w:r>
              <w:rPr>
                <w:rFonts w:ascii="Times New Roman" w:hAnsi="Times New Roman"/>
                <w:color w:val="000000" w:themeColor="text1"/>
                <w14:textFill>
                  <w14:solidFill>
                    <w14:schemeClr w14:val="tx1"/>
                  </w14:solidFill>
                </w14:textFill>
              </w:rPr>
              <w:t>100</w:t>
            </w:r>
            <w:r>
              <w:rPr>
                <w:rFonts w:hint="eastAsia" w:ascii="Times New Roman" w:hAnsi="Times New Roman"/>
                <w:color w:val="000000" w:themeColor="text1"/>
                <w14:textFill>
                  <w14:solidFill>
                    <w14:schemeClr w14:val="tx1"/>
                  </w14:solidFill>
                </w14:textFill>
              </w:rPr>
              <w:t>米及以上）施工业绩（以交（竣）工验收报告载明时间为准），符合上述要求的，有</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个得基本分</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分，每增加</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个加</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分。此项最高得</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分。</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本项最高得</w:t>
            </w:r>
            <w:r>
              <w:rPr>
                <w:rFonts w:ascii="Times New Roman" w:hAnsi="Times New Roman"/>
                <w:color w:val="000000" w:themeColor="text1"/>
                <w14:textFill>
                  <w14:solidFill>
                    <w14:schemeClr w14:val="tx1"/>
                  </w14:solidFill>
                </w14:textFill>
              </w:rPr>
              <w:t>6</w:t>
            </w:r>
            <w:r>
              <w:rPr>
                <w:rFonts w:hint="eastAsia" w:ascii="Times New Roman" w:hAnsi="Times New Roman"/>
                <w:color w:val="000000" w:themeColor="text1"/>
                <w14:textFill>
                  <w14:solidFill>
                    <w14:schemeClr w14:val="tx1"/>
                  </w14:solidFill>
                </w14:textFill>
              </w:rPr>
              <w:t>分。</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认定标准：</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）联合体投标，认定联合体成员中施工总承包方业绩。</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）若提供盾构外径</w:t>
            </w:r>
            <w:r>
              <w:rPr>
                <w:rFonts w:ascii="Times New Roman" w:hAnsi="Times New Roman"/>
                <w:color w:val="000000" w:themeColor="text1"/>
                <w14:textFill>
                  <w14:solidFill>
                    <w14:schemeClr w14:val="tx1"/>
                  </w14:solidFill>
                </w14:textFill>
              </w:rPr>
              <w:t>14</w:t>
            </w:r>
            <w:r>
              <w:rPr>
                <w:rFonts w:hint="eastAsia" w:ascii="Times New Roman" w:hAnsi="Times New Roman"/>
                <w:color w:val="000000" w:themeColor="text1"/>
                <w14:textFill>
                  <w14:solidFill>
                    <w14:schemeClr w14:val="tx1"/>
                  </w14:solidFill>
                </w14:textFill>
              </w:rPr>
              <w:t>米及以上的项目业绩同时符合上述</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项评分要求，本项业绩可同时加分。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2263" w:type="dxa"/>
            <w:vMerge w:val="continue"/>
            <w:vAlign w:val="center"/>
          </w:tcPr>
          <w:p>
            <w:pPr>
              <w:jc w:val="center"/>
              <w:rPr>
                <w:rFonts w:ascii="Times New Roman" w:hAnsi="Times New Roman"/>
                <w:color w:val="000000" w:themeColor="text1"/>
                <w14:textFill>
                  <w14:solidFill>
                    <w14:schemeClr w14:val="tx1"/>
                  </w14:solidFill>
                </w14:textFill>
              </w:rPr>
            </w:pPr>
          </w:p>
        </w:tc>
        <w:tc>
          <w:tcPr>
            <w:tcW w:w="845"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5676"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运营业绩要求：投标人或投标人子公司具有</w:t>
            </w:r>
            <w:r>
              <w:rPr>
                <w:rFonts w:ascii="Times New Roman" w:hAnsi="Times New Roman"/>
                <w:color w:val="000000" w:themeColor="text1"/>
                <w14:textFill>
                  <w14:solidFill>
                    <w14:schemeClr w14:val="tx1"/>
                  </w14:solidFill>
                </w14:textFill>
              </w:rPr>
              <w:t>2008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日以来在中华人民共和国境内具有采用盾构施工工艺且盾构外径</w:t>
            </w:r>
            <w:r>
              <w:rPr>
                <w:rFonts w:ascii="Times New Roman" w:hAnsi="Times New Roman"/>
                <w:color w:val="000000" w:themeColor="text1"/>
                <w14:textFill>
                  <w14:solidFill>
                    <w14:schemeClr w14:val="tx1"/>
                  </w14:solidFill>
                </w14:textFill>
              </w:rPr>
              <w:t>11</w:t>
            </w:r>
            <w:r>
              <w:rPr>
                <w:rFonts w:hint="eastAsia" w:ascii="Times New Roman" w:hAnsi="Times New Roman"/>
                <w:color w:val="000000" w:themeColor="text1"/>
                <w14:textFill>
                  <w14:solidFill>
                    <w14:schemeClr w14:val="tx1"/>
                  </w14:solidFill>
                </w14:textFill>
              </w:rPr>
              <w:t>米及以上隧道工程运营业绩（以运营业绩合同载明时间为准），符合上述要求的，每有</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个得</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分，本项最高得</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分。</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认定标准：联合体投标，认定联合体成员中的一方或其子公司业绩。</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运营业绩指承担隧道工程运行养护业绩。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226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项目经理</w:t>
            </w:r>
          </w:p>
        </w:tc>
        <w:tc>
          <w:tcPr>
            <w:tcW w:w="845"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5676"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若投标人拟派的项目经理具有</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个及以上</w:t>
            </w:r>
            <w:r>
              <w:rPr>
                <w:rFonts w:ascii="Times New Roman" w:hAnsi="Times New Roman"/>
                <w:color w:val="000000" w:themeColor="text1"/>
                <w14:textFill>
                  <w14:solidFill>
                    <w14:schemeClr w14:val="tx1"/>
                  </w14:solidFill>
                </w14:textFill>
              </w:rPr>
              <w:t>2008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日以来在中华人民共和国境内完成过采用盾构施工工艺且盾构外径</w:t>
            </w:r>
            <w:r>
              <w:rPr>
                <w:rFonts w:ascii="Times New Roman" w:hAnsi="Times New Roman"/>
                <w:color w:val="000000" w:themeColor="text1"/>
                <w14:textFill>
                  <w14:solidFill>
                    <w14:schemeClr w14:val="tx1"/>
                  </w14:solidFill>
                </w14:textFill>
              </w:rPr>
              <w:t>11</w:t>
            </w:r>
            <w:r>
              <w:rPr>
                <w:rFonts w:hint="eastAsia" w:ascii="Times New Roman" w:hAnsi="Times New Roman"/>
                <w:color w:val="000000" w:themeColor="text1"/>
                <w14:textFill>
                  <w14:solidFill>
                    <w14:schemeClr w14:val="tx1"/>
                  </w14:solidFill>
                </w14:textFill>
              </w:rPr>
              <w:t>米及以上、连续盾构段长度不低于</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公里的单洞隧道主体工程项目（须含过江，或河，或海，或湖，其中江、河、湖宽度须在</w:t>
            </w:r>
            <w:r>
              <w:rPr>
                <w:rFonts w:ascii="Times New Roman" w:hAnsi="Times New Roman"/>
                <w:color w:val="000000" w:themeColor="text1"/>
                <w14:textFill>
                  <w14:solidFill>
                    <w14:schemeClr w14:val="tx1"/>
                  </w14:solidFill>
                </w14:textFill>
              </w:rPr>
              <w:t>100</w:t>
            </w:r>
            <w:r>
              <w:rPr>
                <w:rFonts w:hint="eastAsia" w:ascii="Times New Roman" w:hAnsi="Times New Roman"/>
                <w:color w:val="000000" w:themeColor="text1"/>
                <w14:textFill>
                  <w14:solidFill>
                    <w14:schemeClr w14:val="tx1"/>
                  </w14:solidFill>
                </w14:textFill>
              </w:rPr>
              <w:t>米及以上）施工业绩（以交（竣）工验收报告载明时间为准），每有</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个，得</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分。</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本项最高得</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分。</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认定标准：联合体投标，认定联合体成员中的一方业绩。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226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国家级奖项</w:t>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（市政类）</w:t>
            </w:r>
          </w:p>
        </w:tc>
        <w:tc>
          <w:tcPr>
            <w:tcW w:w="845"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w:t>
            </w:r>
          </w:p>
        </w:tc>
        <w:tc>
          <w:tcPr>
            <w:tcW w:w="5676"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投标截止日前</w:t>
            </w:r>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年内（</w:t>
            </w:r>
            <w:r>
              <w:rPr>
                <w:rFonts w:ascii="Times New Roman" w:hAnsi="Times New Roman"/>
                <w:color w:val="000000" w:themeColor="text1"/>
                <w14:textFill>
                  <w14:solidFill>
                    <w14:schemeClr w14:val="tx1"/>
                  </w14:solidFill>
                </w14:textFill>
              </w:rPr>
              <w:t>2013</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9</w:t>
            </w:r>
            <w:r>
              <w:rPr>
                <w:rFonts w:hint="eastAsia" w:ascii="Times New Roman" w:hAnsi="Times New Roman"/>
                <w:color w:val="000000" w:themeColor="text1"/>
                <w14:textFill>
                  <w14:solidFill>
                    <w14:schemeClr w14:val="tx1"/>
                  </w14:solidFill>
                </w14:textFill>
              </w:rPr>
              <w:t>月至投标截止日），投标人获得过由中国市政工程协会颁发的“中国市政金杯奖”、“全国市政行业市政工程科学技术奖”；由中国施工企业管理协会颁发的“国家优质工程奖”、“国家优质工程金质奖”；由中国建筑业协会颁发“鲁班奖”；由中国土木工程学会颁发的“詹天佑奖”，由国务院颁发的“国家科技进步奖”。符合上述要求，有</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个项目的得基本分</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分，每增加</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个加</w:t>
            </w:r>
            <w:r>
              <w:rPr>
                <w:rFonts w:ascii="Times New Roman" w:hAnsi="Times New Roman"/>
                <w:color w:val="000000" w:themeColor="text1"/>
                <w14:textFill>
                  <w14:solidFill>
                    <w14:schemeClr w14:val="tx1"/>
                  </w14:solidFill>
                </w14:textFill>
              </w:rPr>
              <w:t xml:space="preserve"> 1</w:t>
            </w:r>
            <w:r>
              <w:rPr>
                <w:rFonts w:hint="eastAsia" w:ascii="Times New Roman" w:hAnsi="Times New Roman"/>
                <w:color w:val="000000" w:themeColor="text1"/>
                <w14:textFill>
                  <w14:solidFill>
                    <w14:schemeClr w14:val="tx1"/>
                  </w14:solidFill>
                </w14:textFill>
              </w:rPr>
              <w:t>分，本项最高</w:t>
            </w:r>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分。</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认定标准：</w:t>
            </w:r>
          </w:p>
          <w:p>
            <w:pPr>
              <w:pStyle w:val="331"/>
              <w:numPr>
                <w:ilvl w:val="0"/>
                <w:numId w:val="6"/>
              </w:numPr>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获奖项目应为市政工程。</w:t>
            </w:r>
          </w:p>
          <w:p>
            <w:pPr>
              <w:pStyle w:val="331"/>
              <w:numPr>
                <w:ilvl w:val="0"/>
                <w:numId w:val="6"/>
              </w:numPr>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联合体投标，认定联合体成员中的一方业绩。</w:t>
            </w:r>
          </w:p>
          <w:p>
            <w:pPr>
              <w:numPr>
                <w:ilvl w:val="0"/>
                <w:numId w:val="6"/>
              </w:num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时间认定以证书载明时间或获奖文件颁发时间。</w:t>
            </w:r>
          </w:p>
          <w:p>
            <w:pPr>
              <w:numPr>
                <w:ilvl w:val="0"/>
                <w:numId w:val="6"/>
              </w:num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一个项目只计算一个奖项。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226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企业授信余额</w:t>
            </w:r>
          </w:p>
        </w:tc>
        <w:tc>
          <w:tcPr>
            <w:tcW w:w="845"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5676"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由一家或多家银行累计出具的企业授信余额证明，</w:t>
            </w:r>
            <w:r>
              <w:rPr>
                <w:rFonts w:ascii="Times New Roman" w:hAnsi="Times New Roman"/>
                <w:color w:val="000000" w:themeColor="text1"/>
                <w14:textFill>
                  <w14:solidFill>
                    <w14:schemeClr w14:val="tx1"/>
                  </w14:solidFill>
                </w14:textFill>
              </w:rPr>
              <w:t>30</w:t>
            </w:r>
            <w:r>
              <w:rPr>
                <w:rFonts w:hint="eastAsia" w:ascii="Times New Roman" w:hAnsi="Times New Roman"/>
                <w:color w:val="000000" w:themeColor="text1"/>
                <w14:textFill>
                  <w14:solidFill>
                    <w14:schemeClr w14:val="tx1"/>
                  </w14:solidFill>
                </w14:textFill>
              </w:rPr>
              <w:t>亿元（含）人民币（或等值外币）至</w:t>
            </w:r>
            <w:r>
              <w:rPr>
                <w:rFonts w:ascii="Times New Roman" w:hAnsi="Times New Roman"/>
                <w:color w:val="000000" w:themeColor="text1"/>
                <w14:textFill>
                  <w14:solidFill>
                    <w14:schemeClr w14:val="tx1"/>
                  </w14:solidFill>
                </w14:textFill>
              </w:rPr>
              <w:t>45</w:t>
            </w:r>
            <w:r>
              <w:rPr>
                <w:rFonts w:hint="eastAsia" w:ascii="Times New Roman" w:hAnsi="Times New Roman"/>
                <w:color w:val="000000" w:themeColor="text1"/>
                <w14:textFill>
                  <w14:solidFill>
                    <w14:schemeClr w14:val="tx1"/>
                  </w14:solidFill>
                </w14:textFill>
              </w:rPr>
              <w:t>亿元（不含）人民币（或等值外币）得</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分；</w:t>
            </w:r>
            <w:r>
              <w:rPr>
                <w:rFonts w:ascii="Times New Roman" w:hAnsi="Times New Roman"/>
                <w:color w:val="000000" w:themeColor="text1"/>
                <w14:textFill>
                  <w14:solidFill>
                    <w14:schemeClr w14:val="tx1"/>
                  </w14:solidFill>
                </w14:textFill>
              </w:rPr>
              <w:t>45</w:t>
            </w:r>
            <w:r>
              <w:rPr>
                <w:rFonts w:hint="eastAsia" w:ascii="Times New Roman" w:hAnsi="Times New Roman"/>
                <w:color w:val="000000" w:themeColor="text1"/>
                <w14:textFill>
                  <w14:solidFill>
                    <w14:schemeClr w14:val="tx1"/>
                  </w14:solidFill>
                </w14:textFill>
              </w:rPr>
              <w:t>亿元（含）人民币（或等值外币）至</w:t>
            </w:r>
            <w:r>
              <w:rPr>
                <w:rFonts w:ascii="Times New Roman" w:hAnsi="Times New Roman"/>
                <w:color w:val="000000" w:themeColor="text1"/>
                <w14:textFill>
                  <w14:solidFill>
                    <w14:schemeClr w14:val="tx1"/>
                  </w14:solidFill>
                </w14:textFill>
              </w:rPr>
              <w:t xml:space="preserve"> 60</w:t>
            </w:r>
            <w:r>
              <w:rPr>
                <w:rFonts w:hint="eastAsia" w:ascii="Times New Roman" w:hAnsi="Times New Roman"/>
                <w:color w:val="000000" w:themeColor="text1"/>
                <w14:textFill>
                  <w14:solidFill>
                    <w14:schemeClr w14:val="tx1"/>
                  </w14:solidFill>
                </w14:textFill>
              </w:rPr>
              <w:t>亿元（不含）人民币（或等值外币）得</w:t>
            </w:r>
            <w:r>
              <w:rPr>
                <w:rFonts w:ascii="Times New Roman" w:hAnsi="Times New Roman"/>
                <w:color w:val="000000" w:themeColor="text1"/>
                <w14:textFill>
                  <w14:solidFill>
                    <w14:schemeClr w14:val="tx1"/>
                  </w14:solidFill>
                </w14:textFill>
              </w:rPr>
              <w:t>1.5</w:t>
            </w:r>
            <w:r>
              <w:rPr>
                <w:rFonts w:hint="eastAsia" w:ascii="Times New Roman" w:hAnsi="Times New Roman"/>
                <w:color w:val="000000" w:themeColor="text1"/>
                <w14:textFill>
                  <w14:solidFill>
                    <w14:schemeClr w14:val="tx1"/>
                  </w14:solidFill>
                </w14:textFill>
              </w:rPr>
              <w:t>分；</w:t>
            </w:r>
            <w:r>
              <w:rPr>
                <w:rFonts w:ascii="Times New Roman" w:hAnsi="Times New Roman"/>
                <w:color w:val="000000" w:themeColor="text1"/>
                <w14:textFill>
                  <w14:solidFill>
                    <w14:schemeClr w14:val="tx1"/>
                  </w14:solidFill>
                </w14:textFill>
              </w:rPr>
              <w:t>60</w:t>
            </w:r>
            <w:r>
              <w:rPr>
                <w:rFonts w:hint="eastAsia" w:ascii="Times New Roman" w:hAnsi="Times New Roman"/>
                <w:color w:val="000000" w:themeColor="text1"/>
                <w14:textFill>
                  <w14:solidFill>
                    <w14:schemeClr w14:val="tx1"/>
                  </w14:solidFill>
                </w14:textFill>
              </w:rPr>
              <w:t>亿元（含）人民币（或等值外币）及以上得</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分，本项最高</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分；不足</w:t>
            </w:r>
            <w:r>
              <w:rPr>
                <w:rFonts w:ascii="Times New Roman" w:hAnsi="Times New Roman"/>
                <w:color w:val="000000" w:themeColor="text1"/>
                <w14:textFill>
                  <w14:solidFill>
                    <w14:schemeClr w14:val="tx1"/>
                  </w14:solidFill>
                </w14:textFill>
              </w:rPr>
              <w:t>30</w:t>
            </w:r>
            <w:r>
              <w:rPr>
                <w:rFonts w:hint="eastAsia" w:ascii="Times New Roman" w:hAnsi="Times New Roman"/>
                <w:color w:val="000000" w:themeColor="text1"/>
                <w14:textFill>
                  <w14:solidFill>
                    <w14:schemeClr w14:val="tx1"/>
                  </w14:solidFill>
                </w14:textFill>
              </w:rPr>
              <w:t>亿元人民币（或等值外币）的不得分。</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认定标准：</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、企业授信余额证明开具时间认定标准为投标截止日前一个月内。</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、联合体投标，由联合体成员中任一方提供。</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、外币换算汇率以招标公告发布当日中国人民银行发布的人民币汇率中间价为准。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5" w:hRule="atLeast"/>
        </w:trPr>
        <w:tc>
          <w:tcPr>
            <w:tcW w:w="2263"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2017</w:t>
            </w:r>
            <w:r>
              <w:rPr>
                <w:rFonts w:hint="eastAsia" w:ascii="Times New Roman" w:hAnsi="Times New Roman"/>
                <w:color w:val="000000" w:themeColor="text1"/>
                <w14:textFill>
                  <w14:solidFill>
                    <w14:schemeClr w14:val="tx1"/>
                  </w14:solidFill>
                </w14:textFill>
              </w:rPr>
              <w:t>年度企业货币余额</w:t>
            </w:r>
          </w:p>
        </w:tc>
        <w:tc>
          <w:tcPr>
            <w:tcW w:w="845"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5676" w:type="dxa"/>
            <w:vAlign w:val="center"/>
          </w:tcPr>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2017</w:t>
            </w:r>
            <w:r>
              <w:rPr>
                <w:rFonts w:hint="eastAsia" w:ascii="Times New Roman" w:hAnsi="Times New Roman"/>
                <w:color w:val="000000" w:themeColor="text1"/>
                <w14:textFill>
                  <w14:solidFill>
                    <w14:schemeClr w14:val="tx1"/>
                  </w14:solidFill>
                </w14:textFill>
              </w:rPr>
              <w:t>年度经独立第三方审计机构审计的财务报告（非合并）中企业货币余额</w:t>
            </w:r>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亿元（含）人民币（或等值外币）至</w:t>
            </w:r>
            <w:r>
              <w:rPr>
                <w:rFonts w:ascii="Times New Roman" w:hAnsi="Times New Roman"/>
                <w:color w:val="000000" w:themeColor="text1"/>
                <w14:textFill>
                  <w14:solidFill>
                    <w14:schemeClr w14:val="tx1"/>
                  </w14:solidFill>
                </w14:textFill>
              </w:rPr>
              <w:t>10</w:t>
            </w:r>
            <w:r>
              <w:rPr>
                <w:rFonts w:hint="eastAsia" w:ascii="Times New Roman" w:hAnsi="Times New Roman"/>
                <w:color w:val="000000" w:themeColor="text1"/>
                <w14:textFill>
                  <w14:solidFill>
                    <w14:schemeClr w14:val="tx1"/>
                  </w14:solidFill>
                </w14:textFill>
              </w:rPr>
              <w:t>亿元（不含）人民币（或等值外币），得</w:t>
            </w:r>
            <w:r>
              <w:rPr>
                <w:rFonts w:ascii="Times New Roman" w:hAnsi="Times New Roman"/>
                <w:color w:val="000000" w:themeColor="text1"/>
                <w14:textFill>
                  <w14:solidFill>
                    <w14:schemeClr w14:val="tx1"/>
                  </w14:solidFill>
                </w14:textFill>
              </w:rPr>
              <w:t>0.5</w:t>
            </w:r>
            <w:r>
              <w:rPr>
                <w:rFonts w:hint="eastAsia" w:ascii="Times New Roman" w:hAnsi="Times New Roman"/>
                <w:color w:val="000000" w:themeColor="text1"/>
                <w14:textFill>
                  <w14:solidFill>
                    <w14:schemeClr w14:val="tx1"/>
                  </w14:solidFill>
                </w14:textFill>
              </w:rPr>
              <w:t>分；</w:t>
            </w:r>
            <w:r>
              <w:rPr>
                <w:rFonts w:ascii="Times New Roman" w:hAnsi="Times New Roman"/>
                <w:color w:val="000000" w:themeColor="text1"/>
                <w14:textFill>
                  <w14:solidFill>
                    <w14:schemeClr w14:val="tx1"/>
                  </w14:solidFill>
                </w14:textFill>
              </w:rPr>
              <w:t>10</w:t>
            </w:r>
            <w:r>
              <w:rPr>
                <w:rFonts w:hint="eastAsia" w:ascii="Times New Roman" w:hAnsi="Times New Roman"/>
                <w:color w:val="000000" w:themeColor="text1"/>
                <w14:textFill>
                  <w14:solidFill>
                    <w14:schemeClr w14:val="tx1"/>
                  </w14:solidFill>
                </w14:textFill>
              </w:rPr>
              <w:t>亿元（含）人民币（或等值外币）至</w:t>
            </w:r>
            <w:r>
              <w:rPr>
                <w:rFonts w:ascii="Times New Roman" w:hAnsi="Times New Roman"/>
                <w:color w:val="000000" w:themeColor="text1"/>
                <w14:textFill>
                  <w14:solidFill>
                    <w14:schemeClr w14:val="tx1"/>
                  </w14:solidFill>
                </w14:textFill>
              </w:rPr>
              <w:t>20</w:t>
            </w:r>
            <w:r>
              <w:rPr>
                <w:rFonts w:hint="eastAsia" w:ascii="Times New Roman" w:hAnsi="Times New Roman"/>
                <w:color w:val="000000" w:themeColor="text1"/>
                <w14:textFill>
                  <w14:solidFill>
                    <w14:schemeClr w14:val="tx1"/>
                  </w14:solidFill>
                </w14:textFill>
              </w:rPr>
              <w:t>亿元（不含）人民币（或等值外币），得</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分；</w:t>
            </w:r>
            <w:r>
              <w:rPr>
                <w:rFonts w:ascii="Times New Roman" w:hAnsi="Times New Roman"/>
                <w:color w:val="000000" w:themeColor="text1"/>
                <w14:textFill>
                  <w14:solidFill>
                    <w14:schemeClr w14:val="tx1"/>
                  </w14:solidFill>
                </w14:textFill>
              </w:rPr>
              <w:t>20</w:t>
            </w:r>
            <w:r>
              <w:rPr>
                <w:rFonts w:hint="eastAsia" w:ascii="Times New Roman" w:hAnsi="Times New Roman"/>
                <w:color w:val="000000" w:themeColor="text1"/>
                <w14:textFill>
                  <w14:solidFill>
                    <w14:schemeClr w14:val="tx1"/>
                  </w14:solidFill>
                </w14:textFill>
              </w:rPr>
              <w:t>亿元（含）人民币（或等值外币）至</w:t>
            </w:r>
            <w:r>
              <w:rPr>
                <w:rFonts w:ascii="Times New Roman" w:hAnsi="Times New Roman"/>
                <w:color w:val="000000" w:themeColor="text1"/>
                <w14:textFill>
                  <w14:solidFill>
                    <w14:schemeClr w14:val="tx1"/>
                  </w14:solidFill>
                </w14:textFill>
              </w:rPr>
              <w:t>30</w:t>
            </w:r>
            <w:r>
              <w:rPr>
                <w:rFonts w:hint="eastAsia" w:ascii="Times New Roman" w:hAnsi="Times New Roman"/>
                <w:color w:val="000000" w:themeColor="text1"/>
                <w14:textFill>
                  <w14:solidFill>
                    <w14:schemeClr w14:val="tx1"/>
                  </w14:solidFill>
                </w14:textFill>
              </w:rPr>
              <w:t>亿元（不含）人民币（或等值外币），得</w:t>
            </w:r>
            <w:r>
              <w:rPr>
                <w:rFonts w:ascii="Times New Roman" w:hAnsi="Times New Roman"/>
                <w:color w:val="000000" w:themeColor="text1"/>
                <w14:textFill>
                  <w14:solidFill>
                    <w14:schemeClr w14:val="tx1"/>
                  </w14:solidFill>
                </w14:textFill>
              </w:rPr>
              <w:t>1.5</w:t>
            </w:r>
            <w:r>
              <w:rPr>
                <w:rFonts w:hint="eastAsia" w:ascii="Times New Roman" w:hAnsi="Times New Roman"/>
                <w:color w:val="000000" w:themeColor="text1"/>
                <w14:textFill>
                  <w14:solidFill>
                    <w14:schemeClr w14:val="tx1"/>
                  </w14:solidFill>
                </w14:textFill>
              </w:rPr>
              <w:t>分；</w:t>
            </w:r>
            <w:r>
              <w:rPr>
                <w:rFonts w:ascii="Times New Roman" w:hAnsi="Times New Roman"/>
                <w:color w:val="000000" w:themeColor="text1"/>
                <w14:textFill>
                  <w14:solidFill>
                    <w14:schemeClr w14:val="tx1"/>
                  </w14:solidFill>
                </w14:textFill>
              </w:rPr>
              <w:t>30</w:t>
            </w:r>
            <w:r>
              <w:rPr>
                <w:rFonts w:hint="eastAsia" w:ascii="Times New Roman" w:hAnsi="Times New Roman"/>
                <w:color w:val="000000" w:themeColor="text1"/>
                <w14:textFill>
                  <w14:solidFill>
                    <w14:schemeClr w14:val="tx1"/>
                  </w14:solidFill>
                </w14:textFill>
              </w:rPr>
              <w:t>亿元（含）人民币（或等值外币）及以上，得</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分；不足</w:t>
            </w:r>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亿元人民币（或等值外币）的不得分，本项最高</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分。</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认定标准：</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、联合体投标，认定联合体成员中任一方。</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、外币换算汇率以招标公告发布当日中国人民银行发布的人民币汇率中间价为准。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trPr>
        <w:tc>
          <w:tcPr>
            <w:tcW w:w="226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银行存款余额</w:t>
            </w:r>
          </w:p>
        </w:tc>
        <w:tc>
          <w:tcPr>
            <w:tcW w:w="845"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5676" w:type="dxa"/>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招标公告发布之日起至投标截止日期间，任意连续的三日内，银行存款每日余额在</w:t>
            </w:r>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亿元（含）人民币（或等值外币）至</w:t>
            </w:r>
            <w:r>
              <w:rPr>
                <w:rFonts w:ascii="Times New Roman" w:hAnsi="Times New Roman"/>
                <w:color w:val="000000" w:themeColor="text1"/>
                <w14:textFill>
                  <w14:solidFill>
                    <w14:schemeClr w14:val="tx1"/>
                  </w14:solidFill>
                </w14:textFill>
              </w:rPr>
              <w:t>10</w:t>
            </w:r>
            <w:r>
              <w:rPr>
                <w:rFonts w:hint="eastAsia" w:ascii="Times New Roman" w:hAnsi="Times New Roman"/>
                <w:color w:val="000000" w:themeColor="text1"/>
                <w14:textFill>
                  <w14:solidFill>
                    <w14:schemeClr w14:val="tx1"/>
                  </w14:solidFill>
                </w14:textFill>
              </w:rPr>
              <w:t>亿元（不含）人民币（或等值外币）的，得</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分；</w:t>
            </w:r>
            <w:r>
              <w:rPr>
                <w:rFonts w:ascii="Times New Roman" w:hAnsi="Times New Roman"/>
                <w:color w:val="000000" w:themeColor="text1"/>
                <w14:textFill>
                  <w14:solidFill>
                    <w14:schemeClr w14:val="tx1"/>
                  </w14:solidFill>
                </w14:textFill>
              </w:rPr>
              <w:t>10</w:t>
            </w:r>
            <w:r>
              <w:rPr>
                <w:rFonts w:hint="eastAsia" w:ascii="Times New Roman" w:hAnsi="Times New Roman"/>
                <w:color w:val="000000" w:themeColor="text1"/>
                <w14:textFill>
                  <w14:solidFill>
                    <w14:schemeClr w14:val="tx1"/>
                  </w14:solidFill>
                </w14:textFill>
              </w:rPr>
              <w:t>亿元（含）人民币（或等值外币）及以上，得</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分；不足</w:t>
            </w:r>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亿元人民币（或等值外币）的不得分，本项最高</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分；</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认定标准：</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、提供的银行存款证明中要求每日最低额度作为评分指标，各银行出具凭证可累计计算（银行数量不超过</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家）。</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、采用各银行累计方式，各银行存款证明的对应连续期间应保持一致；</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、联合体投标，由联合体任一方提供。</w:t>
            </w:r>
            <w:r>
              <w:rPr>
                <w:rFonts w:ascii="Times New Roman" w:hAnsi="Times New Roman"/>
                <w:color w:val="000000" w:themeColor="text1"/>
                <w14:textFill>
                  <w14:solidFill>
                    <w14:schemeClr w14:val="tx1"/>
                  </w14:solidFill>
                </w14:textFill>
              </w:rPr>
              <w:t>4</w:t>
            </w:r>
            <w:r>
              <w:rPr>
                <w:rFonts w:hint="eastAsia" w:ascii="Times New Roman" w:hAnsi="Times New Roman"/>
                <w:color w:val="000000" w:themeColor="text1"/>
                <w14:textFill>
                  <w14:solidFill>
                    <w14:schemeClr w14:val="tx1"/>
                  </w14:solidFill>
                </w14:textFill>
              </w:rPr>
              <w:t>、外币换算汇率以招标公告发布当日中国人民银行发布的人民币汇率中间价为准。</w:t>
            </w:r>
          </w:p>
        </w:tc>
      </w:tr>
    </w:tbl>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）技术评审（满分</w:t>
      </w:r>
      <w:r>
        <w:rPr>
          <w:rFonts w:ascii="Times New Roman" w:hAnsi="Times New Roman"/>
          <w:color w:val="000000" w:themeColor="text1"/>
          <w14:textFill>
            <w14:solidFill>
              <w14:schemeClr w14:val="tx1"/>
            </w14:solidFill>
          </w14:textFill>
        </w:rPr>
        <w:t>30</w:t>
      </w:r>
      <w:r>
        <w:rPr>
          <w:rFonts w:hint="eastAsia" w:ascii="Times New Roman" w:hAnsi="Times New Roman"/>
          <w:color w:val="000000" w:themeColor="text1"/>
          <w14:textFill>
            <w14:solidFill>
              <w14:schemeClr w14:val="tx1"/>
            </w14:solidFill>
          </w14:textFill>
        </w:rPr>
        <w:t>分）</w:t>
      </w:r>
    </w:p>
    <w:bookmarkEnd w:id="132"/>
    <w:tbl>
      <w:tblPr>
        <w:tblStyle w:val="57"/>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845"/>
        <w:gridCol w:w="5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blHeader/>
        </w:trPr>
        <w:tc>
          <w:tcPr>
            <w:tcW w:w="226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评审内容</w:t>
            </w:r>
          </w:p>
        </w:tc>
        <w:tc>
          <w:tcPr>
            <w:tcW w:w="845"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分值</w:t>
            </w:r>
          </w:p>
        </w:tc>
        <w:tc>
          <w:tcPr>
            <w:tcW w:w="5676"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trPr>
        <w:tc>
          <w:tcPr>
            <w:tcW w:w="2263" w:type="dxa"/>
            <w:vMerge w:val="restart"/>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项目建设管理方案</w:t>
            </w:r>
          </w:p>
        </w:tc>
        <w:tc>
          <w:tcPr>
            <w:tcW w:w="845" w:type="dxa"/>
            <w:vMerge w:val="restart"/>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w:t>
            </w:r>
          </w:p>
        </w:tc>
        <w:tc>
          <w:tcPr>
            <w:tcW w:w="5676"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响应附件分项内容要求，根据项目建设管理方案（包括但不限于建设管理组织形式及人员安排、相关建设管理制度、建设总体计划、建设实施方案、竣工及试运营组织方案等）的合理性、完整性进行打分。优秀的得</w:t>
            </w:r>
            <w:r>
              <w:rPr>
                <w:rFonts w:ascii="Times New Roman" w:hAnsi="Times New Roman"/>
                <w:color w:val="000000" w:themeColor="text1"/>
                <w14:textFill>
                  <w14:solidFill>
                    <w14:schemeClr w14:val="tx1"/>
                  </w14:solidFill>
                </w14:textFill>
              </w:rPr>
              <w:t>4~5</w:t>
            </w:r>
            <w:r>
              <w:rPr>
                <w:rFonts w:hint="eastAsia" w:ascii="Times New Roman" w:hAnsi="Times New Roman"/>
                <w:color w:val="000000" w:themeColor="text1"/>
                <w14:textFill>
                  <w14:solidFill>
                    <w14:schemeClr w14:val="tx1"/>
                  </w14:solidFill>
                </w14:textFill>
              </w:rPr>
              <w:t>分；良好的得</w:t>
            </w:r>
            <w:r>
              <w:rPr>
                <w:rFonts w:ascii="Times New Roman" w:hAnsi="Times New Roman"/>
                <w:color w:val="000000" w:themeColor="text1"/>
                <w14:textFill>
                  <w14:solidFill>
                    <w14:schemeClr w14:val="tx1"/>
                  </w14:solidFill>
                </w14:textFill>
              </w:rPr>
              <w:t>3~4</w:t>
            </w:r>
            <w:r>
              <w:rPr>
                <w:rFonts w:hint="eastAsia" w:ascii="Times New Roman" w:hAnsi="Times New Roman"/>
                <w:color w:val="000000" w:themeColor="text1"/>
                <w14:textFill>
                  <w14:solidFill>
                    <w14:schemeClr w14:val="tx1"/>
                  </w14:solidFill>
                </w14:textFill>
              </w:rPr>
              <w:t>分；一般的得</w:t>
            </w:r>
            <w:r>
              <w:rPr>
                <w:rFonts w:ascii="Times New Roman" w:hAnsi="Times New Roman"/>
                <w:color w:val="000000" w:themeColor="text1"/>
                <w14:textFill>
                  <w14:solidFill>
                    <w14:schemeClr w14:val="tx1"/>
                  </w14:solidFill>
                </w14:textFill>
              </w:rPr>
              <w:t>2~3</w:t>
            </w:r>
            <w:r>
              <w:rPr>
                <w:rFonts w:hint="eastAsia" w:ascii="Times New Roman" w:hAnsi="Times New Roman"/>
                <w:color w:val="000000" w:themeColor="text1"/>
                <w14:textFill>
                  <w14:solidFill>
                    <w14:schemeClr w14:val="tx1"/>
                  </w14:solidFill>
                </w14:textFill>
              </w:rPr>
              <w:t>分。</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投标人编制专项技术难度解决方案或应急处理方案，根据方案编制合理性的优劣情况进行打分，最高得</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trPr>
        <w:tc>
          <w:tcPr>
            <w:tcW w:w="2263" w:type="dxa"/>
            <w:vMerge w:val="continue"/>
            <w:vAlign w:val="center"/>
          </w:tcPr>
          <w:p>
            <w:pPr>
              <w:jc w:val="center"/>
              <w:rPr>
                <w:rFonts w:ascii="Times New Roman" w:hAnsi="Times New Roman"/>
                <w:color w:val="000000" w:themeColor="text1"/>
                <w14:textFill>
                  <w14:solidFill>
                    <w14:schemeClr w14:val="tx1"/>
                  </w14:solidFill>
                </w14:textFill>
              </w:rPr>
            </w:pPr>
          </w:p>
        </w:tc>
        <w:tc>
          <w:tcPr>
            <w:tcW w:w="845" w:type="dxa"/>
            <w:vMerge w:val="continue"/>
            <w:vAlign w:val="center"/>
          </w:tcPr>
          <w:p>
            <w:pPr>
              <w:jc w:val="center"/>
              <w:rPr>
                <w:rFonts w:ascii="Times New Roman" w:hAnsi="Times New Roman"/>
                <w:color w:val="000000" w:themeColor="text1"/>
                <w14:textFill>
                  <w14:solidFill>
                    <w14:schemeClr w14:val="tx1"/>
                  </w14:solidFill>
                </w14:textFill>
              </w:rPr>
            </w:pPr>
          </w:p>
        </w:tc>
        <w:tc>
          <w:tcPr>
            <w:tcW w:w="5676" w:type="dxa"/>
            <w:vAlign w:val="center"/>
          </w:tcPr>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、在上述建设管理方案基础上，投标人应重点对工期进度定制有效保障机制，根据保障机制的优劣情况进行打分，最高得</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分；</w:t>
            </w:r>
            <w:r>
              <w:rPr>
                <w:rFonts w:ascii="Times New Roman" w:hAnsi="Times New Roman"/>
                <w:color w:val="000000" w:themeColor="text1"/>
                <w14:textFill>
                  <w14:solidFill>
                    <w14:schemeClr w14:val="tx1"/>
                  </w14:solidFill>
                </w14:textFill>
              </w:rPr>
              <w:t xml:space="preserve"> </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、除上述要求外，投标人能提供以下证明材料获得相应分值，最高得</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分，具体如下：</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2.1 </w:t>
            </w:r>
            <w:r>
              <w:rPr>
                <w:rFonts w:hint="eastAsia" w:ascii="Times New Roman" w:hAnsi="Times New Roman"/>
                <w:color w:val="000000" w:themeColor="text1"/>
                <w14:textFill>
                  <w14:solidFill>
                    <w14:schemeClr w14:val="tx1"/>
                  </w14:solidFill>
                </w14:textFill>
              </w:rPr>
              <w:t>投标人具有满足本项目工艺及设备要求的盾构设备（外径</w:t>
            </w:r>
            <w:r>
              <w:rPr>
                <w:rFonts w:ascii="Times New Roman" w:hAnsi="Times New Roman"/>
                <w:color w:val="000000" w:themeColor="text1"/>
                <w14:textFill>
                  <w14:solidFill>
                    <w14:schemeClr w14:val="tx1"/>
                  </w14:solidFill>
                </w14:textFill>
              </w:rPr>
              <w:t>14</w:t>
            </w:r>
            <w:r>
              <w:rPr>
                <w:rFonts w:hint="eastAsia" w:ascii="Times New Roman" w:hAnsi="Times New Roman"/>
                <w:color w:val="000000" w:themeColor="text1"/>
                <w14:textFill>
                  <w14:solidFill>
                    <w14:schemeClr w14:val="tx1"/>
                  </w14:solidFill>
                </w14:textFill>
              </w:rPr>
              <w:t>米及以上），提供购买合同或租赁协议作为证明文件（提供购买合同或租赁协议的应另行承诺设备到位时间，投标人应为购买方或租赁方，出售方或出租方应提供设备清单）。具备上述要求的得</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分。</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2.2</w:t>
            </w:r>
            <w:r>
              <w:rPr>
                <w:rFonts w:hint="eastAsia" w:ascii="Times New Roman" w:hAnsi="Times New Roman"/>
                <w:color w:val="000000" w:themeColor="text1"/>
                <w14:textFill>
                  <w14:solidFill>
                    <w14:schemeClr w14:val="tx1"/>
                  </w14:solidFill>
                </w14:textFill>
              </w:rPr>
              <w:t>投标人或投标人母公司具有满足本项目工艺及设备要求的盾构设备生产资质、维修能力（提供生产能力资质证书，若由投标人母公司提供，另行提供工商出具的股权关系证明文件），具备上述要求的加</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分。</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2.3</w:t>
            </w:r>
            <w:r>
              <w:rPr>
                <w:rFonts w:hint="eastAsia" w:ascii="Times New Roman" w:hAnsi="Times New Roman"/>
                <w:color w:val="000000" w:themeColor="text1"/>
                <w14:textFill>
                  <w14:solidFill>
                    <w14:schemeClr w14:val="tx1"/>
                  </w14:solidFill>
                </w14:textFill>
              </w:rPr>
              <w:t>未提供或未能满足上述要求的不得分。</w:t>
            </w:r>
          </w:p>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2.4</w:t>
            </w:r>
            <w:r>
              <w:rPr>
                <w:rFonts w:hint="eastAsia" w:ascii="Times New Roman" w:hAnsi="Times New Roman"/>
                <w:color w:val="000000" w:themeColor="text1"/>
                <w14:textFill>
                  <w14:solidFill>
                    <w14:schemeClr w14:val="tx1"/>
                  </w14:solidFill>
                </w14:textFill>
              </w:rPr>
              <w:t>注：同时满足上述要求不重复计分。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226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运营维护及移交方案</w:t>
            </w:r>
          </w:p>
        </w:tc>
        <w:tc>
          <w:tcPr>
            <w:tcW w:w="845"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w:t>
            </w:r>
          </w:p>
        </w:tc>
        <w:tc>
          <w:tcPr>
            <w:tcW w:w="5676"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响应附件分项内容要求，根据运营维护及移交方案（包括但不限于运营管理总体方案、商业运营方案、运营维护方案、成本管理很控制措施、安全管理与突发事件应对方案、运营报告、财务报告、环境监测报告检测等周期及提供制度、设备设施移交前恢复性大修工作方案、移交验收程序、移交过程保证正常运营措施等）的合理性、完整性进行打分。优秀的得</w:t>
            </w:r>
            <w:r>
              <w:rPr>
                <w:rFonts w:ascii="Times New Roman" w:hAnsi="Times New Roman"/>
                <w:color w:val="000000" w:themeColor="text1"/>
                <w14:textFill>
                  <w14:solidFill>
                    <w14:schemeClr w14:val="tx1"/>
                  </w14:solidFill>
                </w14:textFill>
              </w:rPr>
              <w:t>4~5</w:t>
            </w:r>
            <w:r>
              <w:rPr>
                <w:rFonts w:hint="eastAsia" w:ascii="Times New Roman" w:hAnsi="Times New Roman"/>
                <w:color w:val="000000" w:themeColor="text1"/>
                <w14:textFill>
                  <w14:solidFill>
                    <w14:schemeClr w14:val="tx1"/>
                  </w14:solidFill>
                </w14:textFill>
              </w:rPr>
              <w:t>分；良好的得</w:t>
            </w:r>
            <w:r>
              <w:rPr>
                <w:rFonts w:ascii="Times New Roman" w:hAnsi="Times New Roman"/>
                <w:color w:val="000000" w:themeColor="text1"/>
                <w14:textFill>
                  <w14:solidFill>
                    <w14:schemeClr w14:val="tx1"/>
                  </w14:solidFill>
                </w14:textFill>
              </w:rPr>
              <w:t>3~4</w:t>
            </w:r>
            <w:r>
              <w:rPr>
                <w:rFonts w:hint="eastAsia" w:ascii="Times New Roman" w:hAnsi="Times New Roman"/>
                <w:color w:val="000000" w:themeColor="text1"/>
                <w14:textFill>
                  <w14:solidFill>
                    <w14:schemeClr w14:val="tx1"/>
                  </w14:solidFill>
                </w14:textFill>
              </w:rPr>
              <w:t>分；一般的得</w:t>
            </w:r>
            <w:r>
              <w:rPr>
                <w:rFonts w:ascii="Times New Roman" w:hAnsi="Times New Roman"/>
                <w:color w:val="000000" w:themeColor="text1"/>
                <w14:textFill>
                  <w14:solidFill>
                    <w14:schemeClr w14:val="tx1"/>
                  </w14:solidFill>
                </w14:textFill>
              </w:rPr>
              <w:t>2~3</w:t>
            </w:r>
            <w:r>
              <w:rPr>
                <w:rFonts w:hint="eastAsia" w:ascii="Times New Roman" w:hAnsi="Times New Roman"/>
                <w:color w:val="000000" w:themeColor="text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4" w:hRule="atLeast"/>
        </w:trPr>
        <w:tc>
          <w:tcPr>
            <w:tcW w:w="226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融资方案</w:t>
            </w:r>
          </w:p>
        </w:tc>
        <w:tc>
          <w:tcPr>
            <w:tcW w:w="845"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w:t>
            </w:r>
          </w:p>
        </w:tc>
        <w:tc>
          <w:tcPr>
            <w:tcW w:w="5676"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响应附件分项内容要求，根据融资方案（包括但不限于融资机构、融资计划等）的合理性、完整性进行打分。优秀的得</w:t>
            </w:r>
            <w:r>
              <w:rPr>
                <w:rFonts w:ascii="Times New Roman" w:hAnsi="Times New Roman"/>
                <w:color w:val="000000" w:themeColor="text1"/>
                <w14:textFill>
                  <w14:solidFill>
                    <w14:schemeClr w14:val="tx1"/>
                  </w14:solidFill>
                </w14:textFill>
              </w:rPr>
              <w:t>4~6</w:t>
            </w:r>
            <w:r>
              <w:rPr>
                <w:rFonts w:hint="eastAsia" w:ascii="Times New Roman" w:hAnsi="Times New Roman"/>
                <w:color w:val="000000" w:themeColor="text1"/>
                <w14:textFill>
                  <w14:solidFill>
                    <w14:schemeClr w14:val="tx1"/>
                  </w14:solidFill>
                </w14:textFill>
              </w:rPr>
              <w:t>分；良好的得</w:t>
            </w:r>
            <w:r>
              <w:rPr>
                <w:rFonts w:ascii="Times New Roman" w:hAnsi="Times New Roman"/>
                <w:color w:val="000000" w:themeColor="text1"/>
                <w14:textFill>
                  <w14:solidFill>
                    <w14:schemeClr w14:val="tx1"/>
                  </w14:solidFill>
                </w14:textFill>
              </w:rPr>
              <w:t>3~4</w:t>
            </w:r>
            <w:r>
              <w:rPr>
                <w:rFonts w:hint="eastAsia" w:ascii="Times New Roman" w:hAnsi="Times New Roman"/>
                <w:color w:val="000000" w:themeColor="text1"/>
                <w14:textFill>
                  <w14:solidFill>
                    <w14:schemeClr w14:val="tx1"/>
                  </w14:solidFill>
                </w14:textFill>
              </w:rPr>
              <w:t>分；一般的得</w:t>
            </w:r>
            <w:r>
              <w:rPr>
                <w:rFonts w:ascii="Times New Roman" w:hAnsi="Times New Roman"/>
                <w:color w:val="000000" w:themeColor="text1"/>
                <w14:textFill>
                  <w14:solidFill>
                    <w14:schemeClr w14:val="tx1"/>
                  </w14:solidFill>
                </w14:textFill>
              </w:rPr>
              <w:t>2~3</w:t>
            </w:r>
            <w:r>
              <w:rPr>
                <w:rFonts w:hint="eastAsia" w:ascii="Times New Roman" w:hAnsi="Times New Roman"/>
                <w:color w:val="000000" w:themeColor="text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2263" w:type="dxa"/>
            <w:vAlign w:val="center"/>
          </w:tcPr>
          <w:p>
            <w:pPr>
              <w:jc w:val="center"/>
              <w:rPr>
                <w:rFonts w:ascii="Times New Roman" w:hAnsi="Times New Roman"/>
                <w:color w:val="000000" w:themeColor="text1"/>
                <w14:textFill>
                  <w14:solidFill>
                    <w14:schemeClr w14:val="tx1"/>
                  </w14:solidFill>
                </w14:textFill>
              </w:rPr>
            </w:pPr>
            <w:r>
              <w:rPr>
                <w:rFonts w:hint="eastAsia"/>
              </w:rPr>
              <w:t>报价财务分析</w:t>
            </w:r>
          </w:p>
        </w:tc>
        <w:tc>
          <w:tcPr>
            <w:tcW w:w="845" w:type="dxa"/>
            <w:vAlign w:val="center"/>
          </w:tcPr>
          <w:p>
            <w:pPr>
              <w:jc w:val="center"/>
              <w:rPr>
                <w:rFonts w:ascii="Times New Roman" w:hAnsi="Times New Roman"/>
                <w:color w:val="000000" w:themeColor="text1"/>
                <w14:textFill>
                  <w14:solidFill>
                    <w14:schemeClr w14:val="tx1"/>
                  </w14:solidFill>
                </w14:textFill>
              </w:rPr>
            </w:pPr>
            <w:r>
              <w:t>6</w:t>
            </w:r>
          </w:p>
        </w:tc>
        <w:tc>
          <w:tcPr>
            <w:tcW w:w="5676" w:type="dxa"/>
          </w:tcPr>
          <w:p>
            <w:pPr>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响应附件分项内容要求，根据报价财务分析（包括但不限于测算分析基础数据及参数说明、财务测算分析、财务报表等）的合理性、完整性进行打分。优秀的得</w:t>
            </w:r>
            <w:r>
              <w:rPr>
                <w:rFonts w:ascii="Times New Roman" w:hAnsi="Times New Roman"/>
                <w:color w:val="000000" w:themeColor="text1"/>
                <w14:textFill>
                  <w14:solidFill>
                    <w14:schemeClr w14:val="tx1"/>
                  </w14:solidFill>
                </w14:textFill>
              </w:rPr>
              <w:t>4~6</w:t>
            </w:r>
            <w:r>
              <w:rPr>
                <w:rFonts w:hint="eastAsia" w:ascii="Times New Roman" w:hAnsi="Times New Roman"/>
                <w:color w:val="000000" w:themeColor="text1"/>
                <w14:textFill>
                  <w14:solidFill>
                    <w14:schemeClr w14:val="tx1"/>
                  </w14:solidFill>
                </w14:textFill>
              </w:rPr>
              <w:t>分；良好的得</w:t>
            </w:r>
            <w:r>
              <w:rPr>
                <w:rFonts w:ascii="Times New Roman" w:hAnsi="Times New Roman"/>
                <w:color w:val="000000" w:themeColor="text1"/>
                <w14:textFill>
                  <w14:solidFill>
                    <w14:schemeClr w14:val="tx1"/>
                  </w14:solidFill>
                </w14:textFill>
              </w:rPr>
              <w:t>3~4</w:t>
            </w:r>
            <w:r>
              <w:rPr>
                <w:rFonts w:hint="eastAsia" w:ascii="Times New Roman" w:hAnsi="Times New Roman"/>
                <w:color w:val="000000" w:themeColor="text1"/>
                <w14:textFill>
                  <w14:solidFill>
                    <w14:schemeClr w14:val="tx1"/>
                  </w14:solidFill>
                </w14:textFill>
              </w:rPr>
              <w:t>分；一般的得</w:t>
            </w:r>
            <w:r>
              <w:rPr>
                <w:rFonts w:ascii="Times New Roman" w:hAnsi="Times New Roman"/>
                <w:color w:val="000000" w:themeColor="text1"/>
                <w14:textFill>
                  <w14:solidFill>
                    <w14:schemeClr w14:val="tx1"/>
                  </w14:solidFill>
                </w14:textFill>
              </w:rPr>
              <w:t>2~3</w:t>
            </w:r>
            <w:r>
              <w:rPr>
                <w:rFonts w:hint="eastAsia" w:ascii="Times New Roman" w:hAnsi="Times New Roman"/>
                <w:color w:val="000000" w:themeColor="text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226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法律方案</w:t>
            </w:r>
          </w:p>
        </w:tc>
        <w:tc>
          <w:tcPr>
            <w:tcW w:w="845"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p>
        </w:tc>
        <w:tc>
          <w:tcPr>
            <w:tcW w:w="5676" w:type="dxa"/>
            <w:vAlign w:val="center"/>
          </w:tcPr>
          <w:p>
            <w:pPr>
              <w:jc w:val="left"/>
              <w:rPr>
                <w:rFonts w:ascii="Times New Roman" w:hAnsi="Times New Roman"/>
                <w:b/>
                <w:color w:val="000000" w:themeColor="text1"/>
                <w:kern w:val="0"/>
                <w:szCs w:val="21"/>
                <w14:textFill>
                  <w14:solidFill>
                    <w14:schemeClr w14:val="tx1"/>
                  </w14:solidFill>
                </w14:textFill>
              </w:rPr>
            </w:pPr>
            <w:r>
              <w:rPr>
                <w:rFonts w:hint="eastAsia" w:ascii="Times New Roman" w:hAnsi="Times New Roman"/>
                <w:b/>
                <w:color w:val="000000" w:themeColor="text1"/>
                <w:kern w:val="0"/>
                <w:szCs w:val="21"/>
                <w14:textFill>
                  <w14:solidFill>
                    <w14:schemeClr w14:val="tx1"/>
                  </w14:solidFill>
                </w14:textFill>
              </w:rPr>
              <w:t>修改意见对本项目的核心边界条件有实质性修改，则为无效投标。</w:t>
            </w:r>
          </w:p>
          <w:p>
            <w:pPr>
              <w:jc w:val="lef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投标人接受项目合同全部条款得</w:t>
            </w:r>
            <w:r>
              <w:rPr>
                <w:rFonts w:ascii="Times New Roman" w:hAnsi="Times New Roman"/>
                <w:color w:val="000000" w:themeColor="text1"/>
                <w:szCs w:val="21"/>
                <w14:textFill>
                  <w14:solidFill>
                    <w14:schemeClr w14:val="tx1"/>
                  </w14:solidFill>
                </w14:textFill>
              </w:rPr>
              <w:t>3</w:t>
            </w:r>
            <w:r>
              <w:rPr>
                <w:rFonts w:hint="eastAsia" w:ascii="Times New Roman" w:hAnsi="Times New Roman"/>
                <w:color w:val="000000" w:themeColor="text1"/>
                <w:szCs w:val="21"/>
                <w14:textFill>
                  <w14:solidFill>
                    <w14:schemeClr w14:val="tx1"/>
                  </w14:solidFill>
                </w14:textFill>
              </w:rPr>
              <w:t>分。提出的修改意见有利于完善合同的，未实质增加采购人的义务、责任和风险，不扣分；提出的修改意见实质增加了采购人的义务、责任和风险，每条修改扣</w:t>
            </w:r>
            <w:r>
              <w:rPr>
                <w:rFonts w:ascii="Times New Roman" w:hAnsi="Times New Roman"/>
                <w:color w:val="000000" w:themeColor="text1"/>
                <w:szCs w:val="21"/>
                <w14:textFill>
                  <w14:solidFill>
                    <w14:schemeClr w14:val="tx1"/>
                  </w14:solidFill>
                </w14:textFill>
              </w:rPr>
              <w:t>0.5</w:t>
            </w:r>
            <w:r>
              <w:rPr>
                <w:rFonts w:hint="eastAsia" w:ascii="Times New Roman" w:hAnsi="Times New Roman"/>
                <w:color w:val="000000" w:themeColor="text1"/>
                <w:szCs w:val="21"/>
                <w14:textFill>
                  <w14:solidFill>
                    <w14:schemeClr w14:val="tx1"/>
                  </w14:solidFill>
                </w14:textFill>
              </w:rPr>
              <w:t>分，扣完为止。</w:t>
            </w:r>
          </w:p>
          <w:p>
            <w:pPr>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【说明：扣分不意味采购人接受修改意见，修改意见只作为谈判参考，最终以确认谈判为准】</w:t>
            </w:r>
          </w:p>
        </w:tc>
      </w:tr>
    </w:tbl>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注：以上各分项评分结果设评分区间的得分进制为</w:t>
      </w:r>
      <w:r>
        <w:rPr>
          <w:rFonts w:ascii="Times New Roman" w:hAnsi="Times New Roman"/>
          <w:color w:val="000000" w:themeColor="text1"/>
          <w14:textFill>
            <w14:solidFill>
              <w14:schemeClr w14:val="tx1"/>
            </w14:solidFill>
          </w14:textFill>
        </w:rPr>
        <w:t>0.5</w:t>
      </w:r>
      <w:r>
        <w:rPr>
          <w:rFonts w:hint="eastAsia" w:ascii="Times New Roman" w:hAnsi="Times New Roman"/>
          <w:color w:val="000000" w:themeColor="text1"/>
          <w14:textFill>
            <w14:solidFill>
              <w14:schemeClr w14:val="tx1"/>
            </w14:solidFill>
          </w14:textFill>
        </w:rPr>
        <w:t>分。</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）商务报价评审（满分</w:t>
      </w:r>
      <w:r>
        <w:rPr>
          <w:rFonts w:ascii="Times New Roman" w:hAnsi="Times New Roman"/>
          <w:color w:val="000000" w:themeColor="text1"/>
          <w14:textFill>
            <w14:solidFill>
              <w14:schemeClr w14:val="tx1"/>
            </w14:solidFill>
          </w14:textFill>
        </w:rPr>
        <w:t>50</w:t>
      </w:r>
      <w:r>
        <w:rPr>
          <w:rFonts w:hint="eastAsia" w:ascii="Times New Roman" w:hAnsi="Times New Roman"/>
          <w:color w:val="000000" w:themeColor="text1"/>
          <w14:textFill>
            <w14:solidFill>
              <w14:schemeClr w14:val="tx1"/>
            </w14:solidFill>
          </w14:textFill>
        </w:rPr>
        <w:t>分）</w:t>
      </w:r>
    </w:p>
    <w:p>
      <w:pPr>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经技术审查有效的投标文件进入商务报价开标计算，根据投标人报价指标（年投资回报率、建安费用下浮率、年运营维护成本）和招标设定的公式（详第一卷附件</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）计算得出的政府可行性缺口补助总额作为商务报价评标价。投标人填表计算的可行性缺口补助数值有误的根据报价指标计算结果经评标委员会验证为准。</w:t>
      </w:r>
    </w:p>
    <w:p>
      <w:pPr>
        <w:spacing w:line="360" w:lineRule="auto"/>
        <w:ind w:firstLine="422" w:firstLineChars="200"/>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本项目投标人建安费用下浮率报价不低于</w:t>
      </w:r>
      <w:r>
        <w:rPr>
          <w:rFonts w:ascii="Times New Roman" w:hAnsi="Times New Roman"/>
          <w:b/>
          <w:color w:val="000000" w:themeColor="text1"/>
          <w14:textFill>
            <w14:solidFill>
              <w14:schemeClr w14:val="tx1"/>
            </w14:solidFill>
          </w14:textFill>
        </w:rPr>
        <w:t>8%</w:t>
      </w:r>
      <w:r>
        <w:rPr>
          <w:rFonts w:hint="eastAsia" w:ascii="Times New Roman" w:hAnsi="Times New Roman"/>
          <w:b/>
          <w:color w:val="000000" w:themeColor="text1"/>
          <w14:textFill>
            <w14:solidFill>
              <w14:schemeClr w14:val="tx1"/>
            </w14:solidFill>
          </w14:textFill>
        </w:rPr>
        <w:t>，年投资回报率报价不得超出中国人民银行发布的五年以上期贷款基准利率上浮</w:t>
      </w:r>
      <w:r>
        <w:rPr>
          <w:rFonts w:ascii="Times New Roman" w:hAnsi="Times New Roman"/>
          <w:b/>
          <w:color w:val="000000" w:themeColor="text1"/>
          <w14:textFill>
            <w14:solidFill>
              <w14:schemeClr w14:val="tx1"/>
            </w14:solidFill>
          </w14:textFill>
        </w:rPr>
        <w:t>35%</w:t>
      </w:r>
      <w:r>
        <w:rPr>
          <w:rFonts w:hint="eastAsia" w:ascii="Times New Roman" w:hAnsi="Times New Roman"/>
          <w:b/>
          <w:color w:val="000000" w:themeColor="text1"/>
          <w14:textFill>
            <w14:solidFill>
              <w14:schemeClr w14:val="tx1"/>
            </w14:solidFill>
          </w14:textFill>
        </w:rPr>
        <w:t>，即</w:t>
      </w:r>
      <w:r>
        <w:rPr>
          <w:rFonts w:ascii="Times New Roman" w:hAnsi="Times New Roman"/>
          <w:b/>
          <w:color w:val="000000" w:themeColor="text1"/>
          <w14:textFill>
            <w14:solidFill>
              <w14:schemeClr w14:val="tx1"/>
            </w14:solidFill>
          </w14:textFill>
        </w:rPr>
        <w:t>6.615%</w:t>
      </w:r>
      <w:r>
        <w:rPr>
          <w:rFonts w:hint="eastAsia" w:ascii="Times New Roman" w:hAnsi="Times New Roman"/>
          <w:b/>
          <w:color w:val="000000" w:themeColor="text1"/>
          <w14:textFill>
            <w14:solidFill>
              <w14:schemeClr w14:val="tx1"/>
            </w14:solidFill>
          </w14:textFill>
        </w:rPr>
        <w:t>，年运营维护成本不高于</w:t>
      </w:r>
      <w:r>
        <w:rPr>
          <w:rFonts w:ascii="Times New Roman" w:hAnsi="Times New Roman"/>
          <w:b/>
          <w:color w:val="000000" w:themeColor="text1"/>
          <w:u w:val="single"/>
          <w14:textFill>
            <w14:solidFill>
              <w14:schemeClr w14:val="tx1"/>
            </w14:solidFill>
          </w14:textFill>
        </w:rPr>
        <w:t xml:space="preserve"> 2981.22 </w:t>
      </w:r>
      <w:r>
        <w:rPr>
          <w:rFonts w:hint="eastAsia" w:ascii="Times New Roman" w:hAnsi="Times New Roman"/>
          <w:b/>
          <w:color w:val="000000" w:themeColor="text1"/>
          <w14:textFill>
            <w14:solidFill>
              <w14:schemeClr w14:val="tx1"/>
            </w14:solidFill>
          </w14:textFill>
        </w:rPr>
        <w:t>万元</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14:textFill>
            <w14:solidFill>
              <w14:schemeClr w14:val="tx1"/>
            </w14:solidFill>
          </w14:textFill>
        </w:rPr>
        <w:t>年，超出范围则商务报价不作为有效报价，相应投标商务报价得分为零分。</w:t>
      </w:r>
    </w:p>
    <w:p>
      <w:pPr>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商务价格分应当采用低价优先法计算，即满足招标文件要求且投标价格最低的投标报价为评标基准价（政府可行性缺口补助总额报价的最低值作为评标基准价），其价格分为满分。其他投标人的价格分统一按照下列公式计算：</w:t>
      </w:r>
    </w:p>
    <w:p>
      <w:pPr>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投标报价得分</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评标基准价</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投标报价</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100</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50%</w:t>
      </w:r>
    </w:p>
    <w:p>
      <w:pPr>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商务报价得分保留至小数点后两位，小数点后第三位四舍五入。</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133" w:name="_Toc438162711"/>
      <w:r>
        <w:rPr>
          <w:rFonts w:hint="eastAsia" w:ascii="Times New Roman" w:hAnsi="Times New Roman" w:cs="Times New Roman"/>
          <w:b/>
          <w:color w:val="000000" w:themeColor="text1"/>
          <w:sz w:val="21"/>
          <w:szCs w:val="21"/>
          <w14:textFill>
            <w14:solidFill>
              <w14:schemeClr w14:val="tx1"/>
            </w14:solidFill>
          </w14:textFill>
        </w:rPr>
        <w:t>十九、无效投标情形</w:t>
      </w:r>
      <w:bookmarkEnd w:id="133"/>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投标文件出现下列情形之一的，由评标委员会初审后按无效投标处理：</w:t>
      </w:r>
    </w:p>
    <w:p>
      <w:pPr>
        <w:pStyle w:val="188"/>
        <w:numPr>
          <w:ilvl w:val="3"/>
          <w:numId w:val="29"/>
        </w:numPr>
        <w:adjustRightInd w:val="0"/>
        <w:snapToGrid w:val="0"/>
        <w:spacing w:before="120" w:beforeLines="50" w:after="120" w:afterLines="50"/>
        <w:ind w:left="910" w:hanging="59"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投标人递交两份或多份内容不同的投标文件，或在一份投标文件中对同一招标项目报有两个或多个报价，且未声明哪一个有效；</w:t>
      </w:r>
    </w:p>
    <w:p>
      <w:pPr>
        <w:pStyle w:val="188"/>
        <w:numPr>
          <w:ilvl w:val="3"/>
          <w:numId w:val="29"/>
        </w:numPr>
        <w:adjustRightInd w:val="0"/>
        <w:snapToGrid w:val="0"/>
        <w:spacing w:before="120" w:beforeLines="50" w:after="120" w:afterLines="50"/>
        <w:ind w:left="910" w:hanging="59"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投标文件有关内容未按本须知规定加盖投标人公章或未经法定代表人或其授权代表人签字或签章，由授权代表人签字或签章的，但未随投标文件一起提供有效的</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授权委托书</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原件；</w:t>
      </w:r>
    </w:p>
    <w:p>
      <w:pPr>
        <w:pStyle w:val="188"/>
        <w:numPr>
          <w:ilvl w:val="3"/>
          <w:numId w:val="29"/>
        </w:numPr>
        <w:adjustRightInd w:val="0"/>
        <w:snapToGrid w:val="0"/>
        <w:spacing w:before="120" w:beforeLines="50" w:after="120" w:afterLines="50"/>
        <w:ind w:left="910" w:hanging="59"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投标文件关键内容不全或关键字迹模糊、无法辩认的；</w:t>
      </w:r>
    </w:p>
    <w:p>
      <w:pPr>
        <w:pStyle w:val="188"/>
        <w:numPr>
          <w:ilvl w:val="3"/>
          <w:numId w:val="29"/>
        </w:numPr>
        <w:adjustRightInd w:val="0"/>
        <w:snapToGrid w:val="0"/>
        <w:spacing w:before="120" w:beforeLines="50" w:after="120" w:afterLines="50"/>
        <w:ind w:left="910" w:hanging="59"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投标人主体与资格预审时不一致的；</w:t>
      </w:r>
    </w:p>
    <w:p>
      <w:pPr>
        <w:pStyle w:val="188"/>
        <w:numPr>
          <w:ilvl w:val="3"/>
          <w:numId w:val="29"/>
        </w:numPr>
        <w:adjustRightInd w:val="0"/>
        <w:snapToGrid w:val="0"/>
        <w:spacing w:before="120" w:beforeLines="50" w:after="120" w:afterLines="50"/>
        <w:ind w:left="910" w:hanging="59"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在评标过程中，评标委员会发现投标人以他人的名义投标、恶意串通、以行贿手段谋取中标或者以其他弄虚作假方式投标的</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该投标人的投标应作无效投标处理；恶意串通的行为以法律法规规定情形为准。</w:t>
      </w:r>
    </w:p>
    <w:p>
      <w:pPr>
        <w:pStyle w:val="188"/>
        <w:numPr>
          <w:ilvl w:val="3"/>
          <w:numId w:val="29"/>
        </w:numPr>
        <w:adjustRightInd w:val="0"/>
        <w:snapToGrid w:val="0"/>
        <w:spacing w:before="120" w:beforeLines="50" w:after="120" w:afterLines="50"/>
        <w:ind w:left="910" w:hanging="59"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投标文件未能对招标文件第二章投标须知前附表</w:t>
      </w:r>
      <w:r>
        <w:rPr>
          <w:b/>
          <w:color w:val="000000" w:themeColor="text1"/>
          <w:szCs w:val="21"/>
          <w14:textFill>
            <w14:solidFill>
              <w14:schemeClr w14:val="tx1"/>
            </w14:solidFill>
          </w14:textFill>
        </w:rPr>
        <w:t>4</w:t>
      </w:r>
      <w:r>
        <w:rPr>
          <w:rFonts w:hint="eastAsia"/>
          <w:b/>
          <w:color w:val="000000" w:themeColor="text1"/>
          <w:szCs w:val="21"/>
          <w14:textFill>
            <w14:solidFill>
              <w14:schemeClr w14:val="tx1"/>
            </w14:solidFill>
          </w14:textFill>
        </w:rPr>
        <w:t>投标文件编制及递交提出的任何要求作出响应的，其投标应作无效投标处理；</w:t>
      </w:r>
    </w:p>
    <w:p>
      <w:pPr>
        <w:pStyle w:val="188"/>
        <w:numPr>
          <w:ilvl w:val="3"/>
          <w:numId w:val="29"/>
        </w:numPr>
        <w:adjustRightInd w:val="0"/>
        <w:snapToGrid w:val="0"/>
        <w:spacing w:before="120" w:beforeLines="50" w:after="120" w:afterLines="50"/>
        <w:ind w:left="910" w:hanging="59"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投标人拒不按照要求对投标文件进行澄清、说明或者补正的，评标委员会可以否决其投标；</w:t>
      </w:r>
    </w:p>
    <w:p>
      <w:pPr>
        <w:pStyle w:val="188"/>
        <w:numPr>
          <w:ilvl w:val="3"/>
          <w:numId w:val="29"/>
        </w:numPr>
        <w:adjustRightInd w:val="0"/>
        <w:snapToGrid w:val="0"/>
        <w:spacing w:before="120" w:beforeLines="50" w:after="120" w:afterLines="50"/>
        <w:ind w:left="910" w:hanging="59"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投标人投标文件出现重大偏差，其投标应作无效投标处理；</w:t>
      </w:r>
    </w:p>
    <w:p>
      <w:pPr>
        <w:adjustRightInd w:val="0"/>
        <w:snapToGrid w:val="0"/>
        <w:spacing w:before="120" w:beforeLines="50" w:after="120" w:afterLines="50"/>
        <w:ind w:firstLine="850" w:firstLineChars="403"/>
        <w:jc w:val="left"/>
        <w:rPr>
          <w:rFonts w:ascii="Times New Roman" w:hAnsi="Times New Roman"/>
          <w:b/>
          <w:color w:val="000000" w:themeColor="text1"/>
          <w:szCs w:val="21"/>
          <w14:textFill>
            <w14:solidFill>
              <w14:schemeClr w14:val="tx1"/>
            </w14:solidFill>
          </w14:textFill>
        </w:rPr>
      </w:pPr>
      <w:r>
        <w:rPr>
          <w:rFonts w:hint="eastAsia" w:ascii="Times New Roman" w:hAnsi="Times New Roman"/>
          <w:b/>
          <w:color w:val="000000" w:themeColor="text1"/>
          <w:szCs w:val="21"/>
          <w14:textFill>
            <w14:solidFill>
              <w14:schemeClr w14:val="tx1"/>
            </w14:solidFill>
          </w14:textFill>
        </w:rPr>
        <w:t>下列情况属于重大偏差：</w:t>
      </w:r>
    </w:p>
    <w:p>
      <w:pPr>
        <w:adjustRightInd w:val="0"/>
        <w:snapToGrid w:val="0"/>
        <w:spacing w:before="120" w:beforeLines="50" w:after="120" w:afterLines="50"/>
        <w:ind w:firstLine="850" w:firstLineChars="403"/>
        <w:jc w:val="left"/>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a</w:t>
      </w:r>
      <w:r>
        <w:rPr>
          <w:rFonts w:hint="eastAsia" w:ascii="Times New Roman" w:hAnsi="Times New Roman"/>
          <w:b/>
          <w:color w:val="000000" w:themeColor="text1"/>
          <w:szCs w:val="21"/>
          <w14:textFill>
            <w14:solidFill>
              <w14:schemeClr w14:val="tx1"/>
            </w14:solidFill>
          </w14:textFill>
        </w:rPr>
        <w:t>、投标文件中没有按照招标文件要求提供投标保证金交纳证明复印件；</w:t>
      </w:r>
    </w:p>
    <w:p>
      <w:pPr>
        <w:adjustRightInd w:val="0"/>
        <w:snapToGrid w:val="0"/>
        <w:spacing w:before="120" w:beforeLines="50" w:after="120" w:afterLines="50"/>
        <w:ind w:firstLine="850" w:firstLineChars="403"/>
        <w:jc w:val="left"/>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b</w:t>
      </w:r>
      <w:r>
        <w:rPr>
          <w:rFonts w:hint="eastAsia" w:ascii="Times New Roman" w:hAnsi="Times New Roman"/>
          <w:b/>
          <w:color w:val="000000" w:themeColor="text1"/>
          <w:szCs w:val="21"/>
          <w14:textFill>
            <w14:solidFill>
              <w14:schemeClr w14:val="tx1"/>
            </w14:solidFill>
          </w14:textFill>
        </w:rPr>
        <w:t>、投标文件没有按照招标文件的要求签字、签章和加盖公章；</w:t>
      </w:r>
    </w:p>
    <w:p>
      <w:pPr>
        <w:adjustRightInd w:val="0"/>
        <w:snapToGrid w:val="0"/>
        <w:spacing w:before="120" w:beforeLines="50" w:after="120" w:afterLines="50"/>
        <w:ind w:firstLine="850" w:firstLineChars="403"/>
        <w:jc w:val="left"/>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c</w:t>
      </w:r>
      <w:r>
        <w:rPr>
          <w:rFonts w:hint="eastAsia" w:ascii="Times New Roman" w:hAnsi="Times New Roman"/>
          <w:b/>
          <w:color w:val="000000" w:themeColor="text1"/>
          <w:szCs w:val="21"/>
          <w14:textFill>
            <w14:solidFill>
              <w14:schemeClr w14:val="tx1"/>
            </w14:solidFill>
          </w14:textFill>
        </w:rPr>
        <w:t>、投标文件附有采购人不能接受的条件；</w:t>
      </w:r>
    </w:p>
    <w:p>
      <w:pPr>
        <w:pStyle w:val="188"/>
        <w:numPr>
          <w:ilvl w:val="3"/>
          <w:numId w:val="29"/>
        </w:numPr>
        <w:adjustRightInd w:val="0"/>
        <w:snapToGrid w:val="0"/>
        <w:spacing w:before="120" w:beforeLines="50" w:after="120" w:afterLines="50"/>
        <w:ind w:left="910" w:hanging="59"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投标文件中联合体协议各成员组成、股权比例、职责分工等主要条款与资格预审申请文件中联合体协议不一致；</w:t>
      </w:r>
    </w:p>
    <w:p>
      <w:pPr>
        <w:pStyle w:val="188"/>
        <w:numPr>
          <w:ilvl w:val="3"/>
          <w:numId w:val="29"/>
        </w:numPr>
        <w:adjustRightInd w:val="0"/>
        <w:snapToGrid w:val="0"/>
        <w:spacing w:before="120" w:beforeLines="50" w:after="120" w:afterLines="50"/>
        <w:ind w:left="910" w:hanging="59"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招标文件规定的其他无效投标情况。</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134" w:name="_Toc438162712"/>
      <w:r>
        <w:rPr>
          <w:rFonts w:hint="eastAsia" w:ascii="Times New Roman" w:hAnsi="Times New Roman" w:cs="Times New Roman"/>
          <w:b/>
          <w:color w:val="000000" w:themeColor="text1"/>
          <w:sz w:val="21"/>
          <w:szCs w:val="21"/>
          <w14:textFill>
            <w14:solidFill>
              <w14:schemeClr w14:val="tx1"/>
            </w14:solidFill>
          </w14:textFill>
        </w:rPr>
        <w:t>二十、澄清及补正</w:t>
      </w:r>
      <w:bookmarkEnd w:id="134"/>
    </w:p>
    <w:p>
      <w:pPr>
        <w:pStyle w:val="188"/>
        <w:numPr>
          <w:ilvl w:val="1"/>
          <w:numId w:val="30"/>
        </w:numPr>
        <w:spacing w:line="360" w:lineRule="auto"/>
        <w:ind w:left="567"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评审过程中，评标委员会可以口头或书面形式要求投标人对所提交投标文件中不明确的内容进行书面澄清或说明，或者对</w:t>
      </w:r>
      <w:r>
        <w:rPr>
          <w:rFonts w:hint="eastAsia"/>
          <w:b/>
          <w:color w:val="000000" w:themeColor="text1"/>
          <w14:textFill>
            <w14:solidFill>
              <w14:schemeClr w14:val="tx1"/>
            </w14:solidFill>
          </w14:textFill>
        </w:rPr>
        <w:t>细微偏差</w:t>
      </w:r>
      <w:r>
        <w:rPr>
          <w:rFonts w:hint="eastAsia"/>
          <w:color w:val="000000" w:themeColor="text1"/>
          <w14:textFill>
            <w14:solidFill>
              <w14:schemeClr w14:val="tx1"/>
            </w14:solidFill>
          </w14:textFill>
        </w:rPr>
        <w:t>进行补正。有关澄清说明与答复，投标人应按评标委员会的要求以书面形式澄清和签字。评标委员会不接受投标人主动提出的澄清、说明或补正。拒不补正的，评标委员会可以否决其投标。</w:t>
      </w:r>
    </w:p>
    <w:p>
      <w:pPr>
        <w:pStyle w:val="188"/>
        <w:numPr>
          <w:ilvl w:val="1"/>
          <w:numId w:val="30"/>
        </w:numPr>
        <w:spacing w:line="360" w:lineRule="auto"/>
        <w:ind w:left="567"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澄清、说明和补正不得改变投标文件的实质性内容（算术性错误修正的除外）。投标人的书面澄清、说明和补正属于投标文件的组成部分。评标委员会对投标人提交的澄清、说明或补正有疑问的，可以要求投标人进一步澄清、说明或补正。</w:t>
      </w:r>
    </w:p>
    <w:p>
      <w:pPr>
        <w:pStyle w:val="188"/>
        <w:numPr>
          <w:ilvl w:val="1"/>
          <w:numId w:val="30"/>
        </w:numPr>
        <w:spacing w:line="360" w:lineRule="auto"/>
        <w:ind w:left="567"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评标委员会将对投标人递交的投标文件进行必要的校核，查验其是否有计算上或表达上的非重大偏差性错误，并按下述原则更正：当用数字表示的金额与用文字表示的金额不一致时，应以文字表示的金额为准。</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135" w:name="_Toc438162713"/>
      <w:r>
        <w:rPr>
          <w:rFonts w:hint="eastAsia" w:ascii="Times New Roman" w:hAnsi="Times New Roman" w:cs="Times New Roman"/>
          <w:b/>
          <w:color w:val="000000" w:themeColor="text1"/>
          <w:sz w:val="21"/>
          <w:szCs w:val="21"/>
          <w14:textFill>
            <w14:solidFill>
              <w14:schemeClr w14:val="tx1"/>
            </w14:solidFill>
          </w14:textFill>
        </w:rPr>
        <w:t>二十一、项目合同谈判及定标</w:t>
      </w:r>
      <w:bookmarkEnd w:id="135"/>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投标评审结束后，采购人将成立专门的采购结果确认谈判工作组。具体谈判及定标程序详见《投标须知前附表》</w:t>
      </w:r>
      <w:r>
        <w:rPr>
          <w:rFonts w:ascii="Times New Roman" w:hAnsi="Times New Roman"/>
          <w:color w:val="000000" w:themeColor="text1"/>
          <w14:textFill>
            <w14:solidFill>
              <w14:schemeClr w14:val="tx1"/>
            </w14:solidFill>
          </w14:textFill>
        </w:rPr>
        <w:t>5.6</w:t>
      </w:r>
      <w:r>
        <w:rPr>
          <w:rFonts w:hint="eastAsia" w:ascii="Times New Roman" w:hAnsi="Times New Roman"/>
          <w:color w:val="000000" w:themeColor="text1"/>
          <w14:textFill>
            <w14:solidFill>
              <w14:schemeClr w14:val="tx1"/>
            </w14:solidFill>
          </w14:textFill>
        </w:rPr>
        <w:t>。</w:t>
      </w:r>
    </w:p>
    <w:p>
      <w:pPr>
        <w:pStyle w:val="209"/>
        <w:spacing w:line="360" w:lineRule="auto"/>
        <w:rPr>
          <w:rFonts w:ascii="Times New Roman" w:hAnsi="Times New Roman" w:cs="Times New Roman"/>
          <w:b/>
          <w:color w:val="000000" w:themeColor="text1"/>
          <w:sz w:val="21"/>
          <w:szCs w:val="21"/>
          <w14:textFill>
            <w14:solidFill>
              <w14:schemeClr w14:val="tx1"/>
            </w14:solidFill>
          </w14:textFill>
        </w:rPr>
      </w:pPr>
      <w:bookmarkStart w:id="136" w:name="_Toc438162714"/>
      <w:r>
        <w:rPr>
          <w:rFonts w:hint="eastAsia" w:ascii="Times New Roman" w:hAnsi="Times New Roman" w:cs="Times New Roman"/>
          <w:b/>
          <w:color w:val="000000" w:themeColor="text1"/>
          <w:sz w:val="21"/>
          <w:szCs w:val="21"/>
          <w14:textFill>
            <w14:solidFill>
              <w14:schemeClr w14:val="tx1"/>
            </w14:solidFill>
          </w14:textFill>
        </w:rPr>
        <w:t>二十二、</w:t>
      </w:r>
      <w:bookmarkEnd w:id="136"/>
      <w:r>
        <w:rPr>
          <w:rFonts w:hint="eastAsia" w:ascii="Times New Roman" w:hAnsi="Times New Roman" w:cs="Times New Roman"/>
          <w:b/>
          <w:color w:val="000000" w:themeColor="text1"/>
          <w:sz w:val="21"/>
          <w:szCs w:val="21"/>
          <w14:textFill>
            <w14:solidFill>
              <w14:schemeClr w14:val="tx1"/>
            </w14:solidFill>
          </w14:textFill>
        </w:rPr>
        <w:t>废标情形</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在招标采购中，出现法律法规规定的应予废标的情形时，应予废标。</w:t>
      </w:r>
    </w:p>
    <w:p>
      <w:pPr>
        <w:pStyle w:val="209"/>
        <w:spacing w:line="360" w:lineRule="auto"/>
        <w:rPr>
          <w:rFonts w:ascii="Times New Roman" w:hAnsi="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二十三、特殊说明</w:t>
      </w:r>
    </w:p>
    <w:p>
      <w:pPr>
        <w:spacing w:line="360" w:lineRule="auto"/>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14:textFill>
            <w14:solidFill>
              <w14:schemeClr w14:val="tx1"/>
            </w14:solidFill>
          </w14:textFill>
        </w:rPr>
        <w:t>资格预审申请文件和招标文件应在规定时间内递交，投标人未通过资格预审，则不开启或不接收该投标人的投标文件，若已接收投标人的投标文件，则退还给投标人。</w:t>
      </w:r>
    </w:p>
    <w:p>
      <w:pPr>
        <w:pStyle w:val="3"/>
        <w:spacing w:line="360" w:lineRule="auto"/>
        <w:jc w:val="center"/>
        <w:rPr>
          <w:rFonts w:ascii="Times New Roman" w:hAnsi="Times New Roman"/>
          <w:color w:val="000000" w:themeColor="text1"/>
          <w:sz w:val="24"/>
          <w:szCs w:val="24"/>
          <w14:textFill>
            <w14:solidFill>
              <w14:schemeClr w14:val="tx1"/>
            </w14:solidFill>
          </w14:textFill>
        </w:rPr>
      </w:pPr>
      <w:bookmarkStart w:id="137" w:name="_附件1__投标文件第一分册格式"/>
      <w:bookmarkEnd w:id="137"/>
      <w:r>
        <w:rPr>
          <w:rFonts w:ascii="Times New Roman" w:hAnsi="Times New Roman"/>
          <w:color w:val="000000" w:themeColor="text1"/>
          <w14:textFill>
            <w14:solidFill>
              <w14:schemeClr w14:val="tx1"/>
            </w14:solidFill>
          </w14:textFill>
        </w:rPr>
        <w:br w:type="page"/>
      </w:r>
      <w:bookmarkStart w:id="138" w:name="_Toc491857542"/>
      <w:bookmarkStart w:id="139" w:name="_Toc438162715"/>
      <w:bookmarkStart w:id="140" w:name="_Toc439072982"/>
      <w:bookmarkStart w:id="141" w:name="_Toc492021859"/>
      <w:bookmarkStart w:id="142" w:name="_Toc492040649"/>
      <w:bookmarkStart w:id="143" w:name="_Toc465698634"/>
      <w:bookmarkStart w:id="144" w:name="_Toc487201025"/>
      <w:bookmarkStart w:id="145" w:name="_Toc496258649"/>
      <w:bookmarkStart w:id="146" w:name="_Toc496299712"/>
      <w:bookmarkStart w:id="147" w:name="_Toc496299876"/>
      <w:bookmarkStart w:id="148" w:name="_Toc522635481"/>
      <w:r>
        <w:rPr>
          <w:rFonts w:hint="eastAsia" w:ascii="Times New Roman" w:hAnsi="Times New Roman"/>
          <w:color w:val="000000" w:themeColor="text1"/>
          <w:sz w:val="24"/>
          <w:szCs w:val="24"/>
          <w14:textFill>
            <w14:solidFill>
              <w14:schemeClr w14:val="tx1"/>
            </w14:solidFill>
          </w14:textFill>
        </w:rPr>
        <w:t>附件</w:t>
      </w:r>
      <w:r>
        <w:rPr>
          <w:rFonts w:ascii="Times New Roman" w:hAnsi="Times New Roman"/>
          <w:color w:val="000000" w:themeColor="text1"/>
          <w:sz w:val="24"/>
          <w:szCs w:val="24"/>
          <w14:textFill>
            <w14:solidFill>
              <w14:schemeClr w14:val="tx1"/>
            </w14:solidFill>
          </w14:textFill>
        </w:rPr>
        <w:t xml:space="preserve">1  </w:t>
      </w:r>
      <w:r>
        <w:rPr>
          <w:rFonts w:hint="eastAsia" w:ascii="Times New Roman" w:hAnsi="Times New Roman"/>
          <w:color w:val="000000" w:themeColor="text1"/>
          <w:sz w:val="24"/>
          <w:szCs w:val="24"/>
          <w14:textFill>
            <w14:solidFill>
              <w14:schemeClr w14:val="tx1"/>
            </w14:solidFill>
          </w14:textFill>
        </w:rPr>
        <w:t>资信投标文件分册格式</w:t>
      </w:r>
      <w:bookmarkEnd w:id="138"/>
      <w:bookmarkEnd w:id="139"/>
      <w:bookmarkEnd w:id="140"/>
      <w:bookmarkEnd w:id="141"/>
      <w:bookmarkEnd w:id="142"/>
      <w:bookmarkEnd w:id="143"/>
      <w:bookmarkEnd w:id="144"/>
      <w:bookmarkEnd w:id="145"/>
      <w:bookmarkEnd w:id="146"/>
      <w:bookmarkEnd w:id="147"/>
      <w:bookmarkEnd w:id="148"/>
    </w:p>
    <w:p>
      <w:pPr>
        <w:pStyle w:val="4"/>
        <w:rPr>
          <w:color w:val="000000" w:themeColor="text1"/>
          <w14:textFill>
            <w14:solidFill>
              <w14:schemeClr w14:val="tx1"/>
            </w14:solidFill>
          </w14:textFill>
        </w:rPr>
      </w:pPr>
      <w:bookmarkStart w:id="149" w:name="_Toc438162716"/>
      <w:bookmarkStart w:id="150" w:name="_Toc439072983"/>
      <w:bookmarkStart w:id="151" w:name="_Toc465698635"/>
      <w:bookmarkStart w:id="152" w:name="_Toc487201026"/>
      <w:bookmarkStart w:id="153" w:name="_Toc491857543"/>
      <w:bookmarkStart w:id="154" w:name="_Toc492021860"/>
      <w:bookmarkStart w:id="155" w:name="_Toc492040650"/>
      <w:bookmarkStart w:id="156" w:name="_Toc496258650"/>
      <w:bookmarkStart w:id="157" w:name="_Toc496299713"/>
      <w:bookmarkStart w:id="158" w:name="_Toc496299877"/>
      <w:bookmarkStart w:id="159" w:name="_Toc522635482"/>
      <w:r>
        <w:rPr>
          <w:rFonts w:hint="eastAsia"/>
          <w:color w:val="000000" w:themeColor="text1"/>
          <w14:textFill>
            <w14:solidFill>
              <w14:schemeClr w14:val="tx1"/>
            </w14:solidFill>
          </w14:textFill>
        </w:rPr>
        <w:t>第一分册</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投标人综述</w:t>
      </w:r>
      <w:bookmarkEnd w:id="149"/>
      <w:bookmarkEnd w:id="150"/>
      <w:bookmarkEnd w:id="151"/>
      <w:bookmarkEnd w:id="152"/>
      <w:bookmarkEnd w:id="153"/>
      <w:bookmarkEnd w:id="154"/>
      <w:bookmarkEnd w:id="155"/>
      <w:bookmarkEnd w:id="156"/>
      <w:bookmarkEnd w:id="157"/>
      <w:bookmarkEnd w:id="158"/>
      <w:bookmarkEnd w:id="159"/>
    </w:p>
    <w:p>
      <w:pPr>
        <w:pStyle w:val="209"/>
        <w:spacing w:line="360" w:lineRule="auto"/>
        <w:jc w:val="center"/>
        <w:rPr>
          <w:rFonts w:ascii="Times New Roman" w:hAnsi="Times New Roman" w:cs="Times New Roman"/>
          <w:b/>
          <w:color w:val="000000" w:themeColor="text1"/>
          <w:sz w:val="21"/>
          <w:szCs w:val="21"/>
          <w14:textFill>
            <w14:solidFill>
              <w14:schemeClr w14:val="tx1"/>
            </w14:solidFill>
          </w14:textFill>
        </w:rPr>
      </w:pPr>
      <w:bookmarkStart w:id="160" w:name="_Toc438162717"/>
      <w:r>
        <w:rPr>
          <w:rFonts w:hint="eastAsia" w:ascii="Times New Roman" w:hAnsi="Times New Roman" w:cs="Times New Roman"/>
          <w:b/>
          <w:color w:val="000000" w:themeColor="text1"/>
          <w:sz w:val="21"/>
          <w:szCs w:val="21"/>
          <w14:textFill>
            <w14:solidFill>
              <w14:schemeClr w14:val="tx1"/>
            </w14:solidFill>
          </w14:textFill>
        </w:rPr>
        <w:t>一、投标申请书</w:t>
      </w:r>
      <w:bookmarkEnd w:id="160"/>
    </w:p>
    <w:p>
      <w:pPr>
        <w:spacing w:line="360"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杭州大江东产业集聚区公路管理所：</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一、我们非常荣幸参与</w:t>
      </w:r>
      <w:r>
        <w:rPr>
          <w:rFonts w:ascii="Times New Roman" w:hAnsi="Times New Roman"/>
          <w:color w:val="000000" w:themeColor="text1"/>
          <w:u w:val="single"/>
          <w14:textFill>
            <w14:solidFill>
              <w14:schemeClr w14:val="tx1"/>
            </w14:solidFill>
          </w14:textFill>
        </w:rPr>
        <w:fldChar w:fldCharType="begin"/>
      </w:r>
      <w:r>
        <w:rPr>
          <w:rFonts w:ascii="Times New Roman" w:hAnsi="Times New Roman"/>
          <w:color w:val="000000" w:themeColor="text1"/>
          <w:u w:val="single"/>
          <w14:textFill>
            <w14:solidFill>
              <w14:schemeClr w14:val="tx1"/>
            </w14:solidFill>
          </w14:textFill>
        </w:rPr>
        <w:instrText xml:space="preserve"> REF </w:instrText>
      </w:r>
      <w:r>
        <w:rPr>
          <w:rFonts w:hint="eastAsia" w:ascii="Times New Roman" w:hAnsi="Times New Roman"/>
          <w:color w:val="000000" w:themeColor="text1"/>
          <w:u w:val="single"/>
          <w14:textFill>
            <w14:solidFill>
              <w14:schemeClr w14:val="tx1"/>
            </w14:solidFill>
          </w14:textFill>
        </w:rPr>
        <w:instrText xml:space="preserve">采购项目名称</w:instrText>
      </w:r>
      <w:r>
        <w:rPr>
          <w:rFonts w:ascii="Times New Roman" w:hAnsi="Times New Roman"/>
          <w:color w:val="000000" w:themeColor="text1"/>
          <w:u w:val="single"/>
          <w14:textFill>
            <w14:solidFill>
              <w14:schemeClr w14:val="tx1"/>
            </w14:solidFill>
          </w14:textFill>
        </w:rPr>
        <w:instrText xml:space="preserve"> \h  \* MERGEFORMAT </w:instrText>
      </w:r>
      <w:r>
        <w:rPr>
          <w:rFonts w:ascii="Times New Roman" w:hAnsi="Times New Roman"/>
          <w:color w:val="000000" w:themeColor="text1"/>
          <w:u w:val="single"/>
          <w14:textFill>
            <w14:solidFill>
              <w14:schemeClr w14:val="tx1"/>
            </w14:solidFill>
          </w14:textFill>
        </w:rPr>
        <w:fldChar w:fldCharType="separate"/>
      </w:r>
      <w:r>
        <w:rPr>
          <w:rFonts w:hint="eastAsia" w:ascii="Times New Roman" w:hAnsi="Times New Roman"/>
          <w:color w:val="000000" w:themeColor="text1"/>
          <w:szCs w:val="21"/>
          <w:u w:val="single"/>
          <w14:textFill>
            <w14:solidFill>
              <w14:schemeClr w14:val="tx1"/>
            </w14:solidFill>
          </w14:textFill>
        </w:rPr>
        <w:t>艮山东路过江隧道工程</w:t>
      </w:r>
      <w:r>
        <w:rPr>
          <w:rFonts w:ascii="Times New Roman" w:hAnsi="Times New Roman"/>
          <w:color w:val="000000" w:themeColor="text1"/>
          <w:szCs w:val="21"/>
          <w:u w:val="single"/>
          <w14:textFill>
            <w14:solidFill>
              <w14:schemeClr w14:val="tx1"/>
            </w14:solidFill>
          </w14:textFill>
        </w:rPr>
        <w:t>PPP</w:t>
      </w:r>
      <w:r>
        <w:rPr>
          <w:rFonts w:hint="eastAsia" w:ascii="Times New Roman" w:hAnsi="Times New Roman"/>
          <w:color w:val="000000" w:themeColor="text1"/>
          <w:szCs w:val="21"/>
          <w:u w:val="single"/>
          <w14:textFill>
            <w14:solidFill>
              <w14:schemeClr w14:val="tx1"/>
            </w14:solidFill>
          </w14:textFill>
        </w:rPr>
        <w:t>项目社会资本采购</w:t>
      </w:r>
      <w:r>
        <w:rPr>
          <w:rFonts w:ascii="Times New Roman" w:hAnsi="Times New Roman"/>
          <w:color w:val="000000" w:themeColor="text1"/>
          <w:u w:val="single"/>
          <w14:textFill>
            <w14:solidFill>
              <w14:schemeClr w14:val="tx1"/>
            </w14:solidFill>
          </w14:textFill>
        </w:rPr>
        <w:fldChar w:fldCharType="end"/>
      </w:r>
      <w:r>
        <w:rPr>
          <w:rFonts w:hint="eastAsia" w:ascii="Times New Roman" w:hAnsi="Times New Roman"/>
          <w:color w:val="000000" w:themeColor="text1"/>
          <w14:textFill>
            <w14:solidFill>
              <w14:schemeClr w14:val="tx1"/>
            </w14:solidFill>
          </w14:textFill>
        </w:rPr>
        <w:t>项目投标，并依照</w:t>
      </w:r>
      <w:r>
        <w:rPr>
          <w:rFonts w:ascii="Times New Roman" w:hAnsi="Times New Roman"/>
          <w:color w:val="000000" w:themeColor="text1"/>
          <w:u w:val="single"/>
          <w14:textFill>
            <w14:solidFill>
              <w14:schemeClr w14:val="tx1"/>
            </w14:solidFill>
          </w14:textFill>
        </w:rPr>
        <w:fldChar w:fldCharType="begin"/>
      </w:r>
      <w:r>
        <w:rPr>
          <w:rFonts w:ascii="Times New Roman" w:hAnsi="Times New Roman"/>
          <w:color w:val="000000" w:themeColor="text1"/>
          <w:u w:val="single"/>
          <w14:textFill>
            <w14:solidFill>
              <w14:schemeClr w14:val="tx1"/>
            </w14:solidFill>
          </w14:textFill>
        </w:rPr>
        <w:instrText xml:space="preserve"> REF </w:instrText>
      </w:r>
      <w:r>
        <w:rPr>
          <w:rFonts w:hint="eastAsia" w:ascii="Times New Roman" w:hAnsi="Times New Roman"/>
          <w:color w:val="000000" w:themeColor="text1"/>
          <w:u w:val="single"/>
          <w14:textFill>
            <w14:solidFill>
              <w14:schemeClr w14:val="tx1"/>
            </w14:solidFill>
          </w14:textFill>
        </w:rPr>
        <w:instrText xml:space="preserve">采购项目名称</w:instrText>
      </w:r>
      <w:r>
        <w:rPr>
          <w:rFonts w:ascii="Times New Roman" w:hAnsi="Times New Roman"/>
          <w:color w:val="000000" w:themeColor="text1"/>
          <w:u w:val="single"/>
          <w14:textFill>
            <w14:solidFill>
              <w14:schemeClr w14:val="tx1"/>
            </w14:solidFill>
          </w14:textFill>
        </w:rPr>
        <w:instrText xml:space="preserve"> \h  \* MERGEFORMAT </w:instrText>
      </w:r>
      <w:r>
        <w:rPr>
          <w:rFonts w:ascii="Times New Roman" w:hAnsi="Times New Roman"/>
          <w:color w:val="000000" w:themeColor="text1"/>
          <w:u w:val="single"/>
          <w14:textFill>
            <w14:solidFill>
              <w14:schemeClr w14:val="tx1"/>
            </w14:solidFill>
          </w14:textFill>
        </w:rPr>
        <w:fldChar w:fldCharType="separate"/>
      </w:r>
      <w:r>
        <w:rPr>
          <w:rFonts w:hint="eastAsia" w:ascii="Times New Roman" w:hAnsi="Times New Roman"/>
          <w:color w:val="000000" w:themeColor="text1"/>
          <w:szCs w:val="21"/>
          <w:u w:val="single"/>
          <w14:textFill>
            <w14:solidFill>
              <w14:schemeClr w14:val="tx1"/>
            </w14:solidFill>
          </w14:textFill>
        </w:rPr>
        <w:t>艮山东路过江隧道工程</w:t>
      </w:r>
      <w:r>
        <w:rPr>
          <w:rFonts w:ascii="Times New Roman" w:hAnsi="Times New Roman"/>
          <w:color w:val="000000" w:themeColor="text1"/>
          <w:szCs w:val="21"/>
          <w:u w:val="single"/>
          <w14:textFill>
            <w14:solidFill>
              <w14:schemeClr w14:val="tx1"/>
            </w14:solidFill>
          </w14:textFill>
        </w:rPr>
        <w:t>PPP</w:t>
      </w:r>
      <w:r>
        <w:rPr>
          <w:rFonts w:hint="eastAsia" w:ascii="Times New Roman" w:hAnsi="Times New Roman"/>
          <w:color w:val="000000" w:themeColor="text1"/>
          <w:szCs w:val="21"/>
          <w:u w:val="single"/>
          <w14:textFill>
            <w14:solidFill>
              <w14:schemeClr w14:val="tx1"/>
            </w14:solidFill>
          </w14:textFill>
        </w:rPr>
        <w:t>项目社会资本采购</w:t>
      </w:r>
      <w:r>
        <w:rPr>
          <w:rFonts w:ascii="Times New Roman" w:hAnsi="Times New Roman"/>
          <w:color w:val="000000" w:themeColor="text1"/>
          <w:u w:val="single"/>
          <w14:textFill>
            <w14:solidFill>
              <w14:schemeClr w14:val="tx1"/>
            </w14:solidFill>
          </w14:textFill>
        </w:rPr>
        <w:fldChar w:fldCharType="end"/>
      </w:r>
      <w:r>
        <w:rPr>
          <w:rFonts w:hint="eastAsia" w:ascii="Times New Roman" w:hAnsi="Times New Roman"/>
          <w:color w:val="000000" w:themeColor="text1"/>
          <w:u w:val="single"/>
          <w14:textFill>
            <w14:solidFill>
              <w14:schemeClr w14:val="tx1"/>
            </w14:solidFill>
          </w14:textFill>
        </w:rPr>
        <w:t>项目</w:t>
      </w:r>
      <w:r>
        <w:rPr>
          <w:rFonts w:hint="eastAsia" w:ascii="Times New Roman" w:hAnsi="Times New Roman"/>
          <w:color w:val="000000" w:themeColor="text1"/>
          <w14:textFill>
            <w14:solidFill>
              <w14:schemeClr w14:val="tx1"/>
            </w14:solidFill>
          </w14:textFill>
        </w:rPr>
        <w:t>招标文件，在此递交</w:t>
      </w:r>
      <w:r>
        <w:rPr>
          <w:rFonts w:ascii="Times New Roman" w:hAnsi="Times New Roman"/>
          <w:color w:val="000000" w:themeColor="text1"/>
          <w:u w:val="single"/>
          <w14:textFill>
            <w14:solidFill>
              <w14:schemeClr w14:val="tx1"/>
            </w14:solidFill>
          </w14:textFill>
        </w:rPr>
        <w:fldChar w:fldCharType="begin"/>
      </w:r>
      <w:r>
        <w:rPr>
          <w:rFonts w:ascii="Times New Roman" w:hAnsi="Times New Roman"/>
          <w:color w:val="000000" w:themeColor="text1"/>
          <w:u w:val="single"/>
          <w14:textFill>
            <w14:solidFill>
              <w14:schemeClr w14:val="tx1"/>
            </w14:solidFill>
          </w14:textFill>
        </w:rPr>
        <w:instrText xml:space="preserve"> REF </w:instrText>
      </w:r>
      <w:r>
        <w:rPr>
          <w:rFonts w:hint="eastAsia" w:ascii="Times New Roman" w:hAnsi="Times New Roman"/>
          <w:color w:val="000000" w:themeColor="text1"/>
          <w:u w:val="single"/>
          <w14:textFill>
            <w14:solidFill>
              <w14:schemeClr w14:val="tx1"/>
            </w14:solidFill>
          </w14:textFill>
        </w:rPr>
        <w:instrText xml:space="preserve">采购项目名称</w:instrText>
      </w:r>
      <w:r>
        <w:rPr>
          <w:rFonts w:ascii="Times New Roman" w:hAnsi="Times New Roman"/>
          <w:color w:val="000000" w:themeColor="text1"/>
          <w:u w:val="single"/>
          <w14:textFill>
            <w14:solidFill>
              <w14:schemeClr w14:val="tx1"/>
            </w14:solidFill>
          </w14:textFill>
        </w:rPr>
        <w:instrText xml:space="preserve"> \h  \* MERGEFORMAT </w:instrText>
      </w:r>
      <w:r>
        <w:rPr>
          <w:rFonts w:ascii="Times New Roman" w:hAnsi="Times New Roman"/>
          <w:color w:val="000000" w:themeColor="text1"/>
          <w:u w:val="single"/>
          <w14:textFill>
            <w14:solidFill>
              <w14:schemeClr w14:val="tx1"/>
            </w14:solidFill>
          </w14:textFill>
        </w:rPr>
        <w:fldChar w:fldCharType="separate"/>
      </w:r>
      <w:r>
        <w:rPr>
          <w:rFonts w:hint="eastAsia" w:ascii="Times New Roman" w:hAnsi="Times New Roman"/>
          <w:color w:val="000000" w:themeColor="text1"/>
          <w:szCs w:val="21"/>
          <w:u w:val="single"/>
          <w14:textFill>
            <w14:solidFill>
              <w14:schemeClr w14:val="tx1"/>
            </w14:solidFill>
          </w14:textFill>
        </w:rPr>
        <w:t>艮山东路过江隧道工程</w:t>
      </w:r>
      <w:r>
        <w:rPr>
          <w:rFonts w:ascii="Times New Roman" w:hAnsi="Times New Roman"/>
          <w:color w:val="000000" w:themeColor="text1"/>
          <w:szCs w:val="21"/>
          <w:u w:val="single"/>
          <w14:textFill>
            <w14:solidFill>
              <w14:schemeClr w14:val="tx1"/>
            </w14:solidFill>
          </w14:textFill>
        </w:rPr>
        <w:t>PPP</w:t>
      </w:r>
      <w:r>
        <w:rPr>
          <w:rFonts w:hint="eastAsia" w:ascii="Times New Roman" w:hAnsi="Times New Roman"/>
          <w:color w:val="000000" w:themeColor="text1"/>
          <w:szCs w:val="21"/>
          <w:u w:val="single"/>
          <w14:textFill>
            <w14:solidFill>
              <w14:schemeClr w14:val="tx1"/>
            </w14:solidFill>
          </w14:textFill>
        </w:rPr>
        <w:t>项目社会资本采购</w:t>
      </w:r>
      <w:r>
        <w:rPr>
          <w:rFonts w:ascii="Times New Roman" w:hAnsi="Times New Roman"/>
          <w:color w:val="000000" w:themeColor="text1"/>
          <w:u w:val="single"/>
          <w14:textFill>
            <w14:solidFill>
              <w14:schemeClr w14:val="tx1"/>
            </w14:solidFill>
          </w14:textFill>
        </w:rPr>
        <w:fldChar w:fldCharType="end"/>
      </w:r>
      <w:r>
        <w:rPr>
          <w:rFonts w:hint="eastAsia" w:ascii="Times New Roman" w:hAnsi="Times New Roman"/>
          <w:color w:val="000000" w:themeColor="text1"/>
          <w:u w:val="single"/>
          <w14:textFill>
            <w14:solidFill>
              <w14:schemeClr w14:val="tx1"/>
            </w14:solidFill>
          </w14:textFill>
        </w:rPr>
        <w:t>项目</w:t>
      </w:r>
      <w:r>
        <w:rPr>
          <w:rFonts w:hint="eastAsia" w:ascii="Times New Roman" w:hAnsi="Times New Roman"/>
          <w:color w:val="000000" w:themeColor="text1"/>
          <w14:textFill>
            <w14:solidFill>
              <w14:schemeClr w14:val="tx1"/>
            </w14:solidFill>
          </w14:textFill>
        </w:rPr>
        <w:t>的投标文件。</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二、我们确认，我们已仔细阅读并研究了</w:t>
      </w:r>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日发出的招标文件，以及于</w:t>
      </w:r>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日发出的补遗澄清（如有），我们知道必须在整个投标阶段放弃以对上述文件和资料的所有条款存有含糊不清或不理解之处为由而要求免于承担责任的权利。</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三、我们确认，本投标文件的有效期为自</w:t>
      </w:r>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日</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投标截止日</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起的九十（</w:t>
      </w:r>
      <w:r>
        <w:rPr>
          <w:rFonts w:ascii="Times New Roman" w:hAnsi="Times New Roman"/>
          <w:color w:val="000000" w:themeColor="text1"/>
          <w14:textFill>
            <w14:solidFill>
              <w14:schemeClr w14:val="tx1"/>
            </w14:solidFill>
          </w14:textFill>
        </w:rPr>
        <w:t>90</w:t>
      </w:r>
      <w:r>
        <w:rPr>
          <w:rFonts w:hint="eastAsia" w:ascii="Times New Roman" w:hAnsi="Times New Roman"/>
          <w:color w:val="000000" w:themeColor="text1"/>
          <w14:textFill>
            <w14:solidFill>
              <w14:schemeClr w14:val="tx1"/>
            </w14:solidFill>
          </w14:textFill>
        </w:rPr>
        <w:t>）日，且根据招标文件，该期限可以延长。在任何延长期内，我们的投标文件对我们仍有约束力，可以在任何时候被贵方接受。</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四、我们确认，我们完全同意招标文件制定的竞标规则，并承诺按照这些规则履行我们的所有义务。</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五、我们确认，我们完全同意招标文件中对于投标保证金的没收的规定，贵方有权根据招标文件的有关规定没收我们的投标保证金。</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六、根据招标文件要求，我们在此与本申请书一并提交的文件和资料有：</w:t>
      </w:r>
    </w:p>
    <w:p>
      <w:pPr>
        <w:spacing w:line="360" w:lineRule="auto"/>
        <w:ind w:firstLine="567" w:firstLineChars="27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、投标人综述</w:t>
      </w:r>
    </w:p>
    <w:p>
      <w:pPr>
        <w:spacing w:line="360" w:lineRule="auto"/>
        <w:ind w:firstLine="567" w:firstLineChars="27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、企业资信</w:t>
      </w:r>
    </w:p>
    <w:p>
      <w:pPr>
        <w:spacing w:line="360" w:lineRule="auto"/>
        <w:ind w:firstLine="567" w:firstLineChars="27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、项目建设管理方案</w:t>
      </w:r>
    </w:p>
    <w:p>
      <w:pPr>
        <w:spacing w:line="360" w:lineRule="auto"/>
        <w:ind w:firstLine="567" w:firstLineChars="27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w:t>
      </w:r>
      <w:r>
        <w:rPr>
          <w:rFonts w:hint="eastAsia" w:ascii="Times New Roman" w:hAnsi="Times New Roman"/>
          <w:color w:val="000000" w:themeColor="text1"/>
          <w14:textFill>
            <w14:solidFill>
              <w14:schemeClr w14:val="tx1"/>
            </w14:solidFill>
          </w14:textFill>
        </w:rPr>
        <w:t>、运营维护及项目移交方案</w:t>
      </w:r>
    </w:p>
    <w:p>
      <w:pPr>
        <w:spacing w:line="360" w:lineRule="auto"/>
        <w:ind w:firstLine="567" w:firstLineChars="27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、融资方案</w:t>
      </w:r>
    </w:p>
    <w:p>
      <w:pPr>
        <w:spacing w:line="360" w:lineRule="auto"/>
        <w:ind w:firstLine="567" w:firstLineChars="27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w:t>
      </w:r>
      <w:r>
        <w:rPr>
          <w:rFonts w:hint="eastAsia" w:ascii="Times New Roman" w:hAnsi="Times New Roman"/>
          <w:color w:val="000000" w:themeColor="text1"/>
          <w14:textFill>
            <w14:solidFill>
              <w14:schemeClr w14:val="tx1"/>
            </w14:solidFill>
          </w14:textFill>
        </w:rPr>
        <w:t>、项目报价财务分析</w:t>
      </w:r>
    </w:p>
    <w:p>
      <w:pPr>
        <w:spacing w:line="360" w:lineRule="auto"/>
        <w:ind w:firstLine="567" w:firstLineChars="27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w:t>
      </w:r>
      <w:r>
        <w:rPr>
          <w:rFonts w:hint="eastAsia" w:ascii="Times New Roman" w:hAnsi="Times New Roman"/>
          <w:color w:val="000000" w:themeColor="text1"/>
          <w14:textFill>
            <w14:solidFill>
              <w14:schemeClr w14:val="tx1"/>
            </w14:solidFill>
          </w14:textFill>
        </w:rPr>
        <w:t>、法律方案</w:t>
      </w:r>
    </w:p>
    <w:p>
      <w:pPr>
        <w:spacing w:line="360" w:lineRule="auto"/>
        <w:ind w:firstLine="567" w:firstLineChars="27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w:t>
      </w:r>
      <w:r>
        <w:rPr>
          <w:rFonts w:hint="eastAsia" w:ascii="Times New Roman" w:hAnsi="Times New Roman"/>
          <w:color w:val="000000" w:themeColor="text1"/>
          <w14:textFill>
            <w14:solidFill>
              <w14:schemeClr w14:val="tx1"/>
            </w14:solidFill>
          </w14:textFill>
        </w:rPr>
        <w:t>、投标报价函</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七、我们同意采购人保留不接受我们的和</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或任何其他投标人的投标文件的权利。</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八、如我方中标，我方承诺在收到中标通知书后，在中标通知书规定的期限内，按第二卷</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项目合同</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及确认谈判情况与贵方订立书面合同，并按照合同约定承担完成合同的责任和义务。</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九、我们在此保证，本投标文件的所有内容均属独立完成，未经与其他投标人以限制对本项目的竞争为目的进行协商、合作或达成谅解后完成。</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十、我们承诺，本投标文件中陈述和资料是完整、真实和准确的。</w:t>
      </w:r>
    </w:p>
    <w:p>
      <w:pPr>
        <w:spacing w:line="360" w:lineRule="auto"/>
        <w:rPr>
          <w:rFonts w:ascii="Times New Roman" w:hAnsi="Times New Roman"/>
          <w:color w:val="000000" w:themeColor="text1"/>
          <w14:textFill>
            <w14:solidFill>
              <w14:schemeClr w14:val="tx1"/>
            </w14:solidFill>
          </w14:textFill>
        </w:rPr>
      </w:pP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与本次投标有关的正式通讯地址为：</w:t>
      </w:r>
    </w:p>
    <w:p>
      <w:pPr>
        <w:spacing w:line="360" w:lineRule="auto"/>
        <w:ind w:firstLine="424" w:firstLineChars="202"/>
        <w:rPr>
          <w:rFonts w:ascii="Times New Roman" w:hAnsi="Times New Roman"/>
          <w:color w:val="000000" w:themeColor="text1"/>
          <w14:textFill>
            <w14:solidFill>
              <w14:schemeClr w14:val="tx1"/>
            </w14:solidFill>
          </w14:textFill>
        </w:rPr>
      </w:pP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邮寄的营业地址：</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邮政编码：</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法定代表人或授权代表人：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签字或签章</w:t>
      </w:r>
      <w:r>
        <w:rPr>
          <w:rFonts w:ascii="Times New Roman" w:hAnsi="Times New Roman"/>
          <w:color w:val="000000" w:themeColor="text1"/>
          <w14:textFill>
            <w14:solidFill>
              <w14:schemeClr w14:val="tx1"/>
            </w14:solidFill>
          </w14:textFill>
        </w:rPr>
        <w:t>]</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职</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务：</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电话号码：</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传真号码：</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电子邮箱：</w:t>
      </w:r>
    </w:p>
    <w:p>
      <w:pPr>
        <w:spacing w:line="360" w:lineRule="auto"/>
        <w:ind w:firstLine="424" w:firstLineChars="202"/>
        <w:rPr>
          <w:rFonts w:ascii="Times New Roman" w:hAnsi="Times New Roman"/>
          <w:color w:val="000000" w:themeColor="text1"/>
          <w14:textFill>
            <w14:solidFill>
              <w14:schemeClr w14:val="tx1"/>
            </w14:solidFill>
          </w14:textFill>
        </w:rPr>
      </w:pPr>
    </w:p>
    <w:p>
      <w:pPr>
        <w:spacing w:line="360" w:lineRule="auto"/>
        <w:ind w:firstLine="424" w:firstLineChars="202"/>
        <w:rPr>
          <w:rFonts w:ascii="Times New Roman" w:hAnsi="Times New Roman"/>
          <w:color w:val="000000" w:themeColor="text1"/>
          <w14:textFill>
            <w14:solidFill>
              <w14:schemeClr w14:val="tx1"/>
            </w14:solidFill>
          </w14:textFill>
        </w:rPr>
      </w:pPr>
    </w:p>
    <w:p>
      <w:pPr>
        <w:spacing w:line="360" w:lineRule="auto"/>
        <w:ind w:firstLine="5527" w:firstLineChars="263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盖公章</w:t>
      </w:r>
      <w:r>
        <w:rPr>
          <w:rFonts w:ascii="Times New Roman" w:hAnsi="Times New Roman"/>
          <w:color w:val="000000" w:themeColor="text1"/>
          <w14:textFill>
            <w14:solidFill>
              <w14:schemeClr w14:val="tx1"/>
            </w14:solidFill>
          </w14:textFill>
        </w:rPr>
        <w:t>]</w:t>
      </w:r>
    </w:p>
    <w:p>
      <w:pPr>
        <w:spacing w:line="360" w:lineRule="auto"/>
        <w:ind w:firstLine="5527" w:firstLineChars="263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日期：</w:t>
      </w:r>
      <w:r>
        <w:rPr>
          <w:rFonts w:ascii="Times New Roman" w:hAnsi="Times New Roman"/>
          <w:color w:val="000000" w:themeColor="text1"/>
          <w14:textFill>
            <w14:solidFill>
              <w14:schemeClr w14:val="tx1"/>
            </w14:solidFill>
          </w14:textFill>
        </w:rPr>
        <w:t xml:space="preserve"> </w:t>
      </w: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说明：</w:t>
      </w: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若为联合体投标的，填写牵头公司信息，加盖牵头公司公章。</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p>
    <w:p>
      <w:pPr>
        <w:pStyle w:val="209"/>
        <w:spacing w:line="360" w:lineRule="auto"/>
        <w:jc w:val="center"/>
        <w:rPr>
          <w:rFonts w:ascii="Times New Roman" w:hAnsi="Times New Roman" w:cs="Times New Roman"/>
          <w:b/>
          <w:color w:val="000000" w:themeColor="text1"/>
          <w:sz w:val="21"/>
          <w:szCs w:val="21"/>
          <w14:textFill>
            <w14:solidFill>
              <w14:schemeClr w14:val="tx1"/>
            </w14:solidFill>
          </w14:textFill>
        </w:rPr>
      </w:pPr>
      <w:bookmarkStart w:id="161" w:name="_Toc438162718"/>
      <w:r>
        <w:rPr>
          <w:rFonts w:hint="eastAsia" w:ascii="Times New Roman" w:hAnsi="Times New Roman" w:cs="Times New Roman"/>
          <w:b/>
          <w:color w:val="000000" w:themeColor="text1"/>
          <w:sz w:val="21"/>
          <w:szCs w:val="21"/>
          <w14:textFill>
            <w14:solidFill>
              <w14:schemeClr w14:val="tx1"/>
            </w14:solidFill>
          </w14:textFill>
        </w:rPr>
        <w:t>二、投标保证金交纳证明复印件</w:t>
      </w:r>
      <w:bookmarkEnd w:id="161"/>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  </w:t>
      </w: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（需加盖投标人公章，</w:t>
      </w:r>
      <w:r>
        <w:rPr>
          <w:rFonts w:hint="eastAsia" w:ascii="Times New Roman" w:hAnsi="Times New Roman"/>
          <w:color w:val="000000" w:themeColor="text1"/>
          <w:szCs w:val="21"/>
          <w14:textFill>
            <w14:solidFill>
              <w14:schemeClr w14:val="tx1"/>
            </w14:solidFill>
          </w14:textFill>
        </w:rPr>
        <w:t>如为联合体投标，则仅需加盖联合体牵头公司公章，</w:t>
      </w:r>
      <w:r>
        <w:rPr>
          <w:rFonts w:hint="eastAsia" w:ascii="Times New Roman" w:hAnsi="Times New Roman"/>
          <w:b/>
          <w:color w:val="000000" w:themeColor="text1"/>
          <w14:textFill>
            <w14:solidFill>
              <w14:schemeClr w14:val="tx1"/>
            </w14:solidFill>
          </w14:textFill>
        </w:rPr>
        <w:t>验原件</w:t>
      </w:r>
      <w:r>
        <w:rPr>
          <w:rFonts w:hint="eastAsia" w:ascii="Times New Roman" w:hAnsi="Times New Roman"/>
          <w:color w:val="000000" w:themeColor="text1"/>
          <w14:textFill>
            <w14:solidFill>
              <w14:schemeClr w14:val="tx1"/>
            </w14:solidFill>
          </w14:textFill>
        </w:rPr>
        <w:t>）</w:t>
      </w:r>
    </w:p>
    <w:p>
      <w:pPr>
        <w:pStyle w:val="209"/>
        <w:spacing w:line="360" w:lineRule="auto"/>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bookmarkStart w:id="162" w:name="_Toc438162720"/>
      <w:bookmarkStart w:id="163" w:name="_Toc427243341"/>
      <w:r>
        <w:rPr>
          <w:rFonts w:hint="eastAsia" w:ascii="Times New Roman" w:hAnsi="Times New Roman" w:cs="Times New Roman"/>
          <w:b/>
          <w:color w:val="000000" w:themeColor="text1"/>
          <w:sz w:val="21"/>
          <w:szCs w:val="21"/>
          <w14:textFill>
            <w14:solidFill>
              <w14:schemeClr w14:val="tx1"/>
            </w14:solidFill>
          </w14:textFill>
        </w:rPr>
        <w:t>三、资格条件确认函</w:t>
      </w:r>
      <w:bookmarkEnd w:id="162"/>
      <w:bookmarkEnd w:id="163"/>
    </w:p>
    <w:p>
      <w:pPr>
        <w:spacing w:line="360" w:lineRule="auto"/>
        <w:rPr>
          <w:rFonts w:ascii="Times New Roman" w:hAnsi="Times New Roman"/>
          <w:color w:val="000000" w:themeColor="text1"/>
          <w:szCs w:val="2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杭州大江东产业集聚区公路管理所：</w:t>
      </w:r>
    </w:p>
    <w:p>
      <w:pPr>
        <w:spacing w:line="360" w:lineRule="auto"/>
        <w:rPr>
          <w:rFonts w:ascii="Times New Roman" w:hAnsi="Times New Roman"/>
          <w:color w:val="000000" w:themeColor="text1"/>
          <w14:textFill>
            <w14:solidFill>
              <w14:schemeClr w14:val="tx1"/>
            </w14:solidFill>
          </w14:textFill>
        </w:rPr>
      </w:pP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自资格预审通过之日至投标截止日，我公司仍完全符合资格预审公告规定的所有资格条件要求，特此确认！</w:t>
      </w:r>
    </w:p>
    <w:p>
      <w:pPr>
        <w:spacing w:line="360" w:lineRule="auto"/>
        <w:ind w:firstLine="424" w:firstLineChars="202"/>
        <w:rPr>
          <w:rFonts w:ascii="Times New Roman" w:hAnsi="Times New Roman"/>
          <w:i/>
          <w:color w:val="000000" w:themeColor="text1"/>
          <w14:textFill>
            <w14:solidFill>
              <w14:schemeClr w14:val="tx1"/>
            </w14:solidFill>
          </w14:textFill>
        </w:rPr>
      </w:pPr>
      <w:r>
        <w:rPr>
          <w:rFonts w:hint="eastAsia" w:ascii="Times New Roman" w:hAnsi="Times New Roman"/>
          <w:i/>
          <w:color w:val="000000" w:themeColor="text1"/>
          <w14:textFill>
            <w14:solidFill>
              <w14:schemeClr w14:val="tx1"/>
            </w14:solidFill>
          </w14:textFill>
        </w:rPr>
        <w:t>（如果投标人资格条件相比较资格预审通过之时有任何变化的，请在此一并说明）</w:t>
      </w: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ind w:firstLine="1134" w:firstLineChars="54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投标人（盖公章）：</w:t>
      </w:r>
      <w:r>
        <w:rPr>
          <w:rFonts w:ascii="Times New Roman" w:hAnsi="Times New Roman"/>
          <w:color w:val="000000" w:themeColor="text1"/>
          <w14:textFill>
            <w14:solidFill>
              <w14:schemeClr w14:val="tx1"/>
            </w14:solidFill>
          </w14:textFill>
        </w:rPr>
        <w:t xml:space="preserve"> </w:t>
      </w:r>
    </w:p>
    <w:p>
      <w:pPr>
        <w:spacing w:line="360" w:lineRule="auto"/>
        <w:ind w:firstLine="1134" w:firstLineChars="54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法定代表人或授权代表人（签字或签章）：</w:t>
      </w:r>
    </w:p>
    <w:p>
      <w:pPr>
        <w:spacing w:line="360" w:lineRule="auto"/>
        <w:ind w:firstLine="1134" w:firstLineChars="54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日期：</w:t>
      </w:r>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日</w:t>
      </w: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说明：</w:t>
      </w:r>
    </w:p>
    <w:p>
      <w:pPr>
        <w:jc w:val="left"/>
        <w:rPr>
          <w:rFonts w:ascii="Times New Roman" w:hAnsi="Times New Roman"/>
          <w:b/>
          <w:color w:val="000000" w:themeColor="text1"/>
          <w:szCs w:val="21"/>
          <w14:textFill>
            <w14:solidFill>
              <w14:schemeClr w14:val="tx1"/>
            </w14:solidFill>
          </w14:textFill>
        </w:rPr>
      </w:pPr>
      <w:r>
        <w:rPr>
          <w:rFonts w:hint="eastAsia" w:ascii="Times New Roman" w:hAnsi="Times New Roman"/>
          <w:b/>
          <w:color w:val="000000" w:themeColor="text1"/>
          <w:szCs w:val="21"/>
          <w14:textFill>
            <w14:solidFill>
              <w14:schemeClr w14:val="tx1"/>
            </w14:solidFill>
          </w14:textFill>
        </w:rPr>
        <w:t>联合体各方均需提供此函，并加盖各自公章。</w:t>
      </w: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p>
    <w:p>
      <w:pPr>
        <w:pStyle w:val="209"/>
        <w:spacing w:line="360" w:lineRule="auto"/>
        <w:jc w:val="center"/>
        <w:rPr>
          <w:rFonts w:ascii="Times New Roman" w:hAnsi="Times New Roman" w:cs="Times New Roman"/>
          <w:b/>
          <w:color w:val="000000" w:themeColor="text1"/>
          <w:sz w:val="21"/>
          <w:szCs w:val="21"/>
          <w14:textFill>
            <w14:solidFill>
              <w14:schemeClr w14:val="tx1"/>
            </w14:solidFill>
          </w14:textFill>
        </w:rPr>
      </w:pPr>
      <w:bookmarkStart w:id="164" w:name="_Toc438162721"/>
      <w:r>
        <w:rPr>
          <w:rFonts w:hint="eastAsia" w:ascii="Times New Roman" w:hAnsi="Times New Roman" w:cs="Times New Roman"/>
          <w:b/>
          <w:color w:val="000000" w:themeColor="text1"/>
          <w:sz w:val="21"/>
          <w:szCs w:val="21"/>
          <w14:textFill>
            <w14:solidFill>
              <w14:schemeClr w14:val="tx1"/>
            </w14:solidFill>
          </w14:textFill>
        </w:rPr>
        <w:t>四、法定代表人资格证明书</w:t>
      </w:r>
      <w:bookmarkEnd w:id="164"/>
    </w:p>
    <w:p>
      <w:pPr>
        <w:spacing w:line="360" w:lineRule="auto"/>
        <w:rPr>
          <w:rFonts w:ascii="Times New Roman" w:hAnsi="Times New Roman"/>
          <w:color w:val="000000" w:themeColor="text1"/>
          <w14:textFill>
            <w14:solidFill>
              <w14:schemeClr w14:val="tx1"/>
            </w14:solidFill>
          </w14:textFill>
        </w:rPr>
      </w:pP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单位名称：</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单位性质：</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地址：</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成立时间：</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经营期限：</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姓名：</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性别：</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年龄：</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职务：</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系（投标人单位名称）的法定代表人。</w:t>
      </w:r>
      <w:r>
        <w:rPr>
          <w:rFonts w:ascii="Times New Roman" w:hAnsi="Times New Roman"/>
          <w:color w:val="000000" w:themeColor="text1"/>
          <w14:textFill>
            <w14:solidFill>
              <w14:schemeClr w14:val="tx1"/>
            </w14:solidFill>
          </w14:textFill>
        </w:rPr>
        <w:cr/>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特此证明。</w:t>
      </w:r>
    </w:p>
    <w:p>
      <w:pPr>
        <w:spacing w:line="360" w:lineRule="auto"/>
        <w:ind w:firstLine="424" w:firstLineChars="202"/>
        <w:rPr>
          <w:rFonts w:ascii="Times New Roman" w:hAnsi="Times New Roman"/>
          <w:color w:val="000000" w:themeColor="text1"/>
          <w14:textFill>
            <w14:solidFill>
              <w14:schemeClr w14:val="tx1"/>
            </w14:solidFill>
          </w14:textFill>
        </w:rPr>
      </w:pPr>
    </w:p>
    <w:p>
      <w:pPr>
        <w:spacing w:line="360" w:lineRule="auto"/>
        <w:ind w:firstLine="424" w:firstLineChars="202"/>
        <w:rPr>
          <w:rFonts w:ascii="Times New Roman" w:hAnsi="Times New Roman"/>
          <w:color w:val="000000" w:themeColor="text1"/>
          <w14:textFill>
            <w14:solidFill>
              <w14:schemeClr w14:val="tx1"/>
            </w14:solidFill>
          </w14:textFill>
        </w:rPr>
      </w:pP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投标人：（盖公章）</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日期：</w:t>
      </w:r>
      <w:r>
        <w:rPr>
          <w:rFonts w:ascii="Times New Roman" w:hAnsi="Times New Roman"/>
          <w:color w:val="000000" w:themeColor="text1"/>
          <w14:textFill>
            <w14:solidFill>
              <w14:schemeClr w14:val="tx1"/>
            </w14:solidFill>
          </w14:textFill>
        </w:rPr>
        <w:t>2017</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日</w:t>
      </w:r>
    </w:p>
    <w:p>
      <w:pPr>
        <w:spacing w:before="120" w:beforeLines="50" w:after="120" w:afterLines="50"/>
        <w:rPr>
          <w:rFonts w:ascii="Times New Roman" w:hAnsi="Times New Roman"/>
          <w:color w:val="000000" w:themeColor="text1"/>
          <w:szCs w:val="21"/>
          <w14:textFill>
            <w14:solidFill>
              <w14:schemeClr w14:val="tx1"/>
            </w14:solidFill>
          </w14:textFill>
        </w:rPr>
      </w:pPr>
    </w:p>
    <w:p>
      <w:pPr>
        <w:spacing w:before="120" w:beforeLines="50" w:after="120" w:afterLines="50"/>
        <w:rPr>
          <w:rFonts w:ascii="Times New Roman" w:hAnsi="Times New Roman"/>
          <w:color w:val="000000" w:themeColor="text1"/>
          <w:szCs w:val="21"/>
          <w14:textFill>
            <w14:solidFill>
              <w14:schemeClr w14:val="tx1"/>
            </w14:solidFill>
          </w14:textFill>
        </w:rPr>
      </w:pPr>
    </w:p>
    <w:p>
      <w:pPr>
        <w:spacing w:before="120" w:beforeLines="50" w:after="120" w:afterLines="5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说明：</w:t>
      </w:r>
    </w:p>
    <w:p>
      <w:pPr>
        <w:spacing w:before="120" w:beforeLines="50" w:after="120" w:afterLines="50"/>
        <w:rPr>
          <w:rFonts w:ascii="Times New Roman" w:hAnsi="Times New Roman"/>
          <w:b/>
          <w:color w:val="000000" w:themeColor="text1"/>
          <w:szCs w:val="21"/>
          <w14:textFill>
            <w14:solidFill>
              <w14:schemeClr w14:val="tx1"/>
            </w14:solidFill>
          </w14:textFill>
        </w:rPr>
      </w:pPr>
      <w:r>
        <w:rPr>
          <w:rFonts w:hint="eastAsia" w:ascii="Times New Roman" w:hAnsi="Times New Roman"/>
          <w:b/>
          <w:color w:val="000000" w:themeColor="text1"/>
          <w:szCs w:val="21"/>
          <w14:textFill>
            <w14:solidFill>
              <w14:schemeClr w14:val="tx1"/>
            </w14:solidFill>
          </w14:textFill>
        </w:rPr>
        <w:t>若为联合体，联合体各成员方均需提供法定代表人资格证明书，并加盖各自成员方公章。</w:t>
      </w:r>
    </w:p>
    <w:p>
      <w:pPr>
        <w:spacing w:line="360" w:lineRule="auto"/>
        <w:rPr>
          <w:rFonts w:ascii="Times New Roman" w:hAnsi="Times New Roman"/>
          <w:color w:val="000000" w:themeColor="text1"/>
          <w14:textFill>
            <w14:solidFill>
              <w14:schemeClr w14:val="tx1"/>
            </w14:solidFill>
          </w14:textFill>
        </w:rPr>
      </w:pPr>
    </w:p>
    <w:p>
      <w:pPr>
        <w:pStyle w:val="209"/>
        <w:spacing w:line="360" w:lineRule="auto"/>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bookmarkStart w:id="165" w:name="_Toc438162722"/>
      <w:r>
        <w:rPr>
          <w:rFonts w:hint="eastAsia" w:ascii="Times New Roman" w:hAnsi="Times New Roman" w:cs="Times New Roman"/>
          <w:b/>
          <w:color w:val="000000" w:themeColor="text1"/>
          <w:sz w:val="21"/>
          <w:szCs w:val="21"/>
          <w14:textFill>
            <w14:solidFill>
              <w14:schemeClr w14:val="tx1"/>
            </w14:solidFill>
          </w14:textFill>
        </w:rPr>
        <w:t>五、法定代表人身份证复印件</w:t>
      </w:r>
      <w:bookmarkEnd w:id="165"/>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说明：</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、复印件须加盖投标人公章。</w:t>
      </w:r>
    </w:p>
    <w:p>
      <w:pPr>
        <w:spacing w:before="120" w:beforeLines="50" w:after="120" w:afterLines="5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r>
        <w:rPr>
          <w:rFonts w:hint="eastAsia" w:ascii="Times New Roman" w:hAnsi="Times New Roman"/>
          <w:color w:val="000000" w:themeColor="text1"/>
          <w:szCs w:val="21"/>
          <w14:textFill>
            <w14:solidFill>
              <w14:schemeClr w14:val="tx1"/>
            </w14:solidFill>
          </w14:textFill>
        </w:rPr>
        <w:t>、若为联合体，联合体各成员方均需提供法定代表人身份证复印件，并加盖各自成员方公章。</w:t>
      </w:r>
    </w:p>
    <w:p>
      <w:pPr>
        <w:spacing w:line="360" w:lineRule="auto"/>
        <w:rPr>
          <w:rFonts w:ascii="Times New Roman" w:hAnsi="Times New Roman"/>
          <w:color w:val="000000" w:themeColor="text1"/>
          <w14:textFill>
            <w14:solidFill>
              <w14:schemeClr w14:val="tx1"/>
            </w14:solidFill>
          </w14:textFill>
        </w:rPr>
      </w:pPr>
    </w:p>
    <w:p>
      <w:pPr>
        <w:pStyle w:val="209"/>
        <w:spacing w:line="360" w:lineRule="auto"/>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bookmarkStart w:id="166" w:name="_Toc438162723"/>
      <w:r>
        <w:rPr>
          <w:rFonts w:hint="eastAsia" w:ascii="Times New Roman" w:hAnsi="Times New Roman" w:cs="Times New Roman"/>
          <w:b/>
          <w:color w:val="000000" w:themeColor="text1"/>
          <w:sz w:val="21"/>
          <w:szCs w:val="21"/>
          <w14:textFill>
            <w14:solidFill>
              <w14:schemeClr w14:val="tx1"/>
            </w14:solidFill>
          </w14:textFill>
        </w:rPr>
        <w:t>六、法定代表人授权委托书</w:t>
      </w:r>
      <w:bookmarkEnd w:id="166"/>
    </w:p>
    <w:p>
      <w:pPr>
        <w:spacing w:line="360" w:lineRule="auto"/>
        <w:ind w:firstLine="424" w:firstLineChars="202"/>
        <w:jc w:val="center"/>
        <w:rPr>
          <w:rFonts w:ascii="Times New Roman" w:hAnsi="Times New Roman"/>
          <w:i/>
          <w:color w:val="000000" w:themeColor="text1"/>
          <w14:textFill>
            <w14:solidFill>
              <w14:schemeClr w14:val="tx1"/>
            </w14:solidFill>
          </w14:textFill>
        </w:rPr>
      </w:pPr>
      <w:r>
        <w:rPr>
          <w:rFonts w:hint="eastAsia" w:ascii="Times New Roman" w:hAnsi="Times New Roman"/>
          <w:i/>
          <w:color w:val="000000" w:themeColor="text1"/>
          <w:szCs w:val="21"/>
          <w14:textFill>
            <w14:solidFill>
              <w14:schemeClr w14:val="tx1"/>
            </w14:solidFill>
          </w14:textFill>
        </w:rPr>
        <w:t>（若为联合体，只须提供联合体牵头公司的法定代表人授权委托书）</w:t>
      </w:r>
    </w:p>
    <w:p>
      <w:pPr>
        <w:spacing w:line="360" w:lineRule="auto"/>
        <w:ind w:firstLine="424" w:firstLineChars="202"/>
        <w:rPr>
          <w:rFonts w:ascii="Times New Roman" w:hAnsi="Times New Roman"/>
          <w:color w:val="000000" w:themeColor="text1"/>
          <w14:textFill>
            <w14:solidFill>
              <w14:schemeClr w14:val="tx1"/>
            </w14:solidFill>
          </w14:textFill>
        </w:rPr>
      </w:pP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本授权委托书声明：本人</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（姓名）系</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（投标人单位名称）的法定代表人，现授权委托</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（单位名称）的</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（授权代表姓名）身份证号为</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（授权代表身份证号码），代表我方签署及递交</w:t>
      </w:r>
      <w:r>
        <w:rPr>
          <w:rFonts w:ascii="Times New Roman" w:hAnsi="Times New Roman"/>
          <w:color w:val="000000" w:themeColor="text1"/>
          <w:u w:val="single"/>
          <w14:textFill>
            <w14:solidFill>
              <w14:schemeClr w14:val="tx1"/>
            </w14:solidFill>
          </w14:textFill>
        </w:rPr>
        <w:fldChar w:fldCharType="begin"/>
      </w:r>
      <w:r>
        <w:rPr>
          <w:rFonts w:ascii="Times New Roman" w:hAnsi="Times New Roman"/>
          <w:color w:val="000000" w:themeColor="text1"/>
          <w:u w:val="single"/>
          <w14:textFill>
            <w14:solidFill>
              <w14:schemeClr w14:val="tx1"/>
            </w14:solidFill>
          </w14:textFill>
        </w:rPr>
        <w:instrText xml:space="preserve"> REF </w:instrText>
      </w:r>
      <w:r>
        <w:rPr>
          <w:rFonts w:hint="eastAsia" w:ascii="Times New Roman" w:hAnsi="Times New Roman"/>
          <w:color w:val="000000" w:themeColor="text1"/>
          <w:u w:val="single"/>
          <w14:textFill>
            <w14:solidFill>
              <w14:schemeClr w14:val="tx1"/>
            </w14:solidFill>
          </w14:textFill>
        </w:rPr>
        <w:instrText xml:space="preserve">采购项目名称</w:instrText>
      </w:r>
      <w:r>
        <w:rPr>
          <w:rFonts w:ascii="Times New Roman" w:hAnsi="Times New Roman"/>
          <w:color w:val="000000" w:themeColor="text1"/>
          <w:u w:val="single"/>
          <w14:textFill>
            <w14:solidFill>
              <w14:schemeClr w14:val="tx1"/>
            </w14:solidFill>
          </w14:textFill>
        </w:rPr>
        <w:instrText xml:space="preserve"> \h  \* MERGEFORMAT </w:instrText>
      </w:r>
      <w:r>
        <w:rPr>
          <w:rFonts w:ascii="Times New Roman" w:hAnsi="Times New Roman"/>
          <w:color w:val="000000" w:themeColor="text1"/>
          <w:u w:val="single"/>
          <w14:textFill>
            <w14:solidFill>
              <w14:schemeClr w14:val="tx1"/>
            </w14:solidFill>
          </w14:textFill>
        </w:rPr>
        <w:fldChar w:fldCharType="separate"/>
      </w:r>
      <w:r>
        <w:rPr>
          <w:rFonts w:hint="eastAsia" w:ascii="Times New Roman" w:hAnsi="Times New Roman"/>
          <w:color w:val="000000" w:themeColor="text1"/>
          <w:szCs w:val="21"/>
          <w:u w:val="single"/>
          <w14:textFill>
            <w14:solidFill>
              <w14:schemeClr w14:val="tx1"/>
            </w14:solidFill>
          </w14:textFill>
        </w:rPr>
        <w:t>艮山东路过江隧道工程</w:t>
      </w:r>
      <w:r>
        <w:rPr>
          <w:rFonts w:ascii="Times New Roman" w:hAnsi="Times New Roman"/>
          <w:color w:val="000000" w:themeColor="text1"/>
          <w:szCs w:val="21"/>
          <w:u w:val="single"/>
          <w14:textFill>
            <w14:solidFill>
              <w14:schemeClr w14:val="tx1"/>
            </w14:solidFill>
          </w14:textFill>
        </w:rPr>
        <w:t>PPP</w:t>
      </w:r>
      <w:r>
        <w:rPr>
          <w:rFonts w:hint="eastAsia" w:ascii="Times New Roman" w:hAnsi="Times New Roman"/>
          <w:color w:val="000000" w:themeColor="text1"/>
          <w:szCs w:val="21"/>
          <w:u w:val="single"/>
          <w14:textFill>
            <w14:solidFill>
              <w14:schemeClr w14:val="tx1"/>
            </w14:solidFill>
          </w14:textFill>
        </w:rPr>
        <w:t>项目社会资本采购</w:t>
      </w:r>
      <w:r>
        <w:rPr>
          <w:rFonts w:ascii="Times New Roman" w:hAnsi="Times New Roman"/>
          <w:color w:val="000000" w:themeColor="text1"/>
          <w:u w:val="single"/>
          <w14:textFill>
            <w14:solidFill>
              <w14:schemeClr w14:val="tx1"/>
            </w14:solidFill>
          </w14:textFill>
        </w:rPr>
        <w:fldChar w:fldCharType="end"/>
      </w:r>
      <w:r>
        <w:rPr>
          <w:rFonts w:hint="eastAsia" w:ascii="Times New Roman" w:hAnsi="Times New Roman"/>
          <w:color w:val="000000" w:themeColor="text1"/>
          <w:u w:val="single"/>
          <w14:textFill>
            <w14:solidFill>
              <w14:schemeClr w14:val="tx1"/>
            </w14:solidFill>
          </w14:textFill>
        </w:rPr>
        <w:t>项目</w:t>
      </w:r>
      <w:r>
        <w:rPr>
          <w:rFonts w:hint="eastAsia" w:ascii="Times New Roman" w:hAnsi="Times New Roman"/>
          <w:color w:val="000000" w:themeColor="text1"/>
          <w14:textFill>
            <w14:solidFill>
              <w14:schemeClr w14:val="tx1"/>
            </w14:solidFill>
          </w14:textFill>
        </w:rPr>
        <w:t>投标文件，进行有关内容的澄清，接受指示和代表公司完成与项目投标有关的所有其他必要事宜。</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我方对授权代表的签字或盖章事项负全部责任。</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本授权书自签署之日起生效，在撤销授权的书面通知送达贵方以前，本授权书一直有效。授权代表在授权书有效期内签署的所有文件不因授权的撤销而失效。</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授权代表人无转委托权。</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特此委托。</w:t>
      </w: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附：授权代表人身份证复印件及社会保险证明</w:t>
      </w: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ind w:firstLine="3685" w:firstLineChars="1755"/>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投标人（盖公章）：</w:t>
      </w:r>
      <w:r>
        <w:rPr>
          <w:rFonts w:ascii="Times New Roman" w:hAnsi="Times New Roman"/>
          <w:color w:val="000000" w:themeColor="text1"/>
          <w14:textFill>
            <w14:solidFill>
              <w14:schemeClr w14:val="tx1"/>
            </w14:solidFill>
          </w14:textFill>
        </w:rPr>
        <w:t xml:space="preserve"> </w:t>
      </w:r>
    </w:p>
    <w:p>
      <w:pPr>
        <w:spacing w:line="360" w:lineRule="auto"/>
        <w:ind w:firstLine="3685" w:firstLineChars="1755"/>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法定代表人（签字或签章）：</w:t>
      </w:r>
      <w:r>
        <w:rPr>
          <w:rFonts w:ascii="Times New Roman" w:hAnsi="Times New Roman"/>
          <w:color w:val="000000" w:themeColor="text1"/>
          <w14:textFill>
            <w14:solidFill>
              <w14:schemeClr w14:val="tx1"/>
            </w14:solidFill>
          </w14:textFill>
        </w:rPr>
        <w:t xml:space="preserve"> </w:t>
      </w:r>
    </w:p>
    <w:p>
      <w:pPr>
        <w:spacing w:line="360" w:lineRule="auto"/>
        <w:ind w:firstLine="3685" w:firstLineChars="1755"/>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授权代表人（签字或签章）：</w:t>
      </w:r>
      <w:r>
        <w:rPr>
          <w:rFonts w:ascii="Times New Roman" w:hAnsi="Times New Roman"/>
          <w:color w:val="000000" w:themeColor="text1"/>
          <w14:textFill>
            <w14:solidFill>
              <w14:schemeClr w14:val="tx1"/>
            </w14:solidFill>
          </w14:textFill>
        </w:rPr>
        <w:t xml:space="preserve"> </w:t>
      </w:r>
    </w:p>
    <w:p>
      <w:pPr>
        <w:spacing w:line="360" w:lineRule="auto"/>
        <w:ind w:firstLine="3685" w:firstLineChars="1755"/>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日期：</w:t>
      </w:r>
      <w:r>
        <w:rPr>
          <w:rFonts w:ascii="Times New Roman" w:hAnsi="Times New Roman"/>
          <w:color w:val="000000" w:themeColor="text1"/>
          <w14:textFill>
            <w14:solidFill>
              <w14:schemeClr w14:val="tx1"/>
            </w14:solidFill>
          </w14:textFill>
        </w:rPr>
        <w:t>2017</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日</w:t>
      </w:r>
    </w:p>
    <w:p>
      <w:pPr>
        <w:spacing w:line="360" w:lineRule="auto"/>
        <w:rPr>
          <w:rFonts w:ascii="Times New Roman" w:hAnsi="Times New Roman"/>
          <w:color w:val="000000" w:themeColor="text1"/>
          <w14:textFill>
            <w14:solidFill>
              <w14:schemeClr w14:val="tx1"/>
            </w14:solidFill>
          </w14:textFill>
        </w:rPr>
      </w:pPr>
    </w:p>
    <w:p>
      <w:pPr>
        <w:pStyle w:val="209"/>
        <w:spacing w:line="360" w:lineRule="auto"/>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bookmarkStart w:id="167" w:name="_Toc438162724"/>
      <w:r>
        <w:rPr>
          <w:rFonts w:hint="eastAsia" w:ascii="Times New Roman" w:hAnsi="Times New Roman" w:cs="Times New Roman"/>
          <w:b/>
          <w:color w:val="000000" w:themeColor="text1"/>
          <w:sz w:val="21"/>
          <w:szCs w:val="21"/>
          <w14:textFill>
            <w14:solidFill>
              <w14:schemeClr w14:val="tx1"/>
            </w14:solidFill>
          </w14:textFill>
        </w:rPr>
        <w:t>七、授权代表人身份证复印件</w:t>
      </w:r>
      <w:bookmarkEnd w:id="167"/>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说明：</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、复印件须加盖投标人公章，</w:t>
      </w:r>
      <w:r>
        <w:rPr>
          <w:rFonts w:hint="eastAsia" w:ascii="Times New Roman" w:hAnsi="Times New Roman"/>
          <w:b/>
          <w:color w:val="000000" w:themeColor="text1"/>
          <w14:textFill>
            <w14:solidFill>
              <w14:schemeClr w14:val="tx1"/>
            </w14:solidFill>
          </w14:textFill>
        </w:rPr>
        <w:t>并验原件</w:t>
      </w:r>
      <w:r>
        <w:rPr>
          <w:rFonts w:hint="eastAsia" w:ascii="Times New Roman" w:hAnsi="Times New Roman"/>
          <w:color w:val="000000" w:themeColor="text1"/>
          <w14:textFill>
            <w14:solidFill>
              <w14:schemeClr w14:val="tx1"/>
            </w14:solidFill>
          </w14:textFill>
        </w:rPr>
        <w:t>。</w:t>
      </w:r>
    </w:p>
    <w:p>
      <w:pPr>
        <w:spacing w:before="120" w:beforeLines="50" w:after="120" w:afterLines="5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r>
        <w:rPr>
          <w:rFonts w:hint="eastAsia" w:ascii="Times New Roman" w:hAnsi="Times New Roman"/>
          <w:color w:val="000000" w:themeColor="text1"/>
          <w:szCs w:val="21"/>
          <w14:textFill>
            <w14:solidFill>
              <w14:schemeClr w14:val="tx1"/>
            </w14:solidFill>
          </w14:textFill>
        </w:rPr>
        <w:t>、若为联合体，只须提供联合体牵头公司的授权代表人身份证复印件并加盖联合体牵头公司公章。</w:t>
      </w: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p>
    <w:p>
      <w:pPr>
        <w:pStyle w:val="209"/>
        <w:spacing w:line="360" w:lineRule="auto"/>
        <w:jc w:val="center"/>
        <w:rPr>
          <w:rFonts w:ascii="Times New Roman" w:hAnsi="Times New Roman" w:cs="Times New Roman"/>
          <w:b/>
          <w:color w:val="000000" w:themeColor="text1"/>
          <w:sz w:val="21"/>
          <w:szCs w:val="21"/>
          <w14:textFill>
            <w14:solidFill>
              <w14:schemeClr w14:val="tx1"/>
            </w14:solidFill>
          </w14:textFill>
        </w:rPr>
      </w:pPr>
      <w:bookmarkStart w:id="168" w:name="_Toc438162725"/>
      <w:r>
        <w:rPr>
          <w:rFonts w:hint="eastAsia" w:ascii="Times New Roman" w:hAnsi="Times New Roman" w:cs="Times New Roman"/>
          <w:b/>
          <w:color w:val="000000" w:themeColor="text1"/>
          <w:sz w:val="21"/>
          <w:szCs w:val="21"/>
          <w14:textFill>
            <w14:solidFill>
              <w14:schemeClr w14:val="tx1"/>
            </w14:solidFill>
          </w14:textFill>
        </w:rPr>
        <w:t>八、授权代表人社保证明文件复印件</w:t>
      </w:r>
      <w:bookmarkEnd w:id="168"/>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说明：</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、投标人提供本企业为授权代表人缴纳的有效社会保险证明。社会保险证明：投标截止日起前连续月（</w:t>
      </w:r>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8</w:t>
      </w:r>
      <w:r>
        <w:rPr>
          <w:rFonts w:hint="eastAsia" w:ascii="Times New Roman" w:hAnsi="Times New Roman"/>
          <w:color w:val="000000" w:themeColor="text1"/>
          <w14:textFill>
            <w14:solidFill>
              <w14:schemeClr w14:val="tx1"/>
            </w14:solidFill>
          </w14:textFill>
        </w:rPr>
        <w:t>月）的社会保障资金缴纳记录证明文件（须由社保机构出具）复印件。若投标企业存在社保代理情况的，应出具社保代理委托合同以及以社保代理机构名义缴纳的对应期限要求的社保缴纳证明文件。</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、复印件须</w:t>
      </w:r>
      <w:r>
        <w:rPr>
          <w:rFonts w:hint="eastAsia" w:ascii="Times New Roman" w:hAnsi="Times New Roman"/>
          <w:b/>
          <w:color w:val="000000" w:themeColor="text1"/>
          <w14:textFill>
            <w14:solidFill>
              <w14:schemeClr w14:val="tx1"/>
            </w14:solidFill>
          </w14:textFill>
        </w:rPr>
        <w:t>加盖投标人公章，并验原件</w:t>
      </w:r>
      <w:r>
        <w:rPr>
          <w:rFonts w:hint="eastAsia" w:ascii="Times New Roman" w:hAnsi="Times New Roman"/>
          <w:color w:val="000000" w:themeColor="text1"/>
          <w14:textFill>
            <w14:solidFill>
              <w14:schemeClr w14:val="tx1"/>
            </w14:solidFill>
          </w14:textFill>
        </w:rPr>
        <w:t>。</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r>
        <w:rPr>
          <w:rFonts w:hint="eastAsia" w:ascii="Times New Roman" w:hAnsi="Times New Roman"/>
          <w:color w:val="000000" w:themeColor="text1"/>
          <w:szCs w:val="21"/>
          <w14:textFill>
            <w14:solidFill>
              <w14:schemeClr w14:val="tx1"/>
            </w14:solidFill>
          </w14:textFill>
        </w:rPr>
        <w:t>、若为联合体，只须提供联合体牵头公司授权代表人的社会保险证明复印件，加盖联合体牵头公司公章。</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b/>
          <w:color w:val="000000" w:themeColor="text1"/>
          <w:szCs w:val="21"/>
          <w14:textFill>
            <w14:solidFill>
              <w14:schemeClr w14:val="tx1"/>
            </w14:solidFill>
          </w14:textFill>
        </w:rPr>
        <w:br w:type="page"/>
      </w:r>
    </w:p>
    <w:p>
      <w:pPr>
        <w:pStyle w:val="209"/>
        <w:spacing w:line="360" w:lineRule="auto"/>
        <w:jc w:val="center"/>
        <w:rPr>
          <w:rFonts w:ascii="Times New Roman" w:hAnsi="Times New Roman" w:cs="Times New Roman"/>
          <w:b/>
          <w:color w:val="000000" w:themeColor="text1"/>
          <w:sz w:val="21"/>
          <w:szCs w:val="21"/>
          <w14:textFill>
            <w14:solidFill>
              <w14:schemeClr w14:val="tx1"/>
            </w14:solidFill>
          </w14:textFill>
        </w:rPr>
      </w:pPr>
      <w:bookmarkStart w:id="169" w:name="_Toc438162729"/>
      <w:bookmarkStart w:id="170" w:name="_Toc438162730"/>
      <w:r>
        <w:rPr>
          <w:rFonts w:hint="eastAsia" w:ascii="Times New Roman" w:hAnsi="Times New Roman" w:cs="Times New Roman"/>
          <w:b/>
          <w:color w:val="000000" w:themeColor="text1"/>
          <w:sz w:val="21"/>
          <w:szCs w:val="21"/>
          <w14:textFill>
            <w14:solidFill>
              <w14:schemeClr w14:val="tx1"/>
            </w14:solidFill>
          </w14:textFill>
        </w:rPr>
        <w:t>九、联合体协议</w:t>
      </w:r>
    </w:p>
    <w:p>
      <w:pPr>
        <w:jc w:val="center"/>
        <w:rPr>
          <w:rFonts w:ascii="Times New Roman" w:hAnsi="Times New Roman"/>
          <w:b/>
          <w:i/>
          <w:color w:val="000000" w:themeColor="text1"/>
          <w14:textFill>
            <w14:solidFill>
              <w14:schemeClr w14:val="tx1"/>
            </w14:solidFill>
          </w14:textFill>
        </w:rPr>
      </w:pPr>
      <w:r>
        <w:rPr>
          <w:rFonts w:hint="eastAsia" w:ascii="Times New Roman" w:hAnsi="Times New Roman"/>
          <w:b/>
          <w:i/>
          <w:color w:val="000000" w:themeColor="text1"/>
          <w14:textFill>
            <w14:solidFill>
              <w14:schemeClr w14:val="tx1"/>
            </w14:solidFill>
          </w14:textFill>
        </w:rPr>
        <w:t>（仅联合体投标适用，单独投标此条可删除）</w:t>
      </w:r>
      <w:bookmarkEnd w:id="169"/>
    </w:p>
    <w:p>
      <w:pPr>
        <w:widowControl/>
        <w:spacing w:before="120" w:beforeLines="50" w:after="120" w:afterLines="50" w:line="300" w:lineRule="auto"/>
        <w:jc w:val="left"/>
        <w:rPr>
          <w:rFonts w:ascii="Times New Roman" w:hAnsi="Times New Roman"/>
          <w:color w:val="000000" w:themeColor="text1"/>
          <w:szCs w:val="21"/>
          <w:u w:val="single"/>
          <w14:textFill>
            <w14:solidFill>
              <w14:schemeClr w14:val="tx1"/>
            </w14:solidFill>
          </w14:textFill>
        </w:rPr>
      </w:pPr>
    </w:p>
    <w:p>
      <w:pPr>
        <w:pStyle w:val="228"/>
        <w:spacing w:before="160" w:beforeLines="0" w:after="160" w:afterLines="0" w:line="240" w:lineRule="auto"/>
        <w:ind w:left="0" w:leftChars="0" w:firstLine="442"/>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牵头公司名称：</w:t>
      </w:r>
      <w:r>
        <w:rPr>
          <w:rFonts w:ascii="Times New Roman" w:hAnsi="Times New Roman"/>
          <w:color w:val="000000" w:themeColor="text1"/>
          <w:sz w:val="21"/>
          <w:szCs w:val="21"/>
          <w:u w:val="single"/>
          <w14:textFill>
            <w14:solidFill>
              <w14:schemeClr w14:val="tx1"/>
            </w14:solidFill>
          </w14:textFill>
        </w:rPr>
        <w:t xml:space="preserve">                                  </w:t>
      </w:r>
      <w:r>
        <w:rPr>
          <w:rFonts w:ascii="Times New Roman" w:hAnsi="Times New Roman"/>
          <w:color w:val="000000" w:themeColor="text1"/>
          <w:sz w:val="21"/>
          <w:szCs w:val="21"/>
          <w14:textFill>
            <w14:solidFill>
              <w14:schemeClr w14:val="tx1"/>
            </w14:solidFill>
          </w14:textFill>
        </w:rPr>
        <w:t xml:space="preserve"> </w:t>
      </w:r>
    </w:p>
    <w:p>
      <w:pPr>
        <w:pStyle w:val="228"/>
        <w:spacing w:before="160" w:beforeLines="0" w:after="160" w:afterLines="0" w:line="240" w:lineRule="auto"/>
        <w:ind w:left="0" w:leftChars="0" w:firstLine="442"/>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法定代表人：</w:t>
      </w:r>
      <w:r>
        <w:rPr>
          <w:rFonts w:ascii="Times New Roman" w:hAnsi="Times New Roman"/>
          <w:color w:val="000000" w:themeColor="text1"/>
          <w:sz w:val="21"/>
          <w:szCs w:val="21"/>
          <w:u w:val="single"/>
          <w14:textFill>
            <w14:solidFill>
              <w14:schemeClr w14:val="tx1"/>
            </w14:solidFill>
          </w14:textFill>
        </w:rPr>
        <w:t xml:space="preserve">                                       </w:t>
      </w:r>
    </w:p>
    <w:p>
      <w:pPr>
        <w:pStyle w:val="228"/>
        <w:spacing w:before="160" w:beforeLines="0" w:after="160" w:afterLines="0" w:line="240" w:lineRule="auto"/>
        <w:ind w:left="0" w:leftChars="0" w:firstLine="442"/>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注</w:t>
      </w:r>
      <w:r>
        <w:rPr>
          <w:rFonts w:ascii="Times New Roman" w:hAnsi="Times New Roman"/>
          <w:color w:val="000000" w:themeColor="text1"/>
          <w:sz w:val="21"/>
          <w:szCs w:val="21"/>
          <w14:textFill>
            <w14:solidFill>
              <w14:schemeClr w14:val="tx1"/>
            </w14:solidFill>
          </w14:textFill>
        </w:rPr>
        <w:t xml:space="preserve">  </w:t>
      </w:r>
      <w:r>
        <w:rPr>
          <w:rFonts w:hint="eastAsia" w:ascii="Times New Roman" w:hAnsi="Times New Roman"/>
          <w:color w:val="000000" w:themeColor="text1"/>
          <w:sz w:val="21"/>
          <w:szCs w:val="21"/>
          <w14:textFill>
            <w14:solidFill>
              <w14:schemeClr w14:val="tx1"/>
            </w14:solidFill>
          </w14:textFill>
        </w:rPr>
        <w:t>册</w:t>
      </w:r>
      <w:r>
        <w:rPr>
          <w:rFonts w:ascii="Times New Roman" w:hAnsi="Times New Roman"/>
          <w:color w:val="000000" w:themeColor="text1"/>
          <w:sz w:val="21"/>
          <w:szCs w:val="21"/>
          <w14:textFill>
            <w14:solidFill>
              <w14:schemeClr w14:val="tx1"/>
            </w14:solidFill>
          </w14:textFill>
        </w:rPr>
        <w:t xml:space="preserve">  </w:t>
      </w:r>
      <w:r>
        <w:rPr>
          <w:rFonts w:hint="eastAsia" w:ascii="Times New Roman" w:hAnsi="Times New Roman"/>
          <w:color w:val="000000" w:themeColor="text1"/>
          <w:sz w:val="21"/>
          <w:szCs w:val="21"/>
          <w14:textFill>
            <w14:solidFill>
              <w14:schemeClr w14:val="tx1"/>
            </w14:solidFill>
          </w14:textFill>
        </w:rPr>
        <w:t>地：</w:t>
      </w:r>
      <w:r>
        <w:rPr>
          <w:rFonts w:ascii="Times New Roman" w:hAnsi="Times New Roman"/>
          <w:color w:val="000000" w:themeColor="text1"/>
          <w:sz w:val="21"/>
          <w:szCs w:val="21"/>
          <w:u w:val="single"/>
          <w14:textFill>
            <w14:solidFill>
              <w14:schemeClr w14:val="tx1"/>
            </w14:solidFill>
          </w14:textFill>
        </w:rPr>
        <w:t xml:space="preserve">                                    </w:t>
      </w:r>
    </w:p>
    <w:p>
      <w:pPr>
        <w:pStyle w:val="228"/>
        <w:spacing w:before="160" w:beforeLines="0" w:after="160" w:afterLines="0" w:line="240" w:lineRule="auto"/>
        <w:ind w:left="0" w:leftChars="0" w:firstLine="442"/>
        <w:rPr>
          <w:rFonts w:ascii="Times New Roman" w:hAnsi="Times New Roman"/>
          <w:color w:val="000000" w:themeColor="text1"/>
          <w:sz w:val="21"/>
          <w:szCs w:val="21"/>
          <w14:textFill>
            <w14:solidFill>
              <w14:schemeClr w14:val="tx1"/>
            </w14:solidFill>
          </w14:textFill>
        </w:rPr>
      </w:pPr>
    </w:p>
    <w:p>
      <w:pPr>
        <w:pStyle w:val="228"/>
        <w:spacing w:before="120" w:after="120" w:line="240" w:lineRule="auto"/>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成员公司一名称：</w:t>
      </w:r>
      <w:r>
        <w:rPr>
          <w:rFonts w:ascii="Times New Roman" w:hAnsi="Times New Roman"/>
          <w:color w:val="000000" w:themeColor="text1"/>
          <w:sz w:val="21"/>
          <w:szCs w:val="21"/>
          <w:u w:val="single"/>
          <w14:textFill>
            <w14:solidFill>
              <w14:schemeClr w14:val="tx1"/>
            </w14:solidFill>
          </w14:textFill>
        </w:rPr>
        <w:t xml:space="preserve">                              </w:t>
      </w:r>
    </w:p>
    <w:p>
      <w:pPr>
        <w:pStyle w:val="228"/>
        <w:spacing w:before="120" w:after="120" w:line="240" w:lineRule="auto"/>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法定代表人：</w:t>
      </w:r>
      <w:r>
        <w:rPr>
          <w:rFonts w:ascii="Times New Roman" w:hAnsi="Times New Roman"/>
          <w:color w:val="000000" w:themeColor="text1"/>
          <w:sz w:val="21"/>
          <w:szCs w:val="21"/>
          <w:u w:val="single"/>
          <w14:textFill>
            <w14:solidFill>
              <w14:schemeClr w14:val="tx1"/>
            </w14:solidFill>
          </w14:textFill>
        </w:rPr>
        <w:t xml:space="preserve">                              </w:t>
      </w:r>
    </w:p>
    <w:p>
      <w:pPr>
        <w:pStyle w:val="228"/>
        <w:spacing w:before="120" w:after="120" w:line="240" w:lineRule="auto"/>
        <w:rPr>
          <w:rFonts w:ascii="Times New Roman" w:hAnsi="Times New Roman"/>
          <w:color w:val="000000" w:themeColor="text1"/>
          <w:sz w:val="21"/>
          <w:szCs w:val="21"/>
          <w:u w:val="single"/>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注册地：</w:t>
      </w:r>
      <w:r>
        <w:rPr>
          <w:rFonts w:ascii="Times New Roman" w:hAnsi="Times New Roman"/>
          <w:color w:val="000000" w:themeColor="text1"/>
          <w:sz w:val="21"/>
          <w:szCs w:val="21"/>
          <w:u w:val="single"/>
          <w14:textFill>
            <w14:solidFill>
              <w14:schemeClr w14:val="tx1"/>
            </w14:solidFill>
          </w14:textFill>
        </w:rPr>
        <w:t xml:space="preserve">                              </w:t>
      </w:r>
    </w:p>
    <w:p>
      <w:pPr>
        <w:pStyle w:val="228"/>
        <w:spacing w:before="120" w:after="120" w:line="240" w:lineRule="auto"/>
        <w:rPr>
          <w:rFonts w:ascii="Times New Roman" w:hAnsi="Times New Roman"/>
          <w:color w:val="000000" w:themeColor="text1"/>
          <w:sz w:val="21"/>
          <w:szCs w:val="21"/>
          <w14:textFill>
            <w14:solidFill>
              <w14:schemeClr w14:val="tx1"/>
            </w14:solidFill>
          </w14:textFill>
        </w:rPr>
      </w:pPr>
    </w:p>
    <w:p>
      <w:pPr>
        <w:pStyle w:val="228"/>
        <w:spacing w:before="120" w:after="120" w:line="240" w:lineRule="auto"/>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成员公司二名称：</w:t>
      </w:r>
      <w:r>
        <w:rPr>
          <w:rFonts w:ascii="Times New Roman" w:hAnsi="Times New Roman"/>
          <w:color w:val="000000" w:themeColor="text1"/>
          <w:sz w:val="21"/>
          <w:szCs w:val="21"/>
          <w:u w:val="single"/>
          <w14:textFill>
            <w14:solidFill>
              <w14:schemeClr w14:val="tx1"/>
            </w14:solidFill>
          </w14:textFill>
        </w:rPr>
        <w:t xml:space="preserve">                              </w:t>
      </w:r>
    </w:p>
    <w:p>
      <w:pPr>
        <w:pStyle w:val="228"/>
        <w:spacing w:before="120" w:after="120" w:line="240" w:lineRule="auto"/>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法定代表人：</w:t>
      </w:r>
      <w:r>
        <w:rPr>
          <w:rFonts w:ascii="Times New Roman" w:hAnsi="Times New Roman"/>
          <w:color w:val="000000" w:themeColor="text1"/>
          <w:sz w:val="21"/>
          <w:szCs w:val="21"/>
          <w:u w:val="single"/>
          <w14:textFill>
            <w14:solidFill>
              <w14:schemeClr w14:val="tx1"/>
            </w14:solidFill>
          </w14:textFill>
        </w:rPr>
        <w:t xml:space="preserve">                              </w:t>
      </w:r>
    </w:p>
    <w:p>
      <w:pPr>
        <w:pStyle w:val="228"/>
        <w:spacing w:before="120" w:after="120" w:line="240" w:lineRule="auto"/>
        <w:rPr>
          <w:rFonts w:ascii="Times New Roman" w:hAnsi="Times New Roman"/>
          <w:color w:val="000000" w:themeColor="text1"/>
          <w:sz w:val="21"/>
          <w:szCs w:val="21"/>
          <w:u w:val="single"/>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注册地：</w:t>
      </w:r>
      <w:r>
        <w:rPr>
          <w:rFonts w:ascii="Times New Roman" w:hAnsi="Times New Roman"/>
          <w:color w:val="000000" w:themeColor="text1"/>
          <w:sz w:val="21"/>
          <w:szCs w:val="21"/>
          <w:u w:val="single"/>
          <w14:textFill>
            <w14:solidFill>
              <w14:schemeClr w14:val="tx1"/>
            </w14:solidFill>
          </w14:textFill>
        </w:rPr>
        <w:t xml:space="preserve">                              </w:t>
      </w:r>
    </w:p>
    <w:p>
      <w:pPr>
        <w:pStyle w:val="228"/>
        <w:spacing w:before="120" w:after="120" w:line="240" w:lineRule="auto"/>
        <w:rPr>
          <w:rFonts w:ascii="Times New Roman" w:hAnsi="Times New Roman"/>
          <w:color w:val="000000" w:themeColor="text1"/>
          <w:sz w:val="21"/>
          <w:szCs w:val="21"/>
          <w14:textFill>
            <w14:solidFill>
              <w14:schemeClr w14:val="tx1"/>
            </w14:solidFill>
          </w14:textFill>
        </w:rPr>
      </w:pPr>
    </w:p>
    <w:p>
      <w:pPr>
        <w:pStyle w:val="228"/>
        <w:spacing w:before="160" w:beforeLines="0" w:after="160" w:afterLines="0"/>
        <w:ind w:left="0" w:leftChars="0" w:firstLine="442"/>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鉴于上述各成员公司经过友好协商，自愿组成</w:t>
      </w:r>
      <w:r>
        <w:rPr>
          <w:rFonts w:ascii="Times New Roman" w:hAnsi="Times New Roman"/>
          <w:color w:val="000000" w:themeColor="text1"/>
          <w:sz w:val="21"/>
          <w:szCs w:val="21"/>
          <w:u w:val="single"/>
          <w14:textFill>
            <w14:solidFill>
              <w14:schemeClr w14:val="tx1"/>
            </w14:solidFill>
          </w14:textFill>
        </w:rPr>
        <w:t xml:space="preserve">       </w:t>
      </w:r>
      <w:r>
        <w:rPr>
          <w:rFonts w:hint="eastAsia" w:ascii="Times New Roman" w:hAnsi="Times New Roman"/>
          <w:color w:val="000000" w:themeColor="text1"/>
          <w:sz w:val="21"/>
          <w:szCs w:val="21"/>
          <w14:textFill>
            <w14:solidFill>
              <w14:schemeClr w14:val="tx1"/>
            </w14:solidFill>
          </w14:textFill>
        </w:rPr>
        <w:t>（联合体名称）联合体，共同参加</w:t>
      </w:r>
      <w:r>
        <w:rPr>
          <w:rFonts w:hint="eastAsia" w:ascii="Times New Roman" w:hAnsi="Times New Roman"/>
          <w:color w:val="000000" w:themeColor="text1"/>
          <w:sz w:val="21"/>
          <w:szCs w:val="21"/>
          <w:u w:val="single"/>
          <w14:textFill>
            <w14:solidFill>
              <w14:schemeClr w14:val="tx1"/>
            </w14:solidFill>
          </w14:textFill>
        </w:rPr>
        <w:t>杭州大江东产业集聚区公路管理所</w:t>
      </w:r>
      <w:r>
        <w:rPr>
          <w:rFonts w:ascii="Times New Roman" w:hAnsi="Times New Roman"/>
          <w:color w:val="000000" w:themeColor="text1"/>
          <w:sz w:val="21"/>
          <w:szCs w:val="21"/>
          <w:u w:val="single"/>
          <w14:textFill>
            <w14:solidFill>
              <w14:schemeClr w14:val="tx1"/>
            </w14:solidFill>
          </w14:textFill>
        </w:rPr>
        <w:t xml:space="preserve"> </w:t>
      </w:r>
      <w:r>
        <w:rPr>
          <w:rFonts w:hint="eastAsia" w:ascii="Times New Roman" w:hAnsi="Times New Roman"/>
          <w:color w:val="000000" w:themeColor="text1"/>
          <w:sz w:val="21"/>
          <w:szCs w:val="21"/>
          <w14:textFill>
            <w14:solidFill>
              <w14:schemeClr w14:val="tx1"/>
            </w14:solidFill>
          </w14:textFill>
        </w:rPr>
        <w:t>组织的</w:t>
      </w:r>
      <w:r>
        <w:rPr>
          <w:rFonts w:ascii="Times New Roman" w:hAnsi="Times New Roman"/>
          <w:color w:val="000000" w:themeColor="text1"/>
          <w:sz w:val="21"/>
          <w:szCs w:val="21"/>
          <w:u w:val="single"/>
          <w14:textFill>
            <w14:solidFill>
              <w14:schemeClr w14:val="tx1"/>
            </w14:solidFill>
          </w14:textFill>
        </w:rPr>
        <w:fldChar w:fldCharType="begin"/>
      </w:r>
      <w:r>
        <w:rPr>
          <w:rFonts w:ascii="Times New Roman" w:hAnsi="Times New Roman"/>
          <w:color w:val="000000" w:themeColor="text1"/>
          <w:sz w:val="21"/>
          <w:szCs w:val="21"/>
          <w:u w:val="single"/>
          <w14:textFill>
            <w14:solidFill>
              <w14:schemeClr w14:val="tx1"/>
            </w14:solidFill>
          </w14:textFill>
        </w:rPr>
        <w:instrText xml:space="preserve"> REF </w:instrText>
      </w:r>
      <w:r>
        <w:rPr>
          <w:rFonts w:hint="eastAsia" w:ascii="Times New Roman" w:hAnsi="Times New Roman"/>
          <w:color w:val="000000" w:themeColor="text1"/>
          <w:sz w:val="21"/>
          <w:szCs w:val="21"/>
          <w:u w:val="single"/>
          <w14:textFill>
            <w14:solidFill>
              <w14:schemeClr w14:val="tx1"/>
            </w14:solidFill>
          </w14:textFill>
        </w:rPr>
        <w:instrText xml:space="preserve">采购项目名称</w:instrText>
      </w:r>
      <w:r>
        <w:rPr>
          <w:rFonts w:ascii="Times New Roman" w:hAnsi="Times New Roman"/>
          <w:color w:val="000000" w:themeColor="text1"/>
          <w:sz w:val="21"/>
          <w:szCs w:val="21"/>
          <w:u w:val="single"/>
          <w14:textFill>
            <w14:solidFill>
              <w14:schemeClr w14:val="tx1"/>
            </w14:solidFill>
          </w14:textFill>
        </w:rPr>
        <w:instrText xml:space="preserve"> \h  \* MERGEFORMAT </w:instrText>
      </w:r>
      <w:r>
        <w:rPr>
          <w:rFonts w:ascii="Times New Roman" w:hAnsi="Times New Roman"/>
          <w:color w:val="000000" w:themeColor="text1"/>
          <w:sz w:val="21"/>
          <w:szCs w:val="21"/>
          <w:u w:val="single"/>
          <w14:textFill>
            <w14:solidFill>
              <w14:schemeClr w14:val="tx1"/>
            </w14:solidFill>
          </w14:textFill>
        </w:rPr>
        <w:fldChar w:fldCharType="separate"/>
      </w:r>
      <w:r>
        <w:rPr>
          <w:rFonts w:hint="eastAsia" w:ascii="Times New Roman" w:hAnsi="Times New Roman"/>
          <w:color w:val="000000" w:themeColor="text1"/>
          <w:sz w:val="21"/>
          <w:szCs w:val="21"/>
          <w:u w:val="single"/>
          <w14:textFill>
            <w14:solidFill>
              <w14:schemeClr w14:val="tx1"/>
            </w14:solidFill>
          </w14:textFill>
        </w:rPr>
        <w:t>艮山东路过江隧道工程</w:t>
      </w:r>
      <w:r>
        <w:rPr>
          <w:rFonts w:ascii="Times New Roman" w:hAnsi="Times New Roman"/>
          <w:color w:val="000000" w:themeColor="text1"/>
          <w:sz w:val="21"/>
          <w:szCs w:val="21"/>
          <w:u w:val="single"/>
          <w14:textFill>
            <w14:solidFill>
              <w14:schemeClr w14:val="tx1"/>
            </w14:solidFill>
          </w14:textFill>
        </w:rPr>
        <w:t>PPP</w:t>
      </w:r>
      <w:r>
        <w:rPr>
          <w:rFonts w:hint="eastAsia" w:ascii="Times New Roman" w:hAnsi="Times New Roman"/>
          <w:color w:val="000000" w:themeColor="text1"/>
          <w:sz w:val="21"/>
          <w:szCs w:val="21"/>
          <w:u w:val="single"/>
          <w14:textFill>
            <w14:solidFill>
              <w14:schemeClr w14:val="tx1"/>
            </w14:solidFill>
          </w14:textFill>
        </w:rPr>
        <w:t>项目社会资本采购</w:t>
      </w:r>
      <w:r>
        <w:rPr>
          <w:rFonts w:ascii="Times New Roman" w:hAnsi="Times New Roman"/>
          <w:color w:val="000000" w:themeColor="text1"/>
          <w:sz w:val="21"/>
          <w:szCs w:val="21"/>
          <w:u w:val="single"/>
          <w14:textFill>
            <w14:solidFill>
              <w14:schemeClr w14:val="tx1"/>
            </w14:solidFill>
          </w14:textFill>
        </w:rPr>
        <w:fldChar w:fldCharType="end"/>
      </w:r>
      <w:r>
        <w:rPr>
          <w:rFonts w:hint="eastAsia" w:ascii="Times New Roman" w:hAnsi="Times New Roman"/>
          <w:color w:val="000000" w:themeColor="text1"/>
          <w:sz w:val="21"/>
          <w:szCs w:val="21"/>
          <w14:textFill>
            <w14:solidFill>
              <w14:schemeClr w14:val="tx1"/>
            </w14:solidFill>
          </w14:textFill>
        </w:rPr>
        <w:t>项目的资格预审和投标。现就联合体申请及投标事宜订立如下协议：</w:t>
      </w:r>
    </w:p>
    <w:p>
      <w:pPr>
        <w:pStyle w:val="228"/>
        <w:numPr>
          <w:ilvl w:val="1"/>
          <w:numId w:val="31"/>
        </w:numPr>
        <w:spacing w:before="160" w:beforeLines="0" w:after="160" w:afterLines="0"/>
        <w:ind w:left="851" w:leftChars="0" w:hanging="425"/>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由</w:t>
      </w:r>
      <w:r>
        <w:rPr>
          <w:rFonts w:ascii="Times New Roman" w:hAnsi="Times New Roman"/>
          <w:color w:val="000000" w:themeColor="text1"/>
          <w:sz w:val="21"/>
          <w:szCs w:val="21"/>
          <w:u w:val="single"/>
          <w14:textFill>
            <w14:solidFill>
              <w14:schemeClr w14:val="tx1"/>
            </w14:solidFill>
          </w14:textFill>
        </w:rPr>
        <w:t xml:space="preserve">          </w:t>
      </w:r>
      <w:r>
        <w:rPr>
          <w:rFonts w:hint="eastAsia" w:ascii="Times New Roman" w:hAnsi="Times New Roman"/>
          <w:color w:val="000000" w:themeColor="text1"/>
          <w:sz w:val="21"/>
          <w:szCs w:val="21"/>
          <w14:textFill>
            <w14:solidFill>
              <w14:schemeClr w14:val="tx1"/>
            </w14:solidFill>
          </w14:textFill>
        </w:rPr>
        <w:t>（牵头公司名称）作为</w:t>
      </w:r>
      <w:r>
        <w:rPr>
          <w:rFonts w:ascii="Times New Roman" w:hAnsi="Times New Roman"/>
          <w:color w:val="000000" w:themeColor="text1"/>
          <w:sz w:val="21"/>
          <w:szCs w:val="21"/>
          <w:u w:val="single"/>
          <w14:textFill>
            <w14:solidFill>
              <w14:schemeClr w14:val="tx1"/>
            </w14:solidFill>
          </w14:textFill>
        </w:rPr>
        <w:t xml:space="preserve">         </w:t>
      </w:r>
      <w:r>
        <w:rPr>
          <w:rFonts w:hint="eastAsia" w:ascii="Times New Roman" w:hAnsi="Times New Roman"/>
          <w:color w:val="000000" w:themeColor="text1"/>
          <w:sz w:val="21"/>
          <w:szCs w:val="21"/>
          <w14:textFill>
            <w14:solidFill>
              <w14:schemeClr w14:val="tx1"/>
            </w14:solidFill>
          </w14:textFill>
        </w:rPr>
        <w:t>（联合体名称）牵头公司负责联合体在本项目的投标活动。牵头公司及其法定代表人可以授权委托其授权代表参加本项目的投标活动。</w:t>
      </w:r>
    </w:p>
    <w:p>
      <w:pPr>
        <w:pStyle w:val="228"/>
        <w:numPr>
          <w:ilvl w:val="1"/>
          <w:numId w:val="31"/>
        </w:numPr>
        <w:spacing w:before="120" w:after="120"/>
        <w:ind w:leftChars="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牵头公司占项目公司股权份额比例为</w:t>
      </w:r>
      <w:r>
        <w:rPr>
          <w:rFonts w:ascii="Times New Roman" w:hAnsi="Times New Roman"/>
          <w:color w:val="000000" w:themeColor="text1"/>
          <w:sz w:val="21"/>
          <w:szCs w:val="21"/>
          <w:u w:val="single"/>
          <w14:textFill>
            <w14:solidFill>
              <w14:schemeClr w14:val="tx1"/>
            </w14:solidFill>
          </w14:textFill>
        </w:rPr>
        <w:t xml:space="preserve">   </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（牵头公司持股比例不少于</w:t>
      </w:r>
      <w:r>
        <w:rPr>
          <w:rFonts w:ascii="Times New Roman" w:hAnsi="Times New Roman"/>
          <w:color w:val="000000" w:themeColor="text1"/>
          <w:sz w:val="21"/>
          <w:szCs w:val="21"/>
          <w14:textFill>
            <w14:solidFill>
              <w14:schemeClr w14:val="tx1"/>
            </w14:solidFill>
          </w14:textFill>
        </w:rPr>
        <w:t>25%</w:t>
      </w:r>
      <w:r>
        <w:rPr>
          <w:rFonts w:hint="eastAsia" w:ascii="Times New Roman" w:hAnsi="Times New Roman"/>
          <w:color w:val="000000" w:themeColor="text1"/>
          <w:sz w:val="21"/>
          <w:szCs w:val="21"/>
          <w14:textFill>
            <w14:solidFill>
              <w14:schemeClr w14:val="tx1"/>
            </w14:solidFill>
          </w14:textFill>
        </w:rPr>
        <w:t>），成员公司一占项目公司股权份额比例为</w:t>
      </w:r>
      <w:r>
        <w:rPr>
          <w:rFonts w:ascii="Times New Roman" w:hAnsi="Times New Roman"/>
          <w:color w:val="000000" w:themeColor="text1"/>
          <w:sz w:val="21"/>
          <w:szCs w:val="21"/>
          <w:u w:val="single"/>
          <w14:textFill>
            <w14:solidFill>
              <w14:schemeClr w14:val="tx1"/>
            </w14:solidFill>
          </w14:textFill>
        </w:rPr>
        <w:t xml:space="preserve">  </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，成员公司二占项目公司股权份额比例为</w:t>
      </w:r>
      <w:r>
        <w:rPr>
          <w:rFonts w:ascii="Times New Roman" w:hAnsi="Times New Roman"/>
          <w:color w:val="000000" w:themeColor="text1"/>
          <w:sz w:val="21"/>
          <w:szCs w:val="21"/>
          <w:u w:val="single"/>
          <w14:textFill>
            <w14:solidFill>
              <w14:schemeClr w14:val="tx1"/>
            </w14:solidFill>
          </w14:textFill>
        </w:rPr>
        <w:t xml:space="preserve">  </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w:t>
      </w:r>
    </w:p>
    <w:p>
      <w:pPr>
        <w:pStyle w:val="228"/>
        <w:spacing w:before="120" w:after="120"/>
        <w:ind w:left="840" w:leftChars="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注：联合体成员股权比例分配时，要求联合体成员其中一方为控股方。</w:t>
      </w:r>
    </w:p>
    <w:p>
      <w:pPr>
        <w:pStyle w:val="228"/>
        <w:numPr>
          <w:ilvl w:val="1"/>
          <w:numId w:val="31"/>
        </w:numPr>
        <w:spacing w:before="160" w:beforeLines="0" w:after="160" w:afterLines="0"/>
        <w:ind w:left="851" w:leftChars="0" w:hanging="425"/>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牵头公司代表联合体全体成员负责联合体在项目中的一切投标活动，包括但不限于组织编制资格预审申请文件、提交资格预审申请文件、组织编制投标文件、提交投标文件，提交和接收澄清答疑及补充文件、进行谈判以及处理与项目投标相关的一切必要的事宜。联合体与采购人之间的来往函件、资料、信息将通过牵头公司收寄。</w:t>
      </w:r>
    </w:p>
    <w:p>
      <w:pPr>
        <w:pStyle w:val="228"/>
        <w:numPr>
          <w:ilvl w:val="1"/>
          <w:numId w:val="31"/>
        </w:numPr>
        <w:spacing w:before="160" w:beforeLines="0" w:after="160" w:afterLines="0"/>
        <w:ind w:left="851" w:leftChars="0" w:hanging="425"/>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联合体中标后，牵头公司负责合同谈判、订立和合同实施阶段的主办、组织和协调工作。</w:t>
      </w:r>
    </w:p>
    <w:p>
      <w:pPr>
        <w:pStyle w:val="228"/>
        <w:numPr>
          <w:ilvl w:val="1"/>
          <w:numId w:val="31"/>
        </w:numPr>
        <w:spacing w:before="160" w:beforeLines="0" w:after="160" w:afterLines="0"/>
        <w:ind w:leftChars="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牵头公司做出的同</w:t>
      </w:r>
      <w:r>
        <w:rPr>
          <w:rFonts w:ascii="Times New Roman" w:hAnsi="Times New Roman"/>
          <w:color w:val="000000" w:themeColor="text1"/>
          <w:sz w:val="21"/>
          <w:szCs w:val="21"/>
          <w:u w:val="single"/>
          <w14:textFill>
            <w14:solidFill>
              <w14:schemeClr w14:val="tx1"/>
            </w14:solidFill>
          </w14:textFill>
        </w:rPr>
        <w:fldChar w:fldCharType="begin"/>
      </w:r>
      <w:r>
        <w:rPr>
          <w:rFonts w:ascii="Times New Roman" w:hAnsi="Times New Roman"/>
          <w:color w:val="000000" w:themeColor="text1"/>
          <w:sz w:val="21"/>
          <w:szCs w:val="21"/>
          <w:u w:val="single"/>
          <w14:textFill>
            <w14:solidFill>
              <w14:schemeClr w14:val="tx1"/>
            </w14:solidFill>
          </w14:textFill>
        </w:rPr>
        <w:instrText xml:space="preserve"> REF </w:instrText>
      </w:r>
      <w:r>
        <w:rPr>
          <w:rFonts w:hint="eastAsia" w:ascii="Times New Roman" w:hAnsi="Times New Roman"/>
          <w:color w:val="000000" w:themeColor="text1"/>
          <w:sz w:val="21"/>
          <w:szCs w:val="21"/>
          <w:u w:val="single"/>
          <w14:textFill>
            <w14:solidFill>
              <w14:schemeClr w14:val="tx1"/>
            </w14:solidFill>
          </w14:textFill>
        </w:rPr>
        <w:instrText xml:space="preserve">采购项目名称</w:instrText>
      </w:r>
      <w:r>
        <w:rPr>
          <w:rFonts w:ascii="Times New Roman" w:hAnsi="Times New Roman"/>
          <w:color w:val="000000" w:themeColor="text1"/>
          <w:sz w:val="21"/>
          <w:szCs w:val="21"/>
          <w:u w:val="single"/>
          <w14:textFill>
            <w14:solidFill>
              <w14:schemeClr w14:val="tx1"/>
            </w14:solidFill>
          </w14:textFill>
        </w:rPr>
        <w:instrText xml:space="preserve"> \h  \* MERGEFORMAT </w:instrText>
      </w:r>
      <w:r>
        <w:rPr>
          <w:rFonts w:ascii="Times New Roman" w:hAnsi="Times New Roman"/>
          <w:color w:val="000000" w:themeColor="text1"/>
          <w:sz w:val="21"/>
          <w:szCs w:val="21"/>
          <w:u w:val="single"/>
          <w14:textFill>
            <w14:solidFill>
              <w14:schemeClr w14:val="tx1"/>
            </w14:solidFill>
          </w14:textFill>
        </w:rPr>
        <w:fldChar w:fldCharType="separate"/>
      </w:r>
      <w:r>
        <w:rPr>
          <w:rFonts w:hint="eastAsia" w:ascii="Times New Roman" w:hAnsi="Times New Roman"/>
          <w:color w:val="000000" w:themeColor="text1"/>
          <w:sz w:val="21"/>
          <w:szCs w:val="21"/>
          <w:u w:val="single"/>
          <w14:textFill>
            <w14:solidFill>
              <w14:schemeClr w14:val="tx1"/>
            </w14:solidFill>
          </w14:textFill>
        </w:rPr>
        <w:t>艮山东路过江隧道工程</w:t>
      </w:r>
      <w:r>
        <w:rPr>
          <w:rFonts w:ascii="Times New Roman" w:hAnsi="Times New Roman"/>
          <w:color w:val="000000" w:themeColor="text1"/>
          <w:sz w:val="21"/>
          <w:szCs w:val="21"/>
          <w:u w:val="single"/>
          <w14:textFill>
            <w14:solidFill>
              <w14:schemeClr w14:val="tx1"/>
            </w14:solidFill>
          </w14:textFill>
        </w:rPr>
        <w:t>PPP</w:t>
      </w:r>
      <w:r>
        <w:rPr>
          <w:rFonts w:hint="eastAsia" w:ascii="Times New Roman" w:hAnsi="Times New Roman"/>
          <w:color w:val="000000" w:themeColor="text1"/>
          <w:sz w:val="21"/>
          <w:szCs w:val="21"/>
          <w:u w:val="single"/>
          <w14:textFill>
            <w14:solidFill>
              <w14:schemeClr w14:val="tx1"/>
            </w14:solidFill>
          </w14:textFill>
        </w:rPr>
        <w:t>项目社会资本采购</w:t>
      </w:r>
      <w:r>
        <w:rPr>
          <w:rFonts w:ascii="Times New Roman" w:hAnsi="Times New Roman"/>
          <w:color w:val="000000" w:themeColor="text1"/>
          <w:sz w:val="21"/>
          <w:szCs w:val="21"/>
          <w:u w:val="single"/>
          <w14:textFill>
            <w14:solidFill>
              <w14:schemeClr w14:val="tx1"/>
            </w14:solidFill>
          </w14:textFill>
        </w:rPr>
        <w:fldChar w:fldCharType="end"/>
      </w:r>
      <w:r>
        <w:rPr>
          <w:rFonts w:hint="eastAsia" w:ascii="Times New Roman" w:hAnsi="Times New Roman"/>
          <w:color w:val="000000" w:themeColor="text1"/>
          <w:sz w:val="21"/>
          <w:szCs w:val="21"/>
          <w14:textFill>
            <w14:solidFill>
              <w14:schemeClr w14:val="tx1"/>
            </w14:solidFill>
          </w14:textFill>
        </w:rPr>
        <w:t>相关的行为对联合体全体成员均具有法律效力。联合体牵头公司对外承担全部责任，联合体成员公司对牵头公司在投标活动中及中标后履约的一切行为按照内部职责的划分，根据按照联合体协议承担各自所负的责任和风险，并向项目实施机构</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采购人承担连带责任</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 xml:space="preserve"> </w:t>
      </w:r>
    </w:p>
    <w:p>
      <w:pPr>
        <w:pStyle w:val="228"/>
        <w:numPr>
          <w:ilvl w:val="1"/>
          <w:numId w:val="31"/>
        </w:numPr>
        <w:spacing w:before="160" w:beforeLines="0" w:after="160" w:afterLines="0"/>
        <w:ind w:leftChars="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联合体成员各方在本项目中的工作职责、权利与义务如下：</w:t>
      </w:r>
      <w:r>
        <w:rPr>
          <w:rFonts w:hint="eastAsia" w:ascii="Times New Roman" w:hAnsi="Times New Roman"/>
          <w:b/>
          <w:color w:val="000000" w:themeColor="text1"/>
          <w:sz w:val="21"/>
          <w:szCs w:val="21"/>
          <w:u w:val="single"/>
          <w14:textFill>
            <w14:solidFill>
              <w14:schemeClr w14:val="tx1"/>
            </w14:solidFill>
          </w14:textFill>
        </w:rPr>
        <w:t>需详细列述，若联合体由两家及以上施工单位组成，请明确施工总承包方（只有一家）</w:t>
      </w:r>
      <w:r>
        <w:rPr>
          <w:rFonts w:ascii="Times New Roman" w:hAnsi="Times New Roman"/>
          <w:b/>
          <w:color w:val="000000" w:themeColor="text1"/>
          <w:sz w:val="21"/>
          <w:szCs w:val="21"/>
          <w:u w:val="single"/>
          <w14:textFill>
            <w14:solidFill>
              <w14:schemeClr w14:val="tx1"/>
            </w14:solidFill>
          </w14:textFill>
        </w:rPr>
        <w:t xml:space="preserve">                                     </w:t>
      </w:r>
    </w:p>
    <w:p>
      <w:pPr>
        <w:pStyle w:val="228"/>
        <w:numPr>
          <w:ilvl w:val="1"/>
          <w:numId w:val="31"/>
        </w:numPr>
        <w:spacing w:before="160" w:beforeLines="0" w:after="160" w:afterLines="0"/>
        <w:ind w:left="851" w:leftChars="0" w:hanging="425"/>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本协议经所有联合体成员盖章和法定代表人或授权代表签字后生效。本协议在联合体未通过资格预审、未中标或者中标时合同履行完毕后自动失效。</w:t>
      </w:r>
    </w:p>
    <w:p>
      <w:pPr>
        <w:pStyle w:val="228"/>
        <w:numPr>
          <w:ilvl w:val="1"/>
          <w:numId w:val="31"/>
        </w:numPr>
        <w:spacing w:before="160" w:beforeLines="0" w:after="160" w:afterLines="0"/>
        <w:ind w:left="851" w:leftChars="0" w:hanging="425"/>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本协议书正本一式</w:t>
      </w:r>
      <w:r>
        <w:rPr>
          <w:rFonts w:ascii="Times New Roman" w:hAnsi="Times New Roman"/>
          <w:color w:val="000000" w:themeColor="text1"/>
          <w:sz w:val="21"/>
          <w:szCs w:val="21"/>
          <w:u w:val="single"/>
          <w14:textFill>
            <w14:solidFill>
              <w14:schemeClr w14:val="tx1"/>
            </w14:solidFill>
          </w14:textFill>
        </w:rPr>
        <w:t xml:space="preserve">   </w:t>
      </w:r>
      <w:r>
        <w:rPr>
          <w:rFonts w:hint="eastAsia" w:ascii="Times New Roman" w:hAnsi="Times New Roman"/>
          <w:color w:val="000000" w:themeColor="text1"/>
          <w:sz w:val="21"/>
          <w:szCs w:val="21"/>
          <w14:textFill>
            <w14:solidFill>
              <w14:schemeClr w14:val="tx1"/>
            </w14:solidFill>
          </w14:textFill>
        </w:rPr>
        <w:t>份，联合体各成员和采购人各执一份。</w:t>
      </w:r>
    </w:p>
    <w:p>
      <w:pPr>
        <w:widowControl/>
        <w:spacing w:before="120" w:beforeLines="50" w:after="120" w:afterLines="50" w:line="30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以下无正文</w:t>
      </w:r>
      <w:r>
        <w:rPr>
          <w:rFonts w:ascii="Times New Roman" w:hAnsi="Times New Roman"/>
          <w:color w:val="000000" w:themeColor="text1"/>
          <w14:textFill>
            <w14:solidFill>
              <w14:schemeClr w14:val="tx1"/>
            </w14:solidFill>
          </w14:textFill>
        </w:rPr>
        <w:t>]</w:t>
      </w:r>
    </w:p>
    <w:p>
      <w:pPr>
        <w:widowControl/>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p>
    <w:p>
      <w:pPr>
        <w:widowControl/>
        <w:spacing w:before="120" w:beforeLines="50" w:after="120" w:afterLines="50" w:line="300" w:lineRule="auto"/>
        <w:jc w:val="left"/>
        <w:rPr>
          <w:rFonts w:ascii="Times New Roman" w:hAnsi="Times New Roman"/>
          <w:color w:val="000000" w:themeColor="text1"/>
          <w14:textFill>
            <w14:solidFill>
              <w14:schemeClr w14:val="tx1"/>
            </w14:solidFill>
          </w14:textFill>
        </w:rPr>
      </w:pPr>
    </w:p>
    <w:p>
      <w:pPr>
        <w:widowControl/>
        <w:spacing w:before="120" w:beforeLines="50" w:after="120" w:afterLines="50" w:line="30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【签署页】</w:t>
      </w:r>
    </w:p>
    <w:p>
      <w:pPr>
        <w:widowControl/>
        <w:spacing w:before="120" w:beforeLines="50" w:after="120" w:afterLines="50" w:line="300" w:lineRule="auto"/>
        <w:jc w:val="center"/>
        <w:rPr>
          <w:rFonts w:ascii="Times New Roman" w:hAnsi="Times New Roman"/>
          <w:color w:val="000000" w:themeColor="text1"/>
          <w14:textFill>
            <w14:solidFill>
              <w14:schemeClr w14:val="tx1"/>
            </w14:solidFill>
          </w14:textFill>
        </w:rPr>
      </w:pPr>
    </w:p>
    <w:p>
      <w:pPr>
        <w:widowControl/>
        <w:spacing w:before="120" w:beforeLines="50" w:after="120" w:afterLines="50" w:line="300" w:lineRule="auto"/>
        <w:ind w:firstLine="1558" w:firstLineChars="742"/>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牵头公司名称（盖公章）：</w:t>
      </w:r>
    </w:p>
    <w:p>
      <w:pPr>
        <w:widowControl/>
        <w:spacing w:before="120" w:beforeLines="50" w:after="120" w:afterLines="50" w:line="300" w:lineRule="auto"/>
        <w:ind w:firstLine="1558" w:firstLineChars="742"/>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法定代表人或授权代表人（签字或签章）：</w:t>
      </w:r>
    </w:p>
    <w:p>
      <w:pPr>
        <w:widowControl/>
        <w:spacing w:before="120" w:beforeLines="50" w:after="120" w:afterLines="50" w:line="300" w:lineRule="auto"/>
        <w:ind w:firstLine="1558" w:firstLineChars="742"/>
        <w:jc w:val="left"/>
        <w:rPr>
          <w:rFonts w:ascii="Times New Roman" w:hAnsi="Times New Roman"/>
          <w:color w:val="000000" w:themeColor="text1"/>
          <w14:textFill>
            <w14:solidFill>
              <w14:schemeClr w14:val="tx1"/>
            </w14:solidFill>
          </w14:textFill>
        </w:rPr>
      </w:pPr>
    </w:p>
    <w:p>
      <w:pPr>
        <w:widowControl/>
        <w:spacing w:before="120" w:beforeLines="50" w:after="120" w:afterLines="50" w:line="300" w:lineRule="auto"/>
        <w:ind w:firstLine="1558" w:firstLineChars="742"/>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成员公司一名称（盖公章）：</w:t>
      </w:r>
    </w:p>
    <w:p>
      <w:pPr>
        <w:widowControl/>
        <w:spacing w:before="120" w:beforeLines="50" w:after="120" w:afterLines="50" w:line="300" w:lineRule="auto"/>
        <w:ind w:firstLine="1558" w:firstLineChars="742"/>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法定代表人或授权代表人（签字或签章）：</w:t>
      </w:r>
    </w:p>
    <w:p>
      <w:pPr>
        <w:widowControl/>
        <w:spacing w:before="120" w:beforeLines="50" w:after="120" w:afterLines="50" w:line="300" w:lineRule="auto"/>
        <w:ind w:firstLine="1558" w:firstLineChars="742"/>
        <w:jc w:val="left"/>
        <w:rPr>
          <w:rFonts w:ascii="Times New Roman" w:hAnsi="Times New Roman"/>
          <w:color w:val="000000" w:themeColor="text1"/>
          <w14:textFill>
            <w14:solidFill>
              <w14:schemeClr w14:val="tx1"/>
            </w14:solidFill>
          </w14:textFill>
        </w:rPr>
      </w:pPr>
    </w:p>
    <w:p>
      <w:pPr>
        <w:widowControl/>
        <w:spacing w:before="120" w:beforeLines="50" w:after="120" w:afterLines="50" w:line="300" w:lineRule="auto"/>
        <w:ind w:firstLine="1558" w:firstLineChars="742"/>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成员公司二名称（盖公章）：</w:t>
      </w:r>
    </w:p>
    <w:p>
      <w:pPr>
        <w:widowControl/>
        <w:spacing w:before="120" w:beforeLines="50" w:after="120" w:afterLines="50" w:line="300" w:lineRule="auto"/>
        <w:ind w:firstLine="1558" w:firstLineChars="742"/>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法定代表人或授权代表人（签字或签章）：</w:t>
      </w:r>
    </w:p>
    <w:p>
      <w:pPr>
        <w:widowControl/>
        <w:spacing w:before="120" w:beforeLines="50" w:after="120" w:afterLines="50" w:line="300" w:lineRule="auto"/>
        <w:ind w:firstLine="1558" w:firstLineChars="742"/>
        <w:jc w:val="left"/>
        <w:rPr>
          <w:rFonts w:ascii="Times New Roman" w:hAnsi="Times New Roman"/>
          <w:color w:val="000000" w:themeColor="text1"/>
          <w:u w:val="single"/>
          <w14:textFill>
            <w14:solidFill>
              <w14:schemeClr w14:val="tx1"/>
            </w14:solidFill>
          </w14:textFill>
        </w:rPr>
      </w:pPr>
    </w:p>
    <w:p>
      <w:pPr>
        <w:widowControl/>
        <w:spacing w:before="120" w:beforeLines="50" w:after="120" w:afterLines="50" w:line="300" w:lineRule="auto"/>
        <w:ind w:firstLine="1558" w:firstLineChars="742"/>
        <w:jc w:val="left"/>
        <w:rPr>
          <w:rFonts w:ascii="Times New Roman" w:hAnsi="Times New Roman"/>
          <w:color w:val="000000" w:themeColor="text1"/>
          <w14:textFill>
            <w14:solidFill>
              <w14:schemeClr w14:val="tx1"/>
            </w14:solidFill>
          </w14:textFill>
        </w:rPr>
      </w:pPr>
    </w:p>
    <w:p>
      <w:pPr>
        <w:widowControl/>
        <w:spacing w:before="120" w:beforeLines="50" w:after="120" w:afterLines="50" w:line="300" w:lineRule="auto"/>
        <w:ind w:firstLine="1558" w:firstLineChars="742"/>
        <w:jc w:val="left"/>
        <w:rPr>
          <w:rFonts w:ascii="Times New Roman" w:hAnsi="Times New Roman"/>
          <w:color w:val="000000" w:themeColor="text1"/>
          <w:u w:val="single"/>
          <w14:textFill>
            <w14:solidFill>
              <w14:schemeClr w14:val="tx1"/>
            </w14:solidFill>
          </w14:textFill>
        </w:rPr>
      </w:pPr>
    </w:p>
    <w:p>
      <w:pPr>
        <w:widowControl/>
        <w:spacing w:before="120" w:beforeLines="50" w:after="120" w:afterLines="50" w:line="300" w:lineRule="auto"/>
        <w:ind w:firstLine="1558" w:firstLineChars="742"/>
        <w:jc w:val="left"/>
        <w:rPr>
          <w:rFonts w:ascii="Times New Roman" w:hAnsi="Times New Roman"/>
          <w:color w:val="000000" w:themeColor="text1"/>
          <w:u w:val="single"/>
          <w14:textFill>
            <w14:solidFill>
              <w14:schemeClr w14:val="tx1"/>
            </w14:solidFill>
          </w14:textFill>
        </w:rPr>
      </w:pPr>
      <w:r>
        <w:rPr>
          <w:rFonts w:hint="eastAsia" w:ascii="Times New Roman" w:hAnsi="Times New Roman"/>
          <w:color w:val="000000" w:themeColor="text1"/>
          <w14:textFill>
            <w14:solidFill>
              <w14:schemeClr w14:val="tx1"/>
            </w14:solidFill>
          </w14:textFill>
        </w:rPr>
        <w:t>日期：</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u w:val="single"/>
          <w14:textFill>
            <w14:solidFill>
              <w14:schemeClr w14:val="tx1"/>
            </w14:solidFill>
          </w14:textFill>
        </w:rPr>
        <w:t>年</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u w:val="single"/>
          <w14:textFill>
            <w14:solidFill>
              <w14:schemeClr w14:val="tx1"/>
            </w14:solidFill>
          </w14:textFill>
        </w:rPr>
        <w:t>月</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u w:val="single"/>
          <w14:textFill>
            <w14:solidFill>
              <w14:schemeClr w14:val="tx1"/>
            </w14:solidFill>
          </w14:textFill>
        </w:rPr>
        <w:t>日</w:t>
      </w:r>
    </w:p>
    <w:p>
      <w:pPr>
        <w:widowControl/>
        <w:spacing w:before="120" w:beforeLines="50" w:after="120" w:afterLines="50" w:line="300" w:lineRule="auto"/>
        <w:jc w:val="left"/>
        <w:rPr>
          <w:rFonts w:ascii="Times New Roman" w:hAnsi="Times New Roman"/>
          <w:color w:val="000000" w:themeColor="text1"/>
          <w:u w:val="single"/>
          <w14:textFill>
            <w14:solidFill>
              <w14:schemeClr w14:val="tx1"/>
            </w14:solidFill>
          </w14:textFill>
        </w:rPr>
      </w:pPr>
    </w:p>
    <w:p>
      <w:pPr>
        <w:widowControl/>
        <w:spacing w:before="120" w:beforeLines="50" w:after="120" w:afterLines="50" w:line="300" w:lineRule="auto"/>
        <w:jc w:val="left"/>
        <w:rPr>
          <w:rFonts w:ascii="Times New Roman" w:hAnsi="Times New Roman"/>
          <w:color w:val="000000" w:themeColor="text1"/>
          <w14:textFill>
            <w14:solidFill>
              <w14:schemeClr w14:val="tx1"/>
            </w14:solidFill>
          </w14:textFill>
        </w:rPr>
      </w:pPr>
    </w:p>
    <w:p>
      <w:pPr>
        <w:widowControl/>
        <w:spacing w:before="120" w:beforeLines="50" w:after="120" w:afterLines="50" w:line="300" w:lineRule="auto"/>
        <w:jc w:val="left"/>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注：联合体协议</w:t>
      </w:r>
      <w:r>
        <w:rPr>
          <w:rFonts w:hint="eastAsia" w:ascii="Times New Roman" w:hAnsi="Times New Roman"/>
          <w:b/>
          <w:color w:val="000000" w:themeColor="text1"/>
          <w:szCs w:val="21"/>
          <w14:textFill>
            <w14:solidFill>
              <w14:schemeClr w14:val="tx1"/>
            </w14:solidFill>
          </w14:textFill>
        </w:rPr>
        <w:t>各成员组成、股权比例、职责分工等主要条款</w:t>
      </w:r>
      <w:r>
        <w:rPr>
          <w:rFonts w:hint="eastAsia" w:ascii="Times New Roman" w:hAnsi="Times New Roman"/>
          <w:b/>
          <w:color w:val="000000" w:themeColor="text1"/>
          <w14:textFill>
            <w14:solidFill>
              <w14:schemeClr w14:val="tx1"/>
            </w14:solidFill>
          </w14:textFill>
        </w:rPr>
        <w:t>需与资格预审时一致，否则会导致投标响应无效。出具要求与资格预审时一致。</w:t>
      </w:r>
    </w:p>
    <w:p>
      <w:pPr>
        <w:widowControl/>
        <w:spacing w:before="120" w:beforeLines="50" w:after="120" w:afterLines="50" w:line="300"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资格预审对联合体协议的形式出具要求为：联合体协议若非由法定代表人签署，须有效授权；授权委托书作为本联合体协议附件，原件备查；授权委托书授权范围务必包括参与</w:t>
      </w:r>
      <w:r>
        <w:rPr>
          <w:rFonts w:ascii="Times New Roman" w:hAnsi="Times New Roman"/>
          <w:b/>
          <w:color w:val="000000" w:themeColor="text1"/>
          <w14:textFill>
            <w14:solidFill>
              <w14:schemeClr w14:val="tx1"/>
            </w14:solidFill>
          </w14:textFill>
        </w:rPr>
        <w:fldChar w:fldCharType="begin"/>
      </w:r>
      <w:r>
        <w:rPr>
          <w:rFonts w:ascii="Times New Roman" w:hAnsi="Times New Roman"/>
          <w:b/>
          <w:color w:val="000000" w:themeColor="text1"/>
          <w14:textFill>
            <w14:solidFill>
              <w14:schemeClr w14:val="tx1"/>
            </w14:solidFill>
          </w14:textFill>
        </w:rPr>
        <w:instrText xml:space="preserve"> REF </w:instrText>
      </w:r>
      <w:r>
        <w:rPr>
          <w:rFonts w:hint="eastAsia" w:ascii="Times New Roman" w:hAnsi="Times New Roman"/>
          <w:b/>
          <w:color w:val="000000" w:themeColor="text1"/>
          <w14:textFill>
            <w14:solidFill>
              <w14:schemeClr w14:val="tx1"/>
            </w14:solidFill>
          </w14:textFill>
        </w:rPr>
        <w:instrText xml:space="preserve">采购项目名称</w:instrText>
      </w:r>
      <w:r>
        <w:rPr>
          <w:rFonts w:ascii="Times New Roman" w:hAnsi="Times New Roman"/>
          <w:b/>
          <w:color w:val="000000" w:themeColor="text1"/>
          <w14:textFill>
            <w14:solidFill>
              <w14:schemeClr w14:val="tx1"/>
            </w14:solidFill>
          </w14:textFill>
        </w:rPr>
        <w:instrText xml:space="preserve"> \h  \* MERGEFORMAT </w:instrText>
      </w:r>
      <w:r>
        <w:rPr>
          <w:rFonts w:ascii="Times New Roman" w:hAnsi="Times New Roman"/>
          <w:b/>
          <w:color w:val="000000" w:themeColor="text1"/>
          <w14:textFill>
            <w14:solidFill>
              <w14:schemeClr w14:val="tx1"/>
            </w14:solidFill>
          </w14:textFill>
        </w:rPr>
        <w:fldChar w:fldCharType="separate"/>
      </w:r>
      <w:r>
        <w:rPr>
          <w:rFonts w:hint="eastAsia" w:ascii="Times New Roman" w:hAnsi="Times New Roman"/>
          <w:b/>
          <w:color w:val="000000" w:themeColor="text1"/>
          <w:szCs w:val="21"/>
          <w14:textFill>
            <w14:solidFill>
              <w14:schemeClr w14:val="tx1"/>
            </w14:solidFill>
          </w14:textFill>
        </w:rPr>
        <w:t>艮山东路过江隧道工程</w:t>
      </w:r>
      <w:r>
        <w:rPr>
          <w:rFonts w:ascii="Times New Roman" w:hAnsi="Times New Roman"/>
          <w:b/>
          <w:color w:val="000000" w:themeColor="text1"/>
          <w:szCs w:val="21"/>
          <w14:textFill>
            <w14:solidFill>
              <w14:schemeClr w14:val="tx1"/>
            </w14:solidFill>
          </w14:textFill>
        </w:rPr>
        <w:t>PPP</w:t>
      </w:r>
      <w:r>
        <w:rPr>
          <w:rFonts w:hint="eastAsia" w:ascii="Times New Roman" w:hAnsi="Times New Roman"/>
          <w:b/>
          <w:color w:val="000000" w:themeColor="text1"/>
          <w:szCs w:val="21"/>
          <w14:textFill>
            <w14:solidFill>
              <w14:schemeClr w14:val="tx1"/>
            </w14:solidFill>
          </w14:textFill>
        </w:rPr>
        <w:t>项目社会资本采购</w:t>
      </w:r>
      <w:r>
        <w:rPr>
          <w:rFonts w:ascii="Times New Roman" w:hAnsi="Times New Roman"/>
          <w:b/>
          <w:color w:val="000000" w:themeColor="text1"/>
          <w14:textFill>
            <w14:solidFill>
              <w14:schemeClr w14:val="tx1"/>
            </w14:solidFill>
          </w14:textFill>
        </w:rPr>
        <w:fldChar w:fldCharType="end"/>
      </w:r>
      <w:r>
        <w:rPr>
          <w:rFonts w:hint="eastAsia" w:ascii="Times New Roman" w:hAnsi="Times New Roman"/>
          <w:b/>
          <w:color w:val="000000" w:themeColor="text1"/>
          <w14:textFill>
            <w14:solidFill>
              <w14:schemeClr w14:val="tx1"/>
            </w14:solidFill>
          </w14:textFill>
        </w:rPr>
        <w:t>项目以联合体名义投标之联合体协议签署，授权委托书的附件（授权代表人身份证复印件及社会保险证明，相应加盖各成员公章）必须提供，否则联合体协议可认定无效。</w:t>
      </w:r>
    </w:p>
    <w:p>
      <w:pPr>
        <w:widowControl/>
        <w:spacing w:before="120" w:beforeLines="50" w:after="120" w:afterLines="50" w:line="300" w:lineRule="auto"/>
        <w:rPr>
          <w:rFonts w:ascii="Times New Roman" w:hAnsi="Times New Roman"/>
          <w:b/>
          <w:color w:val="000000" w:themeColor="text1"/>
          <w14:textFill>
            <w14:solidFill>
              <w14:schemeClr w14:val="tx1"/>
            </w14:solidFill>
          </w14:textFill>
        </w:rPr>
      </w:pPr>
    </w:p>
    <w:p>
      <w:pPr>
        <w:widowControl/>
        <w:spacing w:before="120" w:beforeLines="50" w:after="120" w:afterLines="50" w:line="300" w:lineRule="auto"/>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br w:type="page"/>
      </w:r>
    </w:p>
    <w:p>
      <w:pPr>
        <w:pStyle w:val="209"/>
        <w:spacing w:line="360" w:lineRule="auto"/>
        <w:jc w:val="center"/>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十、投标人认为与评审有关的其他材料</w:t>
      </w:r>
      <w:bookmarkEnd w:id="170"/>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包括但不限于：</w:t>
      </w:r>
    </w:p>
    <w:p>
      <w:pPr>
        <w:rPr>
          <w:rFonts w:ascii="Times New Roman" w:hAnsi="Times New Roman"/>
          <w:color w:val="000000" w:themeColor="text1"/>
          <w14:textFill>
            <w14:solidFill>
              <w14:schemeClr w14:val="tx1"/>
            </w14:solidFill>
          </w14:textFill>
        </w:rPr>
      </w:pPr>
    </w:p>
    <w:p>
      <w:pPr>
        <w:numPr>
          <w:ilvl w:val="0"/>
          <w:numId w:val="32"/>
        </w:numPr>
        <w:spacing w:line="360" w:lineRule="auto"/>
        <w:ind w:left="770" w:hanging="35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投标人对于施工总承包能力的申明，以及符合相应的施工能力评审资料。</w:t>
      </w:r>
    </w:p>
    <w:p>
      <w:pPr>
        <w:spacing w:line="360" w:lineRule="auto"/>
        <w:ind w:left="77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施工能力评审资料包括：施工总承包资质证书复印件、有效期内安全生产许可证复印件等。</w:t>
      </w:r>
    </w:p>
    <w:p>
      <w:pPr>
        <w:spacing w:line="360" w:lineRule="auto"/>
        <w:ind w:left="770"/>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p>
    <w:p>
      <w:pPr>
        <w:pStyle w:val="4"/>
        <w:rPr>
          <w:color w:val="000000" w:themeColor="text1"/>
          <w14:textFill>
            <w14:solidFill>
              <w14:schemeClr w14:val="tx1"/>
            </w14:solidFill>
          </w14:textFill>
        </w:rPr>
      </w:pPr>
      <w:bookmarkStart w:id="171" w:name="_Toc522635483"/>
      <w:r>
        <w:rPr>
          <w:rFonts w:hint="eastAsia"/>
          <w:color w:val="000000" w:themeColor="text1"/>
          <w14:textFill>
            <w14:solidFill>
              <w14:schemeClr w14:val="tx1"/>
            </w14:solidFill>
          </w14:textFill>
        </w:rPr>
        <w:t>第二分册</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企业资信</w:t>
      </w:r>
      <w:bookmarkEnd w:id="171"/>
    </w:p>
    <w:p>
      <w:pPr>
        <w:pStyle w:val="209"/>
        <w:numPr>
          <w:ilvl w:val="0"/>
          <w:numId w:val="33"/>
        </w:numPr>
        <w:spacing w:line="360" w:lineRule="auto"/>
        <w:jc w:val="center"/>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企业业绩表（一）</w:t>
      </w:r>
    </w:p>
    <w:p/>
    <w:tbl>
      <w:tblPr>
        <w:tblStyle w:val="58"/>
        <w:tblW w:w="8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103"/>
        <w:gridCol w:w="1210"/>
        <w:gridCol w:w="930"/>
        <w:gridCol w:w="1365"/>
        <w:gridCol w:w="1556"/>
        <w:gridCol w:w="1012"/>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8" w:hRule="atLeast"/>
        </w:trPr>
        <w:tc>
          <w:tcPr>
            <w:tcW w:w="632" w:type="dxa"/>
            <w:vAlign w:val="center"/>
          </w:tcPr>
          <w:p>
            <w:pPr>
              <w:jc w:val="center"/>
              <w:rPr>
                <w:kern w:val="0"/>
                <w:sz w:val="20"/>
                <w:szCs w:val="20"/>
              </w:rPr>
            </w:pPr>
            <w:r>
              <w:rPr>
                <w:rFonts w:hint="eastAsia"/>
                <w:kern w:val="0"/>
                <w:sz w:val="20"/>
                <w:szCs w:val="20"/>
              </w:rPr>
              <w:t>序号</w:t>
            </w:r>
          </w:p>
        </w:tc>
        <w:tc>
          <w:tcPr>
            <w:tcW w:w="1103" w:type="dxa"/>
            <w:vAlign w:val="center"/>
          </w:tcPr>
          <w:p>
            <w:pPr>
              <w:jc w:val="center"/>
              <w:rPr>
                <w:kern w:val="0"/>
                <w:sz w:val="20"/>
                <w:szCs w:val="20"/>
              </w:rPr>
            </w:pPr>
            <w:r>
              <w:rPr>
                <w:rFonts w:hint="eastAsia"/>
                <w:kern w:val="0"/>
                <w:sz w:val="20"/>
                <w:szCs w:val="20"/>
              </w:rPr>
              <w:t>项目名称</w:t>
            </w:r>
          </w:p>
        </w:tc>
        <w:tc>
          <w:tcPr>
            <w:tcW w:w="1210" w:type="dxa"/>
            <w:vAlign w:val="center"/>
          </w:tcPr>
          <w:p>
            <w:pPr>
              <w:jc w:val="center"/>
              <w:rPr>
                <w:kern w:val="0"/>
                <w:sz w:val="20"/>
                <w:szCs w:val="20"/>
              </w:rPr>
            </w:pPr>
            <w:r>
              <w:rPr>
                <w:rFonts w:hint="eastAsia"/>
                <w:kern w:val="0"/>
                <w:sz w:val="20"/>
                <w:szCs w:val="20"/>
              </w:rPr>
              <w:t>是否采用盾构施工工艺</w:t>
            </w:r>
          </w:p>
        </w:tc>
        <w:tc>
          <w:tcPr>
            <w:tcW w:w="930" w:type="dxa"/>
            <w:vAlign w:val="center"/>
          </w:tcPr>
          <w:p>
            <w:pPr>
              <w:jc w:val="center"/>
              <w:rPr>
                <w:kern w:val="0"/>
                <w:sz w:val="20"/>
                <w:szCs w:val="20"/>
              </w:rPr>
            </w:pPr>
            <w:r>
              <w:rPr>
                <w:rFonts w:hint="eastAsia"/>
                <w:kern w:val="0"/>
                <w:sz w:val="20"/>
                <w:szCs w:val="20"/>
              </w:rPr>
              <w:t>盾构外径（米）</w:t>
            </w:r>
          </w:p>
        </w:tc>
        <w:tc>
          <w:tcPr>
            <w:tcW w:w="1365" w:type="dxa"/>
            <w:vAlign w:val="center"/>
          </w:tcPr>
          <w:p>
            <w:pPr>
              <w:jc w:val="center"/>
              <w:rPr>
                <w:kern w:val="0"/>
                <w:sz w:val="20"/>
                <w:szCs w:val="20"/>
              </w:rPr>
            </w:pPr>
            <w:r>
              <w:rPr>
                <w:rFonts w:hint="eastAsia"/>
                <w:kern w:val="0"/>
                <w:sz w:val="20"/>
                <w:szCs w:val="20"/>
              </w:rPr>
              <w:t>连续盾构段长度</w:t>
            </w:r>
          </w:p>
          <w:p>
            <w:pPr>
              <w:jc w:val="center"/>
              <w:rPr>
                <w:kern w:val="0"/>
                <w:sz w:val="20"/>
                <w:szCs w:val="20"/>
              </w:rPr>
            </w:pPr>
            <w:r>
              <w:rPr>
                <w:rFonts w:hint="eastAsia"/>
                <w:kern w:val="0"/>
                <w:sz w:val="20"/>
                <w:szCs w:val="20"/>
              </w:rPr>
              <w:t>（公里）</w:t>
            </w:r>
          </w:p>
        </w:tc>
        <w:tc>
          <w:tcPr>
            <w:tcW w:w="1556" w:type="dxa"/>
            <w:vAlign w:val="center"/>
          </w:tcPr>
          <w:p>
            <w:pPr>
              <w:jc w:val="center"/>
              <w:rPr>
                <w:kern w:val="0"/>
                <w:sz w:val="20"/>
                <w:szCs w:val="20"/>
              </w:rPr>
            </w:pPr>
            <w:r>
              <w:rPr>
                <w:rFonts w:hint="eastAsia"/>
                <w:kern w:val="0"/>
                <w:sz w:val="20"/>
                <w:szCs w:val="20"/>
              </w:rPr>
              <w:t>开工及竣工时间</w:t>
            </w:r>
          </w:p>
        </w:tc>
        <w:tc>
          <w:tcPr>
            <w:tcW w:w="1012" w:type="dxa"/>
            <w:vAlign w:val="center"/>
          </w:tcPr>
          <w:p>
            <w:pPr>
              <w:jc w:val="center"/>
              <w:rPr>
                <w:kern w:val="0"/>
                <w:sz w:val="20"/>
                <w:szCs w:val="20"/>
              </w:rPr>
            </w:pPr>
            <w:r>
              <w:rPr>
                <w:rFonts w:hint="eastAsia"/>
                <w:kern w:val="0"/>
                <w:sz w:val="20"/>
                <w:szCs w:val="20"/>
              </w:rPr>
              <w:t>业主单位及联系方式</w:t>
            </w:r>
          </w:p>
        </w:tc>
        <w:tc>
          <w:tcPr>
            <w:tcW w:w="988" w:type="dxa"/>
          </w:tcPr>
          <w:p>
            <w:pPr>
              <w:jc w:val="center"/>
              <w:rPr>
                <w:kern w:val="0"/>
                <w:sz w:val="20"/>
                <w:szCs w:val="20"/>
              </w:rPr>
            </w:pPr>
            <w:r>
              <w:rPr>
                <w:rFonts w:hint="eastAsia"/>
                <w:kern w:val="0"/>
                <w:sz w:val="20"/>
                <w:szCs w:val="20"/>
              </w:rPr>
              <w:t>证明材料所在页码区间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632" w:type="dxa"/>
          </w:tcPr>
          <w:p>
            <w:pPr>
              <w:rPr>
                <w:kern w:val="0"/>
                <w:sz w:val="20"/>
                <w:szCs w:val="20"/>
              </w:rPr>
            </w:pPr>
          </w:p>
        </w:tc>
        <w:tc>
          <w:tcPr>
            <w:tcW w:w="1103" w:type="dxa"/>
          </w:tcPr>
          <w:p>
            <w:pPr>
              <w:rPr>
                <w:kern w:val="0"/>
                <w:sz w:val="20"/>
                <w:szCs w:val="20"/>
              </w:rPr>
            </w:pPr>
          </w:p>
        </w:tc>
        <w:tc>
          <w:tcPr>
            <w:tcW w:w="1210" w:type="dxa"/>
          </w:tcPr>
          <w:p>
            <w:pPr>
              <w:jc w:val="center"/>
              <w:rPr>
                <w:kern w:val="0"/>
                <w:sz w:val="20"/>
                <w:szCs w:val="20"/>
              </w:rPr>
            </w:pPr>
          </w:p>
        </w:tc>
        <w:tc>
          <w:tcPr>
            <w:tcW w:w="930" w:type="dxa"/>
            <w:vAlign w:val="center"/>
          </w:tcPr>
          <w:p>
            <w:pPr>
              <w:jc w:val="center"/>
              <w:rPr>
                <w:kern w:val="0"/>
                <w:sz w:val="20"/>
                <w:szCs w:val="20"/>
              </w:rPr>
            </w:pPr>
          </w:p>
        </w:tc>
        <w:tc>
          <w:tcPr>
            <w:tcW w:w="1365" w:type="dxa"/>
            <w:vAlign w:val="center"/>
          </w:tcPr>
          <w:p>
            <w:pPr>
              <w:jc w:val="center"/>
              <w:rPr>
                <w:kern w:val="0"/>
                <w:sz w:val="20"/>
                <w:szCs w:val="20"/>
              </w:rPr>
            </w:pPr>
          </w:p>
        </w:tc>
        <w:tc>
          <w:tcPr>
            <w:tcW w:w="1556" w:type="dxa"/>
          </w:tcPr>
          <w:p>
            <w:pPr>
              <w:rPr>
                <w:kern w:val="0"/>
                <w:sz w:val="20"/>
                <w:szCs w:val="20"/>
              </w:rPr>
            </w:pPr>
          </w:p>
        </w:tc>
        <w:tc>
          <w:tcPr>
            <w:tcW w:w="1012" w:type="dxa"/>
          </w:tcPr>
          <w:p>
            <w:pPr>
              <w:rPr>
                <w:kern w:val="0"/>
                <w:sz w:val="20"/>
                <w:szCs w:val="20"/>
              </w:rPr>
            </w:pPr>
          </w:p>
        </w:tc>
        <w:tc>
          <w:tcPr>
            <w:tcW w:w="988"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632" w:type="dxa"/>
          </w:tcPr>
          <w:p>
            <w:pPr>
              <w:rPr>
                <w:kern w:val="0"/>
                <w:sz w:val="20"/>
                <w:szCs w:val="20"/>
              </w:rPr>
            </w:pPr>
          </w:p>
        </w:tc>
        <w:tc>
          <w:tcPr>
            <w:tcW w:w="1103" w:type="dxa"/>
          </w:tcPr>
          <w:p>
            <w:pPr>
              <w:rPr>
                <w:kern w:val="0"/>
                <w:sz w:val="20"/>
                <w:szCs w:val="20"/>
              </w:rPr>
            </w:pPr>
          </w:p>
        </w:tc>
        <w:tc>
          <w:tcPr>
            <w:tcW w:w="1210" w:type="dxa"/>
          </w:tcPr>
          <w:p>
            <w:pPr>
              <w:rPr>
                <w:kern w:val="0"/>
                <w:sz w:val="20"/>
                <w:szCs w:val="20"/>
              </w:rPr>
            </w:pPr>
          </w:p>
        </w:tc>
        <w:tc>
          <w:tcPr>
            <w:tcW w:w="930" w:type="dxa"/>
            <w:vAlign w:val="center"/>
          </w:tcPr>
          <w:p>
            <w:pPr>
              <w:jc w:val="center"/>
              <w:rPr>
                <w:kern w:val="0"/>
                <w:sz w:val="20"/>
                <w:szCs w:val="20"/>
              </w:rPr>
            </w:pPr>
          </w:p>
        </w:tc>
        <w:tc>
          <w:tcPr>
            <w:tcW w:w="1365" w:type="dxa"/>
            <w:vAlign w:val="center"/>
          </w:tcPr>
          <w:p>
            <w:pPr>
              <w:jc w:val="center"/>
              <w:rPr>
                <w:kern w:val="0"/>
                <w:sz w:val="20"/>
                <w:szCs w:val="20"/>
              </w:rPr>
            </w:pPr>
          </w:p>
        </w:tc>
        <w:tc>
          <w:tcPr>
            <w:tcW w:w="1556" w:type="dxa"/>
          </w:tcPr>
          <w:p>
            <w:pPr>
              <w:rPr>
                <w:kern w:val="0"/>
                <w:sz w:val="20"/>
                <w:szCs w:val="20"/>
              </w:rPr>
            </w:pPr>
          </w:p>
        </w:tc>
        <w:tc>
          <w:tcPr>
            <w:tcW w:w="1012" w:type="dxa"/>
          </w:tcPr>
          <w:p>
            <w:pPr>
              <w:rPr>
                <w:kern w:val="0"/>
                <w:sz w:val="20"/>
                <w:szCs w:val="20"/>
              </w:rPr>
            </w:pPr>
          </w:p>
        </w:tc>
        <w:tc>
          <w:tcPr>
            <w:tcW w:w="988"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trPr>
        <w:tc>
          <w:tcPr>
            <w:tcW w:w="632" w:type="dxa"/>
          </w:tcPr>
          <w:p>
            <w:pPr>
              <w:rPr>
                <w:kern w:val="0"/>
                <w:sz w:val="20"/>
                <w:szCs w:val="20"/>
              </w:rPr>
            </w:pPr>
          </w:p>
        </w:tc>
        <w:tc>
          <w:tcPr>
            <w:tcW w:w="1103" w:type="dxa"/>
          </w:tcPr>
          <w:p>
            <w:pPr>
              <w:rPr>
                <w:kern w:val="0"/>
                <w:sz w:val="20"/>
                <w:szCs w:val="20"/>
              </w:rPr>
            </w:pPr>
          </w:p>
        </w:tc>
        <w:tc>
          <w:tcPr>
            <w:tcW w:w="1210" w:type="dxa"/>
          </w:tcPr>
          <w:p>
            <w:pPr>
              <w:rPr>
                <w:kern w:val="0"/>
                <w:sz w:val="20"/>
                <w:szCs w:val="20"/>
              </w:rPr>
            </w:pPr>
          </w:p>
        </w:tc>
        <w:tc>
          <w:tcPr>
            <w:tcW w:w="930" w:type="dxa"/>
            <w:vAlign w:val="center"/>
          </w:tcPr>
          <w:p>
            <w:pPr>
              <w:jc w:val="center"/>
              <w:rPr>
                <w:kern w:val="0"/>
                <w:sz w:val="20"/>
                <w:szCs w:val="20"/>
              </w:rPr>
            </w:pPr>
          </w:p>
        </w:tc>
        <w:tc>
          <w:tcPr>
            <w:tcW w:w="1365" w:type="dxa"/>
            <w:vAlign w:val="center"/>
          </w:tcPr>
          <w:p>
            <w:pPr>
              <w:jc w:val="center"/>
              <w:rPr>
                <w:kern w:val="0"/>
                <w:sz w:val="20"/>
                <w:szCs w:val="20"/>
              </w:rPr>
            </w:pPr>
          </w:p>
        </w:tc>
        <w:tc>
          <w:tcPr>
            <w:tcW w:w="1556" w:type="dxa"/>
          </w:tcPr>
          <w:p>
            <w:pPr>
              <w:rPr>
                <w:kern w:val="0"/>
                <w:sz w:val="20"/>
                <w:szCs w:val="20"/>
              </w:rPr>
            </w:pPr>
          </w:p>
        </w:tc>
        <w:tc>
          <w:tcPr>
            <w:tcW w:w="1012" w:type="dxa"/>
          </w:tcPr>
          <w:p>
            <w:pPr>
              <w:rPr>
                <w:kern w:val="0"/>
                <w:sz w:val="20"/>
                <w:szCs w:val="20"/>
              </w:rPr>
            </w:pPr>
          </w:p>
        </w:tc>
        <w:tc>
          <w:tcPr>
            <w:tcW w:w="988"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632" w:type="dxa"/>
          </w:tcPr>
          <w:p>
            <w:pPr>
              <w:rPr>
                <w:kern w:val="0"/>
                <w:sz w:val="20"/>
                <w:szCs w:val="20"/>
              </w:rPr>
            </w:pPr>
          </w:p>
        </w:tc>
        <w:tc>
          <w:tcPr>
            <w:tcW w:w="1103" w:type="dxa"/>
          </w:tcPr>
          <w:p>
            <w:pPr>
              <w:rPr>
                <w:kern w:val="0"/>
                <w:sz w:val="20"/>
                <w:szCs w:val="20"/>
              </w:rPr>
            </w:pPr>
          </w:p>
        </w:tc>
        <w:tc>
          <w:tcPr>
            <w:tcW w:w="1210" w:type="dxa"/>
          </w:tcPr>
          <w:p>
            <w:pPr>
              <w:rPr>
                <w:kern w:val="0"/>
                <w:sz w:val="20"/>
                <w:szCs w:val="20"/>
              </w:rPr>
            </w:pPr>
          </w:p>
        </w:tc>
        <w:tc>
          <w:tcPr>
            <w:tcW w:w="930" w:type="dxa"/>
            <w:vAlign w:val="center"/>
          </w:tcPr>
          <w:p>
            <w:pPr>
              <w:jc w:val="center"/>
              <w:rPr>
                <w:kern w:val="0"/>
                <w:sz w:val="20"/>
                <w:szCs w:val="20"/>
              </w:rPr>
            </w:pPr>
          </w:p>
        </w:tc>
        <w:tc>
          <w:tcPr>
            <w:tcW w:w="1365" w:type="dxa"/>
            <w:vAlign w:val="center"/>
          </w:tcPr>
          <w:p>
            <w:pPr>
              <w:jc w:val="center"/>
              <w:rPr>
                <w:kern w:val="0"/>
                <w:sz w:val="20"/>
                <w:szCs w:val="20"/>
              </w:rPr>
            </w:pPr>
          </w:p>
        </w:tc>
        <w:tc>
          <w:tcPr>
            <w:tcW w:w="1556" w:type="dxa"/>
          </w:tcPr>
          <w:p>
            <w:pPr>
              <w:rPr>
                <w:kern w:val="0"/>
                <w:sz w:val="20"/>
                <w:szCs w:val="20"/>
              </w:rPr>
            </w:pPr>
          </w:p>
        </w:tc>
        <w:tc>
          <w:tcPr>
            <w:tcW w:w="1012" w:type="dxa"/>
          </w:tcPr>
          <w:p>
            <w:pPr>
              <w:rPr>
                <w:kern w:val="0"/>
                <w:sz w:val="20"/>
                <w:szCs w:val="20"/>
              </w:rPr>
            </w:pPr>
          </w:p>
        </w:tc>
        <w:tc>
          <w:tcPr>
            <w:tcW w:w="988"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trPr>
        <w:tc>
          <w:tcPr>
            <w:tcW w:w="632" w:type="dxa"/>
          </w:tcPr>
          <w:p>
            <w:pPr>
              <w:rPr>
                <w:kern w:val="0"/>
                <w:sz w:val="20"/>
                <w:szCs w:val="20"/>
              </w:rPr>
            </w:pPr>
          </w:p>
        </w:tc>
        <w:tc>
          <w:tcPr>
            <w:tcW w:w="1103" w:type="dxa"/>
          </w:tcPr>
          <w:p>
            <w:pPr>
              <w:rPr>
                <w:kern w:val="0"/>
                <w:sz w:val="20"/>
                <w:szCs w:val="20"/>
              </w:rPr>
            </w:pPr>
          </w:p>
        </w:tc>
        <w:tc>
          <w:tcPr>
            <w:tcW w:w="1210" w:type="dxa"/>
          </w:tcPr>
          <w:p>
            <w:pPr>
              <w:rPr>
                <w:kern w:val="0"/>
                <w:sz w:val="20"/>
                <w:szCs w:val="20"/>
              </w:rPr>
            </w:pPr>
          </w:p>
        </w:tc>
        <w:tc>
          <w:tcPr>
            <w:tcW w:w="930" w:type="dxa"/>
            <w:vAlign w:val="center"/>
          </w:tcPr>
          <w:p>
            <w:pPr>
              <w:jc w:val="center"/>
              <w:rPr>
                <w:kern w:val="0"/>
                <w:sz w:val="20"/>
                <w:szCs w:val="20"/>
              </w:rPr>
            </w:pPr>
          </w:p>
        </w:tc>
        <w:tc>
          <w:tcPr>
            <w:tcW w:w="1365" w:type="dxa"/>
            <w:vAlign w:val="center"/>
          </w:tcPr>
          <w:p>
            <w:pPr>
              <w:jc w:val="center"/>
              <w:rPr>
                <w:kern w:val="0"/>
                <w:sz w:val="20"/>
                <w:szCs w:val="20"/>
              </w:rPr>
            </w:pPr>
          </w:p>
        </w:tc>
        <w:tc>
          <w:tcPr>
            <w:tcW w:w="1556" w:type="dxa"/>
          </w:tcPr>
          <w:p>
            <w:pPr>
              <w:rPr>
                <w:kern w:val="0"/>
                <w:sz w:val="20"/>
                <w:szCs w:val="20"/>
              </w:rPr>
            </w:pPr>
          </w:p>
        </w:tc>
        <w:tc>
          <w:tcPr>
            <w:tcW w:w="1012" w:type="dxa"/>
          </w:tcPr>
          <w:p>
            <w:pPr>
              <w:rPr>
                <w:kern w:val="0"/>
                <w:sz w:val="20"/>
                <w:szCs w:val="20"/>
              </w:rPr>
            </w:pPr>
          </w:p>
        </w:tc>
        <w:tc>
          <w:tcPr>
            <w:tcW w:w="988" w:type="dxa"/>
          </w:tcPr>
          <w:p>
            <w:pPr>
              <w:rPr>
                <w:kern w:val="0"/>
                <w:sz w:val="20"/>
                <w:szCs w:val="20"/>
              </w:rPr>
            </w:pPr>
          </w:p>
        </w:tc>
      </w:tr>
    </w:tbl>
    <w:p/>
    <w:p>
      <w:r>
        <w:rPr>
          <w:rFonts w:hint="eastAsia"/>
        </w:rPr>
        <w:t>附：</w:t>
      </w:r>
      <w:r>
        <w:t>1</w:t>
      </w:r>
      <w:r>
        <w:rPr>
          <w:rFonts w:hint="eastAsia"/>
        </w:rPr>
        <w:t>、中标通知书、施工总承包合同复印件，原件备查；</w:t>
      </w:r>
    </w:p>
    <w:p>
      <w:pPr>
        <w:pStyle w:val="331"/>
        <w:numPr>
          <w:ilvl w:val="0"/>
          <w:numId w:val="32"/>
        </w:numPr>
        <w:ind w:firstLineChars="0"/>
      </w:pPr>
      <w:r>
        <w:rPr>
          <w:rFonts w:hint="eastAsia"/>
        </w:rPr>
        <w:t>施工许可证，交（竣）工验收报告复印件，原件备查。</w:t>
      </w:r>
    </w:p>
    <w:p>
      <w:pPr>
        <w:pStyle w:val="331"/>
        <w:numPr>
          <w:ilvl w:val="0"/>
          <w:numId w:val="32"/>
        </w:numPr>
        <w:ind w:firstLineChars="0"/>
      </w:pPr>
      <w:r>
        <w:rPr>
          <w:rFonts w:hint="eastAsia"/>
        </w:rPr>
        <w:t>施工业绩要求：</w:t>
      </w:r>
      <w:r>
        <w:t>2008</w:t>
      </w:r>
      <w:r>
        <w:rPr>
          <w:rFonts w:hint="eastAsia"/>
        </w:rPr>
        <w:t>年</w:t>
      </w:r>
      <w:r>
        <w:t>1</w:t>
      </w:r>
      <w:r>
        <w:rPr>
          <w:rFonts w:hint="eastAsia"/>
        </w:rPr>
        <w:t>月</w:t>
      </w:r>
      <w:r>
        <w:t>1</w:t>
      </w:r>
      <w:r>
        <w:rPr>
          <w:rFonts w:hint="eastAsia"/>
        </w:rPr>
        <w:t>日以来在中华人民共和国境内完成过采用盾构施工工艺且盾构外径</w:t>
      </w:r>
      <w:r>
        <w:t>11</w:t>
      </w:r>
      <w:r>
        <w:rPr>
          <w:rFonts w:hint="eastAsia"/>
        </w:rPr>
        <w:t>米及以上、连续盾构段长度不低于</w:t>
      </w:r>
      <w:r>
        <w:t>2</w:t>
      </w:r>
      <w:r>
        <w:rPr>
          <w:rFonts w:hint="eastAsia"/>
        </w:rPr>
        <w:t>公里的单洞隧道主体工程项目（须含过江，或河，或海，或湖，其中江、河、湖须在</w:t>
      </w:r>
      <w:r>
        <w:t>100</w:t>
      </w:r>
      <w:r>
        <w:rPr>
          <w:rFonts w:hint="eastAsia"/>
        </w:rPr>
        <w:t>米及以上）施工业绩（以交（竣）工验收报告载明时间为准）。</w:t>
      </w:r>
    </w:p>
    <w:p>
      <w:pPr>
        <w:pStyle w:val="331"/>
        <w:numPr>
          <w:ilvl w:val="0"/>
          <w:numId w:val="32"/>
        </w:numPr>
        <w:ind w:firstLineChars="0"/>
      </w:pPr>
      <w:r>
        <w:rPr>
          <w:rFonts w:hint="eastAsia"/>
        </w:rPr>
        <w:t>若联合体投标，由联合体成员中施工总承包方提供。</w:t>
      </w:r>
    </w:p>
    <w:p>
      <w:pPr>
        <w:pStyle w:val="331"/>
        <w:numPr>
          <w:ilvl w:val="0"/>
          <w:numId w:val="32"/>
        </w:numPr>
        <w:ind w:firstLineChars="0"/>
      </w:pPr>
      <w:r>
        <w:rPr>
          <w:rFonts w:hint="eastAsia"/>
        </w:rPr>
        <w:t>上述资料未完整反映本项评审条件要求，由项目业主提供相关证明材料。</w:t>
      </w:r>
    </w:p>
    <w:p>
      <w:r>
        <w:rPr>
          <w:rFonts w:hint="eastAsia"/>
        </w:rPr>
        <w:t>说明：</w:t>
      </w:r>
    </w:p>
    <w:p>
      <w:pPr>
        <w:spacing w:line="360" w:lineRule="auto"/>
        <w:ind w:firstLine="420"/>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1</w:t>
      </w:r>
      <w:r>
        <w:rPr>
          <w:rFonts w:hint="eastAsia" w:ascii="宋体" w:hAnsi="宋体"/>
          <w:b/>
          <w:color w:val="000000" w:themeColor="text1"/>
          <w:szCs w:val="21"/>
          <w14:textFill>
            <w14:solidFill>
              <w14:schemeClr w14:val="tx1"/>
            </w14:solidFill>
          </w14:textFill>
        </w:rPr>
        <w:t>、“是否采用盾构施工工艺”一列，请填“是”或“否”；</w:t>
      </w:r>
    </w:p>
    <w:p/>
    <w:p/>
    <w:p/>
    <w:p>
      <w:pPr>
        <w:pStyle w:val="209"/>
        <w:spacing w:line="360" w:lineRule="auto"/>
        <w:ind w:left="456"/>
        <w:jc w:val="center"/>
        <w:outlineLvl w:val="4"/>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企业业绩表（二）</w:t>
      </w:r>
    </w:p>
    <w:p/>
    <w:tbl>
      <w:tblPr>
        <w:tblStyle w:val="58"/>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529"/>
        <w:gridCol w:w="1308"/>
        <w:gridCol w:w="1811"/>
        <w:gridCol w:w="1461"/>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3" w:type="dxa"/>
            <w:vAlign w:val="center"/>
          </w:tcPr>
          <w:p>
            <w:pPr>
              <w:jc w:val="center"/>
              <w:rPr>
                <w:kern w:val="0"/>
                <w:sz w:val="20"/>
                <w:szCs w:val="20"/>
              </w:rPr>
            </w:pPr>
            <w:r>
              <w:rPr>
                <w:rFonts w:hint="eastAsia"/>
                <w:kern w:val="0"/>
                <w:sz w:val="20"/>
                <w:szCs w:val="20"/>
              </w:rPr>
              <w:t>序号</w:t>
            </w:r>
          </w:p>
        </w:tc>
        <w:tc>
          <w:tcPr>
            <w:tcW w:w="1529" w:type="dxa"/>
            <w:vAlign w:val="center"/>
          </w:tcPr>
          <w:p>
            <w:pPr>
              <w:jc w:val="center"/>
              <w:rPr>
                <w:kern w:val="0"/>
                <w:sz w:val="20"/>
                <w:szCs w:val="20"/>
              </w:rPr>
            </w:pPr>
            <w:r>
              <w:rPr>
                <w:rFonts w:hint="eastAsia"/>
                <w:kern w:val="0"/>
                <w:sz w:val="20"/>
                <w:szCs w:val="20"/>
              </w:rPr>
              <w:t>项目名称</w:t>
            </w:r>
          </w:p>
        </w:tc>
        <w:tc>
          <w:tcPr>
            <w:tcW w:w="1308" w:type="dxa"/>
            <w:vAlign w:val="center"/>
          </w:tcPr>
          <w:p>
            <w:pPr>
              <w:jc w:val="center"/>
              <w:rPr>
                <w:kern w:val="0"/>
                <w:sz w:val="20"/>
                <w:szCs w:val="20"/>
              </w:rPr>
            </w:pPr>
            <w:r>
              <w:rPr>
                <w:rFonts w:hint="eastAsia"/>
                <w:kern w:val="0"/>
                <w:sz w:val="20"/>
                <w:szCs w:val="20"/>
              </w:rPr>
              <w:t>运营内容</w:t>
            </w:r>
          </w:p>
        </w:tc>
        <w:tc>
          <w:tcPr>
            <w:tcW w:w="1811" w:type="dxa"/>
            <w:vAlign w:val="center"/>
          </w:tcPr>
          <w:p>
            <w:pPr>
              <w:jc w:val="center"/>
              <w:rPr>
                <w:kern w:val="0"/>
                <w:sz w:val="20"/>
                <w:szCs w:val="20"/>
              </w:rPr>
            </w:pPr>
            <w:r>
              <w:rPr>
                <w:rFonts w:hint="eastAsia"/>
                <w:kern w:val="0"/>
                <w:sz w:val="20"/>
                <w:szCs w:val="20"/>
              </w:rPr>
              <w:t>运营开始及截止时间</w:t>
            </w:r>
          </w:p>
        </w:tc>
        <w:tc>
          <w:tcPr>
            <w:tcW w:w="1461" w:type="dxa"/>
            <w:vAlign w:val="center"/>
          </w:tcPr>
          <w:p>
            <w:pPr>
              <w:jc w:val="center"/>
              <w:rPr>
                <w:kern w:val="0"/>
                <w:sz w:val="20"/>
                <w:szCs w:val="20"/>
              </w:rPr>
            </w:pPr>
            <w:r>
              <w:rPr>
                <w:rFonts w:hint="eastAsia"/>
                <w:kern w:val="0"/>
                <w:sz w:val="20"/>
                <w:szCs w:val="20"/>
              </w:rPr>
              <w:t>业主单位及联系方式</w:t>
            </w:r>
          </w:p>
        </w:tc>
        <w:tc>
          <w:tcPr>
            <w:tcW w:w="1419" w:type="dxa"/>
          </w:tcPr>
          <w:p>
            <w:pPr>
              <w:jc w:val="center"/>
              <w:rPr>
                <w:kern w:val="0"/>
                <w:sz w:val="20"/>
                <w:szCs w:val="20"/>
              </w:rPr>
            </w:pPr>
            <w:r>
              <w:rPr>
                <w:rFonts w:hint="eastAsia"/>
                <w:kern w:val="0"/>
                <w:sz w:val="20"/>
                <w:szCs w:val="20"/>
              </w:rPr>
              <w:t>证明材料所在页码区间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3" w:type="dxa"/>
          </w:tcPr>
          <w:p>
            <w:pPr>
              <w:rPr>
                <w:kern w:val="0"/>
                <w:sz w:val="20"/>
                <w:szCs w:val="20"/>
              </w:rPr>
            </w:pPr>
          </w:p>
        </w:tc>
        <w:tc>
          <w:tcPr>
            <w:tcW w:w="1529" w:type="dxa"/>
          </w:tcPr>
          <w:p>
            <w:pPr>
              <w:rPr>
                <w:kern w:val="0"/>
                <w:sz w:val="20"/>
                <w:szCs w:val="20"/>
              </w:rPr>
            </w:pPr>
          </w:p>
        </w:tc>
        <w:tc>
          <w:tcPr>
            <w:tcW w:w="1308" w:type="dxa"/>
          </w:tcPr>
          <w:p>
            <w:pPr>
              <w:rPr>
                <w:kern w:val="0"/>
                <w:sz w:val="20"/>
                <w:szCs w:val="20"/>
              </w:rPr>
            </w:pPr>
          </w:p>
        </w:tc>
        <w:tc>
          <w:tcPr>
            <w:tcW w:w="1811" w:type="dxa"/>
          </w:tcPr>
          <w:p>
            <w:pPr>
              <w:rPr>
                <w:kern w:val="0"/>
                <w:sz w:val="20"/>
                <w:szCs w:val="20"/>
              </w:rPr>
            </w:pPr>
          </w:p>
        </w:tc>
        <w:tc>
          <w:tcPr>
            <w:tcW w:w="1461" w:type="dxa"/>
          </w:tcPr>
          <w:p>
            <w:pPr>
              <w:rPr>
                <w:kern w:val="0"/>
                <w:sz w:val="20"/>
                <w:szCs w:val="20"/>
              </w:rPr>
            </w:pPr>
          </w:p>
        </w:tc>
        <w:tc>
          <w:tcPr>
            <w:tcW w:w="1419"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3" w:type="dxa"/>
          </w:tcPr>
          <w:p>
            <w:pPr>
              <w:rPr>
                <w:kern w:val="0"/>
                <w:sz w:val="20"/>
                <w:szCs w:val="20"/>
              </w:rPr>
            </w:pPr>
          </w:p>
        </w:tc>
        <w:tc>
          <w:tcPr>
            <w:tcW w:w="1529" w:type="dxa"/>
          </w:tcPr>
          <w:p>
            <w:pPr>
              <w:rPr>
                <w:kern w:val="0"/>
                <w:sz w:val="20"/>
                <w:szCs w:val="20"/>
              </w:rPr>
            </w:pPr>
          </w:p>
        </w:tc>
        <w:tc>
          <w:tcPr>
            <w:tcW w:w="1308" w:type="dxa"/>
          </w:tcPr>
          <w:p>
            <w:pPr>
              <w:rPr>
                <w:kern w:val="0"/>
                <w:sz w:val="20"/>
                <w:szCs w:val="20"/>
              </w:rPr>
            </w:pPr>
          </w:p>
        </w:tc>
        <w:tc>
          <w:tcPr>
            <w:tcW w:w="1811" w:type="dxa"/>
          </w:tcPr>
          <w:p>
            <w:pPr>
              <w:rPr>
                <w:kern w:val="0"/>
                <w:sz w:val="20"/>
                <w:szCs w:val="20"/>
              </w:rPr>
            </w:pPr>
          </w:p>
        </w:tc>
        <w:tc>
          <w:tcPr>
            <w:tcW w:w="1461" w:type="dxa"/>
          </w:tcPr>
          <w:p>
            <w:pPr>
              <w:rPr>
                <w:kern w:val="0"/>
                <w:sz w:val="20"/>
                <w:szCs w:val="20"/>
              </w:rPr>
            </w:pPr>
          </w:p>
        </w:tc>
        <w:tc>
          <w:tcPr>
            <w:tcW w:w="1419"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3" w:type="dxa"/>
          </w:tcPr>
          <w:p>
            <w:pPr>
              <w:rPr>
                <w:kern w:val="0"/>
                <w:sz w:val="20"/>
                <w:szCs w:val="20"/>
              </w:rPr>
            </w:pPr>
          </w:p>
        </w:tc>
        <w:tc>
          <w:tcPr>
            <w:tcW w:w="1529" w:type="dxa"/>
          </w:tcPr>
          <w:p>
            <w:pPr>
              <w:rPr>
                <w:kern w:val="0"/>
                <w:sz w:val="20"/>
                <w:szCs w:val="20"/>
              </w:rPr>
            </w:pPr>
          </w:p>
        </w:tc>
        <w:tc>
          <w:tcPr>
            <w:tcW w:w="1308" w:type="dxa"/>
          </w:tcPr>
          <w:p>
            <w:pPr>
              <w:rPr>
                <w:kern w:val="0"/>
                <w:sz w:val="20"/>
                <w:szCs w:val="20"/>
              </w:rPr>
            </w:pPr>
          </w:p>
        </w:tc>
        <w:tc>
          <w:tcPr>
            <w:tcW w:w="1811" w:type="dxa"/>
          </w:tcPr>
          <w:p>
            <w:pPr>
              <w:rPr>
                <w:kern w:val="0"/>
                <w:sz w:val="20"/>
                <w:szCs w:val="20"/>
              </w:rPr>
            </w:pPr>
          </w:p>
        </w:tc>
        <w:tc>
          <w:tcPr>
            <w:tcW w:w="1461" w:type="dxa"/>
          </w:tcPr>
          <w:p>
            <w:pPr>
              <w:rPr>
                <w:kern w:val="0"/>
                <w:sz w:val="20"/>
                <w:szCs w:val="20"/>
              </w:rPr>
            </w:pPr>
          </w:p>
        </w:tc>
        <w:tc>
          <w:tcPr>
            <w:tcW w:w="1419"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3" w:type="dxa"/>
          </w:tcPr>
          <w:p>
            <w:pPr>
              <w:rPr>
                <w:kern w:val="0"/>
                <w:sz w:val="20"/>
                <w:szCs w:val="20"/>
              </w:rPr>
            </w:pPr>
          </w:p>
        </w:tc>
        <w:tc>
          <w:tcPr>
            <w:tcW w:w="1529" w:type="dxa"/>
          </w:tcPr>
          <w:p>
            <w:pPr>
              <w:rPr>
                <w:kern w:val="0"/>
                <w:sz w:val="20"/>
                <w:szCs w:val="20"/>
              </w:rPr>
            </w:pPr>
          </w:p>
        </w:tc>
        <w:tc>
          <w:tcPr>
            <w:tcW w:w="1308" w:type="dxa"/>
          </w:tcPr>
          <w:p>
            <w:pPr>
              <w:rPr>
                <w:kern w:val="0"/>
                <w:sz w:val="20"/>
                <w:szCs w:val="20"/>
              </w:rPr>
            </w:pPr>
          </w:p>
        </w:tc>
        <w:tc>
          <w:tcPr>
            <w:tcW w:w="1811" w:type="dxa"/>
          </w:tcPr>
          <w:p>
            <w:pPr>
              <w:rPr>
                <w:kern w:val="0"/>
                <w:sz w:val="20"/>
                <w:szCs w:val="20"/>
              </w:rPr>
            </w:pPr>
          </w:p>
        </w:tc>
        <w:tc>
          <w:tcPr>
            <w:tcW w:w="1461" w:type="dxa"/>
          </w:tcPr>
          <w:p>
            <w:pPr>
              <w:rPr>
                <w:kern w:val="0"/>
                <w:sz w:val="20"/>
                <w:szCs w:val="20"/>
              </w:rPr>
            </w:pPr>
          </w:p>
        </w:tc>
        <w:tc>
          <w:tcPr>
            <w:tcW w:w="1419"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3" w:type="dxa"/>
          </w:tcPr>
          <w:p>
            <w:pPr>
              <w:rPr>
                <w:kern w:val="0"/>
                <w:sz w:val="20"/>
                <w:szCs w:val="20"/>
              </w:rPr>
            </w:pPr>
          </w:p>
        </w:tc>
        <w:tc>
          <w:tcPr>
            <w:tcW w:w="1529" w:type="dxa"/>
          </w:tcPr>
          <w:p>
            <w:pPr>
              <w:rPr>
                <w:kern w:val="0"/>
                <w:sz w:val="20"/>
                <w:szCs w:val="20"/>
              </w:rPr>
            </w:pPr>
          </w:p>
        </w:tc>
        <w:tc>
          <w:tcPr>
            <w:tcW w:w="1308" w:type="dxa"/>
          </w:tcPr>
          <w:p>
            <w:pPr>
              <w:rPr>
                <w:kern w:val="0"/>
                <w:sz w:val="20"/>
                <w:szCs w:val="20"/>
              </w:rPr>
            </w:pPr>
          </w:p>
        </w:tc>
        <w:tc>
          <w:tcPr>
            <w:tcW w:w="1811" w:type="dxa"/>
          </w:tcPr>
          <w:p>
            <w:pPr>
              <w:rPr>
                <w:kern w:val="0"/>
                <w:sz w:val="20"/>
                <w:szCs w:val="20"/>
              </w:rPr>
            </w:pPr>
          </w:p>
        </w:tc>
        <w:tc>
          <w:tcPr>
            <w:tcW w:w="1461" w:type="dxa"/>
          </w:tcPr>
          <w:p>
            <w:pPr>
              <w:rPr>
                <w:kern w:val="0"/>
                <w:sz w:val="20"/>
                <w:szCs w:val="20"/>
              </w:rPr>
            </w:pPr>
          </w:p>
        </w:tc>
        <w:tc>
          <w:tcPr>
            <w:tcW w:w="1419" w:type="dxa"/>
          </w:tcPr>
          <w:p>
            <w:pPr>
              <w:rPr>
                <w:kern w:val="0"/>
                <w:sz w:val="20"/>
                <w:szCs w:val="20"/>
              </w:rPr>
            </w:pPr>
          </w:p>
        </w:tc>
      </w:tr>
    </w:tbl>
    <w:p/>
    <w:p>
      <w:r>
        <w:rPr>
          <w:rFonts w:hint="eastAsia"/>
        </w:rPr>
        <w:t>附：</w:t>
      </w:r>
      <w:r>
        <w:t>1</w:t>
      </w:r>
      <w:r>
        <w:rPr>
          <w:rFonts w:hint="eastAsia"/>
        </w:rPr>
        <w:t>、隧道工程运营业绩合同复印件，原件备查；</w:t>
      </w:r>
    </w:p>
    <w:p>
      <w:r>
        <w:t xml:space="preserve">    2</w:t>
      </w:r>
      <w:r>
        <w:rPr>
          <w:rFonts w:hint="eastAsia"/>
        </w:rPr>
        <w:t>、运营业绩要求：投标人或投标人子公司具有</w:t>
      </w:r>
      <w:r>
        <w:t>2008</w:t>
      </w:r>
      <w:r>
        <w:rPr>
          <w:rFonts w:hint="eastAsia"/>
        </w:rPr>
        <w:t>年</w:t>
      </w:r>
      <w:r>
        <w:t>1</w:t>
      </w:r>
      <w:r>
        <w:rPr>
          <w:rFonts w:hint="eastAsia"/>
        </w:rPr>
        <w:t>月</w:t>
      </w:r>
      <w:r>
        <w:t>1</w:t>
      </w:r>
      <w:r>
        <w:rPr>
          <w:rFonts w:hint="eastAsia"/>
        </w:rPr>
        <w:t>日以来在中华人民共和国境内具有采用盾构施工工艺且盾构外径</w:t>
      </w:r>
      <w:r>
        <w:t>11</w:t>
      </w:r>
      <w:r>
        <w:rPr>
          <w:rFonts w:hint="eastAsia"/>
        </w:rPr>
        <w:t>米及以上隧道工程运营业绩（以运营业绩合同载明时间为准）。</w:t>
      </w:r>
    </w:p>
    <w:p>
      <w:pPr>
        <w:ind w:firstLine="420"/>
      </w:pPr>
      <w:r>
        <w:t>3</w:t>
      </w:r>
      <w:r>
        <w:rPr>
          <w:rFonts w:hint="eastAsia"/>
        </w:rPr>
        <w:t>、若联合体投标，由联合体成员中的一方或其子公司提供。</w:t>
      </w:r>
    </w:p>
    <w:p>
      <w:pPr>
        <w:ind w:firstLine="420"/>
      </w:pPr>
      <w:r>
        <w:t>4</w:t>
      </w:r>
      <w:r>
        <w:rPr>
          <w:rFonts w:hint="eastAsia"/>
        </w:rPr>
        <w:t>、运营业绩指承担隧道工程运行养护业绩。</w:t>
      </w:r>
    </w:p>
    <w:p>
      <w:pPr>
        <w:ind w:firstLine="420"/>
      </w:pPr>
      <w:r>
        <w:t>5</w:t>
      </w:r>
      <w:r>
        <w:rPr>
          <w:rFonts w:hint="eastAsia"/>
        </w:rPr>
        <w:t>、投标人子公司提供业绩的，另行提供工商出具股权证明文件。</w:t>
      </w:r>
    </w:p>
    <w:p>
      <w:pPr>
        <w:widowControl/>
        <w:jc w:val="left"/>
      </w:pPr>
      <w:r>
        <w:br w:type="page"/>
      </w:r>
    </w:p>
    <w:p/>
    <w:p>
      <w:pPr>
        <w:pStyle w:val="209"/>
        <w:numPr>
          <w:ilvl w:val="0"/>
          <w:numId w:val="33"/>
        </w:numPr>
        <w:spacing w:line="360" w:lineRule="auto"/>
        <w:jc w:val="center"/>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企业授信余额证明文件</w:t>
      </w:r>
    </w:p>
    <w:p/>
    <w:tbl>
      <w:tblPr>
        <w:tblStyle w:val="58"/>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1660"/>
        <w:gridCol w:w="2198"/>
        <w:gridCol w:w="1838"/>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1657" w:type="dxa"/>
          </w:tcPr>
          <w:p>
            <w:pPr>
              <w:spacing w:line="360" w:lineRule="auto"/>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序号</w:t>
            </w:r>
          </w:p>
        </w:tc>
        <w:tc>
          <w:tcPr>
            <w:tcW w:w="1660" w:type="dxa"/>
          </w:tcPr>
          <w:p>
            <w:pPr>
              <w:spacing w:line="360" w:lineRule="auto"/>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银行名称</w:t>
            </w:r>
          </w:p>
        </w:tc>
        <w:tc>
          <w:tcPr>
            <w:tcW w:w="2198" w:type="dxa"/>
          </w:tcPr>
          <w:p>
            <w:pPr>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开具时间</w:t>
            </w:r>
          </w:p>
        </w:tc>
        <w:tc>
          <w:tcPr>
            <w:tcW w:w="1838" w:type="dxa"/>
          </w:tcPr>
          <w:p>
            <w:pPr>
              <w:spacing w:line="360" w:lineRule="auto"/>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授信余额（万元）</w:t>
            </w:r>
          </w:p>
        </w:tc>
        <w:tc>
          <w:tcPr>
            <w:tcW w:w="1289" w:type="dxa"/>
          </w:tcPr>
          <w:p>
            <w:pPr>
              <w:spacing w:line="360" w:lineRule="auto"/>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1657" w:type="dxa"/>
          </w:tcPr>
          <w:p>
            <w:pPr>
              <w:spacing w:line="360" w:lineRule="auto"/>
              <w:rPr>
                <w:color w:val="000000" w:themeColor="text1"/>
                <w:kern w:val="0"/>
                <w:sz w:val="20"/>
                <w:szCs w:val="20"/>
                <w14:textFill>
                  <w14:solidFill>
                    <w14:schemeClr w14:val="tx1"/>
                  </w14:solidFill>
                </w14:textFill>
              </w:rPr>
            </w:pPr>
          </w:p>
        </w:tc>
        <w:tc>
          <w:tcPr>
            <w:tcW w:w="1660" w:type="dxa"/>
          </w:tcPr>
          <w:p>
            <w:pPr>
              <w:spacing w:line="360" w:lineRule="auto"/>
              <w:rPr>
                <w:color w:val="000000" w:themeColor="text1"/>
                <w:kern w:val="0"/>
                <w:sz w:val="20"/>
                <w:szCs w:val="20"/>
                <w14:textFill>
                  <w14:solidFill>
                    <w14:schemeClr w14:val="tx1"/>
                  </w14:solidFill>
                </w14:textFill>
              </w:rPr>
            </w:pPr>
          </w:p>
        </w:tc>
        <w:tc>
          <w:tcPr>
            <w:tcW w:w="2198" w:type="dxa"/>
          </w:tcPr>
          <w:p>
            <w:pPr>
              <w:spacing w:line="360" w:lineRule="auto"/>
              <w:rPr>
                <w:color w:val="000000" w:themeColor="text1"/>
                <w:kern w:val="0"/>
                <w:sz w:val="20"/>
                <w:szCs w:val="20"/>
                <w14:textFill>
                  <w14:solidFill>
                    <w14:schemeClr w14:val="tx1"/>
                  </w14:solidFill>
                </w14:textFill>
              </w:rPr>
            </w:pPr>
          </w:p>
        </w:tc>
        <w:tc>
          <w:tcPr>
            <w:tcW w:w="1838" w:type="dxa"/>
          </w:tcPr>
          <w:p>
            <w:pPr>
              <w:spacing w:line="360" w:lineRule="auto"/>
              <w:rPr>
                <w:color w:val="000000" w:themeColor="text1"/>
                <w:kern w:val="0"/>
                <w:sz w:val="20"/>
                <w:szCs w:val="20"/>
                <w14:textFill>
                  <w14:solidFill>
                    <w14:schemeClr w14:val="tx1"/>
                  </w14:solidFill>
                </w14:textFill>
              </w:rPr>
            </w:pPr>
          </w:p>
        </w:tc>
        <w:tc>
          <w:tcPr>
            <w:tcW w:w="1289" w:type="dxa"/>
          </w:tcPr>
          <w:p>
            <w:pPr>
              <w:spacing w:line="360" w:lineRule="auto"/>
              <w:rPr>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657" w:type="dxa"/>
          </w:tcPr>
          <w:p>
            <w:pPr>
              <w:spacing w:line="360" w:lineRule="auto"/>
              <w:rPr>
                <w:color w:val="000000" w:themeColor="text1"/>
                <w:kern w:val="0"/>
                <w:sz w:val="20"/>
                <w:szCs w:val="20"/>
                <w14:textFill>
                  <w14:solidFill>
                    <w14:schemeClr w14:val="tx1"/>
                  </w14:solidFill>
                </w14:textFill>
              </w:rPr>
            </w:pPr>
          </w:p>
        </w:tc>
        <w:tc>
          <w:tcPr>
            <w:tcW w:w="1660" w:type="dxa"/>
          </w:tcPr>
          <w:p>
            <w:pPr>
              <w:spacing w:line="360" w:lineRule="auto"/>
              <w:rPr>
                <w:color w:val="000000" w:themeColor="text1"/>
                <w:kern w:val="0"/>
                <w:sz w:val="20"/>
                <w:szCs w:val="20"/>
                <w14:textFill>
                  <w14:solidFill>
                    <w14:schemeClr w14:val="tx1"/>
                  </w14:solidFill>
                </w14:textFill>
              </w:rPr>
            </w:pPr>
          </w:p>
        </w:tc>
        <w:tc>
          <w:tcPr>
            <w:tcW w:w="2198" w:type="dxa"/>
          </w:tcPr>
          <w:p>
            <w:pPr>
              <w:spacing w:line="360" w:lineRule="auto"/>
              <w:rPr>
                <w:color w:val="000000" w:themeColor="text1"/>
                <w:kern w:val="0"/>
                <w:sz w:val="20"/>
                <w:szCs w:val="20"/>
                <w14:textFill>
                  <w14:solidFill>
                    <w14:schemeClr w14:val="tx1"/>
                  </w14:solidFill>
                </w14:textFill>
              </w:rPr>
            </w:pPr>
          </w:p>
        </w:tc>
        <w:tc>
          <w:tcPr>
            <w:tcW w:w="1838" w:type="dxa"/>
          </w:tcPr>
          <w:p>
            <w:pPr>
              <w:spacing w:line="360" w:lineRule="auto"/>
              <w:rPr>
                <w:color w:val="000000" w:themeColor="text1"/>
                <w:kern w:val="0"/>
                <w:sz w:val="20"/>
                <w:szCs w:val="20"/>
                <w14:textFill>
                  <w14:solidFill>
                    <w14:schemeClr w14:val="tx1"/>
                  </w14:solidFill>
                </w14:textFill>
              </w:rPr>
            </w:pPr>
          </w:p>
        </w:tc>
        <w:tc>
          <w:tcPr>
            <w:tcW w:w="1289" w:type="dxa"/>
          </w:tcPr>
          <w:p>
            <w:pPr>
              <w:spacing w:line="360" w:lineRule="auto"/>
              <w:rPr>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657" w:type="dxa"/>
          </w:tcPr>
          <w:p>
            <w:pPr>
              <w:spacing w:line="360" w:lineRule="auto"/>
              <w:rPr>
                <w:color w:val="000000" w:themeColor="text1"/>
                <w:kern w:val="0"/>
                <w:sz w:val="20"/>
                <w:szCs w:val="20"/>
                <w14:textFill>
                  <w14:solidFill>
                    <w14:schemeClr w14:val="tx1"/>
                  </w14:solidFill>
                </w14:textFill>
              </w:rPr>
            </w:pPr>
          </w:p>
        </w:tc>
        <w:tc>
          <w:tcPr>
            <w:tcW w:w="1660" w:type="dxa"/>
          </w:tcPr>
          <w:p>
            <w:pPr>
              <w:spacing w:line="360" w:lineRule="auto"/>
              <w:rPr>
                <w:color w:val="000000" w:themeColor="text1"/>
                <w:kern w:val="0"/>
                <w:sz w:val="20"/>
                <w:szCs w:val="20"/>
                <w14:textFill>
                  <w14:solidFill>
                    <w14:schemeClr w14:val="tx1"/>
                  </w14:solidFill>
                </w14:textFill>
              </w:rPr>
            </w:pPr>
          </w:p>
        </w:tc>
        <w:tc>
          <w:tcPr>
            <w:tcW w:w="2198" w:type="dxa"/>
          </w:tcPr>
          <w:p>
            <w:pPr>
              <w:spacing w:line="360" w:lineRule="auto"/>
              <w:rPr>
                <w:color w:val="000000" w:themeColor="text1"/>
                <w:kern w:val="0"/>
                <w:sz w:val="20"/>
                <w:szCs w:val="20"/>
                <w14:textFill>
                  <w14:solidFill>
                    <w14:schemeClr w14:val="tx1"/>
                  </w14:solidFill>
                </w14:textFill>
              </w:rPr>
            </w:pPr>
          </w:p>
        </w:tc>
        <w:tc>
          <w:tcPr>
            <w:tcW w:w="1838" w:type="dxa"/>
          </w:tcPr>
          <w:p>
            <w:pPr>
              <w:spacing w:line="360" w:lineRule="auto"/>
              <w:rPr>
                <w:color w:val="000000" w:themeColor="text1"/>
                <w:kern w:val="0"/>
                <w:sz w:val="20"/>
                <w:szCs w:val="20"/>
                <w14:textFill>
                  <w14:solidFill>
                    <w14:schemeClr w14:val="tx1"/>
                  </w14:solidFill>
                </w14:textFill>
              </w:rPr>
            </w:pPr>
          </w:p>
        </w:tc>
        <w:tc>
          <w:tcPr>
            <w:tcW w:w="1289" w:type="dxa"/>
          </w:tcPr>
          <w:p>
            <w:pPr>
              <w:spacing w:line="360" w:lineRule="auto"/>
              <w:rPr>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657" w:type="dxa"/>
          </w:tcPr>
          <w:p>
            <w:pPr>
              <w:spacing w:line="360" w:lineRule="auto"/>
              <w:rPr>
                <w:color w:val="000000" w:themeColor="text1"/>
                <w:kern w:val="0"/>
                <w:sz w:val="20"/>
                <w:szCs w:val="20"/>
                <w14:textFill>
                  <w14:solidFill>
                    <w14:schemeClr w14:val="tx1"/>
                  </w14:solidFill>
                </w14:textFill>
              </w:rPr>
            </w:pPr>
          </w:p>
        </w:tc>
        <w:tc>
          <w:tcPr>
            <w:tcW w:w="1660" w:type="dxa"/>
          </w:tcPr>
          <w:p>
            <w:pPr>
              <w:spacing w:line="360" w:lineRule="auto"/>
              <w:rPr>
                <w:color w:val="000000" w:themeColor="text1"/>
                <w:kern w:val="0"/>
                <w:sz w:val="20"/>
                <w:szCs w:val="20"/>
                <w14:textFill>
                  <w14:solidFill>
                    <w14:schemeClr w14:val="tx1"/>
                  </w14:solidFill>
                </w14:textFill>
              </w:rPr>
            </w:pPr>
          </w:p>
        </w:tc>
        <w:tc>
          <w:tcPr>
            <w:tcW w:w="2198" w:type="dxa"/>
          </w:tcPr>
          <w:p>
            <w:pPr>
              <w:spacing w:line="360" w:lineRule="auto"/>
              <w:rPr>
                <w:color w:val="000000" w:themeColor="text1"/>
                <w:kern w:val="0"/>
                <w:sz w:val="20"/>
                <w:szCs w:val="20"/>
                <w14:textFill>
                  <w14:solidFill>
                    <w14:schemeClr w14:val="tx1"/>
                  </w14:solidFill>
                </w14:textFill>
              </w:rPr>
            </w:pPr>
          </w:p>
        </w:tc>
        <w:tc>
          <w:tcPr>
            <w:tcW w:w="1838" w:type="dxa"/>
          </w:tcPr>
          <w:p>
            <w:pPr>
              <w:spacing w:line="360" w:lineRule="auto"/>
              <w:rPr>
                <w:color w:val="000000" w:themeColor="text1"/>
                <w:kern w:val="0"/>
                <w:sz w:val="20"/>
                <w:szCs w:val="20"/>
                <w14:textFill>
                  <w14:solidFill>
                    <w14:schemeClr w14:val="tx1"/>
                  </w14:solidFill>
                </w14:textFill>
              </w:rPr>
            </w:pPr>
          </w:p>
        </w:tc>
        <w:tc>
          <w:tcPr>
            <w:tcW w:w="1289" w:type="dxa"/>
          </w:tcPr>
          <w:p>
            <w:pPr>
              <w:spacing w:line="360" w:lineRule="auto"/>
              <w:rPr>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657" w:type="dxa"/>
          </w:tcPr>
          <w:p>
            <w:pPr>
              <w:spacing w:line="360" w:lineRule="auto"/>
              <w:rPr>
                <w:color w:val="000000" w:themeColor="text1"/>
                <w:kern w:val="0"/>
                <w:sz w:val="20"/>
                <w:szCs w:val="20"/>
                <w14:textFill>
                  <w14:solidFill>
                    <w14:schemeClr w14:val="tx1"/>
                  </w14:solidFill>
                </w14:textFill>
              </w:rPr>
            </w:pPr>
          </w:p>
        </w:tc>
        <w:tc>
          <w:tcPr>
            <w:tcW w:w="1660" w:type="dxa"/>
          </w:tcPr>
          <w:p>
            <w:pPr>
              <w:spacing w:line="360" w:lineRule="auto"/>
              <w:rPr>
                <w:color w:val="000000" w:themeColor="text1"/>
                <w:kern w:val="0"/>
                <w:sz w:val="20"/>
                <w:szCs w:val="20"/>
                <w14:textFill>
                  <w14:solidFill>
                    <w14:schemeClr w14:val="tx1"/>
                  </w14:solidFill>
                </w14:textFill>
              </w:rPr>
            </w:pPr>
          </w:p>
        </w:tc>
        <w:tc>
          <w:tcPr>
            <w:tcW w:w="2198" w:type="dxa"/>
          </w:tcPr>
          <w:p>
            <w:pPr>
              <w:spacing w:line="360" w:lineRule="auto"/>
              <w:rPr>
                <w:color w:val="000000" w:themeColor="text1"/>
                <w:kern w:val="0"/>
                <w:sz w:val="20"/>
                <w:szCs w:val="20"/>
                <w14:textFill>
                  <w14:solidFill>
                    <w14:schemeClr w14:val="tx1"/>
                  </w14:solidFill>
                </w14:textFill>
              </w:rPr>
            </w:pPr>
          </w:p>
        </w:tc>
        <w:tc>
          <w:tcPr>
            <w:tcW w:w="1838" w:type="dxa"/>
          </w:tcPr>
          <w:p>
            <w:pPr>
              <w:spacing w:line="360" w:lineRule="auto"/>
              <w:rPr>
                <w:color w:val="000000" w:themeColor="text1"/>
                <w:kern w:val="0"/>
                <w:sz w:val="20"/>
                <w:szCs w:val="20"/>
                <w14:textFill>
                  <w14:solidFill>
                    <w14:schemeClr w14:val="tx1"/>
                  </w14:solidFill>
                </w14:textFill>
              </w:rPr>
            </w:pPr>
          </w:p>
        </w:tc>
        <w:tc>
          <w:tcPr>
            <w:tcW w:w="1289" w:type="dxa"/>
          </w:tcPr>
          <w:p>
            <w:pPr>
              <w:spacing w:line="360" w:lineRule="auto"/>
              <w:rPr>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5515" w:type="dxa"/>
            <w:gridSpan w:val="3"/>
          </w:tcPr>
          <w:p>
            <w:pPr>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合计</w:t>
            </w:r>
          </w:p>
        </w:tc>
        <w:tc>
          <w:tcPr>
            <w:tcW w:w="1838" w:type="dxa"/>
          </w:tcPr>
          <w:p>
            <w:pPr>
              <w:spacing w:line="360" w:lineRule="auto"/>
              <w:rPr>
                <w:color w:val="000000" w:themeColor="text1"/>
                <w:kern w:val="0"/>
                <w:sz w:val="20"/>
                <w:szCs w:val="20"/>
                <w14:textFill>
                  <w14:solidFill>
                    <w14:schemeClr w14:val="tx1"/>
                  </w14:solidFill>
                </w14:textFill>
              </w:rPr>
            </w:pPr>
          </w:p>
        </w:tc>
        <w:tc>
          <w:tcPr>
            <w:tcW w:w="1289" w:type="dxa"/>
          </w:tcPr>
          <w:p>
            <w:pPr>
              <w:spacing w:line="360" w:lineRule="auto"/>
              <w:rPr>
                <w:color w:val="000000" w:themeColor="text1"/>
                <w:kern w:val="0"/>
                <w:sz w:val="20"/>
                <w:szCs w:val="20"/>
                <w14:textFill>
                  <w14:solidFill>
                    <w14:schemeClr w14:val="tx1"/>
                  </w14:solidFill>
                </w14:textFill>
              </w:rPr>
            </w:pPr>
          </w:p>
        </w:tc>
      </w:tr>
    </w:tbl>
    <w:p/>
    <w:p/>
    <w:p>
      <w:r>
        <w:rPr>
          <w:rFonts w:hint="eastAsia"/>
        </w:rPr>
        <w:t>说明：</w:t>
      </w:r>
    </w:p>
    <w:p>
      <w:pPr>
        <w:pStyle w:val="331"/>
        <w:numPr>
          <w:ilvl w:val="1"/>
          <w:numId w:val="27"/>
        </w:numPr>
        <w:ind w:firstLineChars="0"/>
      </w:pPr>
      <w:r>
        <w:rPr>
          <w:rFonts w:hint="eastAsia"/>
        </w:rPr>
        <w:t>企业授信余额证明文件要求由银行提供，可由多家银行提供并累计计算，联合体投标，由联合体任一方提供，开具时间应为投标截止日前</w:t>
      </w:r>
      <w:r>
        <w:t>1</w:t>
      </w:r>
      <w:r>
        <w:rPr>
          <w:rFonts w:hint="eastAsia"/>
        </w:rPr>
        <w:t>个月内；</w:t>
      </w:r>
    </w:p>
    <w:p>
      <w:pPr>
        <w:pStyle w:val="331"/>
        <w:numPr>
          <w:ilvl w:val="1"/>
          <w:numId w:val="27"/>
        </w:numPr>
        <w:ind w:firstLineChars="0"/>
      </w:pPr>
      <w:r>
        <w:rPr>
          <w:rFonts w:hint="eastAsia"/>
        </w:rPr>
        <w:t>投标人提供企业授信余额证明文件复印件，原件备查。</w:t>
      </w:r>
    </w:p>
    <w:p/>
    <w:p/>
    <w:p>
      <w:pPr>
        <w:widowControl/>
        <w:jc w:val="left"/>
      </w:pPr>
      <w:r>
        <w:br w:type="page"/>
      </w:r>
    </w:p>
    <w:p>
      <w:pPr>
        <w:pStyle w:val="209"/>
        <w:numPr>
          <w:ilvl w:val="0"/>
          <w:numId w:val="33"/>
        </w:numPr>
        <w:spacing w:line="360" w:lineRule="auto"/>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2017</w:t>
      </w:r>
      <w:r>
        <w:rPr>
          <w:rFonts w:hint="eastAsia" w:ascii="Times New Roman" w:hAnsi="Times New Roman" w:cs="Times New Roman"/>
          <w:b/>
          <w:color w:val="000000" w:themeColor="text1"/>
          <w:sz w:val="21"/>
          <w:szCs w:val="21"/>
          <w14:textFill>
            <w14:solidFill>
              <w14:schemeClr w14:val="tx1"/>
            </w14:solidFill>
          </w14:textFill>
        </w:rPr>
        <w:t>年度经独立第三方审计机构审计的财务报告</w:t>
      </w:r>
    </w:p>
    <w:p/>
    <w:p>
      <w:r>
        <w:rPr>
          <w:rFonts w:hint="eastAsia"/>
        </w:rPr>
        <w:t>说明：</w:t>
      </w:r>
    </w:p>
    <w:p>
      <w:pPr>
        <w:pStyle w:val="331"/>
        <w:numPr>
          <w:ilvl w:val="0"/>
          <w:numId w:val="34"/>
        </w:numPr>
        <w:ind w:firstLineChars="0"/>
      </w:pPr>
      <w:r>
        <w:rPr>
          <w:rFonts w:hint="eastAsia"/>
        </w:rPr>
        <w:t>以</w:t>
      </w:r>
      <w:r>
        <w:t>2017</w:t>
      </w:r>
      <w:r>
        <w:rPr>
          <w:rFonts w:hint="eastAsia"/>
        </w:rPr>
        <w:t>年度（</w:t>
      </w:r>
      <w:r>
        <w:t>2017</w:t>
      </w:r>
      <w:r>
        <w:rPr>
          <w:rFonts w:hint="eastAsia"/>
        </w:rPr>
        <w:t>年</w:t>
      </w:r>
      <w:r>
        <w:t>12</w:t>
      </w:r>
      <w:r>
        <w:rPr>
          <w:rFonts w:hint="eastAsia"/>
        </w:rPr>
        <w:t>月</w:t>
      </w:r>
      <w:r>
        <w:t>31</w:t>
      </w:r>
      <w:r>
        <w:rPr>
          <w:rFonts w:hint="eastAsia"/>
        </w:rPr>
        <w:t>日）经独立第三方设计机构审计的财务报告（非合并报表数据）为准；</w:t>
      </w:r>
    </w:p>
    <w:p>
      <w:pPr>
        <w:pStyle w:val="331"/>
        <w:numPr>
          <w:ilvl w:val="0"/>
          <w:numId w:val="34"/>
        </w:numPr>
        <w:ind w:firstLineChars="0"/>
      </w:pPr>
      <w:r>
        <w:rPr>
          <w:rFonts w:hint="eastAsia"/>
        </w:rPr>
        <w:t>投标人提供</w:t>
      </w:r>
      <w:r>
        <w:t>2017</w:t>
      </w:r>
      <w:r>
        <w:rPr>
          <w:rFonts w:hint="eastAsia"/>
        </w:rPr>
        <w:t>年度经独立第三方审计机构审计的财务报告复印件，原件备查；</w:t>
      </w:r>
    </w:p>
    <w:p>
      <w:pPr>
        <w:pStyle w:val="331"/>
        <w:numPr>
          <w:ilvl w:val="0"/>
          <w:numId w:val="34"/>
        </w:numPr>
        <w:ind w:firstLineChars="0"/>
      </w:pPr>
      <w:r>
        <w:rPr>
          <w:rFonts w:hint="eastAsia"/>
        </w:rPr>
        <w:t>联合体投标，由联合体任一方提供。</w:t>
      </w:r>
    </w:p>
    <w:p>
      <w:pPr>
        <w:pStyle w:val="331"/>
        <w:numPr>
          <w:ilvl w:val="0"/>
          <w:numId w:val="34"/>
        </w:numPr>
        <w:ind w:firstLineChars="0"/>
      </w:pPr>
      <w:r>
        <w:rPr>
          <w:rFonts w:hint="eastAsia"/>
        </w:rPr>
        <w:t>附下表</w:t>
      </w:r>
    </w:p>
    <w:p>
      <w:pPr>
        <w:pStyle w:val="331"/>
        <w:ind w:left="888" w:firstLine="0" w:firstLineChars="0"/>
      </w:pPr>
    </w:p>
    <w:tbl>
      <w:tblPr>
        <w:tblStyle w:val="57"/>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992"/>
        <w:gridCol w:w="3402"/>
        <w:gridCol w:w="3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9" w:hRule="atLeast"/>
        </w:trPr>
        <w:tc>
          <w:tcPr>
            <w:tcW w:w="2263" w:type="dxa"/>
            <w:gridSpan w:val="2"/>
            <w:vMerge w:val="restart"/>
            <w:vAlign w:val="center"/>
          </w:tcPr>
          <w:p>
            <w:pPr>
              <w:spacing w:before="48" w:beforeLines="20" w:after="48" w:afterLines="20"/>
              <w:jc w:val="center"/>
              <w:rPr>
                <w:rFonts w:ascii="宋体" w:hAnsi="宋体"/>
                <w:b/>
                <w:bCs/>
                <w:color w:val="000000" w:themeColor="text1"/>
                <w:sz w:val="22"/>
                <w14:textFill>
                  <w14:solidFill>
                    <w14:schemeClr w14:val="tx1"/>
                  </w14:solidFill>
                </w14:textFill>
              </w:rPr>
            </w:pPr>
            <w:r>
              <w:rPr>
                <w:rFonts w:hint="eastAsia" w:ascii="宋体" w:hAnsi="宋体"/>
                <w:b/>
                <w:bCs/>
                <w:color w:val="000000" w:themeColor="text1"/>
                <w:sz w:val="22"/>
                <w14:textFill>
                  <w14:solidFill>
                    <w14:schemeClr w14:val="tx1"/>
                  </w14:solidFill>
                </w14:textFill>
              </w:rPr>
              <w:t>独立</w:t>
            </w:r>
            <w:r>
              <w:rPr>
                <w:rFonts w:ascii="宋体" w:hAnsi="宋体"/>
                <w:b/>
                <w:bCs/>
                <w:color w:val="000000" w:themeColor="text1"/>
                <w:sz w:val="22"/>
                <w14:textFill>
                  <w14:solidFill>
                    <w14:schemeClr w14:val="tx1"/>
                  </w14:solidFill>
                </w14:textFill>
              </w:rPr>
              <w:t>申请人</w:t>
            </w:r>
            <w:r>
              <w:rPr>
                <w:rFonts w:hint="eastAsia" w:ascii="宋体" w:hAnsi="宋体"/>
                <w:b/>
                <w:bCs/>
                <w:color w:val="000000" w:themeColor="text1"/>
                <w:sz w:val="22"/>
                <w14:textFill>
                  <w14:solidFill>
                    <w14:schemeClr w14:val="tx1"/>
                  </w14:solidFill>
                </w14:textFill>
              </w:rPr>
              <w:t>或联合体中控股方</w:t>
            </w:r>
            <w:r>
              <w:rPr>
                <w:rFonts w:ascii="宋体" w:hAnsi="宋体"/>
                <w:b/>
                <w:bCs/>
                <w:color w:val="000000" w:themeColor="text1"/>
                <w:sz w:val="22"/>
                <w14:textFill>
                  <w14:solidFill>
                    <w14:schemeClr w14:val="tx1"/>
                  </w14:solidFill>
                </w14:textFill>
              </w:rPr>
              <w:t>名称</w:t>
            </w:r>
          </w:p>
        </w:tc>
        <w:tc>
          <w:tcPr>
            <w:tcW w:w="3402" w:type="dxa"/>
            <w:vMerge w:val="restart"/>
            <w:vAlign w:val="center"/>
          </w:tcPr>
          <w:p>
            <w:pPr>
              <w:spacing w:before="48" w:beforeLines="20" w:after="48" w:afterLines="20"/>
              <w:jc w:val="center"/>
              <w:rPr>
                <w:rFonts w:ascii="宋体" w:hAnsi="宋体"/>
                <w:b/>
                <w:color w:val="000000" w:themeColor="text1"/>
                <w:sz w:val="22"/>
                <w14:textFill>
                  <w14:solidFill>
                    <w14:schemeClr w14:val="tx1"/>
                  </w14:solidFill>
                </w14:textFill>
              </w:rPr>
            </w:pPr>
          </w:p>
        </w:tc>
        <w:tc>
          <w:tcPr>
            <w:tcW w:w="3215" w:type="dxa"/>
            <w:vAlign w:val="center"/>
          </w:tcPr>
          <w:p>
            <w:pPr>
              <w:spacing w:before="48" w:beforeLines="20" w:after="48" w:afterLines="20"/>
              <w:rPr>
                <w:rFonts w:ascii="宋体" w:hAnsi="宋体"/>
                <w:b/>
                <w:bCs/>
                <w:color w:val="000000" w:themeColor="text1"/>
                <w:sz w:val="22"/>
                <w14:textFill>
                  <w14:solidFill>
                    <w14:schemeClr w14:val="tx1"/>
                  </w14:solidFill>
                </w14:textFill>
              </w:rPr>
            </w:pPr>
            <w:r>
              <w:rPr>
                <w:rFonts w:ascii="宋体" w:hAnsi="宋体"/>
                <w:b/>
                <w:color w:val="000000" w:themeColor="text1"/>
                <w:sz w:val="22"/>
                <w14:textFill>
                  <w14:solidFill>
                    <w14:schemeClr w14:val="tx1"/>
                  </w14:solidFill>
                </w14:textFill>
              </w:rPr>
              <w:t>□</w:t>
            </w:r>
            <w:r>
              <w:rPr>
                <w:rFonts w:ascii="宋体" w:hAnsi="宋体"/>
                <w:b/>
                <w:bCs/>
                <w:color w:val="000000" w:themeColor="text1"/>
                <w:sz w:val="22"/>
                <w14:textFill>
                  <w14:solidFill>
                    <w14:schemeClr w14:val="tx1"/>
                  </w14:solidFill>
                </w14:textFill>
              </w:rPr>
              <w:t xml:space="preserve">联合体 / </w:t>
            </w:r>
            <w:r>
              <w:rPr>
                <w:rFonts w:ascii="宋体" w:hAnsi="宋体"/>
                <w:b/>
                <w:color w:val="000000" w:themeColor="text1"/>
                <w:sz w:val="22"/>
                <w14:textFill>
                  <w14:solidFill>
                    <w14:schemeClr w14:val="tx1"/>
                  </w14:solidFill>
                </w14:textFill>
              </w:rPr>
              <w:t>□</w:t>
            </w:r>
            <w:r>
              <w:rPr>
                <w:rFonts w:ascii="宋体" w:hAnsi="宋体"/>
                <w:b/>
                <w:bCs/>
                <w:color w:val="000000" w:themeColor="text1"/>
                <w:sz w:val="22"/>
                <w14:textFill>
                  <w14:solidFill>
                    <w14:schemeClr w14:val="tx1"/>
                  </w14:solidFill>
                </w14:textFill>
              </w:rPr>
              <w:t>独立申请人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trPr>
        <w:tc>
          <w:tcPr>
            <w:tcW w:w="2263" w:type="dxa"/>
            <w:gridSpan w:val="2"/>
            <w:vMerge w:val="continue"/>
            <w:vAlign w:val="center"/>
          </w:tcPr>
          <w:p>
            <w:pPr>
              <w:spacing w:before="48" w:beforeLines="20" w:after="48" w:afterLines="20"/>
              <w:rPr>
                <w:rFonts w:ascii="宋体" w:hAnsi="宋体"/>
                <w:b/>
                <w:bCs/>
                <w:color w:val="000000" w:themeColor="text1"/>
                <w:sz w:val="22"/>
                <w14:textFill>
                  <w14:solidFill>
                    <w14:schemeClr w14:val="tx1"/>
                  </w14:solidFill>
                </w14:textFill>
              </w:rPr>
            </w:pPr>
          </w:p>
        </w:tc>
        <w:tc>
          <w:tcPr>
            <w:tcW w:w="3402" w:type="dxa"/>
            <w:vMerge w:val="continue"/>
            <w:vAlign w:val="center"/>
          </w:tcPr>
          <w:p>
            <w:pPr>
              <w:spacing w:before="48" w:beforeLines="20" w:after="48" w:afterLines="20"/>
              <w:rPr>
                <w:rFonts w:ascii="宋体" w:hAnsi="宋体"/>
                <w:b/>
                <w:bCs/>
                <w:color w:val="000000" w:themeColor="text1"/>
                <w:sz w:val="22"/>
                <w14:textFill>
                  <w14:solidFill>
                    <w14:schemeClr w14:val="tx1"/>
                  </w14:solidFill>
                </w14:textFill>
              </w:rPr>
            </w:pPr>
          </w:p>
        </w:tc>
        <w:tc>
          <w:tcPr>
            <w:tcW w:w="3215" w:type="dxa"/>
            <w:tcBorders>
              <w:bottom w:val="single" w:color="auto" w:sz="4" w:space="0"/>
            </w:tcBorders>
            <w:vAlign w:val="center"/>
          </w:tcPr>
          <w:p>
            <w:pPr>
              <w:spacing w:before="48" w:beforeLines="20" w:after="48" w:afterLines="20"/>
              <w:ind w:firstLine="216" w:firstLineChars="98"/>
              <w:rPr>
                <w:rFonts w:ascii="宋体" w:hAnsi="宋体"/>
                <w:b/>
                <w:color w:val="000000" w:themeColor="text1"/>
                <w:sz w:val="22"/>
                <w14:textFill>
                  <w14:solidFill>
                    <w14:schemeClr w14:val="tx1"/>
                  </w14:solidFill>
                </w14:textFill>
              </w:rPr>
            </w:pPr>
            <w:r>
              <w:rPr>
                <w:rFonts w:hint="eastAsia" w:ascii="宋体" w:hAnsi="宋体" w:cs="微软雅黑"/>
                <w:b/>
                <w:bCs/>
                <w:color w:val="000000" w:themeColor="text1"/>
                <w:sz w:val="22"/>
                <w14:textFill>
                  <w14:solidFill>
                    <w14:schemeClr w14:val="tx1"/>
                  </w14:solidFill>
                </w14:textFill>
              </w:rPr>
              <w:t>是</w:t>
            </w:r>
            <w:r>
              <w:rPr>
                <w:rFonts w:ascii="宋体" w:hAnsi="宋体"/>
                <w:b/>
                <w:bCs/>
                <w:color w:val="000000" w:themeColor="text1"/>
                <w:sz w:val="22"/>
                <w14:textFill>
                  <w14:solidFill>
                    <w14:schemeClr w14:val="tx1"/>
                  </w14:solidFill>
                </w14:textFill>
              </w:rPr>
              <w:t>（</w:t>
            </w:r>
            <w:r>
              <w:rPr>
                <w:rFonts w:ascii="宋体" w:hAnsi="宋体"/>
                <w:b/>
                <w:bCs/>
                <w:color w:val="000000" w:themeColor="text1"/>
                <w:sz w:val="22"/>
                <w14:textFill>
                  <w14:solidFill>
                    <w14:schemeClr w14:val="tx1"/>
                  </w14:solidFill>
                </w14:textFill>
              </w:rPr>
              <w:sym w:font="Wingdings" w:char="F0FC"/>
            </w:r>
            <w:r>
              <w:rPr>
                <w:rFonts w:ascii="宋体" w:hAnsi="宋体"/>
                <w:b/>
                <w:bCs/>
                <w:color w:val="000000" w:themeColor="text1"/>
                <w:sz w:val="22"/>
                <w14:textFill>
                  <w14:solidFill>
                    <w14:schemeClr w14:val="tx1"/>
                  </w14:solidFill>
                </w14:textFill>
              </w:rPr>
              <w:t>）  /    否（</w:t>
            </w:r>
            <w:r>
              <w:rPr>
                <w:rFonts w:ascii="宋体" w:hAnsi="宋体"/>
                <w:b/>
                <w:bCs/>
                <w:color w:val="000000" w:themeColor="text1"/>
                <w:sz w:val="22"/>
                <w14:textFill>
                  <w14:solidFill>
                    <w14:schemeClr w14:val="tx1"/>
                  </w14:solidFill>
                </w14:textFill>
              </w:rPr>
              <w:sym w:font="Wingdings" w:char="F0FB"/>
            </w:r>
            <w:r>
              <w:rPr>
                <w:rFonts w:ascii="宋体" w:hAnsi="宋体"/>
                <w:b/>
                <w:bCs/>
                <w:color w:val="000000" w:themeColor="text1"/>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1" w:hRule="atLeast"/>
        </w:trPr>
        <w:tc>
          <w:tcPr>
            <w:tcW w:w="1271" w:type="dxa"/>
            <w:vMerge w:val="restart"/>
            <w:vAlign w:val="center"/>
          </w:tcPr>
          <w:p>
            <w:pPr>
              <w:spacing w:before="48" w:beforeLines="20" w:after="48" w:afterLines="20"/>
              <w:rPr>
                <w:rFonts w:ascii="宋体" w:hAnsi="宋体"/>
                <w:b/>
                <w:bCs/>
                <w:color w:val="000000" w:themeColor="text1"/>
                <w:sz w:val="22"/>
                <w14:textFill>
                  <w14:solidFill>
                    <w14:schemeClr w14:val="tx1"/>
                  </w14:solidFill>
                </w14:textFill>
              </w:rPr>
            </w:pPr>
            <w:r>
              <w:rPr>
                <w:rFonts w:ascii="宋体" w:hAnsi="宋体"/>
                <w:bCs/>
                <w:color w:val="000000" w:themeColor="text1"/>
                <w:sz w:val="22"/>
                <w14:textFill>
                  <w14:solidFill>
                    <w14:schemeClr w14:val="tx1"/>
                  </w14:solidFill>
                </w14:textFill>
              </w:rPr>
              <w:t>2017</w:t>
            </w:r>
            <w:r>
              <w:rPr>
                <w:rFonts w:hint="eastAsia" w:ascii="宋体" w:hAnsi="宋体"/>
                <w:bCs/>
                <w:color w:val="000000" w:themeColor="text1"/>
                <w:sz w:val="22"/>
                <w14:textFill>
                  <w14:solidFill>
                    <w14:schemeClr w14:val="tx1"/>
                  </w14:solidFill>
                </w14:textFill>
              </w:rPr>
              <w:t>年度</w:t>
            </w:r>
          </w:p>
        </w:tc>
        <w:tc>
          <w:tcPr>
            <w:tcW w:w="7609" w:type="dxa"/>
            <w:gridSpan w:val="3"/>
            <w:vAlign w:val="center"/>
          </w:tcPr>
          <w:p>
            <w:pPr>
              <w:spacing w:before="48" w:beforeLines="20" w:after="48" w:afterLines="20"/>
              <w:ind w:firstLine="216" w:firstLineChars="98"/>
              <w:jc w:val="center"/>
              <w:rPr>
                <w:rFonts w:ascii="宋体" w:hAnsi="宋体"/>
                <w:b/>
                <w:bCs/>
                <w:color w:val="000000" w:themeColor="text1"/>
                <w:sz w:val="22"/>
                <w14:textFill>
                  <w14:solidFill>
                    <w14:schemeClr w14:val="tx1"/>
                  </w14:solidFill>
                </w14:textFill>
              </w:rPr>
            </w:pPr>
            <w:r>
              <w:rPr>
                <w:rFonts w:hint="eastAsia" w:ascii="宋体" w:hAnsi="宋体"/>
                <w:b/>
                <w:bCs/>
                <w:color w:val="000000" w:themeColor="text1"/>
                <w:sz w:val="22"/>
                <w14:textFill>
                  <w14:solidFill>
                    <w14:schemeClr w14:val="tx1"/>
                  </w14:solidFill>
                </w14:textFill>
              </w:rPr>
              <w:t>货币余额（亿元）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6" w:hRule="atLeast"/>
        </w:trPr>
        <w:tc>
          <w:tcPr>
            <w:tcW w:w="1271" w:type="dxa"/>
            <w:vMerge w:val="continue"/>
            <w:vAlign w:val="center"/>
          </w:tcPr>
          <w:p>
            <w:pPr>
              <w:spacing w:before="48" w:beforeLines="20" w:after="48" w:afterLines="20"/>
              <w:rPr>
                <w:rFonts w:ascii="宋体" w:hAnsi="宋体"/>
                <w:bCs/>
                <w:color w:val="000000" w:themeColor="text1"/>
                <w:sz w:val="22"/>
                <w14:textFill>
                  <w14:solidFill>
                    <w14:schemeClr w14:val="tx1"/>
                  </w14:solidFill>
                </w14:textFill>
              </w:rPr>
            </w:pPr>
          </w:p>
        </w:tc>
        <w:tc>
          <w:tcPr>
            <w:tcW w:w="7609" w:type="dxa"/>
            <w:gridSpan w:val="3"/>
            <w:vAlign w:val="center"/>
          </w:tcPr>
          <w:p>
            <w:pPr>
              <w:spacing w:before="48" w:beforeLines="20" w:after="48" w:afterLines="20"/>
              <w:rPr>
                <w:rFonts w:ascii="宋体" w:hAnsi="宋体"/>
                <w:bCs/>
                <w:color w:val="000000" w:themeColor="text1"/>
                <w:sz w:val="22"/>
                <w14:textFill>
                  <w14:solidFill>
                    <w14:schemeClr w14:val="tx1"/>
                  </w14:solidFill>
                </w14:textFill>
              </w:rPr>
            </w:pPr>
          </w:p>
        </w:tc>
      </w:tr>
    </w:tbl>
    <w:p/>
    <w:p/>
    <w:p>
      <w:pPr>
        <w:widowControl/>
        <w:jc w:val="left"/>
      </w:pPr>
      <w:r>
        <w:br w:type="page"/>
      </w:r>
    </w:p>
    <w:p/>
    <w:p>
      <w:pPr>
        <w:pStyle w:val="209"/>
        <w:numPr>
          <w:ilvl w:val="0"/>
          <w:numId w:val="33"/>
        </w:numPr>
        <w:spacing w:line="360" w:lineRule="auto"/>
        <w:jc w:val="center"/>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银行存款余额证明文件</w:t>
      </w:r>
    </w:p>
    <w:p>
      <w:pPr>
        <w:spacing w:line="360" w:lineRule="auto"/>
        <w:rPr>
          <w:rFonts w:ascii="Times New Roman" w:hAnsi="Times New Roman"/>
          <w:color w:val="000000" w:themeColor="text1"/>
          <w14:textFill>
            <w14:solidFill>
              <w14:schemeClr w14:val="tx1"/>
            </w14:solidFill>
          </w14:textFill>
        </w:rPr>
      </w:pPr>
    </w:p>
    <w:tbl>
      <w:tblPr>
        <w:tblStyle w:val="58"/>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1660"/>
        <w:gridCol w:w="2198"/>
        <w:gridCol w:w="1838"/>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1657" w:type="dxa"/>
          </w:tcPr>
          <w:p>
            <w:pPr>
              <w:spacing w:line="360" w:lineRule="auto"/>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序号</w:t>
            </w:r>
          </w:p>
        </w:tc>
        <w:tc>
          <w:tcPr>
            <w:tcW w:w="1660" w:type="dxa"/>
          </w:tcPr>
          <w:p>
            <w:pPr>
              <w:spacing w:line="360" w:lineRule="auto"/>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银行名称</w:t>
            </w:r>
          </w:p>
        </w:tc>
        <w:tc>
          <w:tcPr>
            <w:tcW w:w="2198" w:type="dxa"/>
          </w:tcPr>
          <w:p>
            <w:pPr>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开具时间</w:t>
            </w:r>
          </w:p>
        </w:tc>
        <w:tc>
          <w:tcPr>
            <w:tcW w:w="1838" w:type="dxa"/>
          </w:tcPr>
          <w:p>
            <w:pPr>
              <w:spacing w:line="360" w:lineRule="auto"/>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存款余额（万元）</w:t>
            </w:r>
          </w:p>
        </w:tc>
        <w:tc>
          <w:tcPr>
            <w:tcW w:w="1289" w:type="dxa"/>
          </w:tcPr>
          <w:p>
            <w:pPr>
              <w:spacing w:line="360" w:lineRule="auto"/>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1657" w:type="dxa"/>
          </w:tcPr>
          <w:p>
            <w:pPr>
              <w:spacing w:line="360" w:lineRule="auto"/>
              <w:rPr>
                <w:color w:val="000000" w:themeColor="text1"/>
                <w:kern w:val="0"/>
                <w:sz w:val="20"/>
                <w:szCs w:val="20"/>
                <w14:textFill>
                  <w14:solidFill>
                    <w14:schemeClr w14:val="tx1"/>
                  </w14:solidFill>
                </w14:textFill>
              </w:rPr>
            </w:pPr>
          </w:p>
        </w:tc>
        <w:tc>
          <w:tcPr>
            <w:tcW w:w="1660" w:type="dxa"/>
          </w:tcPr>
          <w:p>
            <w:pPr>
              <w:spacing w:line="360" w:lineRule="auto"/>
              <w:rPr>
                <w:color w:val="000000" w:themeColor="text1"/>
                <w:kern w:val="0"/>
                <w:sz w:val="20"/>
                <w:szCs w:val="20"/>
                <w14:textFill>
                  <w14:solidFill>
                    <w14:schemeClr w14:val="tx1"/>
                  </w14:solidFill>
                </w14:textFill>
              </w:rPr>
            </w:pPr>
          </w:p>
        </w:tc>
        <w:tc>
          <w:tcPr>
            <w:tcW w:w="2198" w:type="dxa"/>
          </w:tcPr>
          <w:p>
            <w:pPr>
              <w:spacing w:line="360" w:lineRule="auto"/>
              <w:rPr>
                <w:color w:val="000000" w:themeColor="text1"/>
                <w:kern w:val="0"/>
                <w:sz w:val="20"/>
                <w:szCs w:val="20"/>
                <w14:textFill>
                  <w14:solidFill>
                    <w14:schemeClr w14:val="tx1"/>
                  </w14:solidFill>
                </w14:textFill>
              </w:rPr>
            </w:pPr>
          </w:p>
        </w:tc>
        <w:tc>
          <w:tcPr>
            <w:tcW w:w="1838" w:type="dxa"/>
          </w:tcPr>
          <w:p>
            <w:pPr>
              <w:spacing w:line="360" w:lineRule="auto"/>
              <w:rPr>
                <w:color w:val="000000" w:themeColor="text1"/>
                <w:kern w:val="0"/>
                <w:sz w:val="20"/>
                <w:szCs w:val="20"/>
                <w14:textFill>
                  <w14:solidFill>
                    <w14:schemeClr w14:val="tx1"/>
                  </w14:solidFill>
                </w14:textFill>
              </w:rPr>
            </w:pPr>
          </w:p>
        </w:tc>
        <w:tc>
          <w:tcPr>
            <w:tcW w:w="1289" w:type="dxa"/>
          </w:tcPr>
          <w:p>
            <w:pPr>
              <w:spacing w:line="360" w:lineRule="auto"/>
              <w:rPr>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657" w:type="dxa"/>
          </w:tcPr>
          <w:p>
            <w:pPr>
              <w:spacing w:line="360" w:lineRule="auto"/>
              <w:rPr>
                <w:color w:val="000000" w:themeColor="text1"/>
                <w:kern w:val="0"/>
                <w:sz w:val="20"/>
                <w:szCs w:val="20"/>
                <w14:textFill>
                  <w14:solidFill>
                    <w14:schemeClr w14:val="tx1"/>
                  </w14:solidFill>
                </w14:textFill>
              </w:rPr>
            </w:pPr>
          </w:p>
        </w:tc>
        <w:tc>
          <w:tcPr>
            <w:tcW w:w="1660" w:type="dxa"/>
          </w:tcPr>
          <w:p>
            <w:pPr>
              <w:spacing w:line="360" w:lineRule="auto"/>
              <w:rPr>
                <w:color w:val="000000" w:themeColor="text1"/>
                <w:kern w:val="0"/>
                <w:sz w:val="20"/>
                <w:szCs w:val="20"/>
                <w14:textFill>
                  <w14:solidFill>
                    <w14:schemeClr w14:val="tx1"/>
                  </w14:solidFill>
                </w14:textFill>
              </w:rPr>
            </w:pPr>
          </w:p>
        </w:tc>
        <w:tc>
          <w:tcPr>
            <w:tcW w:w="2198" w:type="dxa"/>
          </w:tcPr>
          <w:p>
            <w:pPr>
              <w:spacing w:line="360" w:lineRule="auto"/>
              <w:rPr>
                <w:color w:val="000000" w:themeColor="text1"/>
                <w:kern w:val="0"/>
                <w:sz w:val="20"/>
                <w:szCs w:val="20"/>
                <w14:textFill>
                  <w14:solidFill>
                    <w14:schemeClr w14:val="tx1"/>
                  </w14:solidFill>
                </w14:textFill>
              </w:rPr>
            </w:pPr>
          </w:p>
        </w:tc>
        <w:tc>
          <w:tcPr>
            <w:tcW w:w="1838" w:type="dxa"/>
          </w:tcPr>
          <w:p>
            <w:pPr>
              <w:spacing w:line="360" w:lineRule="auto"/>
              <w:rPr>
                <w:color w:val="000000" w:themeColor="text1"/>
                <w:kern w:val="0"/>
                <w:sz w:val="20"/>
                <w:szCs w:val="20"/>
                <w14:textFill>
                  <w14:solidFill>
                    <w14:schemeClr w14:val="tx1"/>
                  </w14:solidFill>
                </w14:textFill>
              </w:rPr>
            </w:pPr>
          </w:p>
        </w:tc>
        <w:tc>
          <w:tcPr>
            <w:tcW w:w="1289" w:type="dxa"/>
          </w:tcPr>
          <w:p>
            <w:pPr>
              <w:spacing w:line="360" w:lineRule="auto"/>
              <w:rPr>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657" w:type="dxa"/>
          </w:tcPr>
          <w:p>
            <w:pPr>
              <w:spacing w:line="360" w:lineRule="auto"/>
              <w:rPr>
                <w:color w:val="000000" w:themeColor="text1"/>
                <w:kern w:val="0"/>
                <w:sz w:val="20"/>
                <w:szCs w:val="20"/>
                <w14:textFill>
                  <w14:solidFill>
                    <w14:schemeClr w14:val="tx1"/>
                  </w14:solidFill>
                </w14:textFill>
              </w:rPr>
            </w:pPr>
          </w:p>
        </w:tc>
        <w:tc>
          <w:tcPr>
            <w:tcW w:w="1660" w:type="dxa"/>
          </w:tcPr>
          <w:p>
            <w:pPr>
              <w:spacing w:line="360" w:lineRule="auto"/>
              <w:rPr>
                <w:color w:val="000000" w:themeColor="text1"/>
                <w:kern w:val="0"/>
                <w:sz w:val="20"/>
                <w:szCs w:val="20"/>
                <w14:textFill>
                  <w14:solidFill>
                    <w14:schemeClr w14:val="tx1"/>
                  </w14:solidFill>
                </w14:textFill>
              </w:rPr>
            </w:pPr>
          </w:p>
        </w:tc>
        <w:tc>
          <w:tcPr>
            <w:tcW w:w="2198" w:type="dxa"/>
          </w:tcPr>
          <w:p>
            <w:pPr>
              <w:spacing w:line="360" w:lineRule="auto"/>
              <w:rPr>
                <w:color w:val="000000" w:themeColor="text1"/>
                <w:kern w:val="0"/>
                <w:sz w:val="20"/>
                <w:szCs w:val="20"/>
                <w14:textFill>
                  <w14:solidFill>
                    <w14:schemeClr w14:val="tx1"/>
                  </w14:solidFill>
                </w14:textFill>
              </w:rPr>
            </w:pPr>
          </w:p>
        </w:tc>
        <w:tc>
          <w:tcPr>
            <w:tcW w:w="1838" w:type="dxa"/>
          </w:tcPr>
          <w:p>
            <w:pPr>
              <w:spacing w:line="360" w:lineRule="auto"/>
              <w:rPr>
                <w:color w:val="000000" w:themeColor="text1"/>
                <w:kern w:val="0"/>
                <w:sz w:val="20"/>
                <w:szCs w:val="20"/>
                <w14:textFill>
                  <w14:solidFill>
                    <w14:schemeClr w14:val="tx1"/>
                  </w14:solidFill>
                </w14:textFill>
              </w:rPr>
            </w:pPr>
          </w:p>
        </w:tc>
        <w:tc>
          <w:tcPr>
            <w:tcW w:w="1289" w:type="dxa"/>
          </w:tcPr>
          <w:p>
            <w:pPr>
              <w:spacing w:line="360" w:lineRule="auto"/>
              <w:rPr>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657" w:type="dxa"/>
          </w:tcPr>
          <w:p>
            <w:pPr>
              <w:spacing w:line="360" w:lineRule="auto"/>
              <w:rPr>
                <w:color w:val="000000" w:themeColor="text1"/>
                <w:kern w:val="0"/>
                <w:sz w:val="20"/>
                <w:szCs w:val="20"/>
                <w14:textFill>
                  <w14:solidFill>
                    <w14:schemeClr w14:val="tx1"/>
                  </w14:solidFill>
                </w14:textFill>
              </w:rPr>
            </w:pPr>
          </w:p>
        </w:tc>
        <w:tc>
          <w:tcPr>
            <w:tcW w:w="1660" w:type="dxa"/>
          </w:tcPr>
          <w:p>
            <w:pPr>
              <w:spacing w:line="360" w:lineRule="auto"/>
              <w:rPr>
                <w:color w:val="000000" w:themeColor="text1"/>
                <w:kern w:val="0"/>
                <w:sz w:val="20"/>
                <w:szCs w:val="20"/>
                <w14:textFill>
                  <w14:solidFill>
                    <w14:schemeClr w14:val="tx1"/>
                  </w14:solidFill>
                </w14:textFill>
              </w:rPr>
            </w:pPr>
          </w:p>
        </w:tc>
        <w:tc>
          <w:tcPr>
            <w:tcW w:w="2198" w:type="dxa"/>
          </w:tcPr>
          <w:p>
            <w:pPr>
              <w:spacing w:line="360" w:lineRule="auto"/>
              <w:rPr>
                <w:color w:val="000000" w:themeColor="text1"/>
                <w:kern w:val="0"/>
                <w:sz w:val="20"/>
                <w:szCs w:val="20"/>
                <w14:textFill>
                  <w14:solidFill>
                    <w14:schemeClr w14:val="tx1"/>
                  </w14:solidFill>
                </w14:textFill>
              </w:rPr>
            </w:pPr>
          </w:p>
        </w:tc>
        <w:tc>
          <w:tcPr>
            <w:tcW w:w="1838" w:type="dxa"/>
          </w:tcPr>
          <w:p>
            <w:pPr>
              <w:spacing w:line="360" w:lineRule="auto"/>
              <w:rPr>
                <w:color w:val="000000" w:themeColor="text1"/>
                <w:kern w:val="0"/>
                <w:sz w:val="20"/>
                <w:szCs w:val="20"/>
                <w14:textFill>
                  <w14:solidFill>
                    <w14:schemeClr w14:val="tx1"/>
                  </w14:solidFill>
                </w14:textFill>
              </w:rPr>
            </w:pPr>
          </w:p>
        </w:tc>
        <w:tc>
          <w:tcPr>
            <w:tcW w:w="1289" w:type="dxa"/>
          </w:tcPr>
          <w:p>
            <w:pPr>
              <w:spacing w:line="360" w:lineRule="auto"/>
              <w:rPr>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657" w:type="dxa"/>
          </w:tcPr>
          <w:p>
            <w:pPr>
              <w:spacing w:line="360" w:lineRule="auto"/>
              <w:rPr>
                <w:color w:val="000000" w:themeColor="text1"/>
                <w:kern w:val="0"/>
                <w:sz w:val="20"/>
                <w:szCs w:val="20"/>
                <w14:textFill>
                  <w14:solidFill>
                    <w14:schemeClr w14:val="tx1"/>
                  </w14:solidFill>
                </w14:textFill>
              </w:rPr>
            </w:pPr>
          </w:p>
        </w:tc>
        <w:tc>
          <w:tcPr>
            <w:tcW w:w="1660" w:type="dxa"/>
          </w:tcPr>
          <w:p>
            <w:pPr>
              <w:spacing w:line="360" w:lineRule="auto"/>
              <w:rPr>
                <w:color w:val="000000" w:themeColor="text1"/>
                <w:kern w:val="0"/>
                <w:sz w:val="20"/>
                <w:szCs w:val="20"/>
                <w14:textFill>
                  <w14:solidFill>
                    <w14:schemeClr w14:val="tx1"/>
                  </w14:solidFill>
                </w14:textFill>
              </w:rPr>
            </w:pPr>
          </w:p>
        </w:tc>
        <w:tc>
          <w:tcPr>
            <w:tcW w:w="2198" w:type="dxa"/>
          </w:tcPr>
          <w:p>
            <w:pPr>
              <w:spacing w:line="360" w:lineRule="auto"/>
              <w:rPr>
                <w:color w:val="000000" w:themeColor="text1"/>
                <w:kern w:val="0"/>
                <w:sz w:val="20"/>
                <w:szCs w:val="20"/>
                <w14:textFill>
                  <w14:solidFill>
                    <w14:schemeClr w14:val="tx1"/>
                  </w14:solidFill>
                </w14:textFill>
              </w:rPr>
            </w:pPr>
          </w:p>
        </w:tc>
        <w:tc>
          <w:tcPr>
            <w:tcW w:w="1838" w:type="dxa"/>
          </w:tcPr>
          <w:p>
            <w:pPr>
              <w:spacing w:line="360" w:lineRule="auto"/>
              <w:rPr>
                <w:color w:val="000000" w:themeColor="text1"/>
                <w:kern w:val="0"/>
                <w:sz w:val="20"/>
                <w:szCs w:val="20"/>
                <w14:textFill>
                  <w14:solidFill>
                    <w14:schemeClr w14:val="tx1"/>
                  </w14:solidFill>
                </w14:textFill>
              </w:rPr>
            </w:pPr>
          </w:p>
        </w:tc>
        <w:tc>
          <w:tcPr>
            <w:tcW w:w="1289" w:type="dxa"/>
          </w:tcPr>
          <w:p>
            <w:pPr>
              <w:spacing w:line="360" w:lineRule="auto"/>
              <w:rPr>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5515" w:type="dxa"/>
            <w:gridSpan w:val="3"/>
          </w:tcPr>
          <w:p>
            <w:pPr>
              <w:spacing w:line="360" w:lineRule="auto"/>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合计</w:t>
            </w:r>
          </w:p>
        </w:tc>
        <w:tc>
          <w:tcPr>
            <w:tcW w:w="1838" w:type="dxa"/>
          </w:tcPr>
          <w:p>
            <w:pPr>
              <w:spacing w:line="360" w:lineRule="auto"/>
              <w:rPr>
                <w:color w:val="000000" w:themeColor="text1"/>
                <w:kern w:val="0"/>
                <w:sz w:val="20"/>
                <w:szCs w:val="20"/>
                <w14:textFill>
                  <w14:solidFill>
                    <w14:schemeClr w14:val="tx1"/>
                  </w14:solidFill>
                </w14:textFill>
              </w:rPr>
            </w:pPr>
          </w:p>
        </w:tc>
        <w:tc>
          <w:tcPr>
            <w:tcW w:w="1289" w:type="dxa"/>
          </w:tcPr>
          <w:p>
            <w:pPr>
              <w:spacing w:line="360" w:lineRule="auto"/>
              <w:rPr>
                <w:color w:val="000000" w:themeColor="text1"/>
                <w:kern w:val="0"/>
                <w:sz w:val="20"/>
                <w:szCs w:val="20"/>
                <w14:textFill>
                  <w14:solidFill>
                    <w14:schemeClr w14:val="tx1"/>
                  </w14:solidFill>
                </w14:textFill>
              </w:rPr>
            </w:pPr>
          </w:p>
        </w:tc>
      </w:tr>
    </w:tbl>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说明：</w:t>
      </w:r>
    </w:p>
    <w:p>
      <w:pPr>
        <w:pStyle w:val="331"/>
        <w:numPr>
          <w:ilvl w:val="0"/>
          <w:numId w:val="35"/>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要求公告发布之日起至投标截止日期间，任意</w:t>
      </w:r>
      <w:bookmarkStart w:id="172" w:name="_Hlk511251220"/>
      <w:r>
        <w:rPr>
          <w:rFonts w:hint="eastAsia" w:ascii="Times New Roman" w:hAnsi="Times New Roman"/>
          <w:color w:val="000000" w:themeColor="text1"/>
          <w14:textFill>
            <w14:solidFill>
              <w14:schemeClr w14:val="tx1"/>
            </w14:solidFill>
          </w14:textFill>
        </w:rPr>
        <w:t>连续</w:t>
      </w:r>
      <w:bookmarkEnd w:id="172"/>
      <w:r>
        <w:rPr>
          <w:rFonts w:hint="eastAsia" w:ascii="Times New Roman" w:hAnsi="Times New Roman"/>
          <w:color w:val="000000" w:themeColor="text1"/>
          <w14:textFill>
            <w14:solidFill>
              <w14:schemeClr w14:val="tx1"/>
            </w14:solidFill>
          </w14:textFill>
        </w:rPr>
        <w:t>三日银行存款余额证明，投标人提供复印件，原件备查；</w:t>
      </w:r>
    </w:p>
    <w:p>
      <w:pPr>
        <w:pStyle w:val="331"/>
        <w:numPr>
          <w:ilvl w:val="0"/>
          <w:numId w:val="35"/>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提供的银行存款证明中要求每日最低额度作为评分指标，各银行出具凭证可累计计算（银行数量不超过</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家）。采用各银行累计方式，各银行存款证明对应存款期限时间应一致。提供银行存款证明文件格式参照各银行的银行存款证明文件“固定格式”，采用银行对账单形式的不作为评审依据；</w:t>
      </w:r>
    </w:p>
    <w:p>
      <w:pPr>
        <w:pStyle w:val="331"/>
        <w:numPr>
          <w:ilvl w:val="0"/>
          <w:numId w:val="35"/>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联合体投标，由联合体任一方提供。</w:t>
      </w: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p>
    <w:p>
      <w:pPr>
        <w:pStyle w:val="209"/>
        <w:numPr>
          <w:ilvl w:val="0"/>
          <w:numId w:val="33"/>
        </w:numPr>
        <w:spacing w:line="360" w:lineRule="auto"/>
        <w:jc w:val="center"/>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其他证明文件</w:t>
      </w:r>
    </w:p>
    <w:p>
      <w:pPr>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（一）国家级奖项</w:t>
      </w:r>
    </w:p>
    <w:p>
      <w:pPr>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投标截止日前</w:t>
      </w:r>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年内（</w:t>
      </w:r>
      <w:r>
        <w:rPr>
          <w:rFonts w:ascii="Times New Roman" w:hAnsi="Times New Roman"/>
          <w:color w:val="000000" w:themeColor="text1"/>
          <w14:textFill>
            <w14:solidFill>
              <w14:schemeClr w14:val="tx1"/>
            </w14:solidFill>
          </w14:textFill>
        </w:rPr>
        <w:t>2013</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9</w:t>
      </w:r>
      <w:r>
        <w:rPr>
          <w:rFonts w:hint="eastAsia" w:ascii="Times New Roman" w:hAnsi="Times New Roman"/>
          <w:color w:val="000000" w:themeColor="text1"/>
          <w14:textFill>
            <w14:solidFill>
              <w14:schemeClr w14:val="tx1"/>
            </w14:solidFill>
          </w14:textFill>
        </w:rPr>
        <w:t>月至投标截止日），投标人获得过“中国市政金杯奖”、“鲁班奖”、“国家优质工程奖”、“国家优质工程奖金质奖”、</w:t>
      </w:r>
      <w:bookmarkStart w:id="173" w:name="_Hlk523053887"/>
      <w:r>
        <w:rPr>
          <w:rFonts w:hint="eastAsia" w:ascii="Times New Roman" w:hAnsi="Times New Roman"/>
          <w:color w:val="000000" w:themeColor="text1"/>
          <w14:textFill>
            <w14:solidFill>
              <w14:schemeClr w14:val="tx1"/>
            </w14:solidFill>
          </w14:textFill>
        </w:rPr>
        <w:t>“全国市政行业市政工程科学技术奖”</w:t>
      </w:r>
      <w:bookmarkEnd w:id="173"/>
      <w:r>
        <w:rPr>
          <w:rFonts w:hint="eastAsia" w:ascii="Times New Roman" w:hAnsi="Times New Roman"/>
          <w:color w:val="000000" w:themeColor="text1"/>
          <w14:textFill>
            <w14:solidFill>
              <w14:schemeClr w14:val="tx1"/>
            </w14:solidFill>
          </w14:textFill>
        </w:rPr>
        <w:t>、“詹天佑奖”、“国家科技进步奖”。提供证明材料复印件加盖公章，原件备查。</w:t>
      </w: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注：</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、获奖项目应为市政工程类；</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    2</w:t>
      </w:r>
      <w:r>
        <w:rPr>
          <w:rFonts w:hint="eastAsia" w:ascii="Times New Roman" w:hAnsi="Times New Roman"/>
          <w:color w:val="000000" w:themeColor="text1"/>
          <w14:textFill>
            <w14:solidFill>
              <w14:schemeClr w14:val="tx1"/>
            </w14:solidFill>
          </w14:textFill>
        </w:rPr>
        <w:t>、联合体投标，由联合体成员中一方提供；</w:t>
      </w:r>
    </w:p>
    <w:p>
      <w:pPr>
        <w:spacing w:line="360" w:lineRule="auto"/>
        <w:ind w:firstLine="42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国家优质工程奖金质奖”、“国家优质工程奖”由中国施工企业管理协会颁发；“中国市政金杯奖””、“全国市政行业市政工程科学技术奖”由中国市政工程协会颁发；“鲁班奖”由中国建筑业协会颁发；由中国土木工程学会颁发的詹天佑奖；由国务院颁发的“国家科技进步奖”。</w:t>
      </w:r>
    </w:p>
    <w:p>
      <w:pPr>
        <w:pStyle w:val="331"/>
        <w:numPr>
          <w:ilvl w:val="0"/>
          <w:numId w:val="35"/>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时间认定以证书载明时间或获奖文件颁发时间。</w:t>
      </w:r>
    </w:p>
    <w:p>
      <w:pPr>
        <w:pStyle w:val="331"/>
        <w:numPr>
          <w:ilvl w:val="0"/>
          <w:numId w:val="35"/>
        </w:numPr>
        <w:spacing w:line="360" w:lineRule="auto"/>
        <w:ind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一个项目只计算一个奖项。</w:t>
      </w: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（二）项目经理</w:t>
      </w:r>
    </w:p>
    <w:p>
      <w:pPr>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投标人拟派的项目经理具有</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个及以上</w:t>
      </w:r>
      <w:r>
        <w:rPr>
          <w:rFonts w:ascii="Times New Roman" w:hAnsi="Times New Roman"/>
          <w:color w:val="000000" w:themeColor="text1"/>
          <w14:textFill>
            <w14:solidFill>
              <w14:schemeClr w14:val="tx1"/>
            </w14:solidFill>
          </w14:textFill>
        </w:rPr>
        <w:t>2008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日以来在中华人民共和国境内完成过采用盾构施工工艺且盾构外径</w:t>
      </w:r>
      <w:r>
        <w:rPr>
          <w:rFonts w:ascii="Times New Roman" w:hAnsi="Times New Roman"/>
          <w:color w:val="000000" w:themeColor="text1"/>
          <w14:textFill>
            <w14:solidFill>
              <w14:schemeClr w14:val="tx1"/>
            </w14:solidFill>
          </w14:textFill>
        </w:rPr>
        <w:t>11</w:t>
      </w:r>
      <w:r>
        <w:rPr>
          <w:rFonts w:hint="eastAsia" w:ascii="Times New Roman" w:hAnsi="Times New Roman"/>
          <w:color w:val="000000" w:themeColor="text1"/>
          <w14:textFill>
            <w14:solidFill>
              <w14:schemeClr w14:val="tx1"/>
            </w14:solidFill>
          </w14:textFill>
        </w:rPr>
        <w:t>米及以上、连续盾构段长度不低于</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公里的单洞隧道主体工程项目（须含过江，或河，或海，或湖，其中江、河、湖须在</w:t>
      </w:r>
      <w:r>
        <w:rPr>
          <w:rFonts w:ascii="Times New Roman" w:hAnsi="Times New Roman"/>
          <w:color w:val="000000" w:themeColor="text1"/>
          <w14:textFill>
            <w14:solidFill>
              <w14:schemeClr w14:val="tx1"/>
            </w14:solidFill>
          </w14:textFill>
        </w:rPr>
        <w:t>100</w:t>
      </w:r>
      <w:r>
        <w:rPr>
          <w:rFonts w:hint="eastAsia" w:ascii="Times New Roman" w:hAnsi="Times New Roman"/>
          <w:color w:val="000000" w:themeColor="text1"/>
          <w14:textFill>
            <w14:solidFill>
              <w14:schemeClr w14:val="tx1"/>
            </w14:solidFill>
          </w14:textFill>
        </w:rPr>
        <w:t>米及以上）施工业绩（以交（竣）工验收报告载明时间为准）。提供证明材料复印件加盖公章，原件备查。</w:t>
      </w: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注：</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、联合体投标，由联合体成员中一方提供；</w:t>
      </w:r>
    </w:p>
    <w:p>
      <w:pPr>
        <w:spacing w:line="360" w:lineRule="auto"/>
        <w:ind w:firstLine="42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、提供项目经理身份证（或护照）、投标截止日起前连续月（</w:t>
      </w:r>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-8</w:t>
      </w:r>
      <w:r>
        <w:rPr>
          <w:rFonts w:hint="eastAsia" w:ascii="Times New Roman" w:hAnsi="Times New Roman"/>
          <w:color w:val="000000" w:themeColor="text1"/>
          <w14:textFill>
            <w14:solidFill>
              <w14:schemeClr w14:val="tx1"/>
            </w14:solidFill>
          </w14:textFill>
        </w:rPr>
        <w:t>月）的社会保障资金缴纳记录证明文件（须由社保机构出具）、一级建造师证书（市政公用专业）、《项目负责人安全生产考核合格证书》、中标通知书、施工合同、施工许可证、交（竣）工验收报告，</w:t>
      </w:r>
      <w:r>
        <w:rPr>
          <w:rFonts w:hint="eastAsia" w:ascii="Times New Roman" w:hAnsi="Times New Roman"/>
          <w:b/>
          <w:color w:val="000000" w:themeColor="text1"/>
          <w14:textFill>
            <w14:solidFill>
              <w14:schemeClr w14:val="tx1"/>
            </w14:solidFill>
          </w14:textFill>
        </w:rPr>
        <w:t>无在建工程承诺书</w:t>
      </w:r>
      <w:r>
        <w:rPr>
          <w:rFonts w:hint="eastAsia" w:ascii="Times New Roman" w:hAnsi="Times New Roman"/>
          <w:color w:val="000000" w:themeColor="text1"/>
          <w14:textFill>
            <w14:solidFill>
              <w14:schemeClr w14:val="tx1"/>
            </w14:solidFill>
          </w14:textFill>
        </w:rPr>
        <w:t>（原件，格式自拟），提供证明材料复印件加盖公章，原件备查；</w:t>
      </w:r>
    </w:p>
    <w:p>
      <w:pPr>
        <w:spacing w:line="360" w:lineRule="auto"/>
        <w:ind w:firstLine="42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、上述资料未完整反映本项评审条件要求，由项目业主提供相关证明材料。</w:t>
      </w:r>
    </w:p>
    <w:bookmarkEnd w:id="21"/>
    <w:p>
      <w:pPr>
        <w:pStyle w:val="3"/>
        <w:spacing w:line="360" w:lineRule="auto"/>
        <w:jc w:val="center"/>
        <w:rPr>
          <w:rFonts w:ascii="Times New Roman" w:hAnsi="Times New Roman"/>
          <w:color w:val="000000" w:themeColor="text1"/>
          <w:sz w:val="24"/>
          <w:szCs w:val="24"/>
          <w14:textFill>
            <w14:solidFill>
              <w14:schemeClr w14:val="tx1"/>
            </w14:solidFill>
          </w14:textFill>
        </w:rPr>
      </w:pPr>
      <w:bookmarkStart w:id="174" w:name="_附件2__投标文件"/>
      <w:bookmarkEnd w:id="174"/>
      <w:r>
        <w:rPr>
          <w:rFonts w:ascii="Times New Roman" w:hAnsi="Times New Roman"/>
          <w:color w:val="000000" w:themeColor="text1"/>
          <w14:textFill>
            <w14:solidFill>
              <w14:schemeClr w14:val="tx1"/>
            </w14:solidFill>
          </w14:textFill>
        </w:rPr>
        <w:br w:type="page"/>
      </w:r>
      <w:bookmarkStart w:id="175" w:name="_Toc496299878"/>
      <w:bookmarkStart w:id="176" w:name="_Toc496258651"/>
      <w:bookmarkStart w:id="177" w:name="_Toc522635484"/>
      <w:bookmarkStart w:id="178" w:name="_Toc492021861"/>
      <w:bookmarkStart w:id="179" w:name="_Toc496299714"/>
      <w:bookmarkStart w:id="180" w:name="_Toc487201027"/>
      <w:bookmarkStart w:id="181" w:name="_Toc492040651"/>
      <w:bookmarkStart w:id="182" w:name="_Toc439072984"/>
      <w:bookmarkStart w:id="183" w:name="_Toc491857544"/>
      <w:bookmarkStart w:id="184" w:name="_Toc465698636"/>
      <w:bookmarkStart w:id="185" w:name="_Toc438162731"/>
      <w:r>
        <w:rPr>
          <w:rFonts w:hint="eastAsia" w:ascii="Times New Roman" w:hAnsi="Times New Roman"/>
          <w:color w:val="000000" w:themeColor="text1"/>
          <w:sz w:val="24"/>
          <w:szCs w:val="24"/>
          <w14:textFill>
            <w14:solidFill>
              <w14:schemeClr w14:val="tx1"/>
            </w14:solidFill>
          </w14:textFill>
        </w:rPr>
        <w:t>附件</w:t>
      </w:r>
      <w:r>
        <w:rPr>
          <w:rFonts w:ascii="Times New Roman" w:hAnsi="Times New Roman"/>
          <w:color w:val="000000" w:themeColor="text1"/>
          <w:sz w:val="24"/>
          <w:szCs w:val="24"/>
          <w14:textFill>
            <w14:solidFill>
              <w14:schemeClr w14:val="tx1"/>
            </w14:solidFill>
          </w14:textFill>
        </w:rPr>
        <w:t xml:space="preserve">2  </w:t>
      </w:r>
      <w:r>
        <w:rPr>
          <w:rFonts w:hint="eastAsia" w:ascii="Times New Roman" w:hAnsi="Times New Roman"/>
          <w:color w:val="000000" w:themeColor="text1"/>
          <w:sz w:val="24"/>
          <w:szCs w:val="24"/>
          <w14:textFill>
            <w14:solidFill>
              <w14:schemeClr w14:val="tx1"/>
            </w14:solidFill>
          </w14:textFill>
        </w:rPr>
        <w:t>技术投标文件分册格式</w:t>
      </w:r>
      <w:bookmarkEnd w:id="175"/>
      <w:bookmarkEnd w:id="176"/>
      <w:bookmarkEnd w:id="177"/>
      <w:bookmarkEnd w:id="178"/>
      <w:bookmarkEnd w:id="179"/>
      <w:bookmarkEnd w:id="180"/>
      <w:bookmarkEnd w:id="181"/>
      <w:bookmarkEnd w:id="182"/>
      <w:bookmarkEnd w:id="183"/>
      <w:bookmarkEnd w:id="184"/>
      <w:bookmarkEnd w:id="185"/>
    </w:p>
    <w:p>
      <w:pPr>
        <w:pStyle w:val="4"/>
        <w:rPr>
          <w:color w:val="000000" w:themeColor="text1"/>
          <w14:textFill>
            <w14:solidFill>
              <w14:schemeClr w14:val="tx1"/>
            </w14:solidFill>
          </w14:textFill>
        </w:rPr>
      </w:pPr>
      <w:bookmarkStart w:id="186" w:name="_Toc439072985"/>
      <w:bookmarkStart w:id="187" w:name="_Toc487201028"/>
      <w:bookmarkStart w:id="188" w:name="_Toc465698637"/>
      <w:bookmarkStart w:id="189" w:name="_Toc438162732"/>
      <w:bookmarkStart w:id="190" w:name="_Toc491857545"/>
      <w:bookmarkStart w:id="191" w:name="_Toc492021862"/>
      <w:bookmarkStart w:id="192" w:name="_Toc492040652"/>
      <w:bookmarkStart w:id="193" w:name="_Toc496258652"/>
      <w:bookmarkStart w:id="194" w:name="_Toc496299715"/>
      <w:bookmarkStart w:id="195" w:name="_Toc496299879"/>
      <w:bookmarkStart w:id="196" w:name="_Toc522635485"/>
      <w:r>
        <w:rPr>
          <w:rFonts w:hint="eastAsia"/>
          <w:color w:val="000000" w:themeColor="text1"/>
          <w14:textFill>
            <w14:solidFill>
              <w14:schemeClr w14:val="tx1"/>
            </w14:solidFill>
          </w14:textFill>
        </w:rPr>
        <w:t>第一分册：项目建设管理方案</w:t>
      </w:r>
      <w:bookmarkEnd w:id="186"/>
      <w:bookmarkEnd w:id="187"/>
      <w:bookmarkEnd w:id="188"/>
      <w:bookmarkEnd w:id="189"/>
      <w:bookmarkEnd w:id="190"/>
      <w:bookmarkEnd w:id="191"/>
      <w:bookmarkEnd w:id="192"/>
      <w:bookmarkEnd w:id="193"/>
      <w:bookmarkEnd w:id="194"/>
      <w:bookmarkEnd w:id="195"/>
      <w:bookmarkEnd w:id="196"/>
    </w:p>
    <w:p>
      <w:pPr>
        <w:rPr>
          <w:rFonts w:ascii="Times New Roman" w:hAnsi="Times New Roman"/>
          <w:color w:val="000000" w:themeColor="text1"/>
          <w14:textFill>
            <w14:solidFill>
              <w14:schemeClr w14:val="tx1"/>
            </w14:solidFill>
          </w14:textFill>
        </w:rPr>
      </w:pPr>
    </w:p>
    <w:p>
      <w:pPr>
        <w:pStyle w:val="188"/>
        <w:numPr>
          <w:ilvl w:val="0"/>
          <w:numId w:val="36"/>
        </w:numPr>
        <w:spacing w:line="360" w:lineRule="auto"/>
        <w:ind w:left="322" w:hanging="322"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建设管理组织形式及人员安排</w:t>
      </w:r>
    </w:p>
    <w:p>
      <w:pPr>
        <w:pStyle w:val="188"/>
        <w:spacing w:line="360" w:lineRule="auto"/>
        <w:ind w:left="322"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本项目建设管理组织机构形式、人员安排，人员配置列明姓名、执业资格证书、职称、从业年限等；</w:t>
      </w:r>
    </w:p>
    <w:p>
      <w:pPr>
        <w:pStyle w:val="188"/>
        <w:numPr>
          <w:ilvl w:val="0"/>
          <w:numId w:val="36"/>
        </w:numPr>
        <w:spacing w:line="360" w:lineRule="auto"/>
        <w:ind w:left="322" w:hanging="322"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相关建设管理制度</w:t>
      </w:r>
    </w:p>
    <w:p>
      <w:pPr>
        <w:pStyle w:val="188"/>
        <w:spacing w:line="360" w:lineRule="auto"/>
        <w:ind w:left="322"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各项建设管理内部制度及操作流程；</w:t>
      </w:r>
    </w:p>
    <w:p>
      <w:pPr>
        <w:pStyle w:val="188"/>
        <w:numPr>
          <w:ilvl w:val="0"/>
          <w:numId w:val="36"/>
        </w:numPr>
        <w:spacing w:line="360" w:lineRule="auto"/>
        <w:ind w:left="322" w:hanging="322"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建设总体计划</w:t>
      </w:r>
    </w:p>
    <w:p>
      <w:pPr>
        <w:spacing w:line="360" w:lineRule="auto"/>
        <w:ind w:left="424" w:leftChars="200" w:hanging="4" w:hangingChars="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包括项目公司注册、开工许可、施工工期、试运行等的工期计划安排，以横道图形式或其他更利于展现总体计划时间安排的表现形式制图；</w:t>
      </w:r>
    </w:p>
    <w:p>
      <w:pPr>
        <w:pStyle w:val="188"/>
        <w:numPr>
          <w:ilvl w:val="0"/>
          <w:numId w:val="36"/>
        </w:numPr>
        <w:spacing w:line="360" w:lineRule="auto"/>
        <w:ind w:left="322" w:hanging="322"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建设实施方案</w:t>
      </w:r>
    </w:p>
    <w:p>
      <w:pPr>
        <w:pStyle w:val="188"/>
        <w:spacing w:line="360" w:lineRule="auto"/>
        <w:ind w:left="322" w:firstLine="0" w:firstLineChars="0"/>
        <w:rPr>
          <w:b/>
          <w:color w:val="000000" w:themeColor="text1"/>
          <w14:textFill>
            <w14:solidFill>
              <w14:schemeClr w14:val="tx1"/>
            </w14:solidFill>
          </w14:textFill>
        </w:rPr>
      </w:pPr>
      <w:r>
        <w:rPr>
          <w:rFonts w:hint="eastAsia"/>
          <w:color w:val="000000" w:themeColor="text1"/>
          <w14:textFill>
            <w14:solidFill>
              <w14:schemeClr w14:val="tx1"/>
            </w14:solidFill>
          </w14:textFill>
        </w:rPr>
        <w:t>包括但不限于前期准备、工期、工程质量、质量保修、安全和文明施工、投资控制等几个方面阐明相应的管理及保障措施，除设计、监理以外的施工等相关参与单位的选择落实方案等内容。</w:t>
      </w:r>
    </w:p>
    <w:p>
      <w:pPr>
        <w:pStyle w:val="188"/>
        <w:numPr>
          <w:ilvl w:val="0"/>
          <w:numId w:val="36"/>
        </w:numPr>
        <w:spacing w:line="360" w:lineRule="auto"/>
        <w:ind w:left="322" w:hanging="322"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竣工及试运行组织方案</w:t>
      </w:r>
    </w:p>
    <w:p>
      <w:pPr>
        <w:pStyle w:val="188"/>
        <w:spacing w:line="360" w:lineRule="auto"/>
        <w:ind w:left="322" w:firstLine="0" w:firstLineChars="0"/>
        <w:rPr>
          <w:b/>
          <w:color w:val="000000" w:themeColor="text1"/>
          <w14:textFill>
            <w14:solidFill>
              <w14:schemeClr w14:val="tx1"/>
            </w14:solidFill>
          </w14:textFill>
        </w:rPr>
      </w:pPr>
    </w:p>
    <w:p>
      <w:pPr>
        <w:pStyle w:val="188"/>
        <w:numPr>
          <w:ilvl w:val="0"/>
          <w:numId w:val="36"/>
        </w:numPr>
        <w:spacing w:line="360" w:lineRule="auto"/>
        <w:ind w:left="322" w:hanging="322"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其他内容</w:t>
      </w:r>
    </w:p>
    <w:p>
      <w:pPr>
        <w:spacing w:line="360" w:lineRule="auto"/>
        <w:ind w:firstLine="283" w:firstLineChars="135"/>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（投标人可以在此补充认为重要的项目建设管理方案其他内容以及符合评分标准的内容）</w:t>
      </w: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p>
    <w:p>
      <w:pPr>
        <w:pStyle w:val="4"/>
        <w:rPr>
          <w:color w:val="000000" w:themeColor="text1"/>
          <w14:textFill>
            <w14:solidFill>
              <w14:schemeClr w14:val="tx1"/>
            </w14:solidFill>
          </w14:textFill>
        </w:rPr>
      </w:pPr>
      <w:bookmarkStart w:id="197" w:name="_Toc438162733"/>
      <w:bookmarkStart w:id="198" w:name="_Toc439072986"/>
      <w:bookmarkStart w:id="199" w:name="_Toc465698638"/>
      <w:bookmarkStart w:id="200" w:name="_Toc491857546"/>
      <w:bookmarkStart w:id="201" w:name="_Toc492021863"/>
      <w:bookmarkStart w:id="202" w:name="_Toc492040653"/>
      <w:bookmarkStart w:id="203" w:name="_Toc487201029"/>
      <w:bookmarkStart w:id="204" w:name="_Toc496258653"/>
      <w:bookmarkStart w:id="205" w:name="_Toc496299716"/>
      <w:bookmarkStart w:id="206" w:name="_Toc496299880"/>
      <w:bookmarkStart w:id="207" w:name="_Toc522635486"/>
      <w:r>
        <w:rPr>
          <w:rFonts w:hint="eastAsia"/>
          <w:color w:val="000000" w:themeColor="text1"/>
          <w14:textFill>
            <w14:solidFill>
              <w14:schemeClr w14:val="tx1"/>
            </w14:solidFill>
          </w14:textFill>
        </w:rPr>
        <w:t>第二分册：运营维护及移交方案</w:t>
      </w:r>
      <w:bookmarkEnd w:id="197"/>
      <w:bookmarkEnd w:id="198"/>
      <w:bookmarkEnd w:id="199"/>
      <w:bookmarkEnd w:id="200"/>
      <w:bookmarkEnd w:id="201"/>
      <w:bookmarkEnd w:id="202"/>
      <w:bookmarkEnd w:id="203"/>
      <w:bookmarkEnd w:id="204"/>
      <w:bookmarkEnd w:id="205"/>
      <w:bookmarkEnd w:id="206"/>
      <w:bookmarkEnd w:id="207"/>
    </w:p>
    <w:p>
      <w:pPr>
        <w:spacing w:line="360" w:lineRule="auto"/>
        <w:rPr>
          <w:rFonts w:ascii="Times New Roman" w:hAnsi="Times New Roman"/>
          <w:color w:val="000000" w:themeColor="text1"/>
          <w14:textFill>
            <w14:solidFill>
              <w14:schemeClr w14:val="tx1"/>
            </w14:solidFill>
          </w14:textFill>
        </w:rPr>
      </w:pPr>
    </w:p>
    <w:p>
      <w:pPr>
        <w:pStyle w:val="188"/>
        <w:numPr>
          <w:ilvl w:val="0"/>
          <w:numId w:val="37"/>
        </w:numPr>
        <w:spacing w:line="360" w:lineRule="auto"/>
        <w:ind w:left="426"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运营管理总体方案</w:t>
      </w:r>
    </w:p>
    <w:p>
      <w:pPr>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运管管理机构设置、人员配置及能力安排，运营达到安全标准、环境标准的要求、保障措施和制度等；</w:t>
      </w:r>
    </w:p>
    <w:p>
      <w:pPr>
        <w:pStyle w:val="188"/>
        <w:numPr>
          <w:ilvl w:val="0"/>
          <w:numId w:val="37"/>
        </w:numPr>
        <w:spacing w:line="360" w:lineRule="auto"/>
        <w:ind w:left="426"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商业运营方案</w:t>
      </w:r>
    </w:p>
    <w:p>
      <w:pPr>
        <w:pStyle w:val="188"/>
        <w:spacing w:line="360" w:lineRule="auto"/>
        <w:ind w:left="426"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包括但不限于商业策划、组织机构、业态布局、运营方式等；</w:t>
      </w:r>
    </w:p>
    <w:p>
      <w:pPr>
        <w:pStyle w:val="188"/>
        <w:numPr>
          <w:ilvl w:val="0"/>
          <w:numId w:val="37"/>
        </w:numPr>
        <w:spacing w:line="360" w:lineRule="auto"/>
        <w:ind w:left="426"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运营维护方案</w:t>
      </w:r>
    </w:p>
    <w:p>
      <w:pPr>
        <w:spacing w:line="360" w:lineRule="auto"/>
        <w:ind w:left="426"/>
        <w:rPr>
          <w:rFonts w:ascii="Times New Roman" w:hAnsi="Times New Roman"/>
          <w:b/>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包括设备设施日常维护、检修方案，以及资金计划；</w:t>
      </w:r>
    </w:p>
    <w:p>
      <w:pPr>
        <w:pStyle w:val="188"/>
        <w:numPr>
          <w:ilvl w:val="0"/>
          <w:numId w:val="37"/>
        </w:numPr>
        <w:spacing w:line="360" w:lineRule="auto"/>
        <w:ind w:left="426"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成本管理和控制措施</w:t>
      </w:r>
    </w:p>
    <w:p>
      <w:pPr>
        <w:pStyle w:val="188"/>
        <w:spacing w:line="360" w:lineRule="auto"/>
        <w:ind w:left="426" w:firstLine="0" w:firstLineChars="0"/>
        <w:rPr>
          <w:b/>
          <w:color w:val="000000" w:themeColor="text1"/>
          <w14:textFill>
            <w14:solidFill>
              <w14:schemeClr w14:val="tx1"/>
            </w14:solidFill>
          </w14:textFill>
        </w:rPr>
      </w:pPr>
    </w:p>
    <w:p>
      <w:pPr>
        <w:pStyle w:val="188"/>
        <w:numPr>
          <w:ilvl w:val="0"/>
          <w:numId w:val="37"/>
        </w:numPr>
        <w:spacing w:line="360" w:lineRule="auto"/>
        <w:ind w:left="426"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安全管理与突发事件应对方案</w:t>
      </w:r>
    </w:p>
    <w:p>
      <w:pPr>
        <w:spacing w:line="360" w:lineRule="auto"/>
        <w:ind w:left="426" w:hanging="420"/>
        <w:rPr>
          <w:rFonts w:ascii="Times New Roman" w:hAnsi="Times New Roman"/>
          <w:b/>
          <w:color w:val="000000" w:themeColor="text1"/>
          <w14:textFill>
            <w14:solidFill>
              <w14:schemeClr w14:val="tx1"/>
            </w14:solidFill>
          </w14:textFill>
        </w:rPr>
      </w:pPr>
    </w:p>
    <w:p>
      <w:pPr>
        <w:pStyle w:val="188"/>
        <w:numPr>
          <w:ilvl w:val="0"/>
          <w:numId w:val="37"/>
        </w:numPr>
        <w:spacing w:line="360" w:lineRule="auto"/>
        <w:ind w:left="426"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运营报告、财务报告、环境监测报告检测等周期及提供制度</w:t>
      </w:r>
    </w:p>
    <w:p>
      <w:pPr>
        <w:pStyle w:val="188"/>
        <w:spacing w:line="360" w:lineRule="auto"/>
        <w:ind w:left="426" w:firstLine="0" w:firstLineChars="0"/>
        <w:rPr>
          <w:b/>
          <w:color w:val="000000" w:themeColor="text1"/>
          <w14:textFill>
            <w14:solidFill>
              <w14:schemeClr w14:val="tx1"/>
            </w14:solidFill>
          </w14:textFill>
        </w:rPr>
      </w:pPr>
    </w:p>
    <w:p>
      <w:pPr>
        <w:pStyle w:val="188"/>
        <w:numPr>
          <w:ilvl w:val="0"/>
          <w:numId w:val="37"/>
        </w:numPr>
        <w:spacing w:line="360" w:lineRule="auto"/>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设备设施移交前恢复性大修工作方案</w:t>
      </w:r>
    </w:p>
    <w:p>
      <w:pPr>
        <w:spacing w:line="360" w:lineRule="auto"/>
        <w:rPr>
          <w:rFonts w:ascii="Times New Roman" w:hAnsi="Times New Roman"/>
          <w:b/>
          <w:color w:val="000000" w:themeColor="text1"/>
          <w14:textFill>
            <w14:solidFill>
              <w14:schemeClr w14:val="tx1"/>
            </w14:solidFill>
          </w14:textFill>
        </w:rPr>
      </w:pPr>
    </w:p>
    <w:p>
      <w:pPr>
        <w:pStyle w:val="188"/>
        <w:numPr>
          <w:ilvl w:val="0"/>
          <w:numId w:val="37"/>
        </w:numPr>
        <w:spacing w:line="360" w:lineRule="auto"/>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移交验收程序</w:t>
      </w:r>
    </w:p>
    <w:p>
      <w:pPr>
        <w:spacing w:line="360" w:lineRule="auto"/>
        <w:rPr>
          <w:rFonts w:ascii="Times New Roman" w:hAnsi="Times New Roman"/>
          <w:b/>
          <w:color w:val="000000" w:themeColor="text1"/>
          <w14:textFill>
            <w14:solidFill>
              <w14:schemeClr w14:val="tx1"/>
            </w14:solidFill>
          </w14:textFill>
        </w:rPr>
      </w:pPr>
    </w:p>
    <w:p>
      <w:pPr>
        <w:pStyle w:val="188"/>
        <w:numPr>
          <w:ilvl w:val="0"/>
          <w:numId w:val="37"/>
        </w:numPr>
        <w:spacing w:line="360" w:lineRule="auto"/>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移交过程保证正常运营措施</w:t>
      </w:r>
    </w:p>
    <w:p>
      <w:pPr>
        <w:pStyle w:val="188"/>
        <w:spacing w:line="360" w:lineRule="auto"/>
        <w:ind w:left="426" w:firstLine="0" w:firstLineChars="0"/>
        <w:rPr>
          <w:b/>
          <w:color w:val="000000" w:themeColor="text1"/>
          <w14:textFill>
            <w14:solidFill>
              <w14:schemeClr w14:val="tx1"/>
            </w14:solidFill>
          </w14:textFill>
        </w:rPr>
      </w:pPr>
    </w:p>
    <w:p>
      <w:pPr>
        <w:pStyle w:val="188"/>
        <w:numPr>
          <w:ilvl w:val="0"/>
          <w:numId w:val="37"/>
        </w:numPr>
        <w:spacing w:line="360" w:lineRule="auto"/>
        <w:ind w:left="426"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其他内容</w:t>
      </w:r>
    </w:p>
    <w:p>
      <w:pPr>
        <w:spacing w:line="360" w:lineRule="auto"/>
        <w:ind w:firstLine="283" w:firstLineChars="135"/>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（投标人可以在此补充认为重要的项目运营维护方案和移交等其他内容）</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p>
    <w:p>
      <w:pPr>
        <w:pStyle w:val="4"/>
        <w:rPr>
          <w:color w:val="000000" w:themeColor="text1"/>
          <w14:textFill>
            <w14:solidFill>
              <w14:schemeClr w14:val="tx1"/>
            </w14:solidFill>
          </w14:textFill>
        </w:rPr>
      </w:pPr>
      <w:bookmarkStart w:id="208" w:name="_Toc438162735"/>
      <w:bookmarkStart w:id="209" w:name="_Toc439072988"/>
      <w:bookmarkStart w:id="210" w:name="_Toc465698639"/>
      <w:bookmarkStart w:id="211" w:name="_Toc487201030"/>
      <w:bookmarkStart w:id="212" w:name="_Toc491857547"/>
      <w:bookmarkStart w:id="213" w:name="_Toc492021864"/>
      <w:bookmarkStart w:id="214" w:name="_Toc492040654"/>
      <w:bookmarkStart w:id="215" w:name="_Toc496258654"/>
      <w:bookmarkStart w:id="216" w:name="_Toc496299717"/>
      <w:bookmarkStart w:id="217" w:name="_Toc496299881"/>
      <w:bookmarkStart w:id="218" w:name="_Toc522635487"/>
      <w:r>
        <w:rPr>
          <w:rFonts w:hint="eastAsia"/>
          <w:color w:val="000000" w:themeColor="text1"/>
          <w14:textFill>
            <w14:solidFill>
              <w14:schemeClr w14:val="tx1"/>
            </w14:solidFill>
          </w14:textFill>
        </w:rPr>
        <w:t>第三分册：融资方案</w:t>
      </w:r>
      <w:bookmarkEnd w:id="208"/>
      <w:bookmarkEnd w:id="209"/>
      <w:bookmarkEnd w:id="210"/>
      <w:bookmarkEnd w:id="211"/>
      <w:bookmarkEnd w:id="212"/>
      <w:bookmarkEnd w:id="213"/>
      <w:bookmarkEnd w:id="214"/>
      <w:bookmarkEnd w:id="215"/>
      <w:bookmarkEnd w:id="216"/>
      <w:bookmarkEnd w:id="217"/>
      <w:bookmarkEnd w:id="218"/>
    </w:p>
    <w:p>
      <w:pPr>
        <w:pStyle w:val="188"/>
        <w:numPr>
          <w:ilvl w:val="0"/>
          <w:numId w:val="38"/>
        </w:numPr>
        <w:spacing w:line="360" w:lineRule="auto"/>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融资结构</w:t>
      </w:r>
    </w:p>
    <w:p>
      <w:pPr>
        <w:spacing w:line="360" w:lineRule="auto"/>
        <w:ind w:left="282" w:leftChars="134" w:hanging="1"/>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又称资金筹措方案。投标人应在建设投资估测的基础上，结合投标文件《运营维护方案》中的运营和维护方案和移交方案关于维持运营的投资计划，合理确定项目资本金与债务资金的比例，说明资本金和债务资金的筹措方案，并编制</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项目总投资使用计划与资金筹措表</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w:t>
      </w:r>
    </w:p>
    <w:p>
      <w:pPr>
        <w:pStyle w:val="188"/>
        <w:numPr>
          <w:ilvl w:val="0"/>
          <w:numId w:val="38"/>
        </w:numPr>
        <w:spacing w:line="360" w:lineRule="auto"/>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融资计划</w:t>
      </w:r>
    </w:p>
    <w:p>
      <w:pPr>
        <w:pStyle w:val="188"/>
        <w:spacing w:line="360" w:lineRule="auto"/>
        <w:ind w:left="420"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2.1</w:t>
      </w:r>
      <w:r>
        <w:rPr>
          <w:rFonts w:hint="eastAsia"/>
          <w:b/>
          <w:color w:val="000000" w:themeColor="text1"/>
          <w14:textFill>
            <w14:solidFill>
              <w14:schemeClr w14:val="tx1"/>
            </w14:solidFill>
          </w14:textFill>
        </w:rPr>
        <w:t>债务融资计划</w:t>
      </w:r>
    </w:p>
    <w:p>
      <w:pPr>
        <w:spacing w:line="360" w:lineRule="auto"/>
        <w:jc w:val="righ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单位：人民币万元</w:t>
      </w:r>
    </w:p>
    <w:tbl>
      <w:tblPr>
        <w:tblStyle w:val="57"/>
        <w:tblW w:w="8244" w:type="dxa"/>
        <w:jc w:val="right"/>
        <w:tblInd w:w="0" w:type="dxa"/>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15"/>
        <w:gridCol w:w="1767"/>
        <w:gridCol w:w="1767"/>
        <w:gridCol w:w="1767"/>
      </w:tblGrid>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828" w:type="dxa"/>
            <w:vAlign w:val="center"/>
          </w:tcPr>
          <w:p>
            <w:pPr>
              <w:spacing w:line="36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年份</w:t>
            </w:r>
          </w:p>
        </w:tc>
        <w:tc>
          <w:tcPr>
            <w:tcW w:w="2115" w:type="dxa"/>
            <w:vAlign w:val="center"/>
          </w:tcPr>
          <w:p>
            <w:pPr>
              <w:spacing w:line="36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中长期贷款期初余额</w:t>
            </w:r>
          </w:p>
        </w:tc>
        <w:tc>
          <w:tcPr>
            <w:tcW w:w="1767" w:type="dxa"/>
            <w:vAlign w:val="center"/>
          </w:tcPr>
          <w:p>
            <w:pPr>
              <w:spacing w:line="36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新增贷款</w:t>
            </w:r>
          </w:p>
        </w:tc>
        <w:tc>
          <w:tcPr>
            <w:tcW w:w="1767" w:type="dxa"/>
            <w:vAlign w:val="center"/>
          </w:tcPr>
          <w:p>
            <w:pPr>
              <w:spacing w:line="36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贷款还本</w:t>
            </w:r>
          </w:p>
        </w:tc>
        <w:tc>
          <w:tcPr>
            <w:tcW w:w="1767" w:type="dxa"/>
            <w:vAlign w:val="center"/>
          </w:tcPr>
          <w:p>
            <w:pPr>
              <w:spacing w:line="36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贷款付息</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828" w:type="dxa"/>
            <w:vAlign w:val="center"/>
          </w:tcPr>
          <w:p>
            <w:pPr>
              <w:spacing w:line="36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2115" w:type="dxa"/>
            <w:vAlign w:val="center"/>
          </w:tcPr>
          <w:p>
            <w:pPr>
              <w:spacing w:line="360" w:lineRule="auto"/>
              <w:jc w:val="center"/>
              <w:rPr>
                <w:rFonts w:ascii="Times New Roman" w:hAnsi="Times New Roman"/>
                <w:color w:val="000000" w:themeColor="text1"/>
                <w14:textFill>
                  <w14:solidFill>
                    <w14:schemeClr w14:val="tx1"/>
                  </w14:solidFill>
                </w14:textFill>
              </w:rPr>
            </w:pPr>
          </w:p>
        </w:tc>
        <w:tc>
          <w:tcPr>
            <w:tcW w:w="1767" w:type="dxa"/>
            <w:vAlign w:val="center"/>
          </w:tcPr>
          <w:p>
            <w:pPr>
              <w:spacing w:line="360" w:lineRule="auto"/>
              <w:jc w:val="center"/>
              <w:rPr>
                <w:rFonts w:ascii="Times New Roman" w:hAnsi="Times New Roman"/>
                <w:color w:val="000000" w:themeColor="text1"/>
                <w14:textFill>
                  <w14:solidFill>
                    <w14:schemeClr w14:val="tx1"/>
                  </w14:solidFill>
                </w14:textFill>
              </w:rPr>
            </w:pPr>
          </w:p>
        </w:tc>
        <w:tc>
          <w:tcPr>
            <w:tcW w:w="1767" w:type="dxa"/>
            <w:vAlign w:val="center"/>
          </w:tcPr>
          <w:p>
            <w:pPr>
              <w:spacing w:line="360" w:lineRule="auto"/>
              <w:jc w:val="center"/>
              <w:rPr>
                <w:rFonts w:ascii="Times New Roman" w:hAnsi="Times New Roman"/>
                <w:color w:val="000000" w:themeColor="text1"/>
                <w14:textFill>
                  <w14:solidFill>
                    <w14:schemeClr w14:val="tx1"/>
                  </w14:solidFill>
                </w14:textFill>
              </w:rPr>
            </w:pPr>
          </w:p>
        </w:tc>
        <w:tc>
          <w:tcPr>
            <w:tcW w:w="1767" w:type="dxa"/>
            <w:vAlign w:val="center"/>
          </w:tcPr>
          <w:p>
            <w:pPr>
              <w:spacing w:line="360" w:lineRule="auto"/>
              <w:jc w:val="center"/>
              <w:rPr>
                <w:rFonts w:ascii="Times New Roman" w:hAnsi="Times New Roman"/>
                <w:color w:val="000000" w:themeColor="text1"/>
                <w14:textFill>
                  <w14:solidFill>
                    <w14:schemeClr w14:val="tx1"/>
                  </w14:solidFill>
                </w14:textFill>
              </w:rPr>
            </w:pP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828" w:type="dxa"/>
            <w:vAlign w:val="center"/>
          </w:tcPr>
          <w:p>
            <w:pPr>
              <w:spacing w:line="36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2115" w:type="dxa"/>
            <w:vAlign w:val="center"/>
          </w:tcPr>
          <w:p>
            <w:pPr>
              <w:spacing w:line="360" w:lineRule="auto"/>
              <w:jc w:val="center"/>
              <w:rPr>
                <w:rFonts w:ascii="Times New Roman" w:hAnsi="Times New Roman"/>
                <w:color w:val="000000" w:themeColor="text1"/>
                <w14:textFill>
                  <w14:solidFill>
                    <w14:schemeClr w14:val="tx1"/>
                  </w14:solidFill>
                </w14:textFill>
              </w:rPr>
            </w:pPr>
          </w:p>
        </w:tc>
        <w:tc>
          <w:tcPr>
            <w:tcW w:w="1767" w:type="dxa"/>
            <w:vAlign w:val="center"/>
          </w:tcPr>
          <w:p>
            <w:pPr>
              <w:spacing w:line="360" w:lineRule="auto"/>
              <w:jc w:val="center"/>
              <w:rPr>
                <w:rFonts w:ascii="Times New Roman" w:hAnsi="Times New Roman"/>
                <w:color w:val="000000" w:themeColor="text1"/>
                <w14:textFill>
                  <w14:solidFill>
                    <w14:schemeClr w14:val="tx1"/>
                  </w14:solidFill>
                </w14:textFill>
              </w:rPr>
            </w:pPr>
          </w:p>
        </w:tc>
        <w:tc>
          <w:tcPr>
            <w:tcW w:w="1767" w:type="dxa"/>
            <w:vAlign w:val="center"/>
          </w:tcPr>
          <w:p>
            <w:pPr>
              <w:spacing w:line="360" w:lineRule="auto"/>
              <w:jc w:val="center"/>
              <w:rPr>
                <w:rFonts w:ascii="Times New Roman" w:hAnsi="Times New Roman"/>
                <w:color w:val="000000" w:themeColor="text1"/>
                <w14:textFill>
                  <w14:solidFill>
                    <w14:schemeClr w14:val="tx1"/>
                  </w14:solidFill>
                </w14:textFill>
              </w:rPr>
            </w:pPr>
          </w:p>
        </w:tc>
        <w:tc>
          <w:tcPr>
            <w:tcW w:w="1767" w:type="dxa"/>
            <w:vAlign w:val="center"/>
          </w:tcPr>
          <w:p>
            <w:pPr>
              <w:spacing w:line="360" w:lineRule="auto"/>
              <w:jc w:val="center"/>
              <w:rPr>
                <w:rFonts w:ascii="Times New Roman" w:hAnsi="Times New Roman"/>
                <w:color w:val="000000" w:themeColor="text1"/>
                <w14:textFill>
                  <w14:solidFill>
                    <w14:schemeClr w14:val="tx1"/>
                  </w14:solidFill>
                </w14:textFill>
              </w:rPr>
            </w:pP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828" w:type="dxa"/>
            <w:vAlign w:val="center"/>
          </w:tcPr>
          <w:p>
            <w:pPr>
              <w:spacing w:line="36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2115" w:type="dxa"/>
            <w:vAlign w:val="center"/>
          </w:tcPr>
          <w:p>
            <w:pPr>
              <w:spacing w:line="360" w:lineRule="auto"/>
              <w:jc w:val="center"/>
              <w:rPr>
                <w:rFonts w:ascii="Times New Roman" w:hAnsi="Times New Roman"/>
                <w:color w:val="000000" w:themeColor="text1"/>
                <w14:textFill>
                  <w14:solidFill>
                    <w14:schemeClr w14:val="tx1"/>
                  </w14:solidFill>
                </w14:textFill>
              </w:rPr>
            </w:pPr>
          </w:p>
        </w:tc>
        <w:tc>
          <w:tcPr>
            <w:tcW w:w="1767" w:type="dxa"/>
            <w:vAlign w:val="center"/>
          </w:tcPr>
          <w:p>
            <w:pPr>
              <w:spacing w:line="360" w:lineRule="auto"/>
              <w:jc w:val="center"/>
              <w:rPr>
                <w:rFonts w:ascii="Times New Roman" w:hAnsi="Times New Roman"/>
                <w:color w:val="000000" w:themeColor="text1"/>
                <w14:textFill>
                  <w14:solidFill>
                    <w14:schemeClr w14:val="tx1"/>
                  </w14:solidFill>
                </w14:textFill>
              </w:rPr>
            </w:pPr>
          </w:p>
        </w:tc>
        <w:tc>
          <w:tcPr>
            <w:tcW w:w="1767" w:type="dxa"/>
            <w:vAlign w:val="center"/>
          </w:tcPr>
          <w:p>
            <w:pPr>
              <w:spacing w:line="360" w:lineRule="auto"/>
              <w:jc w:val="center"/>
              <w:rPr>
                <w:rFonts w:ascii="Times New Roman" w:hAnsi="Times New Roman"/>
                <w:color w:val="000000" w:themeColor="text1"/>
                <w14:textFill>
                  <w14:solidFill>
                    <w14:schemeClr w14:val="tx1"/>
                  </w14:solidFill>
                </w14:textFill>
              </w:rPr>
            </w:pPr>
          </w:p>
        </w:tc>
        <w:tc>
          <w:tcPr>
            <w:tcW w:w="1767" w:type="dxa"/>
            <w:vAlign w:val="center"/>
          </w:tcPr>
          <w:p>
            <w:pPr>
              <w:spacing w:line="360" w:lineRule="auto"/>
              <w:jc w:val="center"/>
              <w:rPr>
                <w:rFonts w:ascii="Times New Roman" w:hAnsi="Times New Roman"/>
                <w:color w:val="000000" w:themeColor="text1"/>
                <w14:textFill>
                  <w14:solidFill>
                    <w14:schemeClr w14:val="tx1"/>
                  </w14:solidFill>
                </w14:textFill>
              </w:rPr>
            </w:pP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828" w:type="dxa"/>
            <w:vAlign w:val="center"/>
          </w:tcPr>
          <w:p>
            <w:pPr>
              <w:spacing w:line="36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备注</w:t>
            </w:r>
          </w:p>
        </w:tc>
        <w:tc>
          <w:tcPr>
            <w:tcW w:w="2115" w:type="dxa"/>
            <w:vAlign w:val="center"/>
          </w:tcPr>
          <w:p>
            <w:pPr>
              <w:spacing w:line="36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中长期贷款利率</w:t>
            </w:r>
          </w:p>
        </w:tc>
        <w:tc>
          <w:tcPr>
            <w:tcW w:w="1767" w:type="dxa"/>
            <w:vAlign w:val="center"/>
          </w:tcPr>
          <w:p>
            <w:pPr>
              <w:spacing w:line="360" w:lineRule="auto"/>
              <w:jc w:val="righ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1767" w:type="dxa"/>
            <w:vAlign w:val="center"/>
          </w:tcPr>
          <w:p>
            <w:pPr>
              <w:spacing w:line="36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中长期贷款年限</w:t>
            </w:r>
          </w:p>
        </w:tc>
        <w:tc>
          <w:tcPr>
            <w:tcW w:w="1767" w:type="dxa"/>
            <w:vAlign w:val="center"/>
          </w:tcPr>
          <w:p>
            <w:pPr>
              <w:spacing w:line="360" w:lineRule="auto"/>
              <w:jc w:val="righ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年</w:t>
            </w:r>
          </w:p>
        </w:tc>
      </w:tr>
    </w:tbl>
    <w:p>
      <w:pPr>
        <w:pStyle w:val="188"/>
        <w:spacing w:line="360" w:lineRule="auto"/>
        <w:ind w:left="420" w:firstLine="571" w:firstLineChars="272"/>
        <w:rPr>
          <w:color w:val="000000" w:themeColor="text1"/>
          <w14:textFill>
            <w14:solidFill>
              <w14:schemeClr w14:val="tx1"/>
            </w14:solidFill>
          </w14:textFill>
        </w:rPr>
      </w:pPr>
      <w:r>
        <w:rPr>
          <w:rFonts w:hint="eastAsia"/>
          <w:color w:val="000000" w:themeColor="text1"/>
          <w14:textFill>
            <w14:solidFill>
              <w14:schemeClr w14:val="tx1"/>
            </w14:solidFill>
          </w14:textFill>
        </w:rPr>
        <w:t>注：上表可允许根据项目资金到位和使用计划适当优化。</w:t>
      </w:r>
    </w:p>
    <w:p>
      <w:pPr>
        <w:pStyle w:val="188"/>
        <w:spacing w:line="360" w:lineRule="auto"/>
        <w:ind w:left="420"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2.2</w:t>
      </w:r>
      <w:r>
        <w:rPr>
          <w:rFonts w:hint="eastAsia"/>
          <w:b/>
          <w:color w:val="000000" w:themeColor="text1"/>
          <w14:textFill>
            <w14:solidFill>
              <w14:schemeClr w14:val="tx1"/>
            </w14:solidFill>
          </w14:textFill>
        </w:rPr>
        <w:t>优势融资渠道</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（请介绍优势股</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债权融资渠道并提供相关证明文件等）</w:t>
      </w:r>
    </w:p>
    <w:p>
      <w:pPr>
        <w:pStyle w:val="188"/>
        <w:numPr>
          <w:ilvl w:val="0"/>
          <w:numId w:val="38"/>
        </w:numPr>
        <w:spacing w:line="360" w:lineRule="auto"/>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其他补充内容</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（投标人可以在此部分补充认为重要的其他内容）</w:t>
      </w:r>
    </w:p>
    <w:p>
      <w:pPr>
        <w:pStyle w:val="4"/>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219" w:name="_Toc439072989"/>
      <w:bookmarkStart w:id="220" w:name="_Toc465698640"/>
      <w:bookmarkStart w:id="221" w:name="_Toc487201031"/>
      <w:bookmarkStart w:id="222" w:name="_Toc491857548"/>
      <w:bookmarkStart w:id="223" w:name="_Toc492021865"/>
      <w:bookmarkStart w:id="224" w:name="_Toc492040655"/>
      <w:bookmarkStart w:id="225" w:name="_Toc496258655"/>
      <w:bookmarkStart w:id="226" w:name="_Toc496299718"/>
      <w:bookmarkStart w:id="227" w:name="_Toc496299882"/>
      <w:bookmarkStart w:id="228" w:name="_Toc522635488"/>
      <w:bookmarkStart w:id="229" w:name="_Toc438162736"/>
      <w:r>
        <w:rPr>
          <w:rFonts w:hint="eastAsia"/>
          <w:color w:val="000000" w:themeColor="text1"/>
          <w14:textFill>
            <w14:solidFill>
              <w14:schemeClr w14:val="tx1"/>
            </w14:solidFill>
          </w14:textFill>
        </w:rPr>
        <w:t>第四分册：项目报价财务分析</w:t>
      </w:r>
      <w:bookmarkEnd w:id="219"/>
      <w:bookmarkEnd w:id="220"/>
      <w:bookmarkEnd w:id="221"/>
      <w:bookmarkEnd w:id="222"/>
      <w:bookmarkEnd w:id="223"/>
      <w:bookmarkEnd w:id="224"/>
      <w:bookmarkEnd w:id="225"/>
      <w:bookmarkEnd w:id="226"/>
      <w:bookmarkEnd w:id="227"/>
      <w:bookmarkEnd w:id="228"/>
    </w:p>
    <w:p>
      <w:pPr>
        <w:pStyle w:val="188"/>
        <w:spacing w:line="360" w:lineRule="auto"/>
        <w:ind w:left="420" w:firstLine="0" w:firstLineChars="0"/>
        <w:rPr>
          <w:b/>
          <w:color w:val="000000" w:themeColor="text1"/>
          <w14:textFill>
            <w14:solidFill>
              <w14:schemeClr w14:val="tx1"/>
            </w14:solidFill>
          </w14:textFill>
        </w:rPr>
      </w:pPr>
    </w:p>
    <w:p>
      <w:pPr>
        <w:pStyle w:val="188"/>
        <w:numPr>
          <w:ilvl w:val="0"/>
          <w:numId w:val="39"/>
        </w:numPr>
        <w:spacing w:line="360" w:lineRule="auto"/>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测算分析基础数据及参数说明</w:t>
      </w:r>
    </w:p>
    <w:p>
      <w:pPr>
        <w:pStyle w:val="188"/>
        <w:numPr>
          <w:ilvl w:val="0"/>
          <w:numId w:val="40"/>
        </w:numPr>
        <w:ind w:left="851"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《建设项目经济评价方法与参数》（第三版）；</w:t>
      </w:r>
    </w:p>
    <w:p>
      <w:pPr>
        <w:pStyle w:val="188"/>
        <w:numPr>
          <w:ilvl w:val="0"/>
          <w:numId w:val="40"/>
        </w:numPr>
        <w:ind w:left="851"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投标人制定的建设投资计划、运营维护方案和融资方案；</w:t>
      </w:r>
    </w:p>
    <w:p>
      <w:pPr>
        <w:pStyle w:val="188"/>
        <w:numPr>
          <w:ilvl w:val="0"/>
          <w:numId w:val="40"/>
        </w:numPr>
        <w:ind w:left="851"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国家现行财税制度、产业政策和市场价格。</w:t>
      </w:r>
    </w:p>
    <w:p>
      <w:pPr>
        <w:pStyle w:val="188"/>
        <w:numPr>
          <w:ilvl w:val="0"/>
          <w:numId w:val="40"/>
        </w:numPr>
        <w:ind w:left="851"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税费：按照现行国家及地方税费政策的相关规定执行。</w:t>
      </w:r>
    </w:p>
    <w:p>
      <w:pPr>
        <w:pStyle w:val="188"/>
        <w:numPr>
          <w:ilvl w:val="0"/>
          <w:numId w:val="40"/>
        </w:numPr>
        <w:ind w:left="851"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计算期：与项目的合作期一致。</w:t>
      </w:r>
    </w:p>
    <w:p>
      <w:pPr>
        <w:pStyle w:val="188"/>
        <w:numPr>
          <w:ilvl w:val="0"/>
          <w:numId w:val="39"/>
        </w:numPr>
        <w:spacing w:line="360" w:lineRule="auto"/>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财务测算分析</w:t>
      </w:r>
    </w:p>
    <w:p>
      <w:pPr>
        <w:pStyle w:val="188"/>
        <w:numPr>
          <w:ilvl w:val="0"/>
          <w:numId w:val="41"/>
        </w:numPr>
        <w:spacing w:line="360" w:lineRule="auto"/>
        <w:ind w:left="350" w:hanging="35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成本分析</w:t>
      </w:r>
    </w:p>
    <w:p>
      <w:pPr>
        <w:pStyle w:val="188"/>
        <w:numPr>
          <w:ilvl w:val="0"/>
          <w:numId w:val="42"/>
        </w:numPr>
        <w:ind w:left="851"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总运营成本费用包括电费、水费、外购原材料费、人员工资及福利费、修理费、折旧费、摊销费、财务费用和其他费用等。投标人应编制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项目总成本费用估算表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pStyle w:val="188"/>
        <w:numPr>
          <w:ilvl w:val="0"/>
          <w:numId w:val="42"/>
        </w:numPr>
        <w:ind w:left="851"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投标人应根据招标文件及《</w:t>
      </w:r>
      <w:r>
        <w:rPr>
          <w:color w:val="000000" w:themeColor="text1"/>
          <w14:textFill>
            <w14:solidFill>
              <w14:schemeClr w14:val="tx1"/>
            </w14:solidFill>
          </w14:textFill>
        </w:rPr>
        <w:t>PPP</w:t>
      </w:r>
      <w:r>
        <w:rPr>
          <w:rFonts w:hint="eastAsia"/>
          <w:color w:val="000000" w:themeColor="text1"/>
          <w14:textFill>
            <w14:solidFill>
              <w14:schemeClr w14:val="tx1"/>
            </w14:solidFill>
          </w14:textFill>
        </w:rPr>
        <w:t>项目合同》相关条款对项目相关边界条件的约定，结合自身的运营维护方案进行测算。</w:t>
      </w:r>
    </w:p>
    <w:p>
      <w:pPr>
        <w:spacing w:line="360" w:lineRule="auto"/>
        <w:ind w:firstLine="567" w:firstLineChars="27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（各年成本预测数据及预测依据）</w:t>
      </w:r>
    </w:p>
    <w:p>
      <w:pPr>
        <w:pStyle w:val="188"/>
        <w:numPr>
          <w:ilvl w:val="0"/>
          <w:numId w:val="41"/>
        </w:numPr>
        <w:spacing w:line="360" w:lineRule="auto"/>
        <w:ind w:left="350" w:hanging="35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收入分析</w:t>
      </w:r>
    </w:p>
    <w:p>
      <w:pPr>
        <w:pStyle w:val="188"/>
        <w:spacing w:line="360" w:lineRule="auto"/>
        <w:ind w:left="851"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投标人自身之报价及运营能力作为计算依据。</w:t>
      </w:r>
    </w:p>
    <w:p>
      <w:pPr>
        <w:spacing w:line="360" w:lineRule="auto"/>
        <w:ind w:firstLine="844" w:firstLineChars="4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（含合作期内各年收入预测数据及预测依据）</w:t>
      </w:r>
    </w:p>
    <w:p>
      <w:pPr>
        <w:pStyle w:val="188"/>
        <w:numPr>
          <w:ilvl w:val="0"/>
          <w:numId w:val="41"/>
        </w:numPr>
        <w:spacing w:line="360" w:lineRule="auto"/>
        <w:ind w:left="350" w:hanging="35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财务报表</w:t>
      </w:r>
    </w:p>
    <w:p>
      <w:pPr>
        <w:pStyle w:val="188"/>
        <w:numPr>
          <w:ilvl w:val="0"/>
          <w:numId w:val="43"/>
        </w:numPr>
        <w:spacing w:line="360" w:lineRule="auto"/>
        <w:ind w:left="851"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财务评价报表</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应编制的财务评价报表主要包括：建设投资计划、建设期利息估算表、运营期偿本付息表、收入预测表、成本分析表、总成本表、利润与利润分配表、项目投资现金流量表、项目资本金现金流量表。编制现金流量表应计划并说明维持运营的投资。</w:t>
      </w:r>
    </w:p>
    <w:p>
      <w:pPr>
        <w:pStyle w:val="188"/>
        <w:numPr>
          <w:ilvl w:val="0"/>
          <w:numId w:val="43"/>
        </w:numPr>
        <w:spacing w:line="360" w:lineRule="auto"/>
        <w:ind w:left="851"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财务评价指标</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在编制现金流量表的基础上计算财务内部收益率、财务净现值（</w:t>
      </w:r>
      <w:r>
        <w:rPr>
          <w:rFonts w:ascii="Times New Roman" w:hAnsi="Times New Roman"/>
          <w:i/>
          <w:color w:val="000000" w:themeColor="text1"/>
          <w14:textFill>
            <w14:solidFill>
              <w14:schemeClr w14:val="tx1"/>
            </w14:solidFill>
          </w14:textFill>
        </w:rPr>
        <w:t>ic</w:t>
      </w:r>
      <w:r>
        <w:rPr>
          <w:rFonts w:ascii="Times New Roman" w:hAnsi="Times New Roman"/>
          <w:color w:val="000000" w:themeColor="text1"/>
          <w14:textFill>
            <w14:solidFill>
              <w14:schemeClr w14:val="tx1"/>
            </w14:solidFill>
          </w14:textFill>
        </w:rPr>
        <w:t>=4.90%</w:t>
      </w:r>
      <w:r>
        <w:rPr>
          <w:rFonts w:hint="eastAsia" w:ascii="Times New Roman" w:hAnsi="Times New Roman"/>
          <w:color w:val="000000" w:themeColor="text1"/>
          <w14:textFill>
            <w14:solidFill>
              <w14:schemeClr w14:val="tx1"/>
            </w14:solidFill>
          </w14:textFill>
        </w:rPr>
        <w:t>）、投资回收期和资本金财务内部收益率指标，由借款还本付息计划表计算偿债能力（利息备付率、偿债备付率）指标，由利润与利润分配表计算盈利能力（投资收益率）指标。</w:t>
      </w:r>
    </w:p>
    <w:p>
      <w:pPr>
        <w:pStyle w:val="188"/>
        <w:numPr>
          <w:ilvl w:val="0"/>
          <w:numId w:val="39"/>
        </w:numPr>
        <w:spacing w:line="360" w:lineRule="auto"/>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其他内容</w:t>
      </w:r>
    </w:p>
    <w:p>
      <w:pPr>
        <w:spacing w:line="360" w:lineRule="auto"/>
        <w:ind w:firstLine="424" w:firstLineChars="20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（投标人可以在此补充认为重要的财务测算分析其他内容）</w:t>
      </w:r>
      <w:bookmarkEnd w:id="229"/>
    </w:p>
    <w:p>
      <w:pPr>
        <w:spacing w:line="360" w:lineRule="auto"/>
        <w:ind w:firstLine="424" w:firstLineChars="202"/>
        <w:rPr>
          <w:rFonts w:ascii="Times New Roman" w:hAnsi="Times New Roman"/>
          <w:color w:val="000000" w:themeColor="text1"/>
          <w14:textFill>
            <w14:solidFill>
              <w14:schemeClr w14:val="tx1"/>
            </w14:solidFill>
          </w14:textFill>
        </w:rPr>
      </w:pPr>
    </w:p>
    <w:p>
      <w:pPr>
        <w:spacing w:line="360" w:lineRule="auto"/>
        <w:jc w:val="center"/>
        <w:rPr>
          <w:rFonts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14:textFill>
            <w14:solidFill>
              <w14:schemeClr w14:val="tx1"/>
            </w14:solidFill>
          </w14:textFill>
        </w:rPr>
        <w:t>注：</w:t>
      </w:r>
      <w:r>
        <w:rPr>
          <w:rFonts w:hint="eastAsia" w:ascii="宋体" w:hAnsi="宋体"/>
          <w:b/>
          <w:color w:val="000000" w:themeColor="text1"/>
          <w:sz w:val="24"/>
          <w14:textFill>
            <w14:solidFill>
              <w14:schemeClr w14:val="tx1"/>
            </w14:solidFill>
          </w14:textFill>
        </w:rPr>
        <w:t>★</w:t>
      </w:r>
      <w:r>
        <w:rPr>
          <w:rFonts w:hint="eastAsia" w:ascii="Times New Roman" w:hAnsi="Times New Roman"/>
          <w:b/>
          <w:color w:val="000000" w:themeColor="text1"/>
          <w:sz w:val="24"/>
          <w14:textFill>
            <w14:solidFill>
              <w14:schemeClr w14:val="tx1"/>
            </w14:solidFill>
          </w14:textFill>
        </w:rPr>
        <w:t>项目报价财务分析中不得出现投标人商务报价文件中内容，否则将作为无效标处理。</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p>
    <w:p>
      <w:pPr>
        <w:pStyle w:val="4"/>
        <w:rPr>
          <w:color w:val="000000" w:themeColor="text1"/>
          <w14:textFill>
            <w14:solidFill>
              <w14:schemeClr w14:val="tx1"/>
            </w14:solidFill>
          </w14:textFill>
        </w:rPr>
      </w:pPr>
      <w:bookmarkStart w:id="230" w:name="_Toc465698641"/>
      <w:bookmarkStart w:id="231" w:name="_Toc487201032"/>
      <w:bookmarkStart w:id="232" w:name="_Toc491857549"/>
      <w:bookmarkStart w:id="233" w:name="_Toc492021866"/>
      <w:bookmarkStart w:id="234" w:name="_Toc492040656"/>
      <w:bookmarkStart w:id="235" w:name="_Toc496258656"/>
      <w:bookmarkStart w:id="236" w:name="_Toc496299719"/>
      <w:bookmarkStart w:id="237" w:name="_Toc496299883"/>
      <w:bookmarkStart w:id="238" w:name="_Toc522635489"/>
      <w:r>
        <w:rPr>
          <w:rFonts w:hint="eastAsia"/>
          <w:color w:val="000000" w:themeColor="text1"/>
          <w14:textFill>
            <w14:solidFill>
              <w14:schemeClr w14:val="tx1"/>
            </w14:solidFill>
          </w14:textFill>
        </w:rPr>
        <w:t>第五分册：法律方案</w:t>
      </w:r>
      <w:bookmarkEnd w:id="230"/>
      <w:bookmarkEnd w:id="231"/>
      <w:bookmarkEnd w:id="232"/>
      <w:bookmarkEnd w:id="233"/>
      <w:bookmarkEnd w:id="234"/>
      <w:bookmarkEnd w:id="235"/>
      <w:bookmarkEnd w:id="236"/>
      <w:bookmarkEnd w:id="237"/>
      <w:bookmarkEnd w:id="238"/>
    </w:p>
    <w:p>
      <w:pPr>
        <w:spacing w:before="120" w:beforeLines="50" w:after="120" w:afterLines="50"/>
        <w:ind w:firstLine="420" w:firstLineChars="200"/>
        <w:rPr>
          <w:rFonts w:ascii="Times New Roman" w:hAnsi="Times New Roman"/>
          <w:color w:val="000000" w:themeColor="text1"/>
          <w:szCs w:val="21"/>
          <w14:textFill>
            <w14:solidFill>
              <w14:schemeClr w14:val="tx1"/>
            </w14:solidFill>
          </w14:textFill>
        </w:rPr>
      </w:pPr>
    </w:p>
    <w:p>
      <w:pPr>
        <w:numPr>
          <w:ilvl w:val="0"/>
          <w:numId w:val="44"/>
        </w:numPr>
        <w:spacing w:before="120" w:beforeLines="50" w:after="120" w:afterLines="50"/>
        <w:rPr>
          <w:rFonts w:ascii="Times New Roman" w:hAnsi="Times New Roman"/>
          <w:b/>
          <w:color w:val="000000" w:themeColor="text1"/>
          <w:szCs w:val="21"/>
          <w14:textFill>
            <w14:solidFill>
              <w14:schemeClr w14:val="tx1"/>
            </w14:solidFill>
          </w14:textFill>
        </w:rPr>
      </w:pPr>
      <w:r>
        <w:rPr>
          <w:rFonts w:hint="eastAsia" w:ascii="Times New Roman" w:hAnsi="Times New Roman"/>
          <w:b/>
          <w:color w:val="000000" w:themeColor="text1"/>
          <w:szCs w:val="21"/>
          <w14:textFill>
            <w14:solidFill>
              <w14:schemeClr w14:val="tx1"/>
            </w14:solidFill>
          </w14:textFill>
        </w:rPr>
        <w:t>对项目合同接受情况的陈述</w:t>
      </w:r>
    </w:p>
    <w:p>
      <w:pPr>
        <w:spacing w:before="120" w:beforeLines="50" w:after="120" w:afterLines="50"/>
        <w:ind w:firstLine="420" w:firstLineChars="20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（投标人是否接受项目合同各项条款内容的明确陈述）</w:t>
      </w:r>
    </w:p>
    <w:p>
      <w:pPr>
        <w:spacing w:before="120" w:beforeLines="50" w:after="120" w:afterLines="50"/>
        <w:ind w:firstLine="420" w:firstLineChars="200"/>
        <w:rPr>
          <w:rFonts w:ascii="Times New Roman" w:hAnsi="Times New Roman"/>
          <w:color w:val="000000" w:themeColor="text1"/>
          <w:szCs w:val="21"/>
          <w14:textFill>
            <w14:solidFill>
              <w14:schemeClr w14:val="tx1"/>
            </w14:solidFill>
          </w14:textFill>
        </w:rPr>
      </w:pPr>
    </w:p>
    <w:p>
      <w:pPr>
        <w:numPr>
          <w:ilvl w:val="0"/>
          <w:numId w:val="44"/>
        </w:numPr>
        <w:spacing w:before="120" w:beforeLines="50" w:after="120" w:afterLines="50"/>
        <w:rPr>
          <w:rFonts w:ascii="Times New Roman" w:hAnsi="Times New Roman"/>
          <w:b/>
          <w:color w:val="000000" w:themeColor="text1"/>
          <w:szCs w:val="21"/>
          <w14:textFill>
            <w14:solidFill>
              <w14:schemeClr w14:val="tx1"/>
            </w14:solidFill>
          </w14:textFill>
        </w:rPr>
      </w:pPr>
      <w:r>
        <w:rPr>
          <w:rFonts w:hint="eastAsia" w:ascii="Times New Roman" w:hAnsi="Times New Roman"/>
          <w:b/>
          <w:color w:val="000000" w:themeColor="text1"/>
          <w:szCs w:val="21"/>
          <w14:textFill>
            <w14:solidFill>
              <w14:schemeClr w14:val="tx1"/>
            </w14:solidFill>
          </w14:textFill>
        </w:rPr>
        <w:t>项目合同调整建议</w:t>
      </w:r>
    </w:p>
    <w:p>
      <w:pPr>
        <w:spacing w:before="120" w:beforeLines="50" w:after="120" w:afterLines="50"/>
        <w:ind w:firstLine="420" w:firstLineChars="20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我方对招标文件中项目合同的调整建议如下（如有）：</w:t>
      </w:r>
    </w:p>
    <w:p>
      <w:pPr>
        <w:spacing w:before="120" w:beforeLines="50" w:after="120" w:afterLines="50"/>
        <w:jc w:val="center"/>
        <w:rPr>
          <w:rFonts w:ascii="Times New Roman" w:hAnsi="Times New Roman"/>
          <w:b/>
          <w:color w:val="000000" w:themeColor="text1"/>
          <w:szCs w:val="21"/>
          <w14:textFill>
            <w14:solidFill>
              <w14:schemeClr w14:val="tx1"/>
            </w14:solidFill>
          </w14:textFill>
        </w:rPr>
      </w:pPr>
      <w:r>
        <w:rPr>
          <w:rFonts w:hint="eastAsia" w:ascii="Times New Roman" w:hAnsi="Times New Roman"/>
          <w:b/>
          <w:color w:val="000000" w:themeColor="text1"/>
          <w:szCs w:val="21"/>
          <w14:textFill>
            <w14:solidFill>
              <w14:schemeClr w14:val="tx1"/>
            </w14:solidFill>
          </w14:textFill>
        </w:rPr>
        <w:t>合同偏差表</w:t>
      </w:r>
    </w:p>
    <w:tbl>
      <w:tblPr>
        <w:tblStyle w:val="57"/>
        <w:tblW w:w="8244" w:type="dxa"/>
        <w:jc w:val="center"/>
        <w:tblInd w:w="0" w:type="dxa"/>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2126"/>
        <w:gridCol w:w="1701"/>
        <w:gridCol w:w="1701"/>
        <w:gridCol w:w="1144"/>
      </w:tblGrid>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2" w:type="dxa"/>
            <w:vAlign w:val="center"/>
          </w:tcPr>
          <w:p>
            <w:pPr>
              <w:spacing w:before="50" w:after="5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合同名称</w:t>
            </w:r>
          </w:p>
        </w:tc>
        <w:tc>
          <w:tcPr>
            <w:tcW w:w="2126" w:type="dxa"/>
            <w:vAlign w:val="center"/>
          </w:tcPr>
          <w:p>
            <w:pPr>
              <w:spacing w:before="50" w:after="5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原条款号及条款内容</w:t>
            </w:r>
          </w:p>
        </w:tc>
        <w:tc>
          <w:tcPr>
            <w:tcW w:w="1701" w:type="dxa"/>
            <w:vAlign w:val="center"/>
          </w:tcPr>
          <w:p>
            <w:pPr>
              <w:spacing w:before="50" w:after="5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调整建议</w:t>
            </w:r>
          </w:p>
        </w:tc>
        <w:tc>
          <w:tcPr>
            <w:tcW w:w="1701" w:type="dxa"/>
            <w:vAlign w:val="center"/>
          </w:tcPr>
          <w:p>
            <w:pPr>
              <w:spacing w:before="50" w:after="5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调整理由</w:t>
            </w:r>
          </w:p>
        </w:tc>
        <w:tc>
          <w:tcPr>
            <w:tcW w:w="1144" w:type="dxa"/>
            <w:vAlign w:val="center"/>
          </w:tcPr>
          <w:p>
            <w:pPr>
              <w:spacing w:before="50" w:after="5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其他说明</w:t>
            </w: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2" w:type="dxa"/>
            <w:vMerge w:val="restart"/>
            <w:vAlign w:val="center"/>
          </w:tcPr>
          <w:p>
            <w:pPr>
              <w:spacing w:before="50" w:after="5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PPP</w:t>
            </w:r>
            <w:r>
              <w:rPr>
                <w:rFonts w:hint="eastAsia" w:ascii="Times New Roman" w:hAnsi="Times New Roman"/>
                <w:color w:val="000000" w:themeColor="text1"/>
                <w:szCs w:val="21"/>
                <w14:textFill>
                  <w14:solidFill>
                    <w14:schemeClr w14:val="tx1"/>
                  </w14:solidFill>
                </w14:textFill>
              </w:rPr>
              <w:t>项目合同</w:t>
            </w:r>
          </w:p>
        </w:tc>
        <w:tc>
          <w:tcPr>
            <w:tcW w:w="2126" w:type="dxa"/>
            <w:vAlign w:val="center"/>
          </w:tcPr>
          <w:p>
            <w:pPr>
              <w:spacing w:before="50" w:after="50"/>
              <w:jc w:val="center"/>
              <w:rPr>
                <w:rFonts w:ascii="Times New Roman" w:hAnsi="Times New Roman"/>
                <w:color w:val="000000" w:themeColor="text1"/>
                <w:szCs w:val="21"/>
                <w14:textFill>
                  <w14:solidFill>
                    <w14:schemeClr w14:val="tx1"/>
                  </w14:solidFill>
                </w14:textFill>
              </w:rPr>
            </w:pPr>
          </w:p>
        </w:tc>
        <w:tc>
          <w:tcPr>
            <w:tcW w:w="1701" w:type="dxa"/>
            <w:vAlign w:val="center"/>
          </w:tcPr>
          <w:p>
            <w:pPr>
              <w:spacing w:before="50" w:after="50"/>
              <w:jc w:val="center"/>
              <w:rPr>
                <w:rFonts w:ascii="Times New Roman" w:hAnsi="Times New Roman"/>
                <w:color w:val="000000" w:themeColor="text1"/>
                <w:szCs w:val="21"/>
                <w14:textFill>
                  <w14:solidFill>
                    <w14:schemeClr w14:val="tx1"/>
                  </w14:solidFill>
                </w14:textFill>
              </w:rPr>
            </w:pPr>
          </w:p>
        </w:tc>
        <w:tc>
          <w:tcPr>
            <w:tcW w:w="1701" w:type="dxa"/>
            <w:vAlign w:val="center"/>
          </w:tcPr>
          <w:p>
            <w:pPr>
              <w:spacing w:before="50" w:after="50"/>
              <w:jc w:val="center"/>
              <w:rPr>
                <w:rFonts w:ascii="Times New Roman" w:hAnsi="Times New Roman"/>
                <w:color w:val="000000" w:themeColor="text1"/>
                <w:szCs w:val="21"/>
                <w14:textFill>
                  <w14:solidFill>
                    <w14:schemeClr w14:val="tx1"/>
                  </w14:solidFill>
                </w14:textFill>
              </w:rPr>
            </w:pPr>
          </w:p>
        </w:tc>
        <w:tc>
          <w:tcPr>
            <w:tcW w:w="1144" w:type="dxa"/>
            <w:vAlign w:val="center"/>
          </w:tcPr>
          <w:p>
            <w:pPr>
              <w:spacing w:before="50" w:after="50"/>
              <w:jc w:val="center"/>
              <w:rPr>
                <w:rFonts w:ascii="Times New Roman" w:hAnsi="Times New Roman"/>
                <w:color w:val="000000" w:themeColor="text1"/>
                <w:szCs w:val="21"/>
                <w14:textFill>
                  <w14:solidFill>
                    <w14:schemeClr w14:val="tx1"/>
                  </w14:solidFill>
                </w14:textFill>
              </w:rPr>
            </w:pP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2" w:type="dxa"/>
            <w:vMerge w:val="continue"/>
            <w:vAlign w:val="center"/>
          </w:tcPr>
          <w:p>
            <w:pPr>
              <w:spacing w:before="50" w:after="50"/>
              <w:jc w:val="center"/>
              <w:rPr>
                <w:rFonts w:ascii="Times New Roman" w:hAnsi="Times New Roman"/>
                <w:color w:val="000000" w:themeColor="text1"/>
                <w:szCs w:val="21"/>
                <w14:textFill>
                  <w14:solidFill>
                    <w14:schemeClr w14:val="tx1"/>
                  </w14:solidFill>
                </w14:textFill>
              </w:rPr>
            </w:pPr>
          </w:p>
        </w:tc>
        <w:tc>
          <w:tcPr>
            <w:tcW w:w="2126" w:type="dxa"/>
            <w:vAlign w:val="center"/>
          </w:tcPr>
          <w:p>
            <w:pPr>
              <w:spacing w:before="50" w:after="50"/>
              <w:jc w:val="center"/>
              <w:rPr>
                <w:rFonts w:ascii="Times New Roman" w:hAnsi="Times New Roman"/>
                <w:color w:val="000000" w:themeColor="text1"/>
                <w:szCs w:val="21"/>
                <w14:textFill>
                  <w14:solidFill>
                    <w14:schemeClr w14:val="tx1"/>
                  </w14:solidFill>
                </w14:textFill>
              </w:rPr>
            </w:pPr>
          </w:p>
        </w:tc>
        <w:tc>
          <w:tcPr>
            <w:tcW w:w="1701" w:type="dxa"/>
            <w:vAlign w:val="center"/>
          </w:tcPr>
          <w:p>
            <w:pPr>
              <w:spacing w:before="50" w:after="50"/>
              <w:jc w:val="center"/>
              <w:rPr>
                <w:rFonts w:ascii="Times New Roman" w:hAnsi="Times New Roman"/>
                <w:color w:val="000000" w:themeColor="text1"/>
                <w:szCs w:val="21"/>
                <w14:textFill>
                  <w14:solidFill>
                    <w14:schemeClr w14:val="tx1"/>
                  </w14:solidFill>
                </w14:textFill>
              </w:rPr>
            </w:pPr>
          </w:p>
        </w:tc>
        <w:tc>
          <w:tcPr>
            <w:tcW w:w="1701" w:type="dxa"/>
            <w:vAlign w:val="center"/>
          </w:tcPr>
          <w:p>
            <w:pPr>
              <w:spacing w:before="50" w:after="50"/>
              <w:jc w:val="center"/>
              <w:rPr>
                <w:rFonts w:ascii="Times New Roman" w:hAnsi="Times New Roman"/>
                <w:color w:val="000000" w:themeColor="text1"/>
                <w:szCs w:val="21"/>
                <w14:textFill>
                  <w14:solidFill>
                    <w14:schemeClr w14:val="tx1"/>
                  </w14:solidFill>
                </w14:textFill>
              </w:rPr>
            </w:pPr>
          </w:p>
        </w:tc>
        <w:tc>
          <w:tcPr>
            <w:tcW w:w="1144" w:type="dxa"/>
            <w:vAlign w:val="center"/>
          </w:tcPr>
          <w:p>
            <w:pPr>
              <w:spacing w:before="50" w:after="50"/>
              <w:jc w:val="center"/>
              <w:rPr>
                <w:rFonts w:ascii="Times New Roman" w:hAnsi="Times New Roman"/>
                <w:color w:val="000000" w:themeColor="text1"/>
                <w:szCs w:val="21"/>
                <w14:textFill>
                  <w14:solidFill>
                    <w14:schemeClr w14:val="tx1"/>
                  </w14:solidFill>
                </w14:textFill>
              </w:rPr>
            </w:pPr>
          </w:p>
        </w:tc>
      </w:tr>
      <w:tr>
        <w:tblPrEx>
          <w:tblBorders>
            <w:top w:val="double" w:color="auto" w:sz="4" w:space="0"/>
            <w:left w:val="single" w:color="auto" w:sz="4" w:space="0"/>
            <w:bottom w:val="doub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2" w:type="dxa"/>
            <w:vMerge w:val="continue"/>
            <w:vAlign w:val="center"/>
          </w:tcPr>
          <w:p>
            <w:pPr>
              <w:spacing w:before="50" w:after="50"/>
              <w:jc w:val="center"/>
              <w:rPr>
                <w:rFonts w:ascii="Times New Roman" w:hAnsi="Times New Roman"/>
                <w:color w:val="000000" w:themeColor="text1"/>
                <w:szCs w:val="21"/>
                <w14:textFill>
                  <w14:solidFill>
                    <w14:schemeClr w14:val="tx1"/>
                  </w14:solidFill>
                </w14:textFill>
              </w:rPr>
            </w:pPr>
          </w:p>
        </w:tc>
        <w:tc>
          <w:tcPr>
            <w:tcW w:w="2126" w:type="dxa"/>
            <w:vAlign w:val="center"/>
          </w:tcPr>
          <w:p>
            <w:pPr>
              <w:spacing w:before="50" w:after="50"/>
              <w:jc w:val="center"/>
              <w:rPr>
                <w:rFonts w:ascii="Times New Roman" w:hAnsi="Times New Roman"/>
                <w:color w:val="000000" w:themeColor="text1"/>
                <w:szCs w:val="21"/>
                <w14:textFill>
                  <w14:solidFill>
                    <w14:schemeClr w14:val="tx1"/>
                  </w14:solidFill>
                </w14:textFill>
              </w:rPr>
            </w:pPr>
          </w:p>
        </w:tc>
        <w:tc>
          <w:tcPr>
            <w:tcW w:w="1701" w:type="dxa"/>
            <w:vAlign w:val="center"/>
          </w:tcPr>
          <w:p>
            <w:pPr>
              <w:spacing w:before="50" w:after="50"/>
              <w:jc w:val="center"/>
              <w:rPr>
                <w:rFonts w:ascii="Times New Roman" w:hAnsi="Times New Roman"/>
                <w:color w:val="000000" w:themeColor="text1"/>
                <w:szCs w:val="21"/>
                <w14:textFill>
                  <w14:solidFill>
                    <w14:schemeClr w14:val="tx1"/>
                  </w14:solidFill>
                </w14:textFill>
              </w:rPr>
            </w:pPr>
          </w:p>
        </w:tc>
        <w:tc>
          <w:tcPr>
            <w:tcW w:w="1701" w:type="dxa"/>
            <w:vAlign w:val="center"/>
          </w:tcPr>
          <w:p>
            <w:pPr>
              <w:spacing w:before="50" w:after="50"/>
              <w:jc w:val="center"/>
              <w:rPr>
                <w:rFonts w:ascii="Times New Roman" w:hAnsi="Times New Roman"/>
                <w:color w:val="000000" w:themeColor="text1"/>
                <w:szCs w:val="21"/>
                <w14:textFill>
                  <w14:solidFill>
                    <w14:schemeClr w14:val="tx1"/>
                  </w14:solidFill>
                </w14:textFill>
              </w:rPr>
            </w:pPr>
          </w:p>
        </w:tc>
        <w:tc>
          <w:tcPr>
            <w:tcW w:w="1144" w:type="dxa"/>
            <w:vAlign w:val="center"/>
          </w:tcPr>
          <w:p>
            <w:pPr>
              <w:spacing w:before="50" w:after="50"/>
              <w:jc w:val="center"/>
              <w:rPr>
                <w:rFonts w:ascii="Times New Roman" w:hAnsi="Times New Roman"/>
                <w:color w:val="000000" w:themeColor="text1"/>
                <w:szCs w:val="21"/>
                <w14:textFill>
                  <w14:solidFill>
                    <w14:schemeClr w14:val="tx1"/>
                  </w14:solidFill>
                </w14:textFill>
              </w:rPr>
            </w:pPr>
          </w:p>
        </w:tc>
      </w:tr>
    </w:tbl>
    <w:p>
      <w:pPr>
        <w:spacing w:before="120" w:beforeLines="50" w:after="120" w:afterLines="50"/>
        <w:rPr>
          <w:rFonts w:ascii="Times New Roman" w:hAnsi="Times New Roman"/>
          <w:color w:val="000000" w:themeColor="text1"/>
          <w:szCs w:val="21"/>
          <w14:textFill>
            <w14:solidFill>
              <w14:schemeClr w14:val="tx1"/>
            </w14:solidFill>
          </w14:textFill>
        </w:rPr>
      </w:pP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注：投标人对招标文件项目合同核心边界条款有实质性修改的，则为无效投标。</w:t>
      </w:r>
    </w:p>
    <w:p>
      <w:pPr>
        <w:rPr>
          <w:rFonts w:ascii="Times New Roman" w:hAnsi="Times New Roman"/>
          <w:color w:val="000000" w:themeColor="text1"/>
          <w14:textFill>
            <w14:solidFill>
              <w14:schemeClr w14:val="tx1"/>
            </w14:solidFill>
          </w14:textFill>
        </w:rPr>
      </w:pPr>
    </w:p>
    <w:p>
      <w:pPr>
        <w:spacing w:line="360" w:lineRule="auto"/>
        <w:ind w:firstLine="424" w:firstLineChars="20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p>
    <w:p>
      <w:pPr>
        <w:pStyle w:val="3"/>
        <w:spacing w:line="360" w:lineRule="auto"/>
        <w:jc w:val="center"/>
        <w:rPr>
          <w:rFonts w:ascii="Times New Roman" w:hAnsi="Times New Roman"/>
          <w:color w:val="000000" w:themeColor="text1"/>
          <w:lang w:val="en-US"/>
          <w14:textFill>
            <w14:solidFill>
              <w14:schemeClr w14:val="tx1"/>
            </w14:solidFill>
          </w14:textFill>
        </w:rPr>
      </w:pPr>
      <w:bookmarkStart w:id="239" w:name="_附件3__投标报价函"/>
      <w:bookmarkEnd w:id="239"/>
      <w:bookmarkStart w:id="240" w:name="_Toc491857550"/>
      <w:bookmarkStart w:id="241" w:name="_Toc492021867"/>
      <w:bookmarkStart w:id="242" w:name="_Toc492040657"/>
      <w:bookmarkStart w:id="243" w:name="_Toc496258657"/>
      <w:bookmarkStart w:id="244" w:name="_Toc496299720"/>
      <w:bookmarkStart w:id="245" w:name="_Toc496299884"/>
      <w:bookmarkStart w:id="246" w:name="_Toc522635490"/>
      <w:bookmarkStart w:id="247" w:name="_Toc487201033"/>
      <w:bookmarkStart w:id="248" w:name="_Toc465698642"/>
      <w:r>
        <w:rPr>
          <w:rFonts w:hint="eastAsia" w:ascii="Times New Roman" w:hAnsi="Times New Roman"/>
          <w:color w:val="000000" w:themeColor="text1"/>
          <w:sz w:val="24"/>
          <w:szCs w:val="24"/>
          <w14:textFill>
            <w14:solidFill>
              <w14:schemeClr w14:val="tx1"/>
            </w14:solidFill>
          </w14:textFill>
        </w:rPr>
        <w:t>附件</w:t>
      </w:r>
      <w:r>
        <w:rPr>
          <w:rFonts w:ascii="Times New Roman" w:hAnsi="Times New Roman"/>
          <w:color w:val="000000" w:themeColor="text1"/>
          <w:sz w:val="24"/>
          <w:szCs w:val="24"/>
          <w14:textFill>
            <w14:solidFill>
              <w14:schemeClr w14:val="tx1"/>
            </w14:solidFill>
          </w14:textFill>
        </w:rPr>
        <w:t>3</w:t>
      </w:r>
      <w:bookmarkStart w:id="249" w:name="_Toc438162719"/>
      <w:r>
        <w:rPr>
          <w:rFonts w:ascii="Times New Roman" w:hAnsi="Times New Roman"/>
          <w:color w:val="000000" w:themeColor="text1"/>
          <w:lang w:val="en-US"/>
          <w14:textFill>
            <w14:solidFill>
              <w14:schemeClr w14:val="tx1"/>
            </w14:solidFill>
          </w14:textFill>
        </w:rPr>
        <w:t xml:space="preserve">  </w:t>
      </w:r>
      <w:r>
        <w:rPr>
          <w:rFonts w:hint="eastAsia" w:ascii="Times New Roman" w:hAnsi="Times New Roman"/>
          <w:color w:val="000000" w:themeColor="text1"/>
          <w:lang w:val="en-US"/>
          <w14:textFill>
            <w14:solidFill>
              <w14:schemeClr w14:val="tx1"/>
            </w14:solidFill>
          </w14:textFill>
        </w:rPr>
        <w:t>投标报价函</w:t>
      </w:r>
      <w:bookmarkEnd w:id="240"/>
      <w:bookmarkEnd w:id="241"/>
      <w:bookmarkEnd w:id="242"/>
      <w:bookmarkEnd w:id="243"/>
      <w:bookmarkEnd w:id="244"/>
      <w:bookmarkEnd w:id="245"/>
      <w:bookmarkEnd w:id="246"/>
      <w:bookmarkEnd w:id="249"/>
    </w:p>
    <w:p>
      <w:pPr>
        <w:spacing w:line="400" w:lineRule="exact"/>
        <w:jc w:val="center"/>
        <w:rPr>
          <w:rFonts w:ascii="Times New Roman" w:hAnsi="Times New Roman"/>
          <w:color w:val="000000" w:themeColor="text1"/>
          <w:sz w:val="28"/>
          <w14:textFill>
            <w14:solidFill>
              <w14:schemeClr w14:val="tx1"/>
            </w14:solidFill>
          </w14:textFill>
        </w:rPr>
      </w:pPr>
      <w:r>
        <w:rPr>
          <w:rFonts w:ascii="Times New Roman" w:hAnsi="Times New Roman"/>
          <w:color w:val="000000" w:themeColor="text1"/>
          <w:sz w:val="28"/>
          <w14:textFill>
            <w14:solidFill>
              <w14:schemeClr w14:val="tx1"/>
            </w14:solidFill>
          </w14:textFill>
        </w:rPr>
        <w:fldChar w:fldCharType="begin"/>
      </w:r>
      <w:r>
        <w:rPr>
          <w:rFonts w:ascii="Times New Roman" w:hAnsi="Times New Roman"/>
          <w:color w:val="000000" w:themeColor="text1"/>
          <w:sz w:val="28"/>
          <w14:textFill>
            <w14:solidFill>
              <w14:schemeClr w14:val="tx1"/>
            </w14:solidFill>
          </w14:textFill>
        </w:rPr>
        <w:instrText xml:space="preserve"> REF </w:instrText>
      </w:r>
      <w:r>
        <w:rPr>
          <w:rFonts w:hint="eastAsia" w:ascii="Times New Roman" w:hAnsi="Times New Roman"/>
          <w:color w:val="000000" w:themeColor="text1"/>
          <w:sz w:val="28"/>
          <w14:textFill>
            <w14:solidFill>
              <w14:schemeClr w14:val="tx1"/>
            </w14:solidFill>
          </w14:textFill>
        </w:rPr>
        <w:instrText xml:space="preserve">采购项目名称</w:instrText>
      </w:r>
      <w:r>
        <w:rPr>
          <w:rFonts w:ascii="Times New Roman" w:hAnsi="Times New Roman"/>
          <w:color w:val="000000" w:themeColor="text1"/>
          <w:sz w:val="28"/>
          <w14:textFill>
            <w14:solidFill>
              <w14:schemeClr w14:val="tx1"/>
            </w14:solidFill>
          </w14:textFill>
        </w:rPr>
        <w:instrText xml:space="preserve"> \h  \* MERGEFORMAT </w:instrText>
      </w:r>
      <w:r>
        <w:rPr>
          <w:rFonts w:ascii="Times New Roman" w:hAnsi="Times New Roman"/>
          <w:color w:val="000000" w:themeColor="text1"/>
          <w:sz w:val="28"/>
          <w14:textFill>
            <w14:solidFill>
              <w14:schemeClr w14:val="tx1"/>
            </w14:solidFill>
          </w14:textFill>
        </w:rPr>
        <w:fldChar w:fldCharType="separate"/>
      </w:r>
      <w:r>
        <w:rPr>
          <w:rFonts w:hint="eastAsia" w:ascii="Times New Roman" w:hAnsi="Times New Roman"/>
          <w:color w:val="000000" w:themeColor="text1"/>
          <w:sz w:val="28"/>
          <w14:textFill>
            <w14:solidFill>
              <w14:schemeClr w14:val="tx1"/>
            </w14:solidFill>
          </w14:textFill>
        </w:rPr>
        <w:t>艮山东路过江隧道工程</w:t>
      </w:r>
      <w:r>
        <w:rPr>
          <w:rFonts w:ascii="Times New Roman" w:hAnsi="Times New Roman"/>
          <w:color w:val="000000" w:themeColor="text1"/>
          <w:sz w:val="28"/>
          <w14:textFill>
            <w14:solidFill>
              <w14:schemeClr w14:val="tx1"/>
            </w14:solidFill>
          </w14:textFill>
        </w:rPr>
        <w:t>PPP</w:t>
      </w:r>
      <w:r>
        <w:rPr>
          <w:rFonts w:hint="eastAsia" w:ascii="Times New Roman" w:hAnsi="Times New Roman"/>
          <w:color w:val="000000" w:themeColor="text1"/>
          <w:sz w:val="28"/>
          <w14:textFill>
            <w14:solidFill>
              <w14:schemeClr w14:val="tx1"/>
            </w14:solidFill>
          </w14:textFill>
        </w:rPr>
        <w:t>项目社会资本采购</w:t>
      </w:r>
      <w:r>
        <w:rPr>
          <w:rFonts w:ascii="Times New Roman" w:hAnsi="Times New Roman"/>
          <w:color w:val="000000" w:themeColor="text1"/>
          <w:sz w:val="28"/>
          <w14:textFill>
            <w14:solidFill>
              <w14:schemeClr w14:val="tx1"/>
            </w14:solidFill>
          </w14:textFill>
        </w:rPr>
        <w:fldChar w:fldCharType="end"/>
      </w:r>
      <w:r>
        <w:rPr>
          <w:rFonts w:hint="eastAsia" w:ascii="Times New Roman" w:hAnsi="Times New Roman"/>
          <w:color w:val="000000" w:themeColor="text1"/>
          <w:sz w:val="28"/>
          <w14:textFill>
            <w14:solidFill>
              <w14:schemeClr w14:val="tx1"/>
            </w14:solidFill>
          </w14:textFill>
        </w:rPr>
        <w:t>项目</w:t>
      </w:r>
    </w:p>
    <w:p>
      <w:pPr>
        <w:spacing w:line="400" w:lineRule="exact"/>
        <w:jc w:val="center"/>
        <w:rPr>
          <w:rFonts w:ascii="Times New Roman" w:hAnsi="Times New Roman"/>
          <w:color w:val="000000" w:themeColor="text1"/>
          <w:sz w:val="28"/>
          <w14:textFill>
            <w14:solidFill>
              <w14:schemeClr w14:val="tx1"/>
            </w14:solidFill>
          </w14:textFill>
        </w:rPr>
      </w:pPr>
      <w:r>
        <w:rPr>
          <w:rFonts w:hint="eastAsia" w:ascii="Times New Roman" w:hAnsi="Times New Roman"/>
          <w:color w:val="000000" w:themeColor="text1"/>
          <w:sz w:val="28"/>
          <w14:textFill>
            <w14:solidFill>
              <w14:schemeClr w14:val="tx1"/>
            </w14:solidFill>
          </w14:textFill>
        </w:rPr>
        <w:t>商务指标报价表</w:t>
      </w:r>
    </w:p>
    <w:tbl>
      <w:tblPr>
        <w:tblStyle w:val="57"/>
        <w:tblW w:w="10040"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853"/>
        <w:gridCol w:w="1011"/>
        <w:gridCol w:w="860"/>
        <w:gridCol w:w="340"/>
        <w:gridCol w:w="926"/>
        <w:gridCol w:w="1418"/>
        <w:gridCol w:w="282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8" w:hRule="atLeast"/>
          <w:jc w:val="center"/>
        </w:trPr>
        <w:tc>
          <w:tcPr>
            <w:tcW w:w="807"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序号</w:t>
            </w:r>
          </w:p>
        </w:tc>
        <w:tc>
          <w:tcPr>
            <w:tcW w:w="185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指标项</w:t>
            </w:r>
          </w:p>
        </w:tc>
        <w:tc>
          <w:tcPr>
            <w:tcW w:w="1011"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代表</w:t>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符号</w:t>
            </w:r>
          </w:p>
        </w:tc>
        <w:tc>
          <w:tcPr>
            <w:tcW w:w="860"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指标单位</w:t>
            </w:r>
          </w:p>
        </w:tc>
        <w:tc>
          <w:tcPr>
            <w:tcW w:w="1266" w:type="dxa"/>
            <w:gridSpan w:val="2"/>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指标报价</w:t>
            </w:r>
          </w:p>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小写</w:t>
            </w:r>
          </w:p>
        </w:tc>
        <w:tc>
          <w:tcPr>
            <w:tcW w:w="1418"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指标报价</w:t>
            </w:r>
          </w:p>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大写</w:t>
            </w:r>
          </w:p>
        </w:tc>
        <w:tc>
          <w:tcPr>
            <w:tcW w:w="2825"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指标限值及说明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807" w:type="dxa"/>
            <w:vAlign w:val="center"/>
          </w:tcPr>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  1</w:t>
            </w:r>
          </w:p>
        </w:tc>
        <w:tc>
          <w:tcPr>
            <w:tcW w:w="185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投资回报上浮率</w:t>
            </w:r>
          </w:p>
        </w:tc>
        <w:tc>
          <w:tcPr>
            <w:tcW w:w="1011"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z </w:t>
            </w:r>
          </w:p>
        </w:tc>
        <w:tc>
          <w:tcPr>
            <w:tcW w:w="860" w:type="dxa"/>
            <w:vAlign w:val="center"/>
          </w:tcPr>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  %</w:t>
            </w:r>
          </w:p>
        </w:tc>
        <w:tc>
          <w:tcPr>
            <w:tcW w:w="1266" w:type="dxa"/>
            <w:gridSpan w:val="2"/>
            <w:vAlign w:val="center"/>
          </w:tcPr>
          <w:p>
            <w:pPr>
              <w:jc w:val="center"/>
              <w:rPr>
                <w:rFonts w:ascii="Times New Roman" w:hAnsi="Times New Roman"/>
                <w:color w:val="000000" w:themeColor="text1"/>
                <w14:textFill>
                  <w14:solidFill>
                    <w14:schemeClr w14:val="tx1"/>
                  </w14:solidFill>
                </w14:textFill>
              </w:rPr>
            </w:pPr>
          </w:p>
        </w:tc>
        <w:tc>
          <w:tcPr>
            <w:tcW w:w="1418" w:type="dxa"/>
            <w:vAlign w:val="center"/>
          </w:tcPr>
          <w:p>
            <w:pPr>
              <w:jc w:val="center"/>
              <w:rPr>
                <w:rFonts w:ascii="Times New Roman" w:hAnsi="Times New Roman"/>
                <w:color w:val="000000" w:themeColor="text1"/>
                <w14:textFill>
                  <w14:solidFill>
                    <w14:schemeClr w14:val="tx1"/>
                  </w14:solidFill>
                </w14:textFill>
              </w:rPr>
            </w:pPr>
          </w:p>
        </w:tc>
        <w:tc>
          <w:tcPr>
            <w:tcW w:w="2825" w:type="dxa"/>
            <w:vAlign w:val="center"/>
          </w:tcPr>
          <w:p>
            <w:pPr>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本项报价≤</w:t>
            </w:r>
            <w:r>
              <w:rPr>
                <w:rFonts w:ascii="Times New Roman" w:hAnsi="Times New Roman"/>
                <w:color w:val="000000" w:themeColor="text1"/>
                <w14:textFill>
                  <w14:solidFill>
                    <w14:schemeClr w14:val="tx1"/>
                  </w14:solidFill>
                </w14:textFill>
              </w:rPr>
              <w:t>30.00%</w:t>
            </w:r>
            <w:r>
              <w:rPr>
                <w:rFonts w:hint="eastAsia" w:ascii="Times New Roman" w:hAnsi="Times New Roman"/>
                <w:color w:val="000000" w:themeColor="text1"/>
                <w14:textFill>
                  <w14:solidFill>
                    <w14:schemeClr w14:val="tx1"/>
                  </w14:solidFill>
                </w14:textFill>
              </w:rPr>
              <w:t>有效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807"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185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年投资回报率</w:t>
            </w:r>
          </w:p>
        </w:tc>
        <w:tc>
          <w:tcPr>
            <w:tcW w:w="1011"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i</w:t>
            </w:r>
          </w:p>
        </w:tc>
        <w:tc>
          <w:tcPr>
            <w:tcW w:w="860"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1266" w:type="dxa"/>
            <w:gridSpan w:val="2"/>
            <w:vAlign w:val="center"/>
          </w:tcPr>
          <w:p>
            <w:pPr>
              <w:jc w:val="center"/>
              <w:rPr>
                <w:rFonts w:ascii="Times New Roman" w:hAnsi="Times New Roman"/>
                <w:color w:val="000000" w:themeColor="text1"/>
                <w14:textFill>
                  <w14:solidFill>
                    <w14:schemeClr w14:val="tx1"/>
                  </w14:solidFill>
                </w14:textFill>
              </w:rPr>
            </w:pPr>
          </w:p>
        </w:tc>
        <w:tc>
          <w:tcPr>
            <w:tcW w:w="1418" w:type="dxa"/>
            <w:vAlign w:val="center"/>
          </w:tcPr>
          <w:p>
            <w:pPr>
              <w:jc w:val="center"/>
              <w:rPr>
                <w:rFonts w:ascii="Times New Roman" w:hAnsi="Times New Roman"/>
                <w:color w:val="000000" w:themeColor="text1"/>
                <w14:textFill>
                  <w14:solidFill>
                    <w14:schemeClr w14:val="tx1"/>
                  </w14:solidFill>
                </w14:textFill>
              </w:rPr>
            </w:pPr>
          </w:p>
        </w:tc>
        <w:tc>
          <w:tcPr>
            <w:tcW w:w="2825"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本项报价≤</w:t>
            </w:r>
            <w:r>
              <w:rPr>
                <w:rFonts w:ascii="Times New Roman" w:hAnsi="Times New Roman"/>
                <w:color w:val="000000" w:themeColor="text1"/>
                <w14:textFill>
                  <w14:solidFill>
                    <w14:schemeClr w14:val="tx1"/>
                  </w14:solidFill>
                </w14:textFill>
              </w:rPr>
              <w:t>6.37%</w:t>
            </w:r>
            <w:r>
              <w:rPr>
                <w:rFonts w:hint="eastAsia" w:ascii="Times New Roman" w:hAnsi="Times New Roman"/>
                <w:color w:val="000000" w:themeColor="text1"/>
                <w14:textFill>
                  <w14:solidFill>
                    <w14:schemeClr w14:val="tx1"/>
                  </w14:solidFill>
                </w14:textFill>
              </w:rPr>
              <w:t>有效</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以中国银行银行公布的五年期及以上基础利率</w:t>
            </w:r>
            <w:r>
              <w:rPr>
                <w:rFonts w:ascii="Times New Roman" w:hAnsi="Times New Roman"/>
                <w:color w:val="000000" w:themeColor="text1"/>
                <w14:textFill>
                  <w14:solidFill>
                    <w14:schemeClr w14:val="tx1"/>
                  </w14:solidFill>
                </w14:textFill>
              </w:rPr>
              <w:t>4.90%*</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1+z</w:t>
            </w:r>
            <w:r>
              <w:rPr>
                <w:rFonts w:hint="eastAsia" w:ascii="Times New Roman" w:hAnsi="Times New Roman"/>
                <w:color w:val="000000" w:themeColor="text1"/>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807"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p>
        </w:tc>
        <w:tc>
          <w:tcPr>
            <w:tcW w:w="185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建安费用下浮率</w:t>
            </w:r>
          </w:p>
        </w:tc>
        <w:tc>
          <w:tcPr>
            <w:tcW w:w="1011"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k </w:t>
            </w:r>
          </w:p>
        </w:tc>
        <w:tc>
          <w:tcPr>
            <w:tcW w:w="860"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1266" w:type="dxa"/>
            <w:gridSpan w:val="2"/>
            <w:vAlign w:val="center"/>
          </w:tcPr>
          <w:p>
            <w:pPr>
              <w:jc w:val="center"/>
              <w:rPr>
                <w:rFonts w:ascii="Times New Roman" w:hAnsi="Times New Roman"/>
                <w:color w:val="000000" w:themeColor="text1"/>
                <w14:textFill>
                  <w14:solidFill>
                    <w14:schemeClr w14:val="tx1"/>
                  </w14:solidFill>
                </w14:textFill>
              </w:rPr>
            </w:pPr>
          </w:p>
        </w:tc>
        <w:tc>
          <w:tcPr>
            <w:tcW w:w="1418" w:type="dxa"/>
            <w:vAlign w:val="center"/>
          </w:tcPr>
          <w:p>
            <w:pPr>
              <w:jc w:val="center"/>
              <w:rPr>
                <w:rFonts w:ascii="Times New Roman" w:hAnsi="Times New Roman"/>
                <w:color w:val="000000" w:themeColor="text1"/>
                <w14:textFill>
                  <w14:solidFill>
                    <w14:schemeClr w14:val="tx1"/>
                  </w14:solidFill>
                </w14:textFill>
              </w:rPr>
            </w:pPr>
          </w:p>
        </w:tc>
        <w:tc>
          <w:tcPr>
            <w:tcW w:w="2825"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本项报价≥</w:t>
            </w:r>
            <w:r>
              <w:rPr>
                <w:rFonts w:ascii="Times New Roman" w:hAnsi="Times New Roman"/>
                <w:color w:val="000000" w:themeColor="text1"/>
                <w14:textFill>
                  <w14:solidFill>
                    <w14:schemeClr w14:val="tx1"/>
                  </w14:solidFill>
                </w14:textFill>
              </w:rPr>
              <w:t>10.00%</w:t>
            </w:r>
            <w:r>
              <w:rPr>
                <w:rFonts w:hint="eastAsia" w:ascii="Times New Roman" w:hAnsi="Times New Roman"/>
                <w:color w:val="000000" w:themeColor="text1"/>
                <w14:textFill>
                  <w14:solidFill>
                    <w14:schemeClr w14:val="tx1"/>
                  </w14:solidFill>
                </w14:textFill>
              </w:rPr>
              <w:t>有效</w:t>
            </w:r>
            <w:r>
              <w:rPr>
                <w:rFonts w:ascii="Times New Roman" w:hAnsi="Times New Roman"/>
                <w:color w:val="000000" w:themeColor="text1"/>
                <w14:textFill>
                  <w14:solidFill>
                    <w14:schemeClr w14:val="tx1"/>
                  </w14:solidFill>
                </w14:textFill>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807"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w:t>
            </w:r>
          </w:p>
        </w:tc>
        <w:tc>
          <w:tcPr>
            <w:tcW w:w="185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下浮后的</w:t>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建安费用</w:t>
            </w:r>
          </w:p>
        </w:tc>
        <w:tc>
          <w:tcPr>
            <w:tcW w:w="1011" w:type="dxa"/>
            <w:vAlign w:val="center"/>
          </w:tcPr>
          <w:p>
            <w:pPr>
              <w:jc w:val="center"/>
              <w:rPr>
                <w:rFonts w:ascii="Times New Roman" w:hAnsi="Times New Roman"/>
                <w:color w:val="000000" w:themeColor="text1"/>
                <w14:textFill>
                  <w14:solidFill>
                    <w14:schemeClr w14:val="tx1"/>
                  </w14:solidFill>
                </w14:textFill>
              </w:rPr>
            </w:pPr>
            <m:oMath>
              <m:sSub>
                <m:sSubPr>
                  <m:ctrlPr>
                    <w:rPr>
                      <w:rFonts w:ascii="Cambria Math" w:hAnsi="Cambria Math"/>
                      <w:color w:val="000000" w:themeColor="text1"/>
                      <w:sz w:val="22"/>
                      <w:szCs w:val="24"/>
                      <w14:textFill>
                        <w14:solidFill>
                          <w14:schemeClr w14:val="tx1"/>
                        </w14:solidFill>
                      </w14:textFill>
                    </w:rPr>
                  </m:ctrlPr>
                </m:sSubPr>
                <m:e>
                  <m:r>
                    <w:rPr>
                      <w:rFonts w:ascii="Cambria Math" w:hAnsi="Cambria Math"/>
                      <w:color w:val="000000" w:themeColor="text1"/>
                      <w:sz w:val="22"/>
                      <w:szCs w:val="24"/>
                      <w14:textFill>
                        <w14:solidFill>
                          <w14:schemeClr w14:val="tx1"/>
                        </w14:solidFill>
                      </w14:textFill>
                    </w:rPr>
                    <m:t>B</m:t>
                  </m:r>
                  <m:ctrlPr>
                    <w:rPr>
                      <w:rFonts w:ascii="Cambria Math" w:hAnsi="Cambria Math"/>
                      <w:color w:val="000000" w:themeColor="text1"/>
                      <w:sz w:val="22"/>
                      <w:szCs w:val="24"/>
                      <w14:textFill>
                        <w14:solidFill>
                          <w14:schemeClr w14:val="tx1"/>
                        </w14:solidFill>
                      </w14:textFill>
                    </w:rPr>
                  </m:ctrlPr>
                </m:e>
                <m:sub>
                  <m:r>
                    <m:rPr>
                      <m:sty m:val="p"/>
                    </m:rPr>
                    <w:rPr>
                      <w:rFonts w:ascii="Cambria Math" w:hAnsi="Cambria Math"/>
                      <w:color w:val="000000" w:themeColor="text1"/>
                      <w:sz w:val="22"/>
                      <w14:textFill>
                        <w14:solidFill>
                          <w14:schemeClr w14:val="tx1"/>
                        </w14:solidFill>
                      </w14:textFill>
                    </w:rPr>
                    <m:t>1</m:t>
                  </m:r>
                  <m:ctrlPr>
                    <w:rPr>
                      <w:rFonts w:ascii="Cambria Math" w:hAnsi="Cambria Math"/>
                      <w:color w:val="000000" w:themeColor="text1"/>
                      <w:sz w:val="22"/>
                      <w:szCs w:val="24"/>
                      <w14:textFill>
                        <w14:solidFill>
                          <w14:schemeClr w14:val="tx1"/>
                        </w14:solidFill>
                      </w14:textFill>
                    </w:rPr>
                  </m:ctrlPr>
                </m:sub>
              </m:sSub>
            </m:oMath>
            <w:r>
              <w:rPr>
                <w:rFonts w:ascii="Times New Roman" w:hAnsi="Times New Roman"/>
                <w:color w:val="000000" w:themeColor="text1"/>
                <w14:textFill>
                  <w14:solidFill>
                    <w14:schemeClr w14:val="tx1"/>
                  </w14:solidFill>
                </w14:textFill>
              </w:rPr>
              <w:t>*(1-k)</w:t>
            </w:r>
          </w:p>
        </w:tc>
        <w:tc>
          <w:tcPr>
            <w:tcW w:w="860"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人民币</w:t>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万元</w:t>
            </w:r>
          </w:p>
        </w:tc>
        <w:tc>
          <w:tcPr>
            <w:tcW w:w="1266" w:type="dxa"/>
            <w:gridSpan w:val="2"/>
            <w:vAlign w:val="center"/>
          </w:tcPr>
          <w:p>
            <w:pPr>
              <w:jc w:val="center"/>
              <w:rPr>
                <w:rFonts w:ascii="Times New Roman" w:hAnsi="Times New Roman"/>
                <w:color w:val="000000" w:themeColor="text1"/>
                <w14:textFill>
                  <w14:solidFill>
                    <w14:schemeClr w14:val="tx1"/>
                  </w14:solidFill>
                </w14:textFill>
              </w:rPr>
            </w:pPr>
          </w:p>
        </w:tc>
        <w:tc>
          <w:tcPr>
            <w:tcW w:w="1418" w:type="dxa"/>
            <w:vAlign w:val="center"/>
          </w:tcPr>
          <w:p>
            <w:pPr>
              <w:jc w:val="center"/>
              <w:rPr>
                <w:rFonts w:ascii="Times New Roman" w:hAnsi="Times New Roman"/>
                <w:color w:val="000000" w:themeColor="text1"/>
                <w14:textFill>
                  <w14:solidFill>
                    <w14:schemeClr w14:val="tx1"/>
                  </w14:solidFill>
                </w14:textFill>
              </w:rPr>
            </w:pPr>
          </w:p>
        </w:tc>
        <w:tc>
          <w:tcPr>
            <w:tcW w:w="2825"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报价中建安费用</w:t>
            </w:r>
            <m:oMath>
              <m:sSub>
                <m:sSubPr>
                  <m:ctrlPr>
                    <w:rPr>
                      <w:rFonts w:ascii="Cambria Math" w:hAnsi="Cambria Math"/>
                      <w:color w:val="000000" w:themeColor="text1"/>
                      <w:sz w:val="22"/>
                      <w:szCs w:val="24"/>
                      <w14:textFill>
                        <w14:solidFill>
                          <w14:schemeClr w14:val="tx1"/>
                        </w14:solidFill>
                      </w14:textFill>
                    </w:rPr>
                  </m:ctrlPr>
                </m:sSubPr>
                <m:e>
                  <m:r>
                    <w:rPr>
                      <w:rFonts w:ascii="Cambria Math" w:hAnsi="Cambria Math"/>
                      <w:color w:val="000000" w:themeColor="text1"/>
                      <w:sz w:val="22"/>
                      <w:szCs w:val="24"/>
                      <w14:textFill>
                        <w14:solidFill>
                          <w14:schemeClr w14:val="tx1"/>
                        </w14:solidFill>
                      </w14:textFill>
                    </w:rPr>
                    <m:t>B</m:t>
                  </m:r>
                  <m:ctrlPr>
                    <w:rPr>
                      <w:rFonts w:ascii="Cambria Math" w:hAnsi="Cambria Math"/>
                      <w:color w:val="000000" w:themeColor="text1"/>
                      <w:sz w:val="22"/>
                      <w:szCs w:val="24"/>
                      <w14:textFill>
                        <w14:solidFill>
                          <w14:schemeClr w14:val="tx1"/>
                        </w14:solidFill>
                      </w14:textFill>
                    </w:rPr>
                  </m:ctrlPr>
                </m:e>
                <m:sub>
                  <m:r>
                    <m:rPr>
                      <m:sty m:val="p"/>
                    </m:rPr>
                    <w:rPr>
                      <w:rFonts w:ascii="Cambria Math" w:hAnsi="Cambria Math"/>
                      <w:color w:val="000000" w:themeColor="text1"/>
                      <w:sz w:val="22"/>
                      <w14:textFill>
                        <w14:solidFill>
                          <w14:schemeClr w14:val="tx1"/>
                        </w14:solidFill>
                      </w14:textFill>
                    </w:rPr>
                    <m:t>1</m:t>
                  </m:r>
                  <m:ctrlPr>
                    <w:rPr>
                      <w:rFonts w:ascii="Cambria Math" w:hAnsi="Cambria Math"/>
                      <w:color w:val="000000" w:themeColor="text1"/>
                      <w:sz w:val="22"/>
                      <w:szCs w:val="24"/>
                      <w14:textFill>
                        <w14:solidFill>
                          <w14:schemeClr w14:val="tx1"/>
                        </w14:solidFill>
                      </w14:textFill>
                    </w:rPr>
                  </m:ctrlPr>
                </m:sub>
              </m:sSub>
            </m:oMath>
            <w:r>
              <w:rPr>
                <w:rFonts w:hint="eastAsia" w:ascii="Times New Roman" w:hAnsi="Times New Roman"/>
                <w:color w:val="000000" w:themeColor="text1"/>
                <w14:textFill>
                  <w14:solidFill>
                    <w14:schemeClr w14:val="tx1"/>
                  </w14:solidFill>
                </w14:textFill>
              </w:rPr>
              <w:t>为</w:t>
            </w:r>
            <w:r>
              <w:rPr>
                <w:rFonts w:ascii="Times New Roman" w:hAnsi="Times New Roman"/>
                <w:color w:val="000000" w:themeColor="text1"/>
                <w:u w:val="single"/>
                <w14:textFill>
                  <w14:solidFill>
                    <w14:schemeClr w14:val="tx1"/>
                  </w14:solidFill>
                </w14:textFill>
              </w:rPr>
              <w:t>359460.42</w:t>
            </w:r>
            <w:r>
              <w:rPr>
                <w:rFonts w:hint="eastAsia" w:ascii="Times New Roman" w:hAnsi="Times New Roman"/>
                <w:color w:val="000000" w:themeColor="text1"/>
                <w14:textFill>
                  <w14:solidFill>
                    <w14:schemeClr w14:val="tx1"/>
                  </w14:solidFill>
                </w14:textFill>
              </w:rPr>
              <w:t>万元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807"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w:t>
            </w:r>
          </w:p>
        </w:tc>
        <w:tc>
          <w:tcPr>
            <w:tcW w:w="185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设备及工器具购置费</w:t>
            </w:r>
          </w:p>
        </w:tc>
        <w:tc>
          <w:tcPr>
            <w:tcW w:w="1011" w:type="dxa"/>
            <w:vAlign w:val="center"/>
          </w:tcPr>
          <w:p>
            <w:pPr>
              <w:jc w:val="center"/>
              <w:rPr>
                <w:rFonts w:ascii="Times New Roman" w:hAnsi="Times New Roman"/>
                <w:color w:val="000000" w:themeColor="text1"/>
                <w14:textFill>
                  <w14:solidFill>
                    <w14:schemeClr w14:val="tx1"/>
                  </w14:solidFill>
                </w14:textFill>
              </w:rPr>
            </w:pPr>
            <m:oMathPara>
              <m:oMath>
                <m:sSub>
                  <m:sSubPr>
                    <m:ctrlPr>
                      <w:rPr>
                        <w:rFonts w:ascii="Cambria Math" w:hAnsi="Cambria Math"/>
                        <w:color w:val="000000" w:themeColor="text1"/>
                        <w:sz w:val="22"/>
                        <w:szCs w:val="24"/>
                        <w14:textFill>
                          <w14:solidFill>
                            <w14:schemeClr w14:val="tx1"/>
                          </w14:solidFill>
                        </w14:textFill>
                      </w:rPr>
                    </m:ctrlPr>
                  </m:sSubPr>
                  <m:e>
                    <m:r>
                      <w:rPr>
                        <w:rFonts w:ascii="Cambria Math" w:hAnsi="Cambria Math"/>
                        <w:color w:val="000000" w:themeColor="text1"/>
                        <w:sz w:val="22"/>
                        <w:szCs w:val="24"/>
                        <w14:textFill>
                          <w14:solidFill>
                            <w14:schemeClr w14:val="tx1"/>
                          </w14:solidFill>
                        </w14:textFill>
                      </w:rPr>
                      <m:t>B</m:t>
                    </m:r>
                    <m:ctrlPr>
                      <w:rPr>
                        <w:rFonts w:ascii="Cambria Math" w:hAnsi="Cambria Math"/>
                        <w:color w:val="000000" w:themeColor="text1"/>
                        <w:sz w:val="22"/>
                        <w:szCs w:val="24"/>
                        <w14:textFill>
                          <w14:solidFill>
                            <w14:schemeClr w14:val="tx1"/>
                          </w14:solidFill>
                        </w14:textFill>
                      </w:rPr>
                    </m:ctrlPr>
                  </m:e>
                  <m:sub>
                    <m:r>
                      <m:rPr>
                        <m:sty m:val="p"/>
                      </m:rPr>
                      <w:rPr>
                        <w:rFonts w:ascii="Cambria Math" w:hAnsi="Cambria Math"/>
                        <w:color w:val="000000" w:themeColor="text1"/>
                        <w:sz w:val="22"/>
                        <w14:textFill>
                          <w14:solidFill>
                            <w14:schemeClr w14:val="tx1"/>
                          </w14:solidFill>
                        </w14:textFill>
                      </w:rPr>
                      <m:t>2</m:t>
                    </m:r>
                    <m:ctrlPr>
                      <w:rPr>
                        <w:rFonts w:ascii="Cambria Math" w:hAnsi="Cambria Math"/>
                        <w:color w:val="000000" w:themeColor="text1"/>
                        <w:sz w:val="22"/>
                        <w:szCs w:val="24"/>
                        <w14:textFill>
                          <w14:solidFill>
                            <w14:schemeClr w14:val="tx1"/>
                          </w14:solidFill>
                        </w14:textFill>
                      </w:rPr>
                    </m:ctrlPr>
                  </m:sub>
                </m:sSub>
              </m:oMath>
            </m:oMathPara>
          </w:p>
        </w:tc>
        <w:tc>
          <w:tcPr>
            <w:tcW w:w="860"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人民币</w:t>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万元</w:t>
            </w:r>
          </w:p>
        </w:tc>
        <w:tc>
          <w:tcPr>
            <w:tcW w:w="1266" w:type="dxa"/>
            <w:gridSpan w:val="2"/>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6873.01</w:t>
            </w:r>
          </w:p>
        </w:tc>
        <w:tc>
          <w:tcPr>
            <w:tcW w:w="1418" w:type="dxa"/>
            <w:vAlign w:val="center"/>
          </w:tcPr>
          <w:p>
            <w:pPr>
              <w:jc w:val="center"/>
              <w:rPr>
                <w:rFonts w:ascii="Times New Roman" w:hAnsi="Times New Roman"/>
                <w:color w:val="000000" w:themeColor="text1"/>
                <w14:textFill>
                  <w14:solidFill>
                    <w14:schemeClr w14:val="tx1"/>
                  </w14:solidFill>
                </w14:textFill>
              </w:rPr>
            </w:pPr>
          </w:p>
        </w:tc>
        <w:tc>
          <w:tcPr>
            <w:tcW w:w="2825"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报价中暂计</w:t>
            </w:r>
            <w:r>
              <w:rPr>
                <w:rFonts w:ascii="Times New Roman" w:hAnsi="Times New Roman"/>
                <w:color w:val="000000" w:themeColor="text1"/>
                <w:u w:val="single"/>
                <w14:textFill>
                  <w14:solidFill>
                    <w14:schemeClr w14:val="tx1"/>
                  </w14:solidFill>
                </w14:textFill>
              </w:rPr>
              <w:t>6873.01</w:t>
            </w:r>
            <w:r>
              <w:rPr>
                <w:rFonts w:hint="eastAsia" w:ascii="Times New Roman" w:hAnsi="Times New Roman"/>
                <w:color w:val="000000" w:themeColor="text1"/>
                <w14:textFill>
                  <w14:solidFill>
                    <w14:schemeClr w14:val="tx1"/>
                  </w14:solidFill>
                </w14:textFill>
              </w:rPr>
              <w:t>万元，根据实际支出情况计算。</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807"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w:t>
            </w:r>
          </w:p>
        </w:tc>
        <w:tc>
          <w:tcPr>
            <w:tcW w:w="185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工程建设其他费</w:t>
            </w:r>
          </w:p>
        </w:tc>
        <w:tc>
          <w:tcPr>
            <w:tcW w:w="1011" w:type="dxa"/>
            <w:vAlign w:val="center"/>
          </w:tcPr>
          <w:p>
            <w:pPr>
              <w:jc w:val="center"/>
              <w:rPr>
                <w:rFonts w:ascii="Times New Roman" w:hAnsi="Times New Roman"/>
                <w:color w:val="000000" w:themeColor="text1"/>
                <w:sz w:val="22"/>
                <w:szCs w:val="24"/>
                <w14:textFill>
                  <w14:solidFill>
                    <w14:schemeClr w14:val="tx1"/>
                  </w14:solidFill>
                </w14:textFill>
              </w:rPr>
            </w:pPr>
            <w:r>
              <w:rPr>
                <w:rFonts w:ascii="Times New Roman" w:hAnsi="Times New Roman"/>
                <w:color w:val="000000" w:themeColor="text1"/>
                <w14:textFill>
                  <w14:solidFill>
                    <w14:schemeClr w14:val="tx1"/>
                  </w14:solidFill>
                </w14:textFill>
              </w:rPr>
              <w:t>E</w:t>
            </w:r>
          </w:p>
        </w:tc>
        <w:tc>
          <w:tcPr>
            <w:tcW w:w="860"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人民币</w:t>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万元</w:t>
            </w:r>
          </w:p>
        </w:tc>
        <w:tc>
          <w:tcPr>
            <w:tcW w:w="1266" w:type="dxa"/>
            <w:gridSpan w:val="2"/>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42915.26</w:t>
            </w:r>
          </w:p>
        </w:tc>
        <w:tc>
          <w:tcPr>
            <w:tcW w:w="1418" w:type="dxa"/>
            <w:vAlign w:val="center"/>
          </w:tcPr>
          <w:p>
            <w:pPr>
              <w:jc w:val="center"/>
              <w:rPr>
                <w:rFonts w:ascii="Times New Roman" w:hAnsi="Times New Roman"/>
                <w:color w:val="000000" w:themeColor="text1"/>
                <w14:textFill>
                  <w14:solidFill>
                    <w14:schemeClr w14:val="tx1"/>
                  </w14:solidFill>
                </w14:textFill>
              </w:rPr>
            </w:pPr>
          </w:p>
        </w:tc>
        <w:tc>
          <w:tcPr>
            <w:tcW w:w="2825"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报价中暂计</w:t>
            </w:r>
            <w:r>
              <w:rPr>
                <w:rFonts w:ascii="Times New Roman" w:hAnsi="Times New Roman"/>
                <w:color w:val="000000" w:themeColor="text1"/>
                <w:u w:val="single"/>
                <w14:textFill>
                  <w14:solidFill>
                    <w14:schemeClr w14:val="tx1"/>
                  </w14:solidFill>
                </w14:textFill>
              </w:rPr>
              <w:t xml:space="preserve"> 42915.26 </w:t>
            </w:r>
            <w:r>
              <w:rPr>
                <w:rFonts w:hint="eastAsia" w:ascii="Times New Roman" w:hAnsi="Times New Roman"/>
                <w:color w:val="000000" w:themeColor="text1"/>
                <w14:textFill>
                  <w14:solidFill>
                    <w14:schemeClr w14:val="tx1"/>
                  </w14:solidFill>
                </w14:textFill>
              </w:rPr>
              <w:t>万元，根据实际支出情况计算。</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3" w:hRule="atLeast"/>
          <w:jc w:val="center"/>
        </w:trPr>
        <w:tc>
          <w:tcPr>
            <w:tcW w:w="807"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w:t>
            </w:r>
          </w:p>
        </w:tc>
        <w:tc>
          <w:tcPr>
            <w:tcW w:w="185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年运营维养成本</w:t>
            </w:r>
          </w:p>
        </w:tc>
        <w:tc>
          <w:tcPr>
            <w:tcW w:w="1011" w:type="dxa"/>
            <w:vAlign w:val="center"/>
          </w:tcPr>
          <w:p>
            <w:pPr>
              <w:jc w:val="center"/>
              <w:rPr>
                <w:rFonts w:ascii="Times New Roman" w:hAnsi="Times New Roman"/>
                <w:color w:val="000000" w:themeColor="text1"/>
                <w14:textFill>
                  <w14:solidFill>
                    <w14:schemeClr w14:val="tx1"/>
                  </w14:solidFill>
                </w14:textFill>
              </w:rPr>
            </w:pPr>
            <m:oMathPara>
              <m:oMath>
                <m:r>
                  <m:rPr>
                    <m:sty m:val="p"/>
                  </m:rPr>
                  <w:rPr>
                    <w:rFonts w:ascii="Cambria Math" w:hAnsi="Cambria Math"/>
                    <w:color w:val="000000" w:themeColor="text1"/>
                    <w:sz w:val="22"/>
                    <w:szCs w:val="24"/>
                    <w14:textFill>
                      <w14:solidFill>
                        <w14:schemeClr w14:val="tx1"/>
                      </w14:solidFill>
                    </w14:textFill>
                  </w:rPr>
                  <m:t>C</m:t>
                </m:r>
              </m:oMath>
            </m:oMathPara>
          </w:p>
        </w:tc>
        <w:tc>
          <w:tcPr>
            <w:tcW w:w="860"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人民币</w:t>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万元</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年</w:t>
            </w:r>
          </w:p>
        </w:tc>
        <w:tc>
          <w:tcPr>
            <w:tcW w:w="1266" w:type="dxa"/>
            <w:gridSpan w:val="2"/>
            <w:vAlign w:val="center"/>
          </w:tcPr>
          <w:p>
            <w:pPr>
              <w:jc w:val="center"/>
              <w:rPr>
                <w:rFonts w:ascii="Times New Roman" w:hAnsi="Times New Roman"/>
                <w:color w:val="000000" w:themeColor="text1"/>
                <w14:textFill>
                  <w14:solidFill>
                    <w14:schemeClr w14:val="tx1"/>
                  </w14:solidFill>
                </w14:textFill>
              </w:rPr>
            </w:pPr>
          </w:p>
        </w:tc>
        <w:tc>
          <w:tcPr>
            <w:tcW w:w="1418" w:type="dxa"/>
            <w:vAlign w:val="center"/>
          </w:tcPr>
          <w:p>
            <w:pPr>
              <w:jc w:val="center"/>
              <w:rPr>
                <w:rFonts w:ascii="Times New Roman" w:hAnsi="Times New Roman"/>
                <w:color w:val="000000" w:themeColor="text1"/>
                <w14:textFill>
                  <w14:solidFill>
                    <w14:schemeClr w14:val="tx1"/>
                  </w14:solidFill>
                </w14:textFill>
              </w:rPr>
            </w:pPr>
          </w:p>
        </w:tc>
        <w:tc>
          <w:tcPr>
            <w:tcW w:w="2825"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本项报价≤</w:t>
            </w:r>
            <w:r>
              <w:rPr>
                <w:rFonts w:ascii="Times New Roman" w:hAnsi="Times New Roman"/>
                <w:color w:val="000000" w:themeColor="text1"/>
                <w:u w:val="single"/>
                <w14:textFill>
                  <w14:solidFill>
                    <w14:schemeClr w14:val="tx1"/>
                  </w14:solidFill>
                </w14:textFill>
              </w:rPr>
              <w:t xml:space="preserve"> 2981.22</w:t>
            </w:r>
            <w:r>
              <w:rPr>
                <w:rFonts w:hint="eastAsia" w:ascii="Times New Roman" w:hAnsi="Times New Roman"/>
                <w:color w:val="000000" w:themeColor="text1"/>
                <w14:textFill>
                  <w14:solidFill>
                    <w14:schemeClr w14:val="tx1"/>
                  </w14:solidFill>
                </w14:textFill>
              </w:rPr>
              <w:t>万元</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年有效，（运营期内中修至少二次，大修至少一次）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jc w:val="center"/>
        </w:trPr>
        <w:tc>
          <w:tcPr>
            <w:tcW w:w="807"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w:t>
            </w:r>
          </w:p>
        </w:tc>
        <w:tc>
          <w:tcPr>
            <w:tcW w:w="185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入廊费</w:t>
            </w:r>
          </w:p>
        </w:tc>
        <w:tc>
          <w:tcPr>
            <w:tcW w:w="1011"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G</w:t>
            </w:r>
          </w:p>
        </w:tc>
        <w:tc>
          <w:tcPr>
            <w:tcW w:w="860"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人民币</w:t>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万元</w:t>
            </w:r>
          </w:p>
        </w:tc>
        <w:tc>
          <w:tcPr>
            <w:tcW w:w="1266" w:type="dxa"/>
            <w:gridSpan w:val="2"/>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6535.65</w:t>
            </w:r>
          </w:p>
        </w:tc>
        <w:tc>
          <w:tcPr>
            <w:tcW w:w="1418" w:type="dxa"/>
            <w:vAlign w:val="center"/>
          </w:tcPr>
          <w:p>
            <w:pPr>
              <w:jc w:val="center"/>
              <w:rPr>
                <w:rFonts w:ascii="Times New Roman" w:hAnsi="Times New Roman"/>
                <w:color w:val="000000" w:themeColor="text1"/>
                <w14:textFill>
                  <w14:solidFill>
                    <w14:schemeClr w14:val="tx1"/>
                  </w14:solidFill>
                </w14:textFill>
              </w:rPr>
            </w:pPr>
          </w:p>
        </w:tc>
        <w:tc>
          <w:tcPr>
            <w:tcW w:w="2825"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报价中暂计</w:t>
            </w:r>
            <w:r>
              <w:rPr>
                <w:rFonts w:ascii="Times New Roman" w:hAnsi="Times New Roman"/>
                <w:color w:val="000000" w:themeColor="text1"/>
                <w:u w:val="single"/>
                <w14:textFill>
                  <w14:solidFill>
                    <w14:schemeClr w14:val="tx1"/>
                  </w14:solidFill>
                </w14:textFill>
              </w:rPr>
              <w:t>6535.65</w:t>
            </w:r>
            <w:r>
              <w:rPr>
                <w:rFonts w:hint="eastAsia" w:ascii="Times New Roman" w:hAnsi="Times New Roman"/>
                <w:color w:val="000000" w:themeColor="text1"/>
                <w14:textFill>
                  <w14:solidFill>
                    <w14:schemeClr w14:val="tx1"/>
                  </w14:solidFill>
                </w14:textFill>
              </w:rPr>
              <w:t>万元，根据实际收取情况计算。</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3" w:hRule="atLeast"/>
          <w:jc w:val="center"/>
        </w:trPr>
        <w:tc>
          <w:tcPr>
            <w:tcW w:w="807"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w:t>
            </w:r>
          </w:p>
        </w:tc>
        <w:tc>
          <w:tcPr>
            <w:tcW w:w="185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年日常维护费</w:t>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（管廊）</w:t>
            </w:r>
          </w:p>
        </w:tc>
        <w:tc>
          <w:tcPr>
            <w:tcW w:w="1011" w:type="dxa"/>
            <w:vAlign w:val="center"/>
          </w:tcPr>
          <w:p>
            <w:pPr>
              <w:jc w:val="center"/>
              <w:rPr>
                <w:rFonts w:ascii="Times New Roman" w:hAnsi="Times New Roman"/>
                <w:color w:val="000000" w:themeColor="text1"/>
                <w14:textFill>
                  <w14:solidFill>
                    <w14:schemeClr w14:val="tx1"/>
                  </w14:solidFill>
                </w14:textFill>
              </w:rPr>
            </w:pPr>
            <m:oMathPara>
              <m:oMath>
                <m:r>
                  <m:rPr>
                    <m:sty m:val="p"/>
                  </m:rPr>
                  <w:rPr>
                    <w:rFonts w:ascii="Cambria Math" w:hAnsi="Cambria Math"/>
                    <w:color w:val="000000" w:themeColor="text1"/>
                    <w:sz w:val="22"/>
                    <w:szCs w:val="24"/>
                    <w14:textFill>
                      <w14:solidFill>
                        <w14:schemeClr w14:val="tx1"/>
                      </w14:solidFill>
                    </w14:textFill>
                  </w:rPr>
                  <m:t>Q</m:t>
                </m:r>
              </m:oMath>
            </m:oMathPara>
          </w:p>
        </w:tc>
        <w:tc>
          <w:tcPr>
            <w:tcW w:w="860"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人民币</w:t>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万元</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年</w:t>
            </w:r>
          </w:p>
        </w:tc>
        <w:tc>
          <w:tcPr>
            <w:tcW w:w="1266" w:type="dxa"/>
            <w:gridSpan w:val="2"/>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460.00</w:t>
            </w:r>
          </w:p>
        </w:tc>
        <w:tc>
          <w:tcPr>
            <w:tcW w:w="1418" w:type="dxa"/>
            <w:vAlign w:val="center"/>
          </w:tcPr>
          <w:p>
            <w:pPr>
              <w:jc w:val="center"/>
              <w:rPr>
                <w:rFonts w:ascii="Times New Roman" w:hAnsi="Times New Roman"/>
                <w:color w:val="000000" w:themeColor="text1"/>
                <w14:textFill>
                  <w14:solidFill>
                    <w14:schemeClr w14:val="tx1"/>
                  </w14:solidFill>
                </w14:textFill>
              </w:rPr>
            </w:pPr>
          </w:p>
        </w:tc>
        <w:tc>
          <w:tcPr>
            <w:tcW w:w="2825" w:type="dxa"/>
            <w:vAlign w:val="center"/>
          </w:tcPr>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暂按</w:t>
            </w:r>
            <w:r>
              <w:rPr>
                <w:rFonts w:ascii="Times New Roman" w:hAnsi="Times New Roman"/>
                <w:color w:val="000000" w:themeColor="text1"/>
                <w14:textFill>
                  <w14:solidFill>
                    <w14:schemeClr w14:val="tx1"/>
                  </w14:solidFill>
                </w14:textFill>
              </w:rPr>
              <w:t>100</w:t>
            </w:r>
            <w:r>
              <w:rPr>
                <w:rFonts w:hint="eastAsia" w:ascii="Times New Roman" w:hAnsi="Times New Roman"/>
                <w:color w:val="000000" w:themeColor="text1"/>
                <w14:textFill>
                  <w14:solidFill>
                    <w14:schemeClr w14:val="tx1"/>
                  </w14:solidFill>
                </w14:textFill>
              </w:rPr>
              <w:t>万元</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公里</w:t>
            </w:r>
            <w:r>
              <w:rPr>
                <w:rFonts w:hint="eastAsia" w:ascii="宋体" w:hAnsi="宋体"/>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年计，报价中公里数暂计</w:t>
            </w:r>
            <w:r>
              <w:rPr>
                <w:rFonts w:ascii="Times New Roman" w:hAnsi="Times New Roman"/>
                <w:color w:val="000000" w:themeColor="text1"/>
                <w14:textFill>
                  <w14:solidFill>
                    <w14:schemeClr w14:val="tx1"/>
                  </w14:solidFill>
                </w14:textFill>
              </w:rPr>
              <w:t>4.6</w:t>
            </w:r>
            <w:r>
              <w:rPr>
                <w:rFonts w:hint="eastAsia" w:ascii="Times New Roman" w:hAnsi="Times New Roman"/>
                <w:color w:val="000000" w:themeColor="text1"/>
                <w14:textFill>
                  <w14:solidFill>
                    <w14:schemeClr w14:val="tx1"/>
                  </w14:solidFill>
                </w14:textFill>
              </w:rPr>
              <w:t>公里，暂计</w:t>
            </w:r>
            <w:r>
              <w:rPr>
                <w:rFonts w:ascii="Times New Roman" w:hAnsi="Times New Roman"/>
                <w:color w:val="000000" w:themeColor="text1"/>
                <w:u w:val="single"/>
                <w14:textFill>
                  <w14:solidFill>
                    <w14:schemeClr w14:val="tx1"/>
                  </w14:solidFill>
                </w14:textFill>
              </w:rPr>
              <w:t>460.00</w:t>
            </w:r>
            <w:r>
              <w:rPr>
                <w:rFonts w:hint="eastAsia" w:ascii="Times New Roman" w:hAnsi="Times New Roman"/>
                <w:color w:val="000000" w:themeColor="text1"/>
                <w14:textFill>
                  <w14:solidFill>
                    <w14:schemeClr w14:val="tx1"/>
                  </w14:solidFill>
                </w14:textFill>
              </w:rPr>
              <w:t>万元</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2" w:hRule="atLeast"/>
          <w:jc w:val="center"/>
        </w:trPr>
        <w:tc>
          <w:tcPr>
            <w:tcW w:w="807"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w:t>
            </w:r>
          </w:p>
        </w:tc>
        <w:tc>
          <w:tcPr>
            <w:tcW w:w="185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第一年可行性缺口补助预测基数</w:t>
            </w:r>
          </w:p>
        </w:tc>
        <w:tc>
          <w:tcPr>
            <w:tcW w:w="1011" w:type="dxa"/>
            <w:vAlign w:val="center"/>
          </w:tcPr>
          <w:p>
            <w:pPr>
              <w:jc w:val="center"/>
              <w:rPr>
                <w:rFonts w:ascii="Times New Roman" w:hAnsi="Times New Roman"/>
                <w:color w:val="000000" w:themeColor="text1"/>
                <w14:textFill>
                  <w14:solidFill>
                    <w14:schemeClr w14:val="tx1"/>
                  </w14:solidFill>
                </w14:textFill>
              </w:rPr>
            </w:pPr>
            <m:oMathPara>
              <m:oMath>
                <m:sSub>
                  <m:sSubPr>
                    <m:ctrlPr>
                      <w:rPr>
                        <w:rFonts w:ascii="Cambria Math" w:hAnsi="Cambria Math"/>
                        <w:color w:val="000000" w:themeColor="text1"/>
                        <w:sz w:val="22"/>
                        <w:szCs w:val="24"/>
                        <w14:textFill>
                          <w14:solidFill>
                            <w14:schemeClr w14:val="tx1"/>
                          </w14:solidFill>
                        </w14:textFill>
                      </w:rPr>
                    </m:ctrlPr>
                  </m:sSubPr>
                  <m:e>
                    <m:r>
                      <m:rPr>
                        <m:sty m:val="p"/>
                      </m:rPr>
                      <w:rPr>
                        <w:rFonts w:ascii="Cambria Math" w:hAnsi="Cambria Math"/>
                        <w:color w:val="000000" w:themeColor="text1"/>
                        <w:sz w:val="22"/>
                        <w14:textFill>
                          <w14:solidFill>
                            <w14:schemeClr w14:val="tx1"/>
                          </w14:solidFill>
                        </w14:textFill>
                      </w:rPr>
                      <m:t>A</m:t>
                    </m:r>
                    <m:ctrlPr>
                      <w:rPr>
                        <w:rFonts w:ascii="Cambria Math" w:hAnsi="Cambria Math"/>
                        <w:color w:val="000000" w:themeColor="text1"/>
                        <w:sz w:val="22"/>
                        <w:szCs w:val="24"/>
                        <w14:textFill>
                          <w14:solidFill>
                            <w14:schemeClr w14:val="tx1"/>
                          </w14:solidFill>
                        </w14:textFill>
                      </w:rPr>
                    </m:ctrlPr>
                  </m:e>
                  <m:sub>
                    <m:r>
                      <m:rPr>
                        <m:sty m:val="p"/>
                      </m:rPr>
                      <w:rPr>
                        <w:rFonts w:ascii="Cambria Math" w:hAnsi="Cambria Math"/>
                        <w:color w:val="000000" w:themeColor="text1"/>
                        <w:sz w:val="22"/>
                        <w14:textFill>
                          <w14:solidFill>
                            <w14:schemeClr w14:val="tx1"/>
                          </w14:solidFill>
                        </w14:textFill>
                      </w:rPr>
                      <m:t>1</m:t>
                    </m:r>
                    <m:ctrlPr>
                      <w:rPr>
                        <w:rFonts w:ascii="Cambria Math" w:hAnsi="Cambria Math"/>
                        <w:color w:val="000000" w:themeColor="text1"/>
                        <w:sz w:val="22"/>
                        <w:szCs w:val="24"/>
                        <w14:textFill>
                          <w14:solidFill>
                            <w14:schemeClr w14:val="tx1"/>
                          </w14:solidFill>
                        </w14:textFill>
                      </w:rPr>
                    </m:ctrlPr>
                  </m:sub>
                </m:sSub>
              </m:oMath>
            </m:oMathPara>
          </w:p>
        </w:tc>
        <w:tc>
          <w:tcPr>
            <w:tcW w:w="860"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人民币</w:t>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万元</w:t>
            </w:r>
          </w:p>
        </w:tc>
        <w:tc>
          <w:tcPr>
            <w:tcW w:w="1266" w:type="dxa"/>
            <w:gridSpan w:val="2"/>
            <w:vAlign w:val="center"/>
          </w:tcPr>
          <w:p>
            <w:pPr>
              <w:jc w:val="center"/>
              <w:rPr>
                <w:rFonts w:ascii="Times New Roman" w:hAnsi="Times New Roman"/>
                <w:color w:val="000000" w:themeColor="text1"/>
                <w14:textFill>
                  <w14:solidFill>
                    <w14:schemeClr w14:val="tx1"/>
                  </w14:solidFill>
                </w14:textFill>
              </w:rPr>
            </w:pPr>
          </w:p>
        </w:tc>
        <w:tc>
          <w:tcPr>
            <w:tcW w:w="1418" w:type="dxa"/>
            <w:vAlign w:val="center"/>
          </w:tcPr>
          <w:p>
            <w:pPr>
              <w:jc w:val="center"/>
              <w:rPr>
                <w:rFonts w:ascii="Times New Roman" w:hAnsi="Times New Roman"/>
                <w:color w:val="000000" w:themeColor="text1"/>
                <w14:textFill>
                  <w14:solidFill>
                    <w14:schemeClr w14:val="tx1"/>
                  </w14:solidFill>
                </w14:textFill>
              </w:rPr>
            </w:pPr>
          </w:p>
        </w:tc>
        <w:tc>
          <w:tcPr>
            <w:tcW w:w="2825"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报价中入廊费暂定在运营期第一年进行扣减</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807" w:type="dxa"/>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11</w:t>
            </w:r>
          </w:p>
        </w:tc>
        <w:tc>
          <w:tcPr>
            <w:tcW w:w="1853"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可行性缺口补助预测基数总额</w:t>
            </w:r>
          </w:p>
        </w:tc>
        <w:tc>
          <w:tcPr>
            <w:tcW w:w="1011" w:type="dxa"/>
            <w:vAlign w:val="center"/>
          </w:tcPr>
          <w:p>
            <w:pPr>
              <w:jc w:val="center"/>
              <w:rPr>
                <w:rFonts w:ascii="Times New Roman" w:hAnsi="Times New Roman"/>
                <w:color w:val="000000" w:themeColor="text1"/>
                <w14:textFill>
                  <w14:solidFill>
                    <w14:schemeClr w14:val="tx1"/>
                  </w14:solidFill>
                </w14:textFill>
              </w:rPr>
            </w:pPr>
            <m:oMathPara>
              <m:oMath>
                <m:sSub>
                  <m:sSubPr>
                    <m:ctrlPr>
                      <w:rPr>
                        <w:rFonts w:ascii="Cambria Math" w:hAnsi="Cambria Math"/>
                        <w:color w:val="000000" w:themeColor="text1"/>
                        <w:sz w:val="24"/>
                        <w:szCs w:val="24"/>
                        <w14:textFill>
                          <w14:solidFill>
                            <w14:schemeClr w14:val="tx1"/>
                          </w14:solidFill>
                        </w14:textFill>
                      </w:rPr>
                    </m:ctrlPr>
                  </m:sSubPr>
                  <m:e>
                    <m:r>
                      <w:rPr>
                        <w:rFonts w:ascii="Cambria Math" w:hAnsi="Cambria Math"/>
                        <w:color w:val="000000" w:themeColor="text1"/>
                        <w:sz w:val="24"/>
                        <w14:textFill>
                          <w14:solidFill>
                            <w14:schemeClr w14:val="tx1"/>
                          </w14:solidFill>
                        </w14:textFill>
                      </w:rPr>
                      <m:t>S</m:t>
                    </m:r>
                    <m:ctrlPr>
                      <w:rPr>
                        <w:rFonts w:ascii="Cambria Math" w:hAnsi="Cambria Math"/>
                        <w:color w:val="000000" w:themeColor="text1"/>
                        <w:sz w:val="24"/>
                        <w:szCs w:val="24"/>
                        <w14:textFill>
                          <w14:solidFill>
                            <w14:schemeClr w14:val="tx1"/>
                          </w14:solidFill>
                        </w14:textFill>
                      </w:rPr>
                    </m:ctrlPr>
                  </m:e>
                  <m:sub>
                    <m:r>
                      <w:rPr>
                        <w:rFonts w:ascii="Cambria Math" w:hAnsi="Cambria Math"/>
                        <w:color w:val="000000" w:themeColor="text1"/>
                        <w:sz w:val="24"/>
                        <w14:textFill>
                          <w14:solidFill>
                            <w14:schemeClr w14:val="tx1"/>
                          </w14:solidFill>
                        </w14:textFill>
                      </w:rPr>
                      <m:t>n</m:t>
                    </m:r>
                    <m:ctrlPr>
                      <w:rPr>
                        <w:rFonts w:ascii="Cambria Math" w:hAnsi="Cambria Math"/>
                        <w:color w:val="000000" w:themeColor="text1"/>
                        <w:sz w:val="24"/>
                        <w:szCs w:val="24"/>
                        <w14:textFill>
                          <w14:solidFill>
                            <w14:schemeClr w14:val="tx1"/>
                          </w14:solidFill>
                        </w14:textFill>
                      </w:rPr>
                    </m:ctrlPr>
                  </m:sub>
                </m:sSub>
              </m:oMath>
            </m:oMathPara>
          </w:p>
        </w:tc>
        <w:tc>
          <w:tcPr>
            <w:tcW w:w="860"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人民币</w:t>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万元</w:t>
            </w:r>
          </w:p>
        </w:tc>
        <w:tc>
          <w:tcPr>
            <w:tcW w:w="1266" w:type="dxa"/>
            <w:gridSpan w:val="2"/>
            <w:vAlign w:val="center"/>
          </w:tcPr>
          <w:p>
            <w:pPr>
              <w:jc w:val="center"/>
              <w:rPr>
                <w:rFonts w:ascii="Times New Roman" w:hAnsi="Times New Roman"/>
                <w:color w:val="000000" w:themeColor="text1"/>
                <w14:textFill>
                  <w14:solidFill>
                    <w14:schemeClr w14:val="tx1"/>
                  </w14:solidFill>
                </w14:textFill>
              </w:rPr>
            </w:pPr>
          </w:p>
        </w:tc>
        <w:tc>
          <w:tcPr>
            <w:tcW w:w="1418" w:type="dxa"/>
            <w:vAlign w:val="center"/>
          </w:tcPr>
          <w:p>
            <w:pPr>
              <w:jc w:val="center"/>
              <w:rPr>
                <w:rFonts w:ascii="Times New Roman" w:hAnsi="Times New Roman"/>
                <w:color w:val="000000" w:themeColor="text1"/>
                <w14:textFill>
                  <w14:solidFill>
                    <w14:schemeClr w14:val="tx1"/>
                  </w14:solidFill>
                </w14:textFill>
              </w:rPr>
            </w:pPr>
          </w:p>
        </w:tc>
        <w:tc>
          <w:tcPr>
            <w:tcW w:w="2825" w:type="dxa"/>
            <w:vAlign w:val="center"/>
          </w:tcPr>
          <w:p>
            <w:pPr>
              <w:jc w:val="center"/>
              <w:rPr>
                <w:rFonts w:ascii="Times New Roman" w:hAnsi="Times New Roman"/>
                <w:color w:val="000000" w:themeColor="text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jc w:val="center"/>
        </w:trPr>
        <w:tc>
          <w:tcPr>
            <w:tcW w:w="4871" w:type="dxa"/>
            <w:gridSpan w:val="5"/>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投标人或联合体牵头公司</w:t>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（加盖公章）</w:t>
            </w:r>
          </w:p>
        </w:tc>
        <w:tc>
          <w:tcPr>
            <w:tcW w:w="5169" w:type="dxa"/>
            <w:gridSpan w:val="3"/>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法定代表人或授权代表人</w:t>
            </w:r>
          </w:p>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（签字或签章）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4871" w:type="dxa"/>
            <w:gridSpan w:val="5"/>
            <w:vAlign w:val="center"/>
          </w:tcPr>
          <w:p>
            <w:pPr>
              <w:rPr>
                <w:rFonts w:ascii="Times New Roman" w:hAnsi="Times New Roman"/>
                <w:color w:val="000000" w:themeColor="text1"/>
                <w14:textFill>
                  <w14:solidFill>
                    <w14:schemeClr w14:val="tx1"/>
                  </w14:solidFill>
                </w14:textFill>
              </w:rPr>
            </w:pPr>
          </w:p>
        </w:tc>
        <w:tc>
          <w:tcPr>
            <w:tcW w:w="5169" w:type="dxa"/>
            <w:gridSpan w:val="3"/>
            <w:vAlign w:val="center"/>
          </w:tcPr>
          <w:p>
            <w:pPr>
              <w:rPr>
                <w:rFonts w:ascii="Times New Roman" w:hAnsi="Times New Roman"/>
                <w:color w:val="000000" w:themeColor="text1"/>
                <w14:textFill>
                  <w14:solidFill>
                    <w14:schemeClr w14:val="tx1"/>
                  </w14:solidFill>
                </w14:textFill>
              </w:rPr>
            </w:pPr>
          </w:p>
        </w:tc>
      </w:tr>
    </w:tbl>
    <w:p>
      <w:pPr>
        <w:rPr>
          <w:rFonts w:ascii="Times New Roman" w:hAnsi="Times New Roman"/>
          <w:color w:val="000000" w:themeColor="text1"/>
          <w14:textFill>
            <w14:solidFill>
              <w14:schemeClr w14:val="tx1"/>
            </w14:solidFill>
          </w14:textFill>
        </w:rPr>
      </w:pPr>
    </w:p>
    <w:p>
      <w:pPr>
        <w:ind w:firstLine="5527" w:firstLineChars="2632"/>
        <w:rPr>
          <w:rFonts w:ascii="Times New Roman" w:hAnsi="Times New Roman"/>
          <w:color w:val="000000" w:themeColor="text1"/>
          <w14:textFill>
            <w14:solidFill>
              <w14:schemeClr w14:val="tx1"/>
            </w14:solidFill>
          </w14:textFill>
        </w:rPr>
      </w:pP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日</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注：上述报价中，大写数值与小写数值不一致的，以大写为准。年投资回报率和建安费用下浮率均投报以百分率计的数值，实际合同和评标取用计算为百分率数（例：年投资回报率报价填报为</w:t>
      </w:r>
      <w:r>
        <w:rPr>
          <w:rFonts w:ascii="Times New Roman" w:hAnsi="Times New Roman"/>
          <w:color w:val="000000" w:themeColor="text1"/>
          <w14:textFill>
            <w14:solidFill>
              <w14:schemeClr w14:val="tx1"/>
            </w14:solidFill>
          </w14:textFill>
        </w:rPr>
        <w:t>6.12</w:t>
      </w:r>
      <w:r>
        <w:rPr>
          <w:rFonts w:hint="eastAsia" w:ascii="Times New Roman" w:hAnsi="Times New Roman"/>
          <w:color w:val="000000" w:themeColor="text1"/>
          <w14:textFill>
            <w14:solidFill>
              <w14:schemeClr w14:val="tx1"/>
            </w14:solidFill>
          </w14:textFill>
        </w:rPr>
        <w:t>（陆点壹贰），则</w:t>
      </w:r>
      <w:r>
        <w:rPr>
          <w:rFonts w:ascii="Times New Roman" w:hAnsi="Times New Roman"/>
          <w:color w:val="000000" w:themeColor="text1"/>
          <w14:textFill>
            <w14:solidFill>
              <w14:schemeClr w14:val="tx1"/>
            </w14:solidFill>
          </w14:textFill>
        </w:rPr>
        <w:t>i=6.12%</w:t>
      </w:r>
      <w:r>
        <w:rPr>
          <w:rFonts w:hint="eastAsia" w:ascii="Times New Roman" w:hAnsi="Times New Roman"/>
          <w:color w:val="000000" w:themeColor="text1"/>
          <w14:textFill>
            <w14:solidFill>
              <w14:schemeClr w14:val="tx1"/>
            </w14:solidFill>
          </w14:textFill>
        </w:rPr>
        <w:t>；建安费用下浮率报价填报为</w:t>
      </w:r>
      <w:r>
        <w:rPr>
          <w:rFonts w:ascii="Times New Roman" w:hAnsi="Times New Roman"/>
          <w:color w:val="000000" w:themeColor="text1"/>
          <w14:textFill>
            <w14:solidFill>
              <w14:schemeClr w14:val="tx1"/>
            </w14:solidFill>
          </w14:textFill>
        </w:rPr>
        <w:t>11.05</w:t>
      </w:r>
      <w:r>
        <w:rPr>
          <w:rFonts w:hint="eastAsia" w:ascii="Times New Roman" w:hAnsi="Times New Roman"/>
          <w:color w:val="000000" w:themeColor="text1"/>
          <w14:textFill>
            <w14:solidFill>
              <w14:schemeClr w14:val="tx1"/>
            </w14:solidFill>
          </w14:textFill>
        </w:rPr>
        <w:t>（壹拾壹点零伍），则</w:t>
      </w:r>
      <w:r>
        <w:rPr>
          <w:rFonts w:ascii="Times New Roman" w:hAnsi="Times New Roman"/>
          <w:color w:val="000000" w:themeColor="text1"/>
          <w14:textFill>
            <w14:solidFill>
              <w14:schemeClr w14:val="tx1"/>
            </w14:solidFill>
          </w14:textFill>
        </w:rPr>
        <w:t>z=11.05%</w:t>
      </w:r>
      <w:r>
        <w:rPr>
          <w:rFonts w:hint="eastAsia" w:ascii="Times New Roman" w:hAnsi="Times New Roman"/>
          <w:color w:val="000000" w:themeColor="text1"/>
          <w14:textFill>
            <w14:solidFill>
              <w14:schemeClr w14:val="tx1"/>
            </w14:solidFill>
          </w14:textFill>
        </w:rPr>
        <w:t>），</w:t>
      </w:r>
      <w:r>
        <w:rPr>
          <w:rFonts w:hint="eastAsia" w:ascii="Times New Roman" w:hAnsi="Times New Roman"/>
          <w:b/>
          <w:color w:val="000000" w:themeColor="text1"/>
          <w14:textFill>
            <w14:solidFill>
              <w14:schemeClr w14:val="tx1"/>
            </w14:solidFill>
          </w14:textFill>
        </w:rPr>
        <w:t>上述表格中报价数据均保留两位小数。上述报价中投资回报上浮率、建安费用下浮率、年运营维养成本为履行</w:t>
      </w:r>
      <w:r>
        <w:rPr>
          <w:rFonts w:ascii="Times New Roman" w:hAnsi="Times New Roman"/>
          <w:b/>
          <w:color w:val="000000" w:themeColor="text1"/>
          <w14:textFill>
            <w14:solidFill>
              <w14:schemeClr w14:val="tx1"/>
            </w14:solidFill>
          </w14:textFill>
        </w:rPr>
        <w:t>PPP</w:t>
      </w:r>
      <w:r>
        <w:rPr>
          <w:rFonts w:hint="eastAsia" w:ascii="Times New Roman" w:hAnsi="Times New Roman"/>
          <w:b/>
          <w:color w:val="000000" w:themeColor="text1"/>
          <w14:textFill>
            <w14:solidFill>
              <w14:schemeClr w14:val="tx1"/>
            </w14:solidFill>
          </w14:textFill>
        </w:rPr>
        <w:t>项目合同的关键性数据，其余仅在本次报价中特别约定，并根据</w:t>
      </w:r>
      <w:r>
        <w:rPr>
          <w:rFonts w:ascii="Times New Roman" w:hAnsi="Times New Roman"/>
          <w:b/>
          <w:color w:val="000000" w:themeColor="text1"/>
          <w14:textFill>
            <w14:solidFill>
              <w14:schemeClr w14:val="tx1"/>
            </w14:solidFill>
          </w14:textFill>
        </w:rPr>
        <w:t>PPP</w:t>
      </w:r>
      <w:r>
        <w:rPr>
          <w:rFonts w:hint="eastAsia" w:ascii="Times New Roman" w:hAnsi="Times New Roman"/>
          <w:b/>
          <w:color w:val="000000" w:themeColor="text1"/>
          <w14:textFill>
            <w14:solidFill>
              <w14:schemeClr w14:val="tx1"/>
            </w14:solidFill>
          </w14:textFill>
        </w:rPr>
        <w:t>项目合同条款约定执行。</w:t>
      </w:r>
    </w:p>
    <w:p>
      <w:pPr>
        <w:jc w:val="center"/>
        <w:rPr>
          <w:rFonts w:ascii="Times New Roman" w:hAnsi="Times New Roman"/>
          <w:color w:val="000000" w:themeColor="text1"/>
          <w:sz w:val="28"/>
          <w14:textFill>
            <w14:solidFill>
              <w14:schemeClr w14:val="tx1"/>
            </w14:solidFill>
          </w14:textFill>
        </w:rPr>
      </w:pPr>
      <w:r>
        <w:rPr>
          <w:rFonts w:hint="eastAsia" w:ascii="Times New Roman" w:hAnsi="Times New Roman"/>
          <w:color w:val="000000" w:themeColor="text1"/>
          <w:sz w:val="28"/>
          <w14:textFill>
            <w14:solidFill>
              <w14:schemeClr w14:val="tx1"/>
            </w14:solidFill>
          </w14:textFill>
        </w:rPr>
        <w:t>商务报价填表计算说明</w:t>
      </w:r>
    </w:p>
    <w:p>
      <w:pP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报价计算公式如下：</w:t>
      </w:r>
    </w:p>
    <w:p>
      <w:pPr>
        <w:rPr>
          <w:rFonts w:ascii="Times New Roman" w:hAnsi="Times New Roman"/>
          <w:color w:val="000000" w:themeColor="text1"/>
          <w:sz w:val="24"/>
          <w:szCs w:val="24"/>
          <w14:textFill>
            <w14:solidFill>
              <w14:schemeClr w14:val="tx1"/>
            </w14:solidFill>
          </w14:textFill>
        </w:rPr>
      </w:pPr>
    </w:p>
    <w:tbl>
      <w:tblPr>
        <w:tblStyle w:val="58"/>
        <w:tblW w:w="85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2" w:hRule="atLeast"/>
          <w:jc w:val="center"/>
        </w:trPr>
        <w:tc>
          <w:tcPr>
            <w:tcW w:w="8500" w:type="dxa"/>
            <w:vAlign w:val="center"/>
          </w:tcPr>
          <w:p>
            <w:pPr>
              <w:spacing w:line="440" w:lineRule="exact"/>
              <w:ind w:firstLine="360" w:firstLineChars="150"/>
              <w:jc w:val="left"/>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投标人可根据项目投资额、项目边界条件和要求测算运营期内各年的可行性缺口补助。且需按以下公式计算每年可行性缺口补助基数（即</w:t>
            </w:r>
            <m:oMath>
              <m:sSub>
                <m:sSubPr>
                  <m:ctrlPr>
                    <w:rPr>
                      <w:rFonts w:ascii="Cambria Math" w:hAnsi="Cambria Math"/>
                      <w:color w:val="000000" w:themeColor="text1"/>
                      <w:kern w:val="0"/>
                      <w:sz w:val="22"/>
                      <w:szCs w:val="24"/>
                      <w14:textFill>
                        <w14:solidFill>
                          <w14:schemeClr w14:val="tx1"/>
                        </w14:solidFill>
                      </w14:textFill>
                    </w:rPr>
                  </m:ctrlPr>
                </m:sSubPr>
                <m:e>
                  <m:r>
                    <m:rPr>
                      <m:sty m:val="p"/>
                    </m:rPr>
                    <w:rPr>
                      <w:rFonts w:ascii="Cambria Math" w:hAnsi="Cambria Math"/>
                      <w:color w:val="000000" w:themeColor="text1"/>
                      <w:kern w:val="0"/>
                      <w:sz w:val="22"/>
                      <w:szCs w:val="20"/>
                      <w14:textFill>
                        <w14:solidFill>
                          <w14:schemeClr w14:val="tx1"/>
                        </w14:solidFill>
                      </w14:textFill>
                    </w:rPr>
                    <m:t>A</m:t>
                  </m:r>
                  <m:ctrlPr>
                    <w:rPr>
                      <w:rFonts w:ascii="Cambria Math" w:hAnsi="Cambria Math"/>
                      <w:color w:val="000000" w:themeColor="text1"/>
                      <w:kern w:val="0"/>
                      <w:sz w:val="22"/>
                      <w:szCs w:val="24"/>
                      <w14:textFill>
                        <w14:solidFill>
                          <w14:schemeClr w14:val="tx1"/>
                        </w14:solidFill>
                      </w14:textFill>
                    </w:rPr>
                  </m:ctrlPr>
                </m:e>
                <m:sub>
                  <m:r>
                    <m:rPr>
                      <m:sty m:val="p"/>
                    </m:rPr>
                    <w:rPr>
                      <w:rFonts w:ascii="Cambria Math" w:hAnsi="Cambria Math"/>
                      <w:color w:val="000000" w:themeColor="text1"/>
                      <w:kern w:val="0"/>
                      <w:sz w:val="22"/>
                      <w:szCs w:val="20"/>
                      <w14:textFill>
                        <w14:solidFill>
                          <w14:schemeClr w14:val="tx1"/>
                        </w14:solidFill>
                      </w14:textFill>
                    </w:rPr>
                    <m:t>n</m:t>
                  </m:r>
                  <m:ctrlPr>
                    <w:rPr>
                      <w:rFonts w:ascii="Cambria Math" w:hAnsi="Cambria Math"/>
                      <w:color w:val="000000" w:themeColor="text1"/>
                      <w:kern w:val="0"/>
                      <w:sz w:val="22"/>
                      <w:szCs w:val="24"/>
                      <w14:textFill>
                        <w14:solidFill>
                          <w14:schemeClr w14:val="tx1"/>
                        </w14:solidFill>
                      </w14:textFill>
                    </w:rPr>
                  </m:ctrlPr>
                </m:sub>
              </m:sSub>
            </m:oMath>
            <w:r>
              <w:rPr>
                <w:rFonts w:hint="eastAsia"/>
                <w:color w:val="000000" w:themeColor="text1"/>
                <w:kern w:val="0"/>
                <w:sz w:val="24"/>
                <w:szCs w:val="20"/>
                <w14:textFill>
                  <w14:solidFill>
                    <w14:schemeClr w14:val="tx1"/>
                  </w14:solidFill>
                </w14:textFill>
              </w:rPr>
              <w:t>）：</w:t>
            </w:r>
          </w:p>
          <w:p>
            <w:pPr>
              <w:tabs>
                <w:tab w:val="left" w:pos="5954"/>
              </w:tabs>
              <w:ind w:firstLine="440"/>
              <w:jc w:val="left"/>
              <w:rPr>
                <w:color w:val="000000" w:themeColor="text1"/>
                <w:kern w:val="0"/>
                <w:sz w:val="28"/>
                <w:szCs w:val="20"/>
                <w14:textFill>
                  <w14:solidFill>
                    <w14:schemeClr w14:val="tx1"/>
                  </w14:solidFill>
                </w14:textFill>
              </w:rPr>
            </w:pPr>
            <m:oMathPara>
              <m:oMathParaPr>
                <m:jc m:val="center"/>
              </m:oMathParaPr>
              <m:oMath>
                <m:sSub>
                  <m:sSubPr>
                    <m:ctrlPr>
                      <w:rPr>
                        <w:rFonts w:ascii="Cambria Math" w:hAnsi="Cambria Math"/>
                        <w:color w:val="000000" w:themeColor="text1"/>
                        <w:kern w:val="0"/>
                        <w:sz w:val="22"/>
                        <w:szCs w:val="24"/>
                        <w14:textFill>
                          <w14:solidFill>
                            <w14:schemeClr w14:val="tx1"/>
                          </w14:solidFill>
                        </w14:textFill>
                      </w:rPr>
                    </m:ctrlPr>
                  </m:sSubPr>
                  <m:e>
                    <m:r>
                      <m:rPr>
                        <m:sty m:val="p"/>
                      </m:rPr>
                      <w:rPr>
                        <w:rFonts w:ascii="Cambria Math" w:hAnsi="Cambria Math"/>
                        <w:color w:val="000000" w:themeColor="text1"/>
                        <w:kern w:val="0"/>
                        <w:sz w:val="22"/>
                        <w:szCs w:val="20"/>
                        <w14:textFill>
                          <w14:solidFill>
                            <w14:schemeClr w14:val="tx1"/>
                          </w14:solidFill>
                        </w14:textFill>
                      </w:rPr>
                      <m:t>A</m:t>
                    </m:r>
                    <m:ctrlPr>
                      <w:rPr>
                        <w:rFonts w:ascii="Cambria Math" w:hAnsi="Cambria Math"/>
                        <w:color w:val="000000" w:themeColor="text1"/>
                        <w:kern w:val="0"/>
                        <w:sz w:val="22"/>
                        <w:szCs w:val="24"/>
                        <w14:textFill>
                          <w14:solidFill>
                            <w14:schemeClr w14:val="tx1"/>
                          </w14:solidFill>
                        </w14:textFill>
                      </w:rPr>
                    </m:ctrlPr>
                  </m:e>
                  <m:sub>
                    <m:r>
                      <m:rPr>
                        <m:sty m:val="p"/>
                      </m:rPr>
                      <w:rPr>
                        <w:rFonts w:ascii="Cambria Math" w:hAnsi="Cambria Math"/>
                        <w:color w:val="000000" w:themeColor="text1"/>
                        <w:kern w:val="0"/>
                        <w:sz w:val="22"/>
                        <w:szCs w:val="20"/>
                        <w14:textFill>
                          <w14:solidFill>
                            <w14:schemeClr w14:val="tx1"/>
                          </w14:solidFill>
                        </w14:textFill>
                      </w:rPr>
                      <m:t>n</m:t>
                    </m:r>
                    <m:ctrlPr>
                      <w:rPr>
                        <w:rFonts w:ascii="Cambria Math" w:hAnsi="Cambria Math"/>
                        <w:color w:val="000000" w:themeColor="text1"/>
                        <w:kern w:val="0"/>
                        <w:sz w:val="22"/>
                        <w:szCs w:val="24"/>
                        <w14:textFill>
                          <w14:solidFill>
                            <w14:schemeClr w14:val="tx1"/>
                          </w14:solidFill>
                        </w14:textFill>
                      </w:rPr>
                    </m:ctrlPr>
                  </m:sub>
                </m:sSub>
                <m:r>
                  <w:rPr>
                    <w:rFonts w:ascii="Cambria Math" w:hAnsi="Cambria Math"/>
                    <w:color w:val="000000" w:themeColor="text1"/>
                    <w:kern w:val="0"/>
                    <w:sz w:val="18"/>
                    <w:szCs w:val="32"/>
                    <w14:textFill>
                      <w14:solidFill>
                        <w14:schemeClr w14:val="tx1"/>
                      </w14:solidFill>
                    </w14:textFill>
                  </w:rPr>
                  <m:t>=</m:t>
                </m:r>
                <m:d>
                  <m:dPr>
                    <m:begChr m:val="["/>
                    <m:endChr m:val="]"/>
                    <m:ctrlPr>
                      <w:rPr>
                        <w:rFonts w:ascii="Cambria Math" w:hAnsi="Cambria Math"/>
                        <w:i/>
                        <w:color w:val="000000" w:themeColor="text1"/>
                        <w:kern w:val="0"/>
                        <w:sz w:val="18"/>
                        <w:szCs w:val="32"/>
                        <w14:textFill>
                          <w14:solidFill>
                            <w14:schemeClr w14:val="tx1"/>
                          </w14:solidFill>
                        </w14:textFill>
                      </w:rPr>
                    </m:ctrlPr>
                  </m:dPr>
                  <m:e>
                    <m:r>
                      <w:rPr>
                        <w:rFonts w:ascii="Cambria Math" w:hAnsi="Cambria Math"/>
                        <w:color w:val="000000" w:themeColor="text1"/>
                        <w:kern w:val="0"/>
                        <w:sz w:val="18"/>
                        <w:szCs w:val="32"/>
                        <w14:textFill>
                          <w14:solidFill>
                            <w14:schemeClr w14:val="tx1"/>
                          </w14:solidFill>
                        </w14:textFill>
                      </w:rPr>
                      <m:t xml:space="preserve"> P×</m:t>
                    </m:r>
                    <m:f>
                      <m:fPr>
                        <m:ctrlPr>
                          <w:rPr>
                            <w:rFonts w:ascii="Cambria Math" w:hAnsi="Cambria Math"/>
                            <w:i/>
                            <w:color w:val="000000" w:themeColor="text1"/>
                            <w:kern w:val="0"/>
                            <w:sz w:val="18"/>
                            <w:szCs w:val="32"/>
                            <w14:textFill>
                              <w14:solidFill>
                                <w14:schemeClr w14:val="tx1"/>
                              </w14:solidFill>
                            </w14:textFill>
                          </w:rPr>
                        </m:ctrlPr>
                      </m:fPr>
                      <m:num>
                        <m:sSup>
                          <m:sSupPr>
                            <m:ctrlPr>
                              <w:rPr>
                                <w:rFonts w:ascii="Cambria Math" w:hAnsi="Cambria Math"/>
                                <w:i/>
                                <w:color w:val="000000" w:themeColor="text1"/>
                                <w:kern w:val="0"/>
                                <w:sz w:val="18"/>
                                <w:szCs w:val="32"/>
                                <w14:textFill>
                                  <w14:solidFill>
                                    <w14:schemeClr w14:val="tx1"/>
                                  </w14:solidFill>
                                </w14:textFill>
                              </w:rPr>
                            </m:ctrlPr>
                          </m:sSupPr>
                          <m:e>
                            <m:r>
                              <w:rPr>
                                <w:rFonts w:ascii="Cambria Math" w:hAnsi="Cambria Math"/>
                                <w:color w:val="000000" w:themeColor="text1"/>
                                <w:kern w:val="0"/>
                                <w:sz w:val="18"/>
                                <w:szCs w:val="32"/>
                                <w14:textFill>
                                  <w14:solidFill>
                                    <w14:schemeClr w14:val="tx1"/>
                                  </w14:solidFill>
                                </w14:textFill>
                              </w:rPr>
                              <m:t>i×</m:t>
                            </m:r>
                            <m:d>
                              <m:dPr>
                                <m:ctrlPr>
                                  <w:rPr>
                                    <w:rFonts w:ascii="Cambria Math" w:hAnsi="Cambria Math"/>
                                    <w:i/>
                                    <w:color w:val="000000" w:themeColor="text1"/>
                                    <w:kern w:val="0"/>
                                    <w:sz w:val="18"/>
                                    <w:szCs w:val="32"/>
                                    <w14:textFill>
                                      <w14:solidFill>
                                        <w14:schemeClr w14:val="tx1"/>
                                      </w14:solidFill>
                                    </w14:textFill>
                                  </w:rPr>
                                </m:ctrlPr>
                              </m:dPr>
                              <m:e>
                                <m:r>
                                  <w:rPr>
                                    <w:rFonts w:ascii="Cambria Math" w:hAnsi="Cambria Math"/>
                                    <w:color w:val="000000" w:themeColor="text1"/>
                                    <w:kern w:val="0"/>
                                    <w:sz w:val="18"/>
                                    <w:szCs w:val="32"/>
                                    <w14:textFill>
                                      <w14:solidFill>
                                        <w14:schemeClr w14:val="tx1"/>
                                      </w14:solidFill>
                                    </w14:textFill>
                                  </w:rPr>
                                  <m:t>1+i</m:t>
                                </m:r>
                                <m:ctrlPr>
                                  <w:rPr>
                                    <w:rFonts w:ascii="Cambria Math" w:hAnsi="Cambria Math"/>
                                    <w:i/>
                                    <w:color w:val="000000" w:themeColor="text1"/>
                                    <w:kern w:val="0"/>
                                    <w:sz w:val="18"/>
                                    <w:szCs w:val="32"/>
                                    <w14:textFill>
                                      <w14:solidFill>
                                        <w14:schemeClr w14:val="tx1"/>
                                      </w14:solidFill>
                                    </w14:textFill>
                                  </w:rPr>
                                </m:ctrlPr>
                              </m:e>
                            </m:d>
                            <m:ctrlPr>
                              <w:rPr>
                                <w:rFonts w:ascii="Cambria Math" w:hAnsi="Cambria Math"/>
                                <w:i/>
                                <w:color w:val="000000" w:themeColor="text1"/>
                                <w:kern w:val="0"/>
                                <w:sz w:val="18"/>
                                <w:szCs w:val="32"/>
                                <w14:textFill>
                                  <w14:solidFill>
                                    <w14:schemeClr w14:val="tx1"/>
                                  </w14:solidFill>
                                </w14:textFill>
                              </w:rPr>
                            </m:ctrlPr>
                          </m:e>
                          <m:sup>
                            <m:r>
                              <w:rPr>
                                <w:rFonts w:ascii="Cambria Math" w:hAnsi="Cambria Math"/>
                                <w:color w:val="000000" w:themeColor="text1"/>
                                <w:kern w:val="0"/>
                                <w:sz w:val="18"/>
                                <w:szCs w:val="32"/>
                                <w14:textFill>
                                  <w14:solidFill>
                                    <w14:schemeClr w14:val="tx1"/>
                                  </w14:solidFill>
                                </w14:textFill>
                              </w:rPr>
                              <m:t>20</m:t>
                            </m:r>
                            <m:ctrlPr>
                              <w:rPr>
                                <w:rFonts w:ascii="Cambria Math" w:hAnsi="Cambria Math"/>
                                <w:i/>
                                <w:color w:val="000000" w:themeColor="text1"/>
                                <w:kern w:val="0"/>
                                <w:sz w:val="18"/>
                                <w:szCs w:val="32"/>
                                <w14:textFill>
                                  <w14:solidFill>
                                    <w14:schemeClr w14:val="tx1"/>
                                  </w14:solidFill>
                                </w14:textFill>
                              </w:rPr>
                            </m:ctrlPr>
                          </m:sup>
                        </m:sSup>
                        <m:ctrlPr>
                          <w:rPr>
                            <w:rFonts w:ascii="Cambria Math" w:hAnsi="Cambria Math"/>
                            <w:i/>
                            <w:color w:val="000000" w:themeColor="text1"/>
                            <w:kern w:val="0"/>
                            <w:sz w:val="18"/>
                            <w:szCs w:val="32"/>
                            <w14:textFill>
                              <w14:solidFill>
                                <w14:schemeClr w14:val="tx1"/>
                              </w14:solidFill>
                            </w14:textFill>
                          </w:rPr>
                        </m:ctrlPr>
                      </m:num>
                      <m:den>
                        <m:sSup>
                          <m:sSupPr>
                            <m:ctrlPr>
                              <w:rPr>
                                <w:rFonts w:ascii="Cambria Math" w:hAnsi="Cambria Math"/>
                                <w:i/>
                                <w:color w:val="000000" w:themeColor="text1"/>
                                <w:kern w:val="0"/>
                                <w:sz w:val="18"/>
                                <w:szCs w:val="32"/>
                                <w14:textFill>
                                  <w14:solidFill>
                                    <w14:schemeClr w14:val="tx1"/>
                                  </w14:solidFill>
                                </w14:textFill>
                              </w:rPr>
                            </m:ctrlPr>
                          </m:sSupPr>
                          <m:e>
                            <m:d>
                              <m:dPr>
                                <m:ctrlPr>
                                  <w:rPr>
                                    <w:rFonts w:ascii="Cambria Math" w:hAnsi="Cambria Math"/>
                                    <w:i/>
                                    <w:color w:val="000000" w:themeColor="text1"/>
                                    <w:kern w:val="0"/>
                                    <w:sz w:val="18"/>
                                    <w:szCs w:val="32"/>
                                    <w14:textFill>
                                      <w14:solidFill>
                                        <w14:schemeClr w14:val="tx1"/>
                                      </w14:solidFill>
                                    </w14:textFill>
                                  </w:rPr>
                                </m:ctrlPr>
                              </m:dPr>
                              <m:e>
                                <m:r>
                                  <w:rPr>
                                    <w:rFonts w:ascii="Cambria Math" w:hAnsi="Cambria Math"/>
                                    <w:color w:val="000000" w:themeColor="text1"/>
                                    <w:kern w:val="0"/>
                                    <w:sz w:val="18"/>
                                    <w:szCs w:val="32"/>
                                    <w14:textFill>
                                      <w14:solidFill>
                                        <w14:schemeClr w14:val="tx1"/>
                                      </w14:solidFill>
                                    </w14:textFill>
                                  </w:rPr>
                                  <m:t>1+i</m:t>
                                </m:r>
                                <m:ctrlPr>
                                  <w:rPr>
                                    <w:rFonts w:ascii="Cambria Math" w:hAnsi="Cambria Math"/>
                                    <w:i/>
                                    <w:color w:val="000000" w:themeColor="text1"/>
                                    <w:kern w:val="0"/>
                                    <w:sz w:val="18"/>
                                    <w:szCs w:val="32"/>
                                    <w14:textFill>
                                      <w14:solidFill>
                                        <w14:schemeClr w14:val="tx1"/>
                                      </w14:solidFill>
                                    </w14:textFill>
                                  </w:rPr>
                                </m:ctrlPr>
                              </m:e>
                            </m:d>
                            <m:ctrlPr>
                              <w:rPr>
                                <w:rFonts w:ascii="Cambria Math" w:hAnsi="Cambria Math"/>
                                <w:i/>
                                <w:color w:val="000000" w:themeColor="text1"/>
                                <w:kern w:val="0"/>
                                <w:sz w:val="18"/>
                                <w:szCs w:val="32"/>
                                <w14:textFill>
                                  <w14:solidFill>
                                    <w14:schemeClr w14:val="tx1"/>
                                  </w14:solidFill>
                                </w14:textFill>
                              </w:rPr>
                            </m:ctrlPr>
                          </m:e>
                          <m:sup>
                            <m:r>
                              <w:rPr>
                                <w:rFonts w:ascii="Cambria Math" w:hAnsi="Cambria Math"/>
                                <w:color w:val="000000" w:themeColor="text1"/>
                                <w:kern w:val="0"/>
                                <w:sz w:val="18"/>
                                <w:szCs w:val="32"/>
                                <w14:textFill>
                                  <w14:solidFill>
                                    <w14:schemeClr w14:val="tx1"/>
                                  </w14:solidFill>
                                </w14:textFill>
                              </w:rPr>
                              <m:t>20</m:t>
                            </m:r>
                            <m:ctrlPr>
                              <w:rPr>
                                <w:rFonts w:ascii="Cambria Math" w:hAnsi="Cambria Math"/>
                                <w:i/>
                                <w:color w:val="000000" w:themeColor="text1"/>
                                <w:kern w:val="0"/>
                                <w:sz w:val="18"/>
                                <w:szCs w:val="32"/>
                                <w14:textFill>
                                  <w14:solidFill>
                                    <w14:schemeClr w14:val="tx1"/>
                                  </w14:solidFill>
                                </w14:textFill>
                              </w:rPr>
                            </m:ctrlPr>
                          </m:sup>
                        </m:sSup>
                        <m:r>
                          <w:rPr>
                            <w:rFonts w:ascii="Cambria Math" w:hAnsi="Cambria Math"/>
                            <w:color w:val="000000" w:themeColor="text1"/>
                            <w:kern w:val="0"/>
                            <w:sz w:val="18"/>
                            <w:szCs w:val="32"/>
                            <w14:textFill>
                              <w14:solidFill>
                                <w14:schemeClr w14:val="tx1"/>
                              </w14:solidFill>
                            </w14:textFill>
                          </w:rPr>
                          <m:t>-1</m:t>
                        </m:r>
                        <m:ctrlPr>
                          <w:rPr>
                            <w:rFonts w:ascii="Cambria Math" w:hAnsi="Cambria Math"/>
                            <w:i/>
                            <w:color w:val="000000" w:themeColor="text1"/>
                            <w:kern w:val="0"/>
                            <w:sz w:val="18"/>
                            <w:szCs w:val="32"/>
                            <w14:textFill>
                              <w14:solidFill>
                                <w14:schemeClr w14:val="tx1"/>
                              </w14:solidFill>
                            </w14:textFill>
                          </w:rPr>
                        </m:ctrlPr>
                      </m:den>
                    </m:f>
                    <m:r>
                      <w:rPr>
                        <w:rFonts w:ascii="Cambria Math" w:hAnsi="Cambria Math"/>
                        <w:color w:val="000000" w:themeColor="text1"/>
                        <w:kern w:val="0"/>
                        <w:sz w:val="18"/>
                        <w:szCs w:val="32"/>
                        <w14:textFill>
                          <w14:solidFill>
                            <w14:schemeClr w14:val="tx1"/>
                          </w14:solidFill>
                        </w14:textFill>
                      </w:rPr>
                      <m:t>+</m:t>
                    </m:r>
                    <m:sSub>
                      <m:sSubPr>
                        <m:ctrlPr>
                          <w:rPr>
                            <w:rFonts w:ascii="Cambria Math" w:hAnsi="Cambria Math"/>
                            <w:color w:val="000000" w:themeColor="text1"/>
                            <w:kern w:val="0"/>
                            <w:sz w:val="22"/>
                            <w:szCs w:val="24"/>
                            <w14:textFill>
                              <w14:solidFill>
                                <w14:schemeClr w14:val="tx1"/>
                              </w14:solidFill>
                            </w14:textFill>
                          </w:rPr>
                        </m:ctrlPr>
                      </m:sSubPr>
                      <m:e>
                        <m:r>
                          <m:rPr>
                            <m:sty m:val="p"/>
                          </m:rPr>
                          <w:rPr>
                            <w:rFonts w:ascii="Cambria Math" w:hAnsi="Cambria Math"/>
                            <w:color w:val="000000" w:themeColor="text1"/>
                            <w:kern w:val="0"/>
                            <w:sz w:val="22"/>
                            <w:szCs w:val="20"/>
                            <w14:textFill>
                              <w14:solidFill>
                                <w14:schemeClr w14:val="tx1"/>
                              </w14:solidFill>
                            </w14:textFill>
                          </w:rPr>
                          <m:t>C</m:t>
                        </m:r>
                        <m:ctrlPr>
                          <w:rPr>
                            <w:rFonts w:ascii="Cambria Math" w:hAnsi="Cambria Math"/>
                            <w:color w:val="000000" w:themeColor="text1"/>
                            <w:kern w:val="0"/>
                            <w:sz w:val="22"/>
                            <w:szCs w:val="24"/>
                            <w14:textFill>
                              <w14:solidFill>
                                <w14:schemeClr w14:val="tx1"/>
                              </w14:solidFill>
                            </w14:textFill>
                          </w:rPr>
                        </m:ctrlPr>
                      </m:e>
                      <m:sub>
                        <m:ctrlPr>
                          <w:rPr>
                            <w:rFonts w:ascii="Cambria Math" w:hAnsi="Cambria Math"/>
                            <w:color w:val="000000" w:themeColor="text1"/>
                            <w:kern w:val="0"/>
                            <w:sz w:val="22"/>
                            <w:szCs w:val="24"/>
                            <w14:textFill>
                              <w14:solidFill>
                                <w14:schemeClr w14:val="tx1"/>
                              </w14:solidFill>
                            </w14:textFill>
                          </w:rPr>
                        </m:ctrlPr>
                      </m:sub>
                    </m:sSub>
                    <m:r>
                      <w:rPr>
                        <w:rFonts w:ascii="Cambria Math" w:hAnsi="Cambria Math" w:eastAsia="微软雅黑" w:cs="微软雅黑"/>
                        <w:color w:val="000000" w:themeColor="text1"/>
                        <w:kern w:val="0"/>
                        <w:sz w:val="18"/>
                        <w:szCs w:val="32"/>
                        <w14:textFill>
                          <w14:solidFill>
                            <w14:schemeClr w14:val="tx1"/>
                          </w14:solidFill>
                        </w14:textFill>
                      </w:rPr>
                      <m:t>-</m:t>
                    </m:r>
                    <m:sSub>
                      <m:sSubPr>
                        <m:ctrlPr>
                          <w:rPr>
                            <w:rFonts w:ascii="Cambria Math" w:hAnsi="Cambria Math"/>
                            <w:color w:val="000000" w:themeColor="text1"/>
                            <w:kern w:val="0"/>
                            <w:sz w:val="22"/>
                            <w:szCs w:val="24"/>
                            <w14:textFill>
                              <w14:solidFill>
                                <w14:schemeClr w14:val="tx1"/>
                              </w14:solidFill>
                            </w14:textFill>
                          </w:rPr>
                        </m:ctrlPr>
                      </m:sSubPr>
                      <m:e>
                        <m:r>
                          <m:rPr>
                            <m:sty m:val="p"/>
                          </m:rPr>
                          <w:rPr>
                            <w:rFonts w:ascii="Cambria Math" w:hAnsi="Cambria Math"/>
                            <w:color w:val="000000" w:themeColor="text1"/>
                            <w:kern w:val="0"/>
                            <w:sz w:val="22"/>
                            <w:szCs w:val="20"/>
                            <w14:textFill>
                              <w14:solidFill>
                                <w14:schemeClr w14:val="tx1"/>
                              </w14:solidFill>
                            </w14:textFill>
                          </w:rPr>
                          <m:t>G</m:t>
                        </m:r>
                        <m:ctrlPr>
                          <w:rPr>
                            <w:rFonts w:ascii="Cambria Math" w:hAnsi="Cambria Math"/>
                            <w:color w:val="000000" w:themeColor="text1"/>
                            <w:kern w:val="0"/>
                            <w:sz w:val="22"/>
                            <w:szCs w:val="24"/>
                            <w14:textFill>
                              <w14:solidFill>
                                <w14:schemeClr w14:val="tx1"/>
                              </w14:solidFill>
                            </w14:textFill>
                          </w:rPr>
                        </m:ctrlPr>
                      </m:e>
                      <m:sub>
                        <m:r>
                          <m:rPr>
                            <m:sty m:val="p"/>
                          </m:rPr>
                          <w:rPr>
                            <w:rFonts w:ascii="Cambria Math" w:hAnsi="Cambria Math"/>
                            <w:color w:val="000000" w:themeColor="text1"/>
                            <w:kern w:val="0"/>
                            <w:sz w:val="22"/>
                            <w:szCs w:val="20"/>
                            <w14:textFill>
                              <w14:solidFill>
                                <w14:schemeClr w14:val="tx1"/>
                              </w14:solidFill>
                            </w14:textFill>
                          </w:rPr>
                          <m:t>n</m:t>
                        </m:r>
                        <m:ctrlPr>
                          <w:rPr>
                            <w:rFonts w:ascii="Cambria Math" w:hAnsi="Cambria Math"/>
                            <w:color w:val="000000" w:themeColor="text1"/>
                            <w:kern w:val="0"/>
                            <w:sz w:val="22"/>
                            <w:szCs w:val="24"/>
                            <w14:textFill>
                              <w14:solidFill>
                                <w14:schemeClr w14:val="tx1"/>
                              </w14:solidFill>
                            </w14:textFill>
                          </w:rPr>
                        </m:ctrlPr>
                      </m:sub>
                    </m:sSub>
                    <m:r>
                      <w:rPr>
                        <w:rFonts w:ascii="Cambria Math" w:hAnsi="Cambria Math" w:eastAsia="微软雅黑" w:cs="微软雅黑"/>
                        <w:color w:val="000000" w:themeColor="text1"/>
                        <w:kern w:val="0"/>
                        <w:sz w:val="18"/>
                        <w:szCs w:val="32"/>
                        <w14:textFill>
                          <w14:solidFill>
                            <w14:schemeClr w14:val="tx1"/>
                          </w14:solidFill>
                        </w14:textFill>
                      </w:rPr>
                      <m:t>-</m:t>
                    </m:r>
                    <m:sSub>
                      <m:sSubPr>
                        <m:ctrlPr>
                          <w:rPr>
                            <w:rFonts w:ascii="Cambria Math" w:hAnsi="Cambria Math"/>
                            <w:color w:val="000000" w:themeColor="text1"/>
                            <w:kern w:val="0"/>
                            <w:sz w:val="22"/>
                            <w:szCs w:val="24"/>
                            <w14:textFill>
                              <w14:solidFill>
                                <w14:schemeClr w14:val="tx1"/>
                              </w14:solidFill>
                            </w14:textFill>
                          </w:rPr>
                        </m:ctrlPr>
                      </m:sSubPr>
                      <m:e>
                        <m:r>
                          <m:rPr>
                            <m:sty m:val="p"/>
                          </m:rPr>
                          <w:rPr>
                            <w:rFonts w:ascii="Cambria Math" w:hAnsi="Cambria Math"/>
                            <w:color w:val="000000" w:themeColor="text1"/>
                            <w:kern w:val="0"/>
                            <w:sz w:val="22"/>
                            <w:szCs w:val="20"/>
                            <w14:textFill>
                              <w14:solidFill>
                                <w14:schemeClr w14:val="tx1"/>
                              </w14:solidFill>
                            </w14:textFill>
                          </w:rPr>
                          <m:t>Q</m:t>
                        </m:r>
                        <m:ctrlPr>
                          <w:rPr>
                            <w:rFonts w:ascii="Cambria Math" w:hAnsi="Cambria Math"/>
                            <w:color w:val="000000" w:themeColor="text1"/>
                            <w:kern w:val="0"/>
                            <w:sz w:val="22"/>
                            <w:szCs w:val="24"/>
                            <w14:textFill>
                              <w14:solidFill>
                                <w14:schemeClr w14:val="tx1"/>
                              </w14:solidFill>
                            </w14:textFill>
                          </w:rPr>
                        </m:ctrlPr>
                      </m:e>
                      <m:sub>
                        <m:ctrlPr>
                          <w:rPr>
                            <w:rFonts w:ascii="Cambria Math" w:hAnsi="Cambria Math"/>
                            <w:color w:val="000000" w:themeColor="text1"/>
                            <w:kern w:val="0"/>
                            <w:sz w:val="22"/>
                            <w:szCs w:val="24"/>
                            <w14:textFill>
                              <w14:solidFill>
                                <w14:schemeClr w14:val="tx1"/>
                              </w14:solidFill>
                            </w14:textFill>
                          </w:rPr>
                        </m:ctrlPr>
                      </m:sub>
                    </m:sSub>
                    <m:ctrlPr>
                      <w:rPr>
                        <w:rFonts w:ascii="Cambria Math" w:hAnsi="Cambria Math"/>
                        <w:i/>
                        <w:color w:val="000000" w:themeColor="text1"/>
                        <w:kern w:val="0"/>
                        <w:sz w:val="18"/>
                        <w:szCs w:val="32"/>
                        <w14:textFill>
                          <w14:solidFill>
                            <w14:schemeClr w14:val="tx1"/>
                          </w14:solidFill>
                        </w14:textFill>
                      </w:rPr>
                    </m:ctrlPr>
                  </m:e>
                </m:d>
              </m:oMath>
            </m:oMathPara>
          </w:p>
          <w:p>
            <w:pPr>
              <w:ind w:firstLine="400"/>
              <w:jc w:val="left"/>
              <w:rPr>
                <w:color w:val="000000" w:themeColor="text1"/>
                <w:kern w:val="0"/>
                <w:sz w:val="20"/>
                <w:szCs w:val="20"/>
                <w14:textFill>
                  <w14:solidFill>
                    <w14:schemeClr w14:val="tx1"/>
                  </w14:solidFill>
                </w14:textFill>
              </w:rPr>
            </w:pPr>
            <m:oMathPara>
              <m:oMathParaPr>
                <m:jc m:val="center"/>
              </m:oMathParaPr>
              <m:oMath>
                <m:r>
                  <w:rPr>
                    <w:rFonts w:ascii="Cambria Math" w:hAnsi="Cambria Math"/>
                    <w:color w:val="000000" w:themeColor="text1"/>
                    <w:kern w:val="0"/>
                    <w:sz w:val="20"/>
                    <w:szCs w:val="20"/>
                    <w14:textFill>
                      <w14:solidFill>
                        <w14:schemeClr w14:val="tx1"/>
                      </w14:solidFill>
                    </w14:textFill>
                  </w:rPr>
                  <m:t>P=[</m:t>
                </m:r>
                <m:sSub>
                  <m:sSubPr>
                    <m:ctrlPr>
                      <w:rPr>
                        <w:rFonts w:ascii="Cambria Math" w:hAnsi="Cambria Math"/>
                        <w:color w:val="000000" w:themeColor="text1"/>
                        <w:kern w:val="0"/>
                        <w:sz w:val="22"/>
                        <w:szCs w:val="24"/>
                        <w14:textFill>
                          <w14:solidFill>
                            <w14:schemeClr w14:val="tx1"/>
                          </w14:solidFill>
                        </w14:textFill>
                      </w:rPr>
                    </m:ctrlPr>
                  </m:sSubPr>
                  <m:e>
                    <m:r>
                      <w:rPr>
                        <w:rFonts w:ascii="Cambria Math" w:hAnsi="Cambria Math"/>
                        <w:color w:val="000000" w:themeColor="text1"/>
                        <w:kern w:val="0"/>
                        <w:sz w:val="22"/>
                        <w:szCs w:val="24"/>
                        <w14:textFill>
                          <w14:solidFill>
                            <w14:schemeClr w14:val="tx1"/>
                          </w14:solidFill>
                        </w14:textFill>
                      </w:rPr>
                      <m:t>B</m:t>
                    </m:r>
                    <m:ctrlPr>
                      <w:rPr>
                        <w:rFonts w:ascii="Cambria Math" w:hAnsi="Cambria Math"/>
                        <w:color w:val="000000" w:themeColor="text1"/>
                        <w:kern w:val="0"/>
                        <w:sz w:val="22"/>
                        <w:szCs w:val="24"/>
                        <w14:textFill>
                          <w14:solidFill>
                            <w14:schemeClr w14:val="tx1"/>
                          </w14:solidFill>
                        </w14:textFill>
                      </w:rPr>
                    </m:ctrlPr>
                  </m:e>
                  <m:sub>
                    <m:r>
                      <m:rPr>
                        <m:sty m:val="p"/>
                      </m:rPr>
                      <w:rPr>
                        <w:rFonts w:ascii="Cambria Math" w:hAnsi="Cambria Math"/>
                        <w:color w:val="000000" w:themeColor="text1"/>
                        <w:kern w:val="0"/>
                        <w:sz w:val="22"/>
                        <w:szCs w:val="20"/>
                        <w14:textFill>
                          <w14:solidFill>
                            <w14:schemeClr w14:val="tx1"/>
                          </w14:solidFill>
                        </w14:textFill>
                      </w:rPr>
                      <m:t>1</m:t>
                    </m:r>
                    <m:ctrlPr>
                      <w:rPr>
                        <w:rFonts w:ascii="Cambria Math" w:hAnsi="Cambria Math"/>
                        <w:color w:val="000000" w:themeColor="text1"/>
                        <w:kern w:val="0"/>
                        <w:sz w:val="22"/>
                        <w:szCs w:val="24"/>
                        <w14:textFill>
                          <w14:solidFill>
                            <w14:schemeClr w14:val="tx1"/>
                          </w14:solidFill>
                        </w14:textFill>
                      </w:rPr>
                    </m:ctrlPr>
                  </m:sub>
                </m:sSub>
                <m:r>
                  <w:rPr>
                    <w:rFonts w:ascii="Cambria Math" w:hAnsi="Cambria Math"/>
                    <w:color w:val="000000" w:themeColor="text1"/>
                    <w:kern w:val="0"/>
                    <w:sz w:val="20"/>
                    <w:szCs w:val="20"/>
                    <w14:textFill>
                      <w14:solidFill>
                        <w14:schemeClr w14:val="tx1"/>
                      </w14:solidFill>
                    </w14:textFill>
                  </w:rPr>
                  <m:t>×</m:t>
                </m:r>
                <m:d>
                  <m:dPr>
                    <m:ctrlPr>
                      <w:rPr>
                        <w:rFonts w:ascii="Cambria Math" w:hAnsi="Cambria Math"/>
                        <w:i/>
                        <w:color w:val="000000" w:themeColor="text1"/>
                        <w:kern w:val="0"/>
                        <w:sz w:val="20"/>
                        <w:szCs w:val="20"/>
                        <w14:textFill>
                          <w14:solidFill>
                            <w14:schemeClr w14:val="tx1"/>
                          </w14:solidFill>
                        </w14:textFill>
                      </w:rPr>
                    </m:ctrlPr>
                  </m:dPr>
                  <m:e>
                    <m:r>
                      <w:rPr>
                        <w:rFonts w:ascii="Cambria Math" w:hAnsi="Cambria Math"/>
                        <w:color w:val="000000" w:themeColor="text1"/>
                        <w:kern w:val="0"/>
                        <w:sz w:val="20"/>
                        <w:szCs w:val="20"/>
                        <w14:textFill>
                          <w14:solidFill>
                            <w14:schemeClr w14:val="tx1"/>
                          </w14:solidFill>
                        </w14:textFill>
                      </w:rPr>
                      <m:t>1-k</m:t>
                    </m:r>
                    <m:ctrlPr>
                      <w:rPr>
                        <w:rFonts w:ascii="Cambria Math" w:hAnsi="Cambria Math"/>
                        <w:i/>
                        <w:color w:val="000000" w:themeColor="text1"/>
                        <w:kern w:val="0"/>
                        <w:sz w:val="20"/>
                        <w:szCs w:val="20"/>
                        <w14:textFill>
                          <w14:solidFill>
                            <w14:schemeClr w14:val="tx1"/>
                          </w14:solidFill>
                        </w14:textFill>
                      </w:rPr>
                    </m:ctrlPr>
                  </m:e>
                </m:d>
                <m:r>
                  <w:rPr>
                    <w:rFonts w:ascii="Cambria Math" w:hAnsi="Cambria Math"/>
                    <w:color w:val="000000" w:themeColor="text1"/>
                    <w:kern w:val="0"/>
                    <w:sz w:val="20"/>
                    <w:szCs w:val="20"/>
                    <w14:textFill>
                      <w14:solidFill>
                        <w14:schemeClr w14:val="tx1"/>
                      </w14:solidFill>
                    </w14:textFill>
                  </w:rPr>
                  <m:t>+</m:t>
                </m:r>
                <m:sSub>
                  <m:sSubPr>
                    <m:ctrlPr>
                      <w:rPr>
                        <w:rFonts w:ascii="Cambria Math" w:hAnsi="Cambria Math"/>
                        <w:color w:val="000000" w:themeColor="text1"/>
                        <w:kern w:val="0"/>
                        <w:sz w:val="22"/>
                        <w:szCs w:val="24"/>
                        <w14:textFill>
                          <w14:solidFill>
                            <w14:schemeClr w14:val="tx1"/>
                          </w14:solidFill>
                        </w14:textFill>
                      </w:rPr>
                    </m:ctrlPr>
                  </m:sSubPr>
                  <m:e>
                    <m:r>
                      <w:rPr>
                        <w:rFonts w:ascii="Cambria Math" w:hAnsi="Cambria Math"/>
                        <w:color w:val="000000" w:themeColor="text1"/>
                        <w:kern w:val="0"/>
                        <w:sz w:val="22"/>
                        <w:szCs w:val="24"/>
                        <w14:textFill>
                          <w14:solidFill>
                            <w14:schemeClr w14:val="tx1"/>
                          </w14:solidFill>
                        </w14:textFill>
                      </w:rPr>
                      <m:t>B</m:t>
                    </m:r>
                    <m:ctrlPr>
                      <w:rPr>
                        <w:rFonts w:ascii="Cambria Math" w:hAnsi="Cambria Math"/>
                        <w:color w:val="000000" w:themeColor="text1"/>
                        <w:kern w:val="0"/>
                        <w:sz w:val="22"/>
                        <w:szCs w:val="24"/>
                        <w14:textFill>
                          <w14:solidFill>
                            <w14:schemeClr w14:val="tx1"/>
                          </w14:solidFill>
                        </w14:textFill>
                      </w:rPr>
                    </m:ctrlPr>
                  </m:e>
                  <m:sub>
                    <m:r>
                      <m:rPr>
                        <m:sty m:val="p"/>
                      </m:rPr>
                      <w:rPr>
                        <w:rFonts w:ascii="Cambria Math" w:hAnsi="Cambria Math"/>
                        <w:color w:val="000000" w:themeColor="text1"/>
                        <w:kern w:val="0"/>
                        <w:sz w:val="22"/>
                        <w:szCs w:val="20"/>
                        <w14:textFill>
                          <w14:solidFill>
                            <w14:schemeClr w14:val="tx1"/>
                          </w14:solidFill>
                        </w14:textFill>
                      </w:rPr>
                      <m:t>2</m:t>
                    </m:r>
                    <m:ctrlPr>
                      <w:rPr>
                        <w:rFonts w:ascii="Cambria Math" w:hAnsi="Cambria Math"/>
                        <w:color w:val="000000" w:themeColor="text1"/>
                        <w:kern w:val="0"/>
                        <w:sz w:val="22"/>
                        <w:szCs w:val="24"/>
                        <w14:textFill>
                          <w14:solidFill>
                            <w14:schemeClr w14:val="tx1"/>
                          </w14:solidFill>
                        </w14:textFill>
                      </w:rPr>
                    </m:ctrlPr>
                  </m:sub>
                </m:sSub>
                <m:r>
                  <w:rPr>
                    <w:rFonts w:ascii="Cambria Math" w:hAnsi="Cambria Math"/>
                    <w:color w:val="000000" w:themeColor="text1"/>
                    <w:kern w:val="0"/>
                    <w:sz w:val="20"/>
                    <w:szCs w:val="20"/>
                    <w14:textFill>
                      <w14:solidFill>
                        <w14:schemeClr w14:val="tx1"/>
                      </w14:solidFill>
                    </w14:textFill>
                  </w:rPr>
                  <m:t>+E]×</m:t>
                </m:r>
                <m:d>
                  <m:dPr>
                    <m:ctrlPr>
                      <w:rPr>
                        <w:rFonts w:ascii="Cambria Math" w:hAnsi="Cambria Math"/>
                        <w:color w:val="000000" w:themeColor="text1"/>
                        <w:kern w:val="0"/>
                        <w:sz w:val="20"/>
                        <w:szCs w:val="20"/>
                        <w14:textFill>
                          <w14:solidFill>
                            <w14:schemeClr w14:val="tx1"/>
                          </w14:solidFill>
                        </w14:textFill>
                      </w:rPr>
                    </m:ctrlPr>
                  </m:dPr>
                  <m:e>
                    <m:r>
                      <m:rPr>
                        <m:sty m:val="p"/>
                      </m:rPr>
                      <w:rPr>
                        <w:rFonts w:ascii="Cambria Math" w:hAnsi="Cambria Math"/>
                        <w:color w:val="000000" w:themeColor="text1"/>
                        <w:kern w:val="0"/>
                        <w:sz w:val="20"/>
                        <w:szCs w:val="20"/>
                        <w14:textFill>
                          <w14:solidFill>
                            <w14:schemeClr w14:val="tx1"/>
                          </w14:solidFill>
                        </w14:textFill>
                      </w:rPr>
                      <m:t>1+T×0.5×</m:t>
                    </m:r>
                    <m:f>
                      <m:fPr>
                        <m:ctrlPr>
                          <w:rPr>
                            <w:rFonts w:ascii="Cambria Math" w:hAnsi="Cambria Math"/>
                            <w:color w:val="000000" w:themeColor="text1"/>
                            <w:kern w:val="0"/>
                            <w:sz w:val="20"/>
                            <w:szCs w:val="20"/>
                            <w14:textFill>
                              <w14:solidFill>
                                <w14:schemeClr w14:val="tx1"/>
                              </w14:solidFill>
                            </w14:textFill>
                          </w:rPr>
                        </m:ctrlPr>
                      </m:fPr>
                      <m:num>
                        <m:r>
                          <w:rPr>
                            <w:rFonts w:ascii="Cambria Math" w:hAnsi="Cambria Math"/>
                            <w:color w:val="000000" w:themeColor="text1"/>
                            <w:kern w:val="0"/>
                            <w:sz w:val="20"/>
                            <w:szCs w:val="20"/>
                            <w14:textFill>
                              <w14:solidFill>
                                <w14:schemeClr w14:val="tx1"/>
                              </w14:solidFill>
                            </w14:textFill>
                          </w:rPr>
                          <m:t>i</m:t>
                        </m:r>
                        <m:ctrlPr>
                          <w:rPr>
                            <w:rFonts w:ascii="Cambria Math" w:hAnsi="Cambria Math"/>
                            <w:color w:val="000000" w:themeColor="text1"/>
                            <w:kern w:val="0"/>
                            <w:sz w:val="20"/>
                            <w:szCs w:val="20"/>
                            <w14:textFill>
                              <w14:solidFill>
                                <w14:schemeClr w14:val="tx1"/>
                              </w14:solidFill>
                            </w14:textFill>
                          </w:rPr>
                        </m:ctrlPr>
                      </m:num>
                      <m:den>
                        <m:r>
                          <w:rPr>
                            <w:rFonts w:ascii="Cambria Math" w:hAnsi="Cambria Math"/>
                            <w:color w:val="000000" w:themeColor="text1"/>
                            <w:kern w:val="0"/>
                            <w:sz w:val="20"/>
                            <w:szCs w:val="20"/>
                            <w14:textFill>
                              <w14:solidFill>
                                <w14:schemeClr w14:val="tx1"/>
                              </w14:solidFill>
                            </w14:textFill>
                          </w:rPr>
                          <m:t>12</m:t>
                        </m:r>
                        <m:ctrlPr>
                          <w:rPr>
                            <w:rFonts w:ascii="Cambria Math" w:hAnsi="Cambria Math"/>
                            <w:color w:val="000000" w:themeColor="text1"/>
                            <w:kern w:val="0"/>
                            <w:sz w:val="20"/>
                            <w:szCs w:val="20"/>
                            <w14:textFill>
                              <w14:solidFill>
                                <w14:schemeClr w14:val="tx1"/>
                              </w14:solidFill>
                            </w14:textFill>
                          </w:rPr>
                        </m:ctrlPr>
                      </m:den>
                    </m:f>
                    <m:ctrlPr>
                      <w:rPr>
                        <w:rFonts w:ascii="Cambria Math" w:hAnsi="Cambria Math"/>
                        <w:i/>
                        <w:color w:val="000000" w:themeColor="text1"/>
                        <w:kern w:val="0"/>
                        <w:sz w:val="20"/>
                        <w:szCs w:val="20"/>
                        <w14:textFill>
                          <w14:solidFill>
                            <w14:schemeClr w14:val="tx1"/>
                          </w14:solidFill>
                        </w14:textFill>
                      </w:rPr>
                    </m:ctrlPr>
                  </m:e>
                </m:d>
              </m:oMath>
            </m:oMathPara>
          </w:p>
          <w:p>
            <w:pPr>
              <w:spacing w:line="440" w:lineRule="exact"/>
              <w:jc w:val="left"/>
              <w:rPr>
                <w:color w:val="000000" w:themeColor="text1"/>
                <w:kern w:val="0"/>
                <w:sz w:val="24"/>
                <w:szCs w:val="20"/>
                <w14:textFill>
                  <w14:solidFill>
                    <w14:schemeClr w14:val="tx1"/>
                  </w14:solidFill>
                </w14:textFill>
              </w:rPr>
            </w:pPr>
            <m:oMathPara>
              <m:oMath>
                <m:sSub>
                  <m:sSubPr>
                    <m:ctrlPr>
                      <w:rPr>
                        <w:rFonts w:ascii="Cambria Math" w:hAnsi="Cambria Math"/>
                        <w:color w:val="000000" w:themeColor="text1"/>
                        <w:kern w:val="0"/>
                        <w:sz w:val="24"/>
                        <w:szCs w:val="24"/>
                        <w14:textFill>
                          <w14:solidFill>
                            <w14:schemeClr w14:val="tx1"/>
                          </w14:solidFill>
                        </w14:textFill>
                      </w:rPr>
                    </m:ctrlPr>
                  </m:sSubPr>
                  <m:e>
                    <m:r>
                      <w:rPr>
                        <w:rFonts w:ascii="Cambria Math" w:hAnsi="Cambria Math"/>
                        <w:color w:val="000000" w:themeColor="text1"/>
                        <w:kern w:val="0"/>
                        <w:sz w:val="24"/>
                        <w:szCs w:val="20"/>
                        <w14:textFill>
                          <w14:solidFill>
                            <w14:schemeClr w14:val="tx1"/>
                          </w14:solidFill>
                        </w14:textFill>
                      </w:rPr>
                      <m:t>S</m:t>
                    </m:r>
                    <m:ctrlPr>
                      <w:rPr>
                        <w:rFonts w:ascii="Cambria Math" w:hAnsi="Cambria Math"/>
                        <w:color w:val="000000" w:themeColor="text1"/>
                        <w:kern w:val="0"/>
                        <w:sz w:val="24"/>
                        <w:szCs w:val="24"/>
                        <w14:textFill>
                          <w14:solidFill>
                            <w14:schemeClr w14:val="tx1"/>
                          </w14:solidFill>
                        </w14:textFill>
                      </w:rPr>
                    </m:ctrlPr>
                  </m:e>
                  <m:sub>
                    <m:r>
                      <w:rPr>
                        <w:rFonts w:ascii="Cambria Math" w:hAnsi="Cambria Math"/>
                        <w:color w:val="000000" w:themeColor="text1"/>
                        <w:kern w:val="0"/>
                        <w:sz w:val="24"/>
                        <w:szCs w:val="20"/>
                        <w14:textFill>
                          <w14:solidFill>
                            <w14:schemeClr w14:val="tx1"/>
                          </w14:solidFill>
                        </w14:textFill>
                      </w:rPr>
                      <m:t>n</m:t>
                    </m:r>
                    <m:ctrlPr>
                      <w:rPr>
                        <w:rFonts w:ascii="Cambria Math" w:hAnsi="Cambria Math"/>
                        <w:color w:val="000000" w:themeColor="text1"/>
                        <w:kern w:val="0"/>
                        <w:sz w:val="24"/>
                        <w:szCs w:val="24"/>
                        <w14:textFill>
                          <w14:solidFill>
                            <w14:schemeClr w14:val="tx1"/>
                          </w14:solidFill>
                        </w14:textFill>
                      </w:rPr>
                    </m:ctrlPr>
                  </m:sub>
                </m:sSub>
                <m:r>
                  <w:rPr>
                    <w:rFonts w:ascii="Cambria Math" w:hAnsi="Cambria Math"/>
                    <w:color w:val="000000" w:themeColor="text1"/>
                    <w:kern w:val="0"/>
                    <w:sz w:val="24"/>
                    <w:szCs w:val="20"/>
                    <w14:textFill>
                      <w14:solidFill>
                        <w14:schemeClr w14:val="tx1"/>
                      </w14:solidFill>
                    </w14:textFill>
                  </w:rPr>
                  <m:t>=</m:t>
                </m:r>
                <m:r>
                  <w:rPr>
                    <w:rFonts w:hint="eastAsia" w:ascii="Cambria Math" w:hAnsi="Cambria Math"/>
                    <w:color w:val="000000" w:themeColor="text1"/>
                    <w:kern w:val="0"/>
                    <w:sz w:val="24"/>
                    <w:szCs w:val="20"/>
                    <w14:textFill>
                      <w14:solidFill>
                        <w14:schemeClr w14:val="tx1"/>
                      </w14:solidFill>
                    </w14:textFill>
                  </w:rPr>
                  <m:t>∑</m:t>
                </m:r>
                <m:sSub>
                  <m:sSubPr>
                    <m:ctrlPr>
                      <w:rPr>
                        <w:rFonts w:ascii="Cambria Math" w:hAnsi="Cambria Math"/>
                        <w:color w:val="000000" w:themeColor="text1"/>
                        <w:kern w:val="0"/>
                        <w:sz w:val="24"/>
                        <w:szCs w:val="24"/>
                        <w14:textFill>
                          <w14:solidFill>
                            <w14:schemeClr w14:val="tx1"/>
                          </w14:solidFill>
                        </w14:textFill>
                      </w:rPr>
                    </m:ctrlPr>
                  </m:sSubPr>
                  <m:e>
                    <m:r>
                      <m:rPr>
                        <m:sty m:val="p"/>
                      </m:rPr>
                      <w:rPr>
                        <w:rFonts w:ascii="Cambria Math" w:hAnsi="Cambria Math"/>
                        <w:color w:val="000000" w:themeColor="text1"/>
                        <w:kern w:val="0"/>
                        <w:sz w:val="24"/>
                        <w:szCs w:val="20"/>
                        <w14:textFill>
                          <w14:solidFill>
                            <w14:schemeClr w14:val="tx1"/>
                          </w14:solidFill>
                        </w14:textFill>
                      </w:rPr>
                      <m:t>A</m:t>
                    </m:r>
                    <m:ctrlPr>
                      <w:rPr>
                        <w:rFonts w:ascii="Cambria Math" w:hAnsi="Cambria Math"/>
                        <w:color w:val="000000" w:themeColor="text1"/>
                        <w:kern w:val="0"/>
                        <w:sz w:val="24"/>
                        <w:szCs w:val="24"/>
                        <w14:textFill>
                          <w14:solidFill>
                            <w14:schemeClr w14:val="tx1"/>
                          </w14:solidFill>
                        </w14:textFill>
                      </w:rPr>
                    </m:ctrlPr>
                  </m:e>
                  <m:sub>
                    <m:r>
                      <m:rPr>
                        <m:sty m:val="p"/>
                      </m:rPr>
                      <w:rPr>
                        <w:rFonts w:ascii="Cambria Math" w:hAnsi="Cambria Math"/>
                        <w:color w:val="000000" w:themeColor="text1"/>
                        <w:kern w:val="0"/>
                        <w:sz w:val="24"/>
                        <w:szCs w:val="20"/>
                        <w14:textFill>
                          <w14:solidFill>
                            <w14:schemeClr w14:val="tx1"/>
                          </w14:solidFill>
                        </w14:textFill>
                      </w:rPr>
                      <m:t>n</m:t>
                    </m:r>
                    <m:ctrlPr>
                      <w:rPr>
                        <w:rFonts w:ascii="Cambria Math" w:hAnsi="Cambria Math"/>
                        <w:color w:val="000000" w:themeColor="text1"/>
                        <w:kern w:val="0"/>
                        <w:sz w:val="24"/>
                        <w:szCs w:val="24"/>
                        <w14:textFill>
                          <w14:solidFill>
                            <w14:schemeClr w14:val="tx1"/>
                          </w14:solidFill>
                        </w14:textFill>
                      </w:rPr>
                    </m:ctrlPr>
                  </m:sub>
                </m:sSub>
              </m:oMath>
            </m:oMathPara>
          </w:p>
          <w:p>
            <w:pPr>
              <w:spacing w:line="440" w:lineRule="exact"/>
              <w:jc w:val="left"/>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其中：</w:t>
            </w:r>
          </w:p>
          <w:p>
            <w:pPr>
              <w:spacing w:line="440" w:lineRule="exact"/>
              <w:jc w:val="left"/>
              <w:rPr>
                <w:color w:val="000000" w:themeColor="text1"/>
                <w:kern w:val="0"/>
                <w:sz w:val="24"/>
                <w:szCs w:val="20"/>
                <w14:textFill>
                  <w14:solidFill>
                    <w14:schemeClr w14:val="tx1"/>
                  </w14:solidFill>
                </w14:textFill>
              </w:rPr>
            </w:pPr>
            <m:oMath>
              <m:sSub>
                <m:sSubPr>
                  <m:ctrlPr>
                    <w:rPr>
                      <w:rFonts w:ascii="Cambria Math" w:hAnsi="Cambria Math"/>
                      <w:color w:val="000000" w:themeColor="text1"/>
                      <w:kern w:val="0"/>
                      <w:sz w:val="24"/>
                      <w:szCs w:val="24"/>
                      <w14:textFill>
                        <w14:solidFill>
                          <w14:schemeClr w14:val="tx1"/>
                        </w14:solidFill>
                      </w14:textFill>
                    </w:rPr>
                  </m:ctrlPr>
                </m:sSubPr>
                <m:e>
                  <m:r>
                    <w:rPr>
                      <w:rFonts w:ascii="Cambria Math" w:hAnsi="Cambria Math"/>
                      <w:color w:val="000000" w:themeColor="text1"/>
                      <w:kern w:val="0"/>
                      <w:sz w:val="24"/>
                      <w:szCs w:val="20"/>
                      <w14:textFill>
                        <w14:solidFill>
                          <w14:schemeClr w14:val="tx1"/>
                        </w14:solidFill>
                      </w14:textFill>
                    </w:rPr>
                    <m:t>S</m:t>
                  </m:r>
                  <m:ctrlPr>
                    <w:rPr>
                      <w:rFonts w:ascii="Cambria Math" w:hAnsi="Cambria Math"/>
                      <w:color w:val="000000" w:themeColor="text1"/>
                      <w:kern w:val="0"/>
                      <w:sz w:val="24"/>
                      <w:szCs w:val="24"/>
                      <w14:textFill>
                        <w14:solidFill>
                          <w14:schemeClr w14:val="tx1"/>
                        </w14:solidFill>
                      </w14:textFill>
                    </w:rPr>
                  </m:ctrlPr>
                </m:e>
                <m:sub>
                  <m:r>
                    <w:rPr>
                      <w:rFonts w:ascii="Cambria Math" w:hAnsi="Cambria Math"/>
                      <w:color w:val="000000" w:themeColor="text1"/>
                      <w:kern w:val="0"/>
                      <w:sz w:val="24"/>
                      <w:szCs w:val="20"/>
                      <w14:textFill>
                        <w14:solidFill>
                          <w14:schemeClr w14:val="tx1"/>
                        </w14:solidFill>
                      </w14:textFill>
                    </w:rPr>
                    <m:t>n</m:t>
                  </m:r>
                  <m:ctrlPr>
                    <w:rPr>
                      <w:rFonts w:ascii="Cambria Math" w:hAnsi="Cambria Math"/>
                      <w:color w:val="000000" w:themeColor="text1"/>
                      <w:kern w:val="0"/>
                      <w:sz w:val="24"/>
                      <w:szCs w:val="24"/>
                      <w14:textFill>
                        <w14:solidFill>
                          <w14:schemeClr w14:val="tx1"/>
                        </w14:solidFill>
                      </w14:textFill>
                    </w:rPr>
                  </m:ctrlPr>
                </m:sub>
              </m:sSub>
            </m:oMath>
            <w:r>
              <w:rPr>
                <w:rFonts w:hint="eastAsia"/>
                <w:color w:val="000000" w:themeColor="text1"/>
                <w:kern w:val="0"/>
                <w:sz w:val="24"/>
                <w:szCs w:val="20"/>
                <w14:textFill>
                  <w14:solidFill>
                    <w14:schemeClr w14:val="tx1"/>
                  </w14:solidFill>
                </w14:textFill>
              </w:rPr>
              <w:t>为运营期内政府支付的可行性缺口补助总额；</w:t>
            </w:r>
          </w:p>
          <w:p>
            <w:pPr>
              <w:spacing w:line="440" w:lineRule="exact"/>
              <w:jc w:val="left"/>
              <w:rPr>
                <w:color w:val="000000" w:themeColor="text1"/>
                <w:kern w:val="0"/>
                <w:sz w:val="24"/>
                <w:szCs w:val="20"/>
                <w14:textFill>
                  <w14:solidFill>
                    <w14:schemeClr w14:val="tx1"/>
                  </w14:solidFill>
                </w14:textFill>
              </w:rPr>
            </w:pPr>
            <m:oMath>
              <m:sSub>
                <m:sSubPr>
                  <m:ctrlPr>
                    <w:rPr>
                      <w:rFonts w:ascii="Cambria Math" w:hAnsi="Cambria Math"/>
                      <w:color w:val="000000" w:themeColor="text1"/>
                      <w:kern w:val="0"/>
                      <w:sz w:val="24"/>
                      <w:szCs w:val="24"/>
                      <w14:textFill>
                        <w14:solidFill>
                          <w14:schemeClr w14:val="tx1"/>
                        </w14:solidFill>
                      </w14:textFill>
                    </w:rPr>
                  </m:ctrlPr>
                </m:sSubPr>
                <m:e>
                  <m:r>
                    <m:rPr>
                      <m:sty m:val="p"/>
                    </m:rPr>
                    <w:rPr>
                      <w:rFonts w:ascii="Cambria Math" w:hAnsi="Cambria Math"/>
                      <w:color w:val="000000" w:themeColor="text1"/>
                      <w:kern w:val="0"/>
                      <w:sz w:val="24"/>
                      <w:szCs w:val="20"/>
                      <w14:textFill>
                        <w14:solidFill>
                          <w14:schemeClr w14:val="tx1"/>
                        </w14:solidFill>
                      </w14:textFill>
                    </w:rPr>
                    <m:t>A</m:t>
                  </m:r>
                  <m:ctrlPr>
                    <w:rPr>
                      <w:rFonts w:ascii="Cambria Math" w:hAnsi="Cambria Math"/>
                      <w:color w:val="000000" w:themeColor="text1"/>
                      <w:kern w:val="0"/>
                      <w:sz w:val="24"/>
                      <w:szCs w:val="24"/>
                      <w14:textFill>
                        <w14:solidFill>
                          <w14:schemeClr w14:val="tx1"/>
                        </w14:solidFill>
                      </w14:textFill>
                    </w:rPr>
                  </m:ctrlPr>
                </m:e>
                <m:sub>
                  <m:r>
                    <m:rPr>
                      <m:sty m:val="p"/>
                    </m:rPr>
                    <w:rPr>
                      <w:rFonts w:ascii="Cambria Math" w:hAnsi="Cambria Math"/>
                      <w:color w:val="000000" w:themeColor="text1"/>
                      <w:kern w:val="0"/>
                      <w:sz w:val="24"/>
                      <w:szCs w:val="20"/>
                      <w14:textFill>
                        <w14:solidFill>
                          <w14:schemeClr w14:val="tx1"/>
                        </w14:solidFill>
                      </w14:textFill>
                    </w:rPr>
                    <m:t>n</m:t>
                  </m:r>
                  <m:ctrlPr>
                    <w:rPr>
                      <w:rFonts w:ascii="Cambria Math" w:hAnsi="Cambria Math"/>
                      <w:color w:val="000000" w:themeColor="text1"/>
                      <w:kern w:val="0"/>
                      <w:sz w:val="24"/>
                      <w:szCs w:val="24"/>
                      <w14:textFill>
                        <w14:solidFill>
                          <w14:schemeClr w14:val="tx1"/>
                        </w14:solidFill>
                      </w14:textFill>
                    </w:rPr>
                  </m:ctrlPr>
                </m:sub>
              </m:sSub>
            </m:oMath>
            <w:r>
              <w:rPr>
                <w:rFonts w:hint="eastAsia"/>
                <w:color w:val="000000" w:themeColor="text1"/>
                <w:kern w:val="0"/>
                <w:sz w:val="24"/>
                <w:szCs w:val="20"/>
                <w14:textFill>
                  <w14:solidFill>
                    <w14:schemeClr w14:val="tx1"/>
                  </w14:solidFill>
                </w14:textFill>
              </w:rPr>
              <w:t>为政府每年支付的可行性缺口补助（含税价格）；</w:t>
            </w:r>
          </w:p>
          <w:p>
            <w:pPr>
              <w:spacing w:line="440" w:lineRule="exact"/>
              <w:jc w:val="left"/>
              <w:rPr>
                <w:color w:val="000000" w:themeColor="text1"/>
                <w:kern w:val="0"/>
                <w:sz w:val="24"/>
                <w:szCs w:val="20"/>
                <w14:textFill>
                  <w14:solidFill>
                    <w14:schemeClr w14:val="tx1"/>
                  </w14:solidFill>
                </w14:textFill>
              </w:rPr>
            </w:pPr>
            <m:oMath>
              <m:r>
                <w:rPr>
                  <w:rFonts w:ascii="Cambria Math" w:hAnsi="Cambria Math"/>
                  <w:color w:val="000000" w:themeColor="text1"/>
                  <w:kern w:val="0"/>
                  <w:sz w:val="28"/>
                  <w:szCs w:val="28"/>
                  <w14:textFill>
                    <w14:solidFill>
                      <w14:schemeClr w14:val="tx1"/>
                    </w14:solidFill>
                  </w14:textFill>
                </w:rPr>
                <m:t>i</m:t>
              </m:r>
            </m:oMath>
            <w:r>
              <w:rPr>
                <w:rFonts w:hint="eastAsia"/>
                <w:color w:val="000000" w:themeColor="text1"/>
                <w:kern w:val="0"/>
                <w:sz w:val="24"/>
                <w:szCs w:val="20"/>
                <w14:textFill>
                  <w14:solidFill>
                    <w14:schemeClr w14:val="tx1"/>
                  </w14:solidFill>
                </w14:textFill>
              </w:rPr>
              <w:t>为社会资本投报的投资回报率；</w:t>
            </w:r>
          </w:p>
          <w:p>
            <w:pPr>
              <w:spacing w:line="440" w:lineRule="exact"/>
              <w:jc w:val="left"/>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P</w:t>
            </w:r>
            <w:r>
              <w:rPr>
                <w:rFonts w:hint="eastAsia"/>
                <w:color w:val="000000" w:themeColor="text1"/>
                <w:kern w:val="0"/>
                <w:sz w:val="24"/>
                <w:szCs w:val="20"/>
                <w14:textFill>
                  <w14:solidFill>
                    <w14:schemeClr w14:val="tx1"/>
                  </w14:solidFill>
                </w14:textFill>
              </w:rPr>
              <w:t>为项目投资额（含建设期投资收益，投标报价中暂以建设期的</w:t>
            </w:r>
            <w:r>
              <w:rPr>
                <w:color w:val="000000" w:themeColor="text1"/>
                <w:kern w:val="0"/>
                <w:sz w:val="24"/>
                <w:szCs w:val="20"/>
                <w14:textFill>
                  <w14:solidFill>
                    <w14:schemeClr w14:val="tx1"/>
                  </w14:solidFill>
                </w14:textFill>
              </w:rPr>
              <w:t>50%</w:t>
            </w:r>
            <w:r>
              <w:rPr>
                <w:rFonts w:hint="eastAsia"/>
                <w:color w:val="000000" w:themeColor="text1"/>
                <w:kern w:val="0"/>
                <w:sz w:val="24"/>
                <w:szCs w:val="20"/>
                <w14:textFill>
                  <w14:solidFill>
                    <w14:schemeClr w14:val="tx1"/>
                  </w14:solidFill>
                </w14:textFill>
              </w:rPr>
              <w:t>结合投资回报率计算）；</w:t>
            </w:r>
          </w:p>
          <w:p>
            <w:pPr>
              <w:spacing w:line="440" w:lineRule="exact"/>
              <w:jc w:val="left"/>
              <w:rPr>
                <w:color w:val="000000" w:themeColor="text1"/>
                <w:kern w:val="0"/>
                <w:sz w:val="24"/>
                <w:szCs w:val="20"/>
                <w14:textFill>
                  <w14:solidFill>
                    <w14:schemeClr w14:val="tx1"/>
                  </w14:solidFill>
                </w14:textFill>
              </w:rPr>
            </w:pPr>
            <w:bookmarkStart w:id="250" w:name="_Hlk507410196"/>
            <w:r>
              <w:rPr>
                <w:color w:val="000000" w:themeColor="text1"/>
                <w:kern w:val="0"/>
                <w:sz w:val="24"/>
                <w:szCs w:val="20"/>
                <w14:textFill>
                  <w14:solidFill>
                    <w14:schemeClr w14:val="tx1"/>
                  </w14:solidFill>
                </w14:textFill>
              </w:rPr>
              <w:t>E</w:t>
            </w:r>
            <w:r>
              <w:rPr>
                <w:rFonts w:hint="eastAsia"/>
                <w:color w:val="000000" w:themeColor="text1"/>
                <w:kern w:val="0"/>
                <w:sz w:val="24"/>
                <w:szCs w:val="20"/>
                <w14:textFill>
                  <w14:solidFill>
                    <w14:schemeClr w14:val="tx1"/>
                  </w14:solidFill>
                </w14:textFill>
              </w:rPr>
              <w:t>为工程建设其他费；</w:t>
            </w:r>
          </w:p>
          <w:p>
            <w:pPr>
              <w:spacing w:line="440" w:lineRule="exact"/>
              <w:jc w:val="left"/>
              <w:rPr>
                <w:color w:val="000000" w:themeColor="text1"/>
                <w:kern w:val="0"/>
                <w:sz w:val="24"/>
                <w:szCs w:val="20"/>
                <w14:textFill>
                  <w14:solidFill>
                    <w14:schemeClr w14:val="tx1"/>
                  </w14:solidFill>
                </w14:textFill>
              </w:rPr>
            </w:pPr>
            <m:oMath>
              <m:sSub>
                <m:sSubPr>
                  <m:ctrlPr>
                    <w:rPr>
                      <w:rFonts w:ascii="Cambria Math" w:hAnsi="Cambria Math"/>
                      <w:color w:val="000000" w:themeColor="text1"/>
                      <w:kern w:val="0"/>
                      <w:sz w:val="24"/>
                      <w:szCs w:val="24"/>
                      <w14:textFill>
                        <w14:solidFill>
                          <w14:schemeClr w14:val="tx1"/>
                        </w14:solidFill>
                      </w14:textFill>
                    </w:rPr>
                  </m:ctrlPr>
                </m:sSubPr>
                <m:e>
                  <m:r>
                    <w:rPr>
                      <w:rFonts w:ascii="Cambria Math" w:hAnsi="Cambria Math"/>
                      <w:color w:val="000000" w:themeColor="text1"/>
                      <w:kern w:val="0"/>
                      <w:sz w:val="24"/>
                      <w:szCs w:val="24"/>
                      <w14:textFill>
                        <w14:solidFill>
                          <w14:schemeClr w14:val="tx1"/>
                        </w14:solidFill>
                      </w14:textFill>
                    </w:rPr>
                    <m:t>B</m:t>
                  </m:r>
                  <m:ctrlPr>
                    <w:rPr>
                      <w:rFonts w:ascii="Cambria Math" w:hAnsi="Cambria Math"/>
                      <w:color w:val="000000" w:themeColor="text1"/>
                      <w:kern w:val="0"/>
                      <w:sz w:val="24"/>
                      <w:szCs w:val="24"/>
                      <w14:textFill>
                        <w14:solidFill>
                          <w14:schemeClr w14:val="tx1"/>
                        </w14:solidFill>
                      </w14:textFill>
                    </w:rPr>
                  </m:ctrlPr>
                </m:e>
                <m:sub>
                  <m:r>
                    <m:rPr>
                      <m:sty m:val="p"/>
                    </m:rPr>
                    <w:rPr>
                      <w:rFonts w:ascii="Cambria Math" w:hAnsi="Cambria Math"/>
                      <w:color w:val="000000" w:themeColor="text1"/>
                      <w:kern w:val="0"/>
                      <w:sz w:val="24"/>
                      <w:szCs w:val="20"/>
                      <w14:textFill>
                        <w14:solidFill>
                          <w14:schemeClr w14:val="tx1"/>
                        </w14:solidFill>
                      </w14:textFill>
                    </w:rPr>
                    <m:t>1</m:t>
                  </m:r>
                  <m:ctrlPr>
                    <w:rPr>
                      <w:rFonts w:ascii="Cambria Math" w:hAnsi="Cambria Math"/>
                      <w:color w:val="000000" w:themeColor="text1"/>
                      <w:kern w:val="0"/>
                      <w:sz w:val="24"/>
                      <w:szCs w:val="24"/>
                      <w14:textFill>
                        <w14:solidFill>
                          <w14:schemeClr w14:val="tx1"/>
                        </w14:solidFill>
                      </w14:textFill>
                    </w:rPr>
                  </m:ctrlPr>
                </m:sub>
              </m:sSub>
            </m:oMath>
            <w:r>
              <w:rPr>
                <w:rFonts w:hint="eastAsia"/>
                <w:color w:val="000000" w:themeColor="text1"/>
                <w:kern w:val="0"/>
                <w:sz w:val="24"/>
                <w:szCs w:val="20"/>
                <w14:textFill>
                  <w14:solidFill>
                    <w14:schemeClr w14:val="tx1"/>
                  </w14:solidFill>
                </w14:textFill>
              </w:rPr>
              <w:t>为项目建安费用；</w:t>
            </w:r>
          </w:p>
          <w:p>
            <w:pPr>
              <w:spacing w:line="440" w:lineRule="exact"/>
              <w:jc w:val="left"/>
              <w:rPr>
                <w:color w:val="000000" w:themeColor="text1"/>
                <w:kern w:val="0"/>
                <w:sz w:val="24"/>
                <w:szCs w:val="20"/>
                <w14:textFill>
                  <w14:solidFill>
                    <w14:schemeClr w14:val="tx1"/>
                  </w14:solidFill>
                </w14:textFill>
              </w:rPr>
            </w:pPr>
            <m:oMath>
              <m:sSub>
                <m:sSubPr>
                  <m:ctrlPr>
                    <w:rPr>
                      <w:rFonts w:ascii="Cambria Math" w:hAnsi="Cambria Math"/>
                      <w:color w:val="000000" w:themeColor="text1"/>
                      <w:kern w:val="0"/>
                      <w:sz w:val="24"/>
                      <w:szCs w:val="24"/>
                      <w14:textFill>
                        <w14:solidFill>
                          <w14:schemeClr w14:val="tx1"/>
                        </w14:solidFill>
                      </w14:textFill>
                    </w:rPr>
                  </m:ctrlPr>
                </m:sSubPr>
                <m:e>
                  <m:r>
                    <w:rPr>
                      <w:rFonts w:ascii="Cambria Math" w:hAnsi="Cambria Math"/>
                      <w:color w:val="000000" w:themeColor="text1"/>
                      <w:kern w:val="0"/>
                      <w:sz w:val="24"/>
                      <w:szCs w:val="24"/>
                      <w14:textFill>
                        <w14:solidFill>
                          <w14:schemeClr w14:val="tx1"/>
                        </w14:solidFill>
                      </w14:textFill>
                    </w:rPr>
                    <m:t>B</m:t>
                  </m:r>
                  <m:ctrlPr>
                    <w:rPr>
                      <w:rFonts w:ascii="Cambria Math" w:hAnsi="Cambria Math"/>
                      <w:color w:val="000000" w:themeColor="text1"/>
                      <w:kern w:val="0"/>
                      <w:sz w:val="24"/>
                      <w:szCs w:val="24"/>
                      <w14:textFill>
                        <w14:solidFill>
                          <w14:schemeClr w14:val="tx1"/>
                        </w14:solidFill>
                      </w14:textFill>
                    </w:rPr>
                  </m:ctrlPr>
                </m:e>
                <m:sub>
                  <m:r>
                    <m:rPr>
                      <m:sty m:val="p"/>
                    </m:rPr>
                    <w:rPr>
                      <w:rFonts w:ascii="Cambria Math" w:hAnsi="Cambria Math"/>
                      <w:color w:val="000000" w:themeColor="text1"/>
                      <w:kern w:val="0"/>
                      <w:sz w:val="24"/>
                      <w:szCs w:val="20"/>
                      <w14:textFill>
                        <w14:solidFill>
                          <w14:schemeClr w14:val="tx1"/>
                        </w14:solidFill>
                      </w14:textFill>
                    </w:rPr>
                    <m:t>2</m:t>
                  </m:r>
                  <m:ctrlPr>
                    <w:rPr>
                      <w:rFonts w:ascii="Cambria Math" w:hAnsi="Cambria Math"/>
                      <w:color w:val="000000" w:themeColor="text1"/>
                      <w:kern w:val="0"/>
                      <w:sz w:val="24"/>
                      <w:szCs w:val="24"/>
                      <w14:textFill>
                        <w14:solidFill>
                          <w14:schemeClr w14:val="tx1"/>
                        </w14:solidFill>
                      </w14:textFill>
                    </w:rPr>
                  </m:ctrlPr>
                </m:sub>
              </m:sSub>
            </m:oMath>
            <w:r>
              <w:rPr>
                <w:rFonts w:hint="eastAsia"/>
                <w:color w:val="000000" w:themeColor="text1"/>
                <w:kern w:val="0"/>
                <w:sz w:val="24"/>
                <w:szCs w:val="20"/>
                <w14:textFill>
                  <w14:solidFill>
                    <w14:schemeClr w14:val="tx1"/>
                  </w14:solidFill>
                </w14:textFill>
              </w:rPr>
              <w:t>为项目设备及工器具购置费；</w:t>
            </w:r>
          </w:p>
          <w:bookmarkEnd w:id="250"/>
          <w:p>
            <w:pPr>
              <w:spacing w:line="440" w:lineRule="exact"/>
              <w:jc w:val="left"/>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k</w:t>
            </w:r>
            <w:r>
              <w:rPr>
                <w:rFonts w:hint="eastAsia"/>
                <w:color w:val="000000" w:themeColor="text1"/>
                <w:kern w:val="0"/>
                <w:sz w:val="24"/>
                <w:szCs w:val="20"/>
                <w14:textFill>
                  <w14:solidFill>
                    <w14:schemeClr w14:val="tx1"/>
                  </w14:solidFill>
                </w14:textFill>
              </w:rPr>
              <w:t>为社会资本投报的建安费用下浮率（设备及工器具购置费不下浮）；</w:t>
            </w:r>
          </w:p>
          <w:p>
            <w:pPr>
              <w:spacing w:line="440" w:lineRule="exact"/>
              <w:jc w:val="left"/>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T</w:t>
            </w:r>
            <w:r>
              <w:rPr>
                <w:rFonts w:hint="eastAsia"/>
                <w:color w:val="000000" w:themeColor="text1"/>
                <w:kern w:val="0"/>
                <w:sz w:val="24"/>
                <w:szCs w:val="20"/>
                <w14:textFill>
                  <w14:solidFill>
                    <w14:schemeClr w14:val="tx1"/>
                  </w14:solidFill>
                </w14:textFill>
              </w:rPr>
              <w:t>为项目建设期月数，按</w:t>
            </w:r>
            <w:r>
              <w:rPr>
                <w:color w:val="000000" w:themeColor="text1"/>
                <w:kern w:val="0"/>
                <w:sz w:val="24"/>
                <w:szCs w:val="20"/>
                <w14:textFill>
                  <w14:solidFill>
                    <w14:schemeClr w14:val="tx1"/>
                  </w14:solidFill>
                </w14:textFill>
              </w:rPr>
              <w:t>38</w:t>
            </w:r>
            <w:r>
              <w:rPr>
                <w:rFonts w:hint="eastAsia"/>
                <w:color w:val="000000" w:themeColor="text1"/>
                <w:kern w:val="0"/>
                <w:sz w:val="24"/>
                <w:szCs w:val="20"/>
                <w14:textFill>
                  <w14:solidFill>
                    <w14:schemeClr w14:val="tx1"/>
                  </w14:solidFill>
                </w14:textFill>
              </w:rPr>
              <w:t>取用；</w:t>
            </w:r>
          </w:p>
          <w:p>
            <w:pPr>
              <w:spacing w:line="440" w:lineRule="exact"/>
              <w:jc w:val="left"/>
              <w:rPr>
                <w:color w:val="000000" w:themeColor="text1"/>
                <w:kern w:val="0"/>
                <w:sz w:val="24"/>
                <w:szCs w:val="20"/>
                <w14:textFill>
                  <w14:solidFill>
                    <w14:schemeClr w14:val="tx1"/>
                  </w14:solidFill>
                </w14:textFill>
              </w:rPr>
            </w:pPr>
            <m:oMath>
              <m:sSub>
                <m:sSubPr>
                  <m:ctrlPr>
                    <w:rPr>
                      <w:rFonts w:ascii="Cambria Math" w:hAnsi="Cambria Math"/>
                      <w:color w:val="000000" w:themeColor="text1"/>
                      <w:kern w:val="0"/>
                      <w:sz w:val="22"/>
                      <w:szCs w:val="24"/>
                      <w14:textFill>
                        <w14:solidFill>
                          <w14:schemeClr w14:val="tx1"/>
                        </w14:solidFill>
                      </w14:textFill>
                    </w:rPr>
                  </m:ctrlPr>
                </m:sSubPr>
                <m:e>
                  <m:r>
                    <m:rPr>
                      <m:sty m:val="p"/>
                    </m:rPr>
                    <w:rPr>
                      <w:rFonts w:ascii="Cambria Math" w:hAnsi="Cambria Math"/>
                      <w:color w:val="000000" w:themeColor="text1"/>
                      <w:kern w:val="0"/>
                      <w:sz w:val="22"/>
                      <w:szCs w:val="20"/>
                      <w14:textFill>
                        <w14:solidFill>
                          <w14:schemeClr w14:val="tx1"/>
                        </w14:solidFill>
                      </w14:textFill>
                    </w:rPr>
                    <m:t>C</m:t>
                  </m:r>
                  <m:ctrlPr>
                    <w:rPr>
                      <w:rFonts w:ascii="Cambria Math" w:hAnsi="Cambria Math"/>
                      <w:color w:val="000000" w:themeColor="text1"/>
                      <w:kern w:val="0"/>
                      <w:sz w:val="22"/>
                      <w:szCs w:val="24"/>
                      <w14:textFill>
                        <w14:solidFill>
                          <w14:schemeClr w14:val="tx1"/>
                        </w14:solidFill>
                      </w14:textFill>
                    </w:rPr>
                  </m:ctrlPr>
                </m:e>
                <m:sub>
                  <m:ctrlPr>
                    <w:rPr>
                      <w:rFonts w:ascii="Cambria Math" w:hAnsi="Cambria Math"/>
                      <w:color w:val="000000" w:themeColor="text1"/>
                      <w:kern w:val="0"/>
                      <w:sz w:val="22"/>
                      <w:szCs w:val="24"/>
                      <w14:textFill>
                        <w14:solidFill>
                          <w14:schemeClr w14:val="tx1"/>
                        </w14:solidFill>
                      </w14:textFill>
                    </w:rPr>
                  </m:ctrlPr>
                </m:sub>
              </m:sSub>
            </m:oMath>
            <w:r>
              <w:rPr>
                <w:rFonts w:hint="eastAsia"/>
                <w:color w:val="000000" w:themeColor="text1"/>
                <w:kern w:val="0"/>
                <w:sz w:val="24"/>
                <w:szCs w:val="20"/>
                <w14:textFill>
                  <w14:solidFill>
                    <w14:schemeClr w14:val="tx1"/>
                  </w14:solidFill>
                </w14:textFill>
              </w:rPr>
              <w:t>为社会资本投报的年运营维养成本（含隧道和管廊日常养护、中修和大修成本）；</w:t>
            </w:r>
          </w:p>
          <w:p>
            <w:pPr>
              <w:spacing w:line="440" w:lineRule="exact"/>
              <w:jc w:val="left"/>
              <w:rPr>
                <w:color w:val="000000" w:themeColor="text1"/>
                <w:kern w:val="0"/>
                <w:sz w:val="24"/>
                <w:szCs w:val="20"/>
                <w14:textFill>
                  <w14:solidFill>
                    <w14:schemeClr w14:val="tx1"/>
                  </w14:solidFill>
                </w14:textFill>
              </w:rPr>
            </w:pPr>
            <m:oMath>
              <m:sSub>
                <m:sSubPr>
                  <m:ctrlPr>
                    <w:rPr>
                      <w:rFonts w:ascii="Cambria Math" w:hAnsi="Cambria Math"/>
                      <w:color w:val="000000" w:themeColor="text1"/>
                      <w:kern w:val="0"/>
                      <w:sz w:val="22"/>
                      <w:szCs w:val="24"/>
                      <w14:textFill>
                        <w14:solidFill>
                          <w14:schemeClr w14:val="tx1"/>
                        </w14:solidFill>
                      </w14:textFill>
                    </w:rPr>
                  </m:ctrlPr>
                </m:sSubPr>
                <m:e>
                  <m:r>
                    <m:rPr>
                      <m:sty m:val="p"/>
                    </m:rPr>
                    <w:rPr>
                      <w:rFonts w:ascii="Cambria Math" w:hAnsi="Cambria Math"/>
                      <w:color w:val="000000" w:themeColor="text1"/>
                      <w:kern w:val="0"/>
                      <w:sz w:val="22"/>
                      <w:szCs w:val="20"/>
                      <w14:textFill>
                        <w14:solidFill>
                          <w14:schemeClr w14:val="tx1"/>
                        </w14:solidFill>
                      </w14:textFill>
                    </w:rPr>
                    <m:t>G</m:t>
                  </m:r>
                  <m:ctrlPr>
                    <w:rPr>
                      <w:rFonts w:ascii="Cambria Math" w:hAnsi="Cambria Math"/>
                      <w:color w:val="000000" w:themeColor="text1"/>
                      <w:kern w:val="0"/>
                      <w:sz w:val="22"/>
                      <w:szCs w:val="24"/>
                      <w14:textFill>
                        <w14:solidFill>
                          <w14:schemeClr w14:val="tx1"/>
                        </w14:solidFill>
                      </w14:textFill>
                    </w:rPr>
                  </m:ctrlPr>
                </m:e>
                <m:sub>
                  <m:r>
                    <m:rPr>
                      <m:sty m:val="p"/>
                    </m:rPr>
                    <w:rPr>
                      <w:rFonts w:ascii="Cambria Math" w:hAnsi="Cambria Math"/>
                      <w:color w:val="000000" w:themeColor="text1"/>
                      <w:kern w:val="0"/>
                      <w:sz w:val="22"/>
                      <w:szCs w:val="20"/>
                      <w14:textFill>
                        <w14:solidFill>
                          <w14:schemeClr w14:val="tx1"/>
                        </w14:solidFill>
                      </w14:textFill>
                    </w:rPr>
                    <m:t>n</m:t>
                  </m:r>
                  <m:ctrlPr>
                    <w:rPr>
                      <w:rFonts w:ascii="Cambria Math" w:hAnsi="Cambria Math"/>
                      <w:color w:val="000000" w:themeColor="text1"/>
                      <w:kern w:val="0"/>
                      <w:sz w:val="22"/>
                      <w:szCs w:val="24"/>
                      <w14:textFill>
                        <w14:solidFill>
                          <w14:schemeClr w14:val="tx1"/>
                        </w14:solidFill>
                      </w14:textFill>
                    </w:rPr>
                  </m:ctrlPr>
                </m:sub>
              </m:sSub>
            </m:oMath>
            <w:r>
              <w:rPr>
                <w:rFonts w:hint="eastAsia"/>
                <w:color w:val="000000" w:themeColor="text1"/>
                <w:kern w:val="0"/>
                <w:sz w:val="24"/>
                <w:szCs w:val="20"/>
                <w14:textFill>
                  <w14:solidFill>
                    <w14:schemeClr w14:val="tx1"/>
                  </w14:solidFill>
                </w14:textFill>
              </w:rPr>
              <w:t>为预计入廊费用</w:t>
            </w:r>
            <w:r>
              <w:rPr>
                <w:color w:val="000000" w:themeColor="text1"/>
                <w:kern w:val="0"/>
                <w:sz w:val="24"/>
                <w:szCs w:val="20"/>
                <w14:textFill>
                  <w14:solidFill>
                    <w14:schemeClr w14:val="tx1"/>
                  </w14:solidFill>
                </w14:textFill>
              </w:rPr>
              <w:t>(</w:t>
            </w:r>
            <w:r>
              <w:rPr>
                <w:rFonts w:hint="eastAsia"/>
                <w:color w:val="000000" w:themeColor="text1"/>
                <w:kern w:val="0"/>
                <w:sz w:val="24"/>
                <w:szCs w:val="20"/>
                <w14:textFill>
                  <w14:solidFill>
                    <w14:schemeClr w14:val="tx1"/>
                  </w14:solidFill>
                </w14:textFill>
              </w:rPr>
              <w:t>暂计运营期第</w:t>
            </w:r>
            <w:r>
              <w:rPr>
                <w:color w:val="000000" w:themeColor="text1"/>
                <w:kern w:val="0"/>
                <w:sz w:val="24"/>
                <w:szCs w:val="20"/>
                <w14:textFill>
                  <w14:solidFill>
                    <w14:schemeClr w14:val="tx1"/>
                  </w14:solidFill>
                </w14:textFill>
              </w:rPr>
              <w:t>1</w:t>
            </w:r>
            <w:r>
              <w:rPr>
                <w:rFonts w:hint="eastAsia"/>
                <w:color w:val="000000" w:themeColor="text1"/>
                <w:kern w:val="0"/>
                <w:sz w:val="24"/>
                <w:szCs w:val="20"/>
                <w14:textFill>
                  <w14:solidFill>
                    <w14:schemeClr w14:val="tx1"/>
                  </w14:solidFill>
                </w14:textFill>
              </w:rPr>
              <w:t>年</w:t>
            </w:r>
            <w:r>
              <w:rPr>
                <w:color w:val="000000" w:themeColor="text1"/>
                <w:kern w:val="0"/>
                <w:sz w:val="24"/>
                <w:szCs w:val="20"/>
                <w14:textFill>
                  <w14:solidFill>
                    <w14:schemeClr w14:val="tx1"/>
                  </w14:solidFill>
                </w14:textFill>
              </w:rPr>
              <w:t>)</w:t>
            </w:r>
            <w:r>
              <w:rPr>
                <w:rFonts w:hint="eastAsia"/>
                <w:color w:val="000000" w:themeColor="text1"/>
                <w:kern w:val="0"/>
                <w:sz w:val="24"/>
                <w:szCs w:val="20"/>
                <w14:textFill>
                  <w14:solidFill>
                    <w14:schemeClr w14:val="tx1"/>
                  </w14:solidFill>
                </w14:textFill>
              </w:rPr>
              <w:t>；</w:t>
            </w:r>
          </w:p>
          <w:p>
            <w:pPr>
              <w:spacing w:line="440" w:lineRule="exact"/>
              <w:jc w:val="left"/>
              <w:rPr>
                <w:color w:val="000000" w:themeColor="text1"/>
                <w:kern w:val="0"/>
                <w:sz w:val="24"/>
                <w:szCs w:val="20"/>
                <w14:textFill>
                  <w14:solidFill>
                    <w14:schemeClr w14:val="tx1"/>
                  </w14:solidFill>
                </w14:textFill>
              </w:rPr>
            </w:pPr>
            <m:oMath>
              <m:sSub>
                <m:sSubPr>
                  <m:ctrlPr>
                    <w:rPr>
                      <w:rFonts w:ascii="Cambria Math" w:hAnsi="Cambria Math"/>
                      <w:color w:val="000000" w:themeColor="text1"/>
                      <w:kern w:val="0"/>
                      <w:sz w:val="22"/>
                      <w:szCs w:val="24"/>
                      <w14:textFill>
                        <w14:solidFill>
                          <w14:schemeClr w14:val="tx1"/>
                        </w14:solidFill>
                      </w14:textFill>
                    </w:rPr>
                  </m:ctrlPr>
                </m:sSubPr>
                <m:e>
                  <m:r>
                    <m:rPr>
                      <m:sty m:val="p"/>
                    </m:rPr>
                    <w:rPr>
                      <w:rFonts w:ascii="Cambria Math" w:hAnsi="Cambria Math"/>
                      <w:color w:val="000000" w:themeColor="text1"/>
                      <w:kern w:val="0"/>
                      <w:sz w:val="22"/>
                      <w:szCs w:val="20"/>
                      <w14:textFill>
                        <w14:solidFill>
                          <w14:schemeClr w14:val="tx1"/>
                        </w14:solidFill>
                      </w14:textFill>
                    </w:rPr>
                    <m:t>Q</m:t>
                  </m:r>
                  <m:ctrlPr>
                    <w:rPr>
                      <w:rFonts w:ascii="Cambria Math" w:hAnsi="Cambria Math"/>
                      <w:color w:val="000000" w:themeColor="text1"/>
                      <w:kern w:val="0"/>
                      <w:sz w:val="22"/>
                      <w:szCs w:val="24"/>
                      <w14:textFill>
                        <w14:solidFill>
                          <w14:schemeClr w14:val="tx1"/>
                        </w14:solidFill>
                      </w14:textFill>
                    </w:rPr>
                  </m:ctrlPr>
                </m:e>
                <m:sub>
                  <m:ctrlPr>
                    <w:rPr>
                      <w:rFonts w:ascii="Cambria Math" w:hAnsi="Cambria Math"/>
                      <w:color w:val="000000" w:themeColor="text1"/>
                      <w:kern w:val="0"/>
                      <w:sz w:val="22"/>
                      <w:szCs w:val="24"/>
                      <w14:textFill>
                        <w14:solidFill>
                          <w14:schemeClr w14:val="tx1"/>
                        </w14:solidFill>
                      </w14:textFill>
                    </w:rPr>
                  </m:ctrlPr>
                </m:sub>
              </m:sSub>
            </m:oMath>
            <w:r>
              <w:rPr>
                <w:rFonts w:hint="eastAsia"/>
                <w:color w:val="000000" w:themeColor="text1"/>
                <w:kern w:val="0"/>
                <w:sz w:val="24"/>
                <w:szCs w:val="20"/>
                <w14:textFill>
                  <w14:solidFill>
                    <w14:schemeClr w14:val="tx1"/>
                  </w14:solidFill>
                </w14:textFill>
              </w:rPr>
              <w:t>为预计的年日常维护费（管廊）收入。</w:t>
            </w:r>
          </w:p>
        </w:tc>
      </w:tr>
    </w:tbl>
    <w:p>
      <w:pPr>
        <w:rPr>
          <w:rFonts w:ascii="Times New Roman" w:hAnsi="Times New Roman"/>
          <w:b/>
          <w:color w:val="000000" w:themeColor="text1"/>
          <w:sz w:val="24"/>
          <w:szCs w:val="24"/>
          <w14:textFill>
            <w14:solidFill>
              <w14:schemeClr w14:val="tx1"/>
            </w14:solidFill>
          </w14:textFill>
        </w:rPr>
      </w:pPr>
      <w:r>
        <w:rPr>
          <w:rFonts w:hint="eastAsia" w:ascii="Times New Roman" w:hAnsi="Times New Roman"/>
          <w:b/>
          <w:color w:val="000000" w:themeColor="text1"/>
          <w:sz w:val="22"/>
          <w:szCs w:val="24"/>
          <w14:textFill>
            <w14:solidFill>
              <w14:schemeClr w14:val="tx1"/>
            </w14:solidFill>
          </w14:textFill>
        </w:rPr>
        <w:t>注：投标人填报数据（年投资回报率、下浮后的建安费用、第一年可行性缺口补助，可行性缺口补助总额）与其计算结果（年投资回报率、下浮后的建安费用、第一年可行性缺口补助，可行性缺口补助总额）不一致的，以投标人填报数据（投资回报上浮率、建安费用下浮率和年运营维养成本）为依据，</w:t>
      </w:r>
      <w:bookmarkStart w:id="251" w:name="_Hlk521425904"/>
      <w:r>
        <w:rPr>
          <w:rFonts w:hint="eastAsia" w:ascii="Times New Roman" w:hAnsi="Times New Roman"/>
          <w:b/>
          <w:color w:val="000000" w:themeColor="text1"/>
          <w:sz w:val="22"/>
          <w:szCs w:val="24"/>
          <w14:textFill>
            <w14:solidFill>
              <w14:schemeClr w14:val="tx1"/>
            </w14:solidFill>
          </w14:textFill>
        </w:rPr>
        <w:t>经评标委员会核算结果为准</w:t>
      </w:r>
      <w:bookmarkEnd w:id="251"/>
      <w:r>
        <w:rPr>
          <w:rFonts w:hint="eastAsia" w:ascii="Times New Roman" w:hAnsi="Times New Roman"/>
          <w:b/>
          <w:color w:val="000000" w:themeColor="text1"/>
          <w:sz w:val="22"/>
          <w:szCs w:val="24"/>
          <w14:textFill>
            <w14:solidFill>
              <w14:schemeClr w14:val="tx1"/>
            </w14:solidFill>
          </w14:textFill>
        </w:rPr>
        <w:t>。</w:t>
      </w:r>
      <w:r>
        <w:rPr>
          <w:rFonts w:ascii="Times New Roman" w:hAnsi="Times New Roman"/>
          <w:color w:val="000000" w:themeColor="text1"/>
          <w14:textFill>
            <w14:solidFill>
              <w14:schemeClr w14:val="tx1"/>
            </w14:solidFill>
          </w14:textFill>
        </w:rPr>
        <w:br w:type="page"/>
      </w:r>
    </w:p>
    <w:p>
      <w:pPr>
        <w:pStyle w:val="3"/>
        <w:spacing w:line="360" w:lineRule="auto"/>
        <w:jc w:val="center"/>
        <w:rPr>
          <w:rFonts w:ascii="Times New Roman" w:hAnsi="Times New Roman"/>
          <w:color w:val="000000" w:themeColor="text1"/>
          <w:sz w:val="24"/>
          <w:szCs w:val="24"/>
          <w14:textFill>
            <w14:solidFill>
              <w14:schemeClr w14:val="tx1"/>
            </w14:solidFill>
          </w14:textFill>
        </w:rPr>
      </w:pPr>
      <w:bookmarkStart w:id="252" w:name="_Toc492040658"/>
      <w:bookmarkStart w:id="253" w:name="_Toc491857551"/>
      <w:bookmarkStart w:id="254" w:name="_Toc492021868"/>
      <w:bookmarkStart w:id="255" w:name="_Toc496258658"/>
      <w:bookmarkStart w:id="256" w:name="_Toc496299721"/>
      <w:bookmarkStart w:id="257" w:name="_Toc496299885"/>
      <w:bookmarkStart w:id="258" w:name="_Toc522635491"/>
      <w:r>
        <w:rPr>
          <w:rFonts w:hint="eastAsia" w:ascii="Times New Roman" w:hAnsi="Times New Roman"/>
          <w:color w:val="000000" w:themeColor="text1"/>
          <w:sz w:val="24"/>
          <w:szCs w:val="24"/>
          <w14:textFill>
            <w14:solidFill>
              <w14:schemeClr w14:val="tx1"/>
            </w14:solidFill>
          </w14:textFill>
        </w:rPr>
        <w:t>附件</w:t>
      </w:r>
      <w:r>
        <w:rPr>
          <w:rFonts w:ascii="Times New Roman" w:hAnsi="Times New Roman"/>
          <w:color w:val="000000" w:themeColor="text1"/>
          <w:sz w:val="24"/>
          <w:szCs w:val="24"/>
          <w14:textFill>
            <w14:solidFill>
              <w14:schemeClr w14:val="tx1"/>
            </w14:solidFill>
          </w14:textFill>
        </w:rPr>
        <w:t xml:space="preserve">4  </w:t>
      </w:r>
      <w:r>
        <w:rPr>
          <w:rFonts w:hint="eastAsia" w:ascii="Times New Roman" w:hAnsi="Times New Roman"/>
          <w:color w:val="000000" w:themeColor="text1"/>
          <w:sz w:val="24"/>
          <w:szCs w:val="24"/>
          <w14:textFill>
            <w14:solidFill>
              <w14:schemeClr w14:val="tx1"/>
            </w14:solidFill>
          </w14:textFill>
        </w:rPr>
        <w:t>封面格式</w:t>
      </w:r>
      <w:bookmarkEnd w:id="247"/>
      <w:bookmarkEnd w:id="248"/>
      <w:bookmarkEnd w:id="252"/>
      <w:bookmarkEnd w:id="253"/>
      <w:bookmarkEnd w:id="254"/>
      <w:bookmarkEnd w:id="255"/>
      <w:bookmarkEnd w:id="256"/>
      <w:bookmarkEnd w:id="257"/>
      <w:bookmarkEnd w:id="258"/>
    </w:p>
    <w:p>
      <w:pPr>
        <w:pStyle w:val="4"/>
        <w:rPr>
          <w:color w:val="000000" w:themeColor="text1"/>
          <w14:textFill>
            <w14:solidFill>
              <w14:schemeClr w14:val="tx1"/>
            </w14:solidFill>
          </w14:textFill>
        </w:rPr>
      </w:pPr>
      <w:bookmarkStart w:id="259" w:name="_1、投标文件封面格式"/>
      <w:bookmarkEnd w:id="259"/>
      <w:bookmarkStart w:id="260" w:name="OLE_LINK5"/>
      <w:bookmarkStart w:id="261" w:name="_Toc492021869"/>
      <w:bookmarkStart w:id="262" w:name="_Toc487201034"/>
      <w:bookmarkStart w:id="263" w:name="_Toc491857552"/>
      <w:bookmarkStart w:id="264" w:name="_Toc465698643"/>
      <w:bookmarkStart w:id="265" w:name="_Toc492040659"/>
      <w:bookmarkStart w:id="266" w:name="_Toc496258659"/>
      <w:bookmarkStart w:id="267" w:name="_Toc496299722"/>
      <w:bookmarkStart w:id="268" w:name="_Toc496299886"/>
      <w:bookmarkStart w:id="269" w:name="_Toc522635492"/>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4-1</w:t>
      </w:r>
      <w:bookmarkEnd w:id="260"/>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投标文件封面格式</w:t>
      </w:r>
      <w:bookmarkEnd w:id="261"/>
      <w:bookmarkEnd w:id="262"/>
      <w:bookmarkEnd w:id="263"/>
      <w:bookmarkEnd w:id="264"/>
      <w:bookmarkEnd w:id="265"/>
      <w:bookmarkEnd w:id="266"/>
      <w:bookmarkEnd w:id="267"/>
      <w:bookmarkEnd w:id="268"/>
      <w:bookmarkEnd w:id="269"/>
    </w:p>
    <w:p>
      <w:pPr>
        <w:spacing w:line="360" w:lineRule="auto"/>
        <w:jc w:val="right"/>
        <w:rPr>
          <w:rFonts w:ascii="Times New Roman" w:hAnsi="Times New Roman"/>
          <w:b/>
          <w:color w:val="000000" w:themeColor="text1"/>
          <w:sz w:val="36"/>
          <w:szCs w:val="48"/>
          <w:bdr w:val="single" w:color="auto" w:sz="4" w:space="0"/>
          <w14:textFill>
            <w14:solidFill>
              <w14:schemeClr w14:val="tx1"/>
            </w14:solidFill>
          </w14:textFill>
        </w:rPr>
      </w:pPr>
      <w:r>
        <w:rPr>
          <w:rFonts w:hint="eastAsia" w:ascii="Times New Roman" w:hAnsi="Times New Roman"/>
          <w:b/>
          <w:color w:val="000000" w:themeColor="text1"/>
          <w:sz w:val="36"/>
          <w:szCs w:val="48"/>
          <w:bdr w:val="single" w:color="auto" w:sz="4" w:space="0"/>
          <w14:textFill>
            <w14:solidFill>
              <w14:schemeClr w14:val="tx1"/>
            </w14:solidFill>
          </w14:textFill>
        </w:rPr>
        <w:t>正本</w:t>
      </w:r>
      <w:r>
        <w:rPr>
          <w:rFonts w:ascii="Times New Roman" w:hAnsi="Times New Roman"/>
          <w:b/>
          <w:color w:val="000000" w:themeColor="text1"/>
          <w:sz w:val="36"/>
          <w:szCs w:val="48"/>
          <w:bdr w:val="single" w:color="auto" w:sz="4" w:space="0"/>
          <w14:textFill>
            <w14:solidFill>
              <w14:schemeClr w14:val="tx1"/>
            </w14:solidFill>
          </w14:textFill>
        </w:rPr>
        <w:t>/</w:t>
      </w:r>
      <w:r>
        <w:rPr>
          <w:rFonts w:hint="eastAsia" w:ascii="Times New Roman" w:hAnsi="Times New Roman"/>
          <w:b/>
          <w:color w:val="000000" w:themeColor="text1"/>
          <w:sz w:val="36"/>
          <w:szCs w:val="48"/>
          <w:bdr w:val="single" w:color="auto" w:sz="4" w:space="0"/>
          <w14:textFill>
            <w14:solidFill>
              <w14:schemeClr w14:val="tx1"/>
            </w14:solidFill>
          </w14:textFill>
        </w:rPr>
        <w:t>副本</w:t>
      </w:r>
    </w:p>
    <w:p>
      <w:pPr>
        <w:spacing w:line="480" w:lineRule="auto"/>
        <w:jc w:val="center"/>
        <w:rPr>
          <w:rFonts w:ascii="Times New Roman" w:hAnsi="Times New Roman" w:eastAsia="黑体"/>
          <w:color w:val="000000" w:themeColor="text1"/>
          <w:sz w:val="44"/>
          <w:szCs w:val="48"/>
          <w14:textFill>
            <w14:solidFill>
              <w14:schemeClr w14:val="tx1"/>
            </w14:solidFill>
          </w14:textFill>
        </w:rPr>
      </w:pPr>
    </w:p>
    <w:p>
      <w:pPr>
        <w:spacing w:line="480" w:lineRule="auto"/>
        <w:jc w:val="center"/>
        <w:rPr>
          <w:rFonts w:ascii="Times New Roman" w:hAnsi="Times New Roman" w:eastAsia="黑体"/>
          <w:color w:val="000000" w:themeColor="text1"/>
          <w:sz w:val="144"/>
          <w:szCs w:val="48"/>
          <w14:textFill>
            <w14:solidFill>
              <w14:schemeClr w14:val="tx1"/>
            </w14:solidFill>
          </w14:textFill>
        </w:rPr>
      </w:pPr>
      <w:r>
        <w:rPr>
          <w:rFonts w:ascii="Times New Roman" w:hAnsi="Times New Roman" w:eastAsia="黑体"/>
          <w:color w:val="000000" w:themeColor="text1"/>
          <w:sz w:val="144"/>
          <w:szCs w:val="48"/>
          <w14:textFill>
            <w14:solidFill>
              <w14:schemeClr w14:val="tx1"/>
            </w14:solidFill>
          </w14:textFill>
        </w:rPr>
        <w:fldChar w:fldCharType="begin"/>
      </w:r>
      <w:r>
        <w:rPr>
          <w:rFonts w:ascii="Times New Roman" w:hAnsi="Times New Roman" w:eastAsia="黑体"/>
          <w:color w:val="000000" w:themeColor="text1"/>
          <w:sz w:val="144"/>
          <w:szCs w:val="48"/>
          <w14:textFill>
            <w14:solidFill>
              <w14:schemeClr w14:val="tx1"/>
            </w14:solidFill>
          </w14:textFill>
        </w:rPr>
        <w:instrText xml:space="preserve"> REF </w:instrText>
      </w:r>
      <w:r>
        <w:rPr>
          <w:rFonts w:hint="eastAsia" w:ascii="Times New Roman" w:hAnsi="Times New Roman" w:eastAsia="黑体"/>
          <w:color w:val="000000" w:themeColor="text1"/>
          <w:sz w:val="144"/>
          <w:szCs w:val="48"/>
          <w14:textFill>
            <w14:solidFill>
              <w14:schemeClr w14:val="tx1"/>
            </w14:solidFill>
          </w14:textFill>
        </w:rPr>
        <w:instrText xml:space="preserve">采购项目名称</w:instrText>
      </w:r>
      <w:r>
        <w:rPr>
          <w:rFonts w:ascii="Times New Roman" w:hAnsi="Times New Roman" w:eastAsia="黑体"/>
          <w:color w:val="000000" w:themeColor="text1"/>
          <w:sz w:val="144"/>
          <w:szCs w:val="48"/>
          <w14:textFill>
            <w14:solidFill>
              <w14:schemeClr w14:val="tx1"/>
            </w14:solidFill>
          </w14:textFill>
        </w:rPr>
        <w:instrText xml:space="preserve"> \h  \* MERGEFORMAT </w:instrText>
      </w:r>
      <w:r>
        <w:rPr>
          <w:rFonts w:ascii="Times New Roman" w:hAnsi="Times New Roman" w:eastAsia="黑体"/>
          <w:color w:val="000000" w:themeColor="text1"/>
          <w:sz w:val="144"/>
          <w:szCs w:val="48"/>
          <w14:textFill>
            <w14:solidFill>
              <w14:schemeClr w14:val="tx1"/>
            </w14:solidFill>
          </w14:textFill>
        </w:rPr>
        <w:fldChar w:fldCharType="separate"/>
      </w:r>
      <w:r>
        <w:rPr>
          <w:rFonts w:hint="eastAsia" w:ascii="Times New Roman" w:hAnsi="Times New Roman" w:eastAsia="黑体"/>
          <w:color w:val="000000" w:themeColor="text1"/>
          <w:sz w:val="40"/>
          <w:szCs w:val="21"/>
          <w14:textFill>
            <w14:solidFill>
              <w14:schemeClr w14:val="tx1"/>
            </w14:solidFill>
          </w14:textFill>
        </w:rPr>
        <w:t>艮山东路过江隧道工程</w:t>
      </w:r>
      <w:r>
        <w:rPr>
          <w:rFonts w:ascii="Times New Roman" w:hAnsi="Times New Roman" w:eastAsia="黑体"/>
          <w:color w:val="000000" w:themeColor="text1"/>
          <w:sz w:val="40"/>
          <w:szCs w:val="21"/>
          <w14:textFill>
            <w14:solidFill>
              <w14:schemeClr w14:val="tx1"/>
            </w14:solidFill>
          </w14:textFill>
        </w:rPr>
        <w:t>PPP</w:t>
      </w:r>
      <w:r>
        <w:rPr>
          <w:rFonts w:hint="eastAsia" w:ascii="Times New Roman" w:hAnsi="Times New Roman" w:eastAsia="黑体"/>
          <w:color w:val="000000" w:themeColor="text1"/>
          <w:sz w:val="40"/>
          <w:szCs w:val="21"/>
          <w14:textFill>
            <w14:solidFill>
              <w14:schemeClr w14:val="tx1"/>
            </w14:solidFill>
          </w14:textFill>
        </w:rPr>
        <w:t>项目社会资本采购</w:t>
      </w:r>
      <w:r>
        <w:rPr>
          <w:rFonts w:ascii="Times New Roman" w:hAnsi="Times New Roman" w:eastAsia="黑体"/>
          <w:color w:val="000000" w:themeColor="text1"/>
          <w:sz w:val="144"/>
          <w:szCs w:val="48"/>
          <w14:textFill>
            <w14:solidFill>
              <w14:schemeClr w14:val="tx1"/>
            </w14:solidFill>
          </w14:textFill>
        </w:rPr>
        <w:fldChar w:fldCharType="end"/>
      </w:r>
    </w:p>
    <w:p>
      <w:pPr>
        <w:jc w:val="center"/>
        <w:rPr>
          <w:rFonts w:ascii="Times New Roman" w:hAnsi="Times New Roman" w:eastAsia="仿宋_GB2312"/>
          <w:color w:val="000000" w:themeColor="text1"/>
          <w:sz w:val="28"/>
          <w:szCs w:val="28"/>
          <w14:textFill>
            <w14:solidFill>
              <w14:schemeClr w14:val="tx1"/>
            </w14:solidFill>
          </w14:textFill>
        </w:rPr>
      </w:pPr>
    </w:p>
    <w:p>
      <w:pPr>
        <w:jc w:val="center"/>
        <w:rPr>
          <w:rFonts w:ascii="Times New Roman" w:hAnsi="Times New Roman" w:eastAsia="仿宋_GB2312"/>
          <w:color w:val="000000" w:themeColor="text1"/>
          <w:sz w:val="28"/>
          <w:szCs w:val="28"/>
          <w14:textFill>
            <w14:solidFill>
              <w14:schemeClr w14:val="tx1"/>
            </w14:solidFill>
          </w14:textFill>
        </w:rPr>
      </w:pPr>
    </w:p>
    <w:p>
      <w:pPr>
        <w:jc w:val="center"/>
        <w:rPr>
          <w:rFonts w:ascii="Times New Roman" w:hAnsi="Times New Roman" w:eastAsia="黑体"/>
          <w:color w:val="000000" w:themeColor="text1"/>
          <w:sz w:val="72"/>
          <w:szCs w:val="44"/>
          <w14:textFill>
            <w14:solidFill>
              <w14:schemeClr w14:val="tx1"/>
            </w14:solidFill>
          </w14:textFill>
        </w:rPr>
      </w:pPr>
      <w:r>
        <w:rPr>
          <w:rFonts w:hint="eastAsia" w:ascii="Times New Roman" w:hAnsi="Times New Roman" w:eastAsia="黑体"/>
          <w:color w:val="000000" w:themeColor="text1"/>
          <w:sz w:val="72"/>
          <w:szCs w:val="44"/>
          <w14:textFill>
            <w14:solidFill>
              <w14:schemeClr w14:val="tx1"/>
            </w14:solidFill>
          </w14:textFill>
        </w:rPr>
        <w:t>资信</w:t>
      </w:r>
      <w:r>
        <w:rPr>
          <w:rFonts w:ascii="Times New Roman" w:hAnsi="Times New Roman" w:eastAsia="黑体"/>
          <w:color w:val="000000" w:themeColor="text1"/>
          <w:sz w:val="72"/>
          <w:szCs w:val="44"/>
          <w14:textFill>
            <w14:solidFill>
              <w14:schemeClr w14:val="tx1"/>
            </w14:solidFill>
          </w14:textFill>
        </w:rPr>
        <w:t>/</w:t>
      </w:r>
      <w:r>
        <w:rPr>
          <w:rFonts w:hint="eastAsia" w:ascii="Times New Roman" w:hAnsi="Times New Roman" w:eastAsia="黑体"/>
          <w:color w:val="000000" w:themeColor="text1"/>
          <w:sz w:val="72"/>
          <w:szCs w:val="44"/>
          <w14:textFill>
            <w14:solidFill>
              <w14:schemeClr w14:val="tx1"/>
            </w14:solidFill>
          </w14:textFill>
        </w:rPr>
        <w:t>技术投标文件</w:t>
      </w:r>
    </w:p>
    <w:p>
      <w:pPr>
        <w:jc w:val="center"/>
        <w:rPr>
          <w:rFonts w:ascii="Times New Roman" w:hAnsi="Times New Roman" w:eastAsia="仿宋_GB2312"/>
          <w:color w:val="000000" w:themeColor="text1"/>
          <w:sz w:val="28"/>
          <w:szCs w:val="28"/>
          <w14:textFill>
            <w14:solidFill>
              <w14:schemeClr w14:val="tx1"/>
            </w14:solidFill>
          </w14:textFill>
        </w:rPr>
      </w:pPr>
    </w:p>
    <w:p>
      <w:pPr>
        <w:jc w:val="center"/>
        <w:rPr>
          <w:rFonts w:ascii="Times New Roman" w:hAnsi="Times New Roman" w:eastAsia="仿宋_GB2312"/>
          <w:color w:val="000000" w:themeColor="text1"/>
          <w:sz w:val="28"/>
          <w:szCs w:val="28"/>
          <w:u w:val="single"/>
          <w14:textFill>
            <w14:solidFill>
              <w14:schemeClr w14:val="tx1"/>
            </w14:solidFill>
          </w14:textFill>
        </w:rPr>
      </w:pPr>
      <w:r>
        <w:rPr>
          <w:rFonts w:hint="eastAsia" w:ascii="Times New Roman" w:hAnsi="Times New Roman" w:eastAsia="仿宋_GB2312"/>
          <w:color w:val="000000" w:themeColor="text1"/>
          <w:sz w:val="28"/>
          <w:szCs w:val="28"/>
          <w:u w:val="single"/>
          <w14:textFill>
            <w14:solidFill>
              <w14:schemeClr w14:val="tx1"/>
            </w14:solidFill>
          </w14:textFill>
        </w:rPr>
        <w:t>（若有分册在此注明分册名称）</w:t>
      </w:r>
    </w:p>
    <w:p>
      <w:pPr>
        <w:jc w:val="center"/>
        <w:rPr>
          <w:rFonts w:ascii="Times New Roman" w:hAnsi="Times New Roman" w:eastAsia="仿宋_GB2312"/>
          <w:color w:val="000000" w:themeColor="text1"/>
          <w14:textFill>
            <w14:solidFill>
              <w14:schemeClr w14:val="tx1"/>
            </w14:solidFill>
          </w14:textFill>
        </w:rPr>
      </w:pPr>
    </w:p>
    <w:p>
      <w:pPr>
        <w:ind w:firstLine="1839" w:firstLineChars="511"/>
        <w:rPr>
          <w:rFonts w:ascii="Times New Roman" w:hAnsi="Times New Roman" w:eastAsia="仿宋_GB2312"/>
          <w:color w:val="000000" w:themeColor="text1"/>
          <w:sz w:val="36"/>
          <w14:textFill>
            <w14:solidFill>
              <w14:schemeClr w14:val="tx1"/>
            </w14:solidFill>
          </w14:textFill>
        </w:rPr>
      </w:pPr>
      <w:r>
        <w:rPr>
          <w:rFonts w:hint="eastAsia" w:ascii="Times New Roman" w:hAnsi="Times New Roman" w:eastAsia="仿宋_GB2312"/>
          <w:color w:val="000000" w:themeColor="text1"/>
          <w:sz w:val="36"/>
          <w14:textFill>
            <w14:solidFill>
              <w14:schemeClr w14:val="tx1"/>
            </w14:solidFill>
          </w14:textFill>
        </w:rPr>
        <w:t>采购项目编号：</w:t>
      </w:r>
    </w:p>
    <w:p>
      <w:pPr>
        <w:spacing w:line="400" w:lineRule="exact"/>
        <w:rPr>
          <w:rFonts w:ascii="Times New Roman" w:hAnsi="Times New Roman" w:eastAsia="仿宋_GB2312"/>
          <w:b/>
          <w:color w:val="000000" w:themeColor="text1"/>
          <w14:textFill>
            <w14:solidFill>
              <w14:schemeClr w14:val="tx1"/>
            </w14:solidFill>
          </w14:textFill>
        </w:rPr>
      </w:pPr>
    </w:p>
    <w:p>
      <w:pPr>
        <w:spacing w:line="400" w:lineRule="exact"/>
        <w:rPr>
          <w:rFonts w:ascii="Times New Roman" w:hAnsi="Times New Roman" w:eastAsia="仿宋_GB2312"/>
          <w:color w:val="000000" w:themeColor="text1"/>
          <w14:textFill>
            <w14:solidFill>
              <w14:schemeClr w14:val="tx1"/>
            </w14:solidFill>
          </w14:textFill>
        </w:rPr>
      </w:pPr>
    </w:p>
    <w:p>
      <w:pPr>
        <w:spacing w:line="400" w:lineRule="exact"/>
        <w:rPr>
          <w:rFonts w:ascii="Times New Roman" w:hAnsi="Times New Roman" w:eastAsia="仿宋_GB2312"/>
          <w:color w:val="000000" w:themeColor="text1"/>
          <w14:textFill>
            <w14:solidFill>
              <w14:schemeClr w14:val="tx1"/>
            </w14:solidFill>
          </w14:textFill>
        </w:rPr>
      </w:pPr>
    </w:p>
    <w:p>
      <w:pPr>
        <w:jc w:val="center"/>
        <w:rPr>
          <w:rFonts w:ascii="Times New Roman" w:hAnsi="Times New Roman" w:eastAsia="仿宋_GB2312"/>
          <w:b/>
          <w:color w:val="000000" w:themeColor="text1"/>
          <w:sz w:val="32"/>
          <w:szCs w:val="28"/>
          <w14:textFill>
            <w14:solidFill>
              <w14:schemeClr w14:val="tx1"/>
            </w14:solidFill>
          </w14:textFill>
        </w:rPr>
      </w:pPr>
    </w:p>
    <w:p>
      <w:pPr>
        <w:jc w:val="center"/>
        <w:rPr>
          <w:rFonts w:ascii="Times New Roman" w:hAnsi="Times New Roman" w:eastAsia="仿宋_GB2312"/>
          <w:b/>
          <w:color w:val="000000" w:themeColor="text1"/>
          <w:sz w:val="32"/>
          <w:szCs w:val="28"/>
          <w14:textFill>
            <w14:solidFill>
              <w14:schemeClr w14:val="tx1"/>
            </w14:solidFill>
          </w14:textFill>
        </w:rPr>
      </w:pPr>
    </w:p>
    <w:p>
      <w:pPr>
        <w:jc w:val="center"/>
        <w:rPr>
          <w:rFonts w:ascii="Times New Roman" w:hAnsi="Times New Roman" w:eastAsia="仿宋_GB2312"/>
          <w:b/>
          <w:color w:val="000000" w:themeColor="text1"/>
          <w:sz w:val="32"/>
          <w:szCs w:val="28"/>
          <w14:textFill>
            <w14:solidFill>
              <w14:schemeClr w14:val="tx1"/>
            </w14:solidFill>
          </w14:textFill>
        </w:rPr>
      </w:pPr>
      <w:r>
        <w:rPr>
          <w:rFonts w:hint="eastAsia" w:ascii="Times New Roman" w:hAnsi="Times New Roman" w:eastAsia="仿宋_GB2312"/>
          <w:b/>
          <w:color w:val="000000" w:themeColor="text1"/>
          <w:sz w:val="32"/>
          <w:szCs w:val="28"/>
          <w14:textFill>
            <w14:solidFill>
              <w14:schemeClr w14:val="tx1"/>
            </w14:solidFill>
          </w14:textFill>
        </w:rPr>
        <w:t>投标人：</w:t>
      </w:r>
      <w:r>
        <w:rPr>
          <w:rFonts w:ascii="Times New Roman" w:hAnsi="Times New Roman" w:eastAsia="仿宋_GB2312"/>
          <w:b/>
          <w:color w:val="000000" w:themeColor="text1"/>
          <w:sz w:val="22"/>
          <w:u w:val="single"/>
          <w14:textFill>
            <w14:solidFill>
              <w14:schemeClr w14:val="tx1"/>
            </w14:solidFill>
          </w14:textFill>
        </w:rPr>
        <w:t xml:space="preserve">                                 </w:t>
      </w:r>
      <w:r>
        <w:rPr>
          <w:rFonts w:hint="eastAsia" w:ascii="Times New Roman" w:hAnsi="Times New Roman" w:eastAsia="仿宋_GB2312"/>
          <w:b/>
          <w:color w:val="000000" w:themeColor="text1"/>
          <w:sz w:val="32"/>
          <w:szCs w:val="28"/>
          <w14:textFill>
            <w14:solidFill>
              <w14:schemeClr w14:val="tx1"/>
            </w14:solidFill>
          </w14:textFill>
        </w:rPr>
        <w:t>（盖单位章）</w:t>
      </w:r>
    </w:p>
    <w:p>
      <w:pPr>
        <w:pStyle w:val="16"/>
        <w:spacing w:before="120" w:beforeLines="50" w:after="120" w:afterLines="50"/>
        <w:ind w:firstLine="0" w:firstLineChars="0"/>
        <w:jc w:val="center"/>
        <w:rPr>
          <w:rFonts w:ascii="Times New Roman" w:hAnsi="Times New Roman" w:eastAsia="黑体"/>
          <w:color w:val="000000" w:themeColor="text1"/>
          <w:sz w:val="22"/>
          <w14:textFill>
            <w14:solidFill>
              <w14:schemeClr w14:val="tx1"/>
            </w14:solidFill>
          </w14:textFill>
        </w:rPr>
      </w:pPr>
      <w:r>
        <w:rPr>
          <w:rFonts w:hint="eastAsia" w:ascii="Times New Roman" w:hAnsi="Times New Roman" w:eastAsia="黑体"/>
          <w:color w:val="000000" w:themeColor="text1"/>
          <w:sz w:val="22"/>
          <w14:textFill>
            <w14:solidFill>
              <w14:schemeClr w14:val="tx1"/>
            </w14:solidFill>
          </w14:textFill>
        </w:rPr>
        <w:t>（联合体投标人，</w:t>
      </w:r>
      <w:bookmarkStart w:id="270" w:name="_Hlk496274577"/>
      <w:r>
        <w:rPr>
          <w:rFonts w:hint="eastAsia" w:ascii="Times New Roman" w:hAnsi="Times New Roman" w:eastAsia="黑体"/>
          <w:color w:val="000000" w:themeColor="text1"/>
          <w:sz w:val="22"/>
          <w14:textFill>
            <w14:solidFill>
              <w14:schemeClr w14:val="tx1"/>
            </w14:solidFill>
          </w14:textFill>
        </w:rPr>
        <w:t>“投标人”一栏填写联合体各方公司名称，</w:t>
      </w:r>
      <w:bookmarkEnd w:id="270"/>
      <w:r>
        <w:rPr>
          <w:rFonts w:hint="eastAsia" w:ascii="Times New Roman" w:hAnsi="Times New Roman" w:eastAsia="黑体"/>
          <w:color w:val="000000" w:themeColor="text1"/>
          <w:sz w:val="22"/>
          <w14:textFill>
            <w14:solidFill>
              <w14:schemeClr w14:val="tx1"/>
            </w14:solidFill>
          </w14:textFill>
        </w:rPr>
        <w:t>本页盖牵头公司公章）</w:t>
      </w:r>
    </w:p>
    <w:p>
      <w:pPr>
        <w:pStyle w:val="16"/>
        <w:spacing w:before="120" w:beforeLines="50" w:after="120" w:afterLines="50"/>
        <w:ind w:firstLine="0" w:firstLineChars="0"/>
        <w:jc w:val="center"/>
        <w:rPr>
          <w:rFonts w:ascii="Times New Roman" w:hAnsi="Times New Roman"/>
          <w:color w:val="000000" w:themeColor="text1"/>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2018</w:t>
      </w:r>
      <w:r>
        <w:rPr>
          <w:rFonts w:hint="eastAsia" w:ascii="Times New Roman" w:hAnsi="Times New Roman" w:eastAsia="仿宋_GB2312"/>
          <w:color w:val="000000" w:themeColor="text1"/>
          <w:sz w:val="28"/>
          <w:szCs w:val="28"/>
          <w14:textFill>
            <w14:solidFill>
              <w14:schemeClr w14:val="tx1"/>
            </w14:solidFill>
          </w14:textFill>
        </w:rPr>
        <w:t>年</w:t>
      </w:r>
      <w:r>
        <w:rPr>
          <w:rFonts w:ascii="Times New Roman" w:hAnsi="Times New Roman" w:eastAsia="仿宋_GB2312"/>
          <w:color w:val="000000" w:themeColor="text1"/>
          <w:sz w:val="28"/>
          <w:szCs w:val="28"/>
          <w:u w:val="single"/>
          <w14:textFill>
            <w14:solidFill>
              <w14:schemeClr w14:val="tx1"/>
            </w14:solidFill>
          </w14:textFill>
        </w:rPr>
        <w:t xml:space="preserve">   </w:t>
      </w:r>
      <w:r>
        <w:rPr>
          <w:rFonts w:hint="eastAsia" w:ascii="Times New Roman" w:hAnsi="Times New Roman" w:eastAsia="仿宋_GB2312"/>
          <w:color w:val="000000" w:themeColor="text1"/>
          <w:sz w:val="28"/>
          <w:szCs w:val="28"/>
          <w14:textFill>
            <w14:solidFill>
              <w14:schemeClr w14:val="tx1"/>
            </w14:solidFill>
          </w14:textFill>
        </w:rPr>
        <w:t>月</w:t>
      </w:r>
      <w:r>
        <w:rPr>
          <w:rFonts w:ascii="Times New Roman" w:hAnsi="Times New Roman" w:eastAsia="仿宋_GB2312"/>
          <w:color w:val="000000" w:themeColor="text1"/>
          <w:sz w:val="28"/>
          <w:szCs w:val="28"/>
          <w:u w:val="single"/>
          <w14:textFill>
            <w14:solidFill>
              <w14:schemeClr w14:val="tx1"/>
            </w14:solidFill>
          </w14:textFill>
        </w:rPr>
        <w:t xml:space="preserve">  </w:t>
      </w:r>
      <w:r>
        <w:rPr>
          <w:rFonts w:hint="eastAsia" w:ascii="Times New Roman" w:hAnsi="Times New Roman" w:eastAsia="仿宋_GB2312"/>
          <w:color w:val="000000" w:themeColor="text1"/>
          <w:sz w:val="28"/>
          <w:szCs w:val="28"/>
          <w14:textFill>
            <w14:solidFill>
              <w14:schemeClr w14:val="tx1"/>
            </w14:solidFill>
          </w14:textFill>
        </w:rPr>
        <w:t>日</w:t>
      </w:r>
    </w:p>
    <w:p>
      <w:pPr>
        <w:widowControl/>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br w:type="page"/>
      </w:r>
    </w:p>
    <w:p>
      <w:pPr>
        <w:spacing w:line="480" w:lineRule="auto"/>
        <w:jc w:val="center"/>
        <w:rPr>
          <w:rFonts w:ascii="Times New Roman" w:hAnsi="Times New Roman" w:eastAsia="黑体"/>
          <w:color w:val="000000" w:themeColor="text1"/>
          <w:sz w:val="144"/>
          <w:szCs w:val="48"/>
          <w14:textFill>
            <w14:solidFill>
              <w14:schemeClr w14:val="tx1"/>
            </w14:solidFill>
          </w14:textFill>
        </w:rPr>
      </w:pPr>
    </w:p>
    <w:p>
      <w:pPr>
        <w:spacing w:line="480" w:lineRule="auto"/>
        <w:jc w:val="center"/>
        <w:rPr>
          <w:rFonts w:ascii="Times New Roman" w:hAnsi="Times New Roman" w:eastAsia="黑体"/>
          <w:color w:val="000000" w:themeColor="text1"/>
          <w:sz w:val="72"/>
          <w:szCs w:val="72"/>
          <w14:textFill>
            <w14:solidFill>
              <w14:schemeClr w14:val="tx1"/>
            </w14:solidFill>
          </w14:textFill>
        </w:rPr>
      </w:pPr>
    </w:p>
    <w:p>
      <w:pPr>
        <w:spacing w:line="480" w:lineRule="auto"/>
        <w:jc w:val="center"/>
        <w:rPr>
          <w:rFonts w:ascii="Times New Roman" w:hAnsi="Times New Roman" w:eastAsia="黑体"/>
          <w:color w:val="000000" w:themeColor="text1"/>
          <w:sz w:val="144"/>
          <w:szCs w:val="48"/>
          <w14:textFill>
            <w14:solidFill>
              <w14:schemeClr w14:val="tx1"/>
            </w14:solidFill>
          </w14:textFill>
        </w:rPr>
      </w:pPr>
      <w:r>
        <w:rPr>
          <w:rFonts w:ascii="Times New Roman" w:hAnsi="Times New Roman" w:eastAsia="黑体"/>
          <w:color w:val="000000" w:themeColor="text1"/>
          <w:sz w:val="144"/>
          <w:szCs w:val="48"/>
          <w14:textFill>
            <w14:solidFill>
              <w14:schemeClr w14:val="tx1"/>
            </w14:solidFill>
          </w14:textFill>
        </w:rPr>
        <w:fldChar w:fldCharType="begin"/>
      </w:r>
      <w:r>
        <w:rPr>
          <w:rFonts w:ascii="Times New Roman" w:hAnsi="Times New Roman" w:eastAsia="黑体"/>
          <w:color w:val="000000" w:themeColor="text1"/>
          <w:sz w:val="144"/>
          <w:szCs w:val="48"/>
          <w14:textFill>
            <w14:solidFill>
              <w14:schemeClr w14:val="tx1"/>
            </w14:solidFill>
          </w14:textFill>
        </w:rPr>
        <w:instrText xml:space="preserve"> REF </w:instrText>
      </w:r>
      <w:r>
        <w:rPr>
          <w:rFonts w:hint="eastAsia" w:ascii="Times New Roman" w:hAnsi="Times New Roman" w:eastAsia="黑体"/>
          <w:color w:val="000000" w:themeColor="text1"/>
          <w:sz w:val="144"/>
          <w:szCs w:val="48"/>
          <w14:textFill>
            <w14:solidFill>
              <w14:schemeClr w14:val="tx1"/>
            </w14:solidFill>
          </w14:textFill>
        </w:rPr>
        <w:instrText xml:space="preserve">采购项目名称</w:instrText>
      </w:r>
      <w:r>
        <w:rPr>
          <w:rFonts w:ascii="Times New Roman" w:hAnsi="Times New Roman" w:eastAsia="黑体"/>
          <w:color w:val="000000" w:themeColor="text1"/>
          <w:sz w:val="144"/>
          <w:szCs w:val="48"/>
          <w14:textFill>
            <w14:solidFill>
              <w14:schemeClr w14:val="tx1"/>
            </w14:solidFill>
          </w14:textFill>
        </w:rPr>
        <w:instrText xml:space="preserve"> \h  \* MERGEFORMAT </w:instrText>
      </w:r>
      <w:r>
        <w:rPr>
          <w:rFonts w:ascii="Times New Roman" w:hAnsi="Times New Roman" w:eastAsia="黑体"/>
          <w:color w:val="000000" w:themeColor="text1"/>
          <w:sz w:val="144"/>
          <w:szCs w:val="48"/>
          <w14:textFill>
            <w14:solidFill>
              <w14:schemeClr w14:val="tx1"/>
            </w14:solidFill>
          </w14:textFill>
        </w:rPr>
        <w:fldChar w:fldCharType="separate"/>
      </w:r>
      <w:r>
        <w:rPr>
          <w:rFonts w:hint="eastAsia" w:ascii="Times New Roman" w:hAnsi="Times New Roman" w:eastAsia="黑体"/>
          <w:color w:val="000000" w:themeColor="text1"/>
          <w:sz w:val="40"/>
          <w:szCs w:val="21"/>
          <w14:textFill>
            <w14:solidFill>
              <w14:schemeClr w14:val="tx1"/>
            </w14:solidFill>
          </w14:textFill>
        </w:rPr>
        <w:t>艮山东路过江隧道工程</w:t>
      </w:r>
      <w:r>
        <w:rPr>
          <w:rFonts w:ascii="Times New Roman" w:hAnsi="Times New Roman" w:eastAsia="黑体"/>
          <w:color w:val="000000" w:themeColor="text1"/>
          <w:sz w:val="40"/>
          <w:szCs w:val="21"/>
          <w14:textFill>
            <w14:solidFill>
              <w14:schemeClr w14:val="tx1"/>
            </w14:solidFill>
          </w14:textFill>
        </w:rPr>
        <w:t>PPP</w:t>
      </w:r>
      <w:r>
        <w:rPr>
          <w:rFonts w:hint="eastAsia" w:ascii="Times New Roman" w:hAnsi="Times New Roman" w:eastAsia="黑体"/>
          <w:color w:val="000000" w:themeColor="text1"/>
          <w:sz w:val="40"/>
          <w:szCs w:val="21"/>
          <w14:textFill>
            <w14:solidFill>
              <w14:schemeClr w14:val="tx1"/>
            </w14:solidFill>
          </w14:textFill>
        </w:rPr>
        <w:t>项目社会资本采购</w:t>
      </w:r>
      <w:r>
        <w:rPr>
          <w:rFonts w:ascii="Times New Roman" w:hAnsi="Times New Roman" w:eastAsia="黑体"/>
          <w:color w:val="000000" w:themeColor="text1"/>
          <w:sz w:val="144"/>
          <w:szCs w:val="48"/>
          <w14:textFill>
            <w14:solidFill>
              <w14:schemeClr w14:val="tx1"/>
            </w14:solidFill>
          </w14:textFill>
        </w:rPr>
        <w:fldChar w:fldCharType="end"/>
      </w:r>
    </w:p>
    <w:p>
      <w:pPr>
        <w:jc w:val="center"/>
        <w:rPr>
          <w:rFonts w:ascii="Times New Roman" w:hAnsi="Times New Roman" w:eastAsia="仿宋_GB2312"/>
          <w:color w:val="000000" w:themeColor="text1"/>
          <w:sz w:val="28"/>
          <w:szCs w:val="28"/>
          <w14:textFill>
            <w14:solidFill>
              <w14:schemeClr w14:val="tx1"/>
            </w14:solidFill>
          </w14:textFill>
        </w:rPr>
      </w:pPr>
    </w:p>
    <w:p>
      <w:pPr>
        <w:jc w:val="center"/>
        <w:rPr>
          <w:rFonts w:ascii="Times New Roman" w:hAnsi="Times New Roman" w:eastAsia="仿宋_GB2312"/>
          <w:color w:val="000000" w:themeColor="text1"/>
          <w:sz w:val="28"/>
          <w:szCs w:val="28"/>
          <w14:textFill>
            <w14:solidFill>
              <w14:schemeClr w14:val="tx1"/>
            </w14:solidFill>
          </w14:textFill>
        </w:rPr>
      </w:pPr>
    </w:p>
    <w:p>
      <w:pPr>
        <w:jc w:val="center"/>
        <w:rPr>
          <w:rFonts w:ascii="Times New Roman" w:hAnsi="Times New Roman" w:eastAsia="黑体"/>
          <w:color w:val="000000" w:themeColor="text1"/>
          <w:sz w:val="72"/>
          <w:szCs w:val="44"/>
          <w14:textFill>
            <w14:solidFill>
              <w14:schemeClr w14:val="tx1"/>
            </w14:solidFill>
          </w14:textFill>
        </w:rPr>
      </w:pPr>
      <w:r>
        <w:rPr>
          <w:rFonts w:hint="eastAsia" w:ascii="Times New Roman" w:hAnsi="Times New Roman" w:eastAsia="黑体"/>
          <w:color w:val="000000" w:themeColor="text1"/>
          <w:sz w:val="72"/>
          <w:szCs w:val="44"/>
          <w14:textFill>
            <w14:solidFill>
              <w14:schemeClr w14:val="tx1"/>
            </w14:solidFill>
          </w14:textFill>
        </w:rPr>
        <w:t>商务报价文件</w:t>
      </w:r>
    </w:p>
    <w:p>
      <w:pPr>
        <w:jc w:val="center"/>
        <w:rPr>
          <w:rFonts w:ascii="Times New Roman" w:hAnsi="Times New Roman" w:eastAsia="仿宋_GB2312"/>
          <w:color w:val="000000" w:themeColor="text1"/>
          <w:sz w:val="28"/>
          <w:szCs w:val="28"/>
          <w14:textFill>
            <w14:solidFill>
              <w14:schemeClr w14:val="tx1"/>
            </w14:solidFill>
          </w14:textFill>
        </w:rPr>
      </w:pPr>
    </w:p>
    <w:p>
      <w:pPr>
        <w:ind w:firstLine="1839" w:firstLineChars="511"/>
        <w:rPr>
          <w:rFonts w:ascii="Times New Roman" w:hAnsi="Times New Roman" w:eastAsia="仿宋_GB2312"/>
          <w:color w:val="000000" w:themeColor="text1"/>
          <w:sz w:val="36"/>
          <w14:textFill>
            <w14:solidFill>
              <w14:schemeClr w14:val="tx1"/>
            </w14:solidFill>
          </w14:textFill>
        </w:rPr>
      </w:pPr>
      <w:r>
        <w:rPr>
          <w:rFonts w:hint="eastAsia" w:ascii="Times New Roman" w:hAnsi="Times New Roman" w:eastAsia="仿宋_GB2312"/>
          <w:color w:val="000000" w:themeColor="text1"/>
          <w:sz w:val="36"/>
          <w14:textFill>
            <w14:solidFill>
              <w14:schemeClr w14:val="tx1"/>
            </w14:solidFill>
          </w14:textFill>
        </w:rPr>
        <w:t>采购项目编号：</w:t>
      </w:r>
    </w:p>
    <w:p>
      <w:pPr>
        <w:spacing w:line="400" w:lineRule="exact"/>
        <w:rPr>
          <w:rFonts w:ascii="Times New Roman" w:hAnsi="Times New Roman" w:eastAsia="仿宋_GB2312"/>
          <w:b/>
          <w:color w:val="000000" w:themeColor="text1"/>
          <w14:textFill>
            <w14:solidFill>
              <w14:schemeClr w14:val="tx1"/>
            </w14:solidFill>
          </w14:textFill>
        </w:rPr>
      </w:pPr>
    </w:p>
    <w:p>
      <w:pPr>
        <w:spacing w:line="400" w:lineRule="exact"/>
        <w:rPr>
          <w:rFonts w:ascii="Times New Roman" w:hAnsi="Times New Roman" w:eastAsia="仿宋_GB2312"/>
          <w:color w:val="000000" w:themeColor="text1"/>
          <w14:textFill>
            <w14:solidFill>
              <w14:schemeClr w14:val="tx1"/>
            </w14:solidFill>
          </w14:textFill>
        </w:rPr>
      </w:pPr>
    </w:p>
    <w:p>
      <w:pPr>
        <w:spacing w:line="400" w:lineRule="exact"/>
        <w:rPr>
          <w:rFonts w:ascii="Times New Roman" w:hAnsi="Times New Roman" w:eastAsia="仿宋_GB2312"/>
          <w:color w:val="000000" w:themeColor="text1"/>
          <w14:textFill>
            <w14:solidFill>
              <w14:schemeClr w14:val="tx1"/>
            </w14:solidFill>
          </w14:textFill>
        </w:rPr>
      </w:pPr>
    </w:p>
    <w:p>
      <w:pPr>
        <w:jc w:val="center"/>
        <w:rPr>
          <w:rFonts w:ascii="Times New Roman" w:hAnsi="Times New Roman" w:eastAsia="仿宋_GB2312"/>
          <w:b/>
          <w:color w:val="000000" w:themeColor="text1"/>
          <w:sz w:val="32"/>
          <w:szCs w:val="28"/>
          <w14:textFill>
            <w14:solidFill>
              <w14:schemeClr w14:val="tx1"/>
            </w14:solidFill>
          </w14:textFill>
        </w:rPr>
      </w:pPr>
    </w:p>
    <w:p>
      <w:pPr>
        <w:jc w:val="center"/>
        <w:rPr>
          <w:rFonts w:ascii="Times New Roman" w:hAnsi="Times New Roman" w:eastAsia="仿宋_GB2312"/>
          <w:b/>
          <w:color w:val="000000" w:themeColor="text1"/>
          <w:sz w:val="32"/>
          <w:szCs w:val="28"/>
          <w14:textFill>
            <w14:solidFill>
              <w14:schemeClr w14:val="tx1"/>
            </w14:solidFill>
          </w14:textFill>
        </w:rPr>
      </w:pPr>
    </w:p>
    <w:p>
      <w:pPr>
        <w:jc w:val="center"/>
        <w:rPr>
          <w:rFonts w:ascii="Times New Roman" w:hAnsi="Times New Roman" w:eastAsia="仿宋_GB2312"/>
          <w:b/>
          <w:color w:val="000000" w:themeColor="text1"/>
          <w:sz w:val="32"/>
          <w:szCs w:val="28"/>
          <w14:textFill>
            <w14:solidFill>
              <w14:schemeClr w14:val="tx1"/>
            </w14:solidFill>
          </w14:textFill>
        </w:rPr>
      </w:pPr>
      <w:r>
        <w:rPr>
          <w:rFonts w:hint="eastAsia" w:ascii="Times New Roman" w:hAnsi="Times New Roman" w:eastAsia="仿宋_GB2312"/>
          <w:b/>
          <w:color w:val="000000" w:themeColor="text1"/>
          <w:sz w:val="32"/>
          <w:szCs w:val="28"/>
          <w14:textFill>
            <w14:solidFill>
              <w14:schemeClr w14:val="tx1"/>
            </w14:solidFill>
          </w14:textFill>
        </w:rPr>
        <w:t>投标人：</w:t>
      </w:r>
      <w:r>
        <w:rPr>
          <w:rFonts w:ascii="Times New Roman" w:hAnsi="Times New Roman" w:eastAsia="仿宋_GB2312"/>
          <w:b/>
          <w:color w:val="000000" w:themeColor="text1"/>
          <w:sz w:val="22"/>
          <w:u w:val="single"/>
          <w14:textFill>
            <w14:solidFill>
              <w14:schemeClr w14:val="tx1"/>
            </w14:solidFill>
          </w14:textFill>
        </w:rPr>
        <w:t xml:space="preserve">                                 </w:t>
      </w:r>
      <w:r>
        <w:rPr>
          <w:rFonts w:hint="eastAsia" w:ascii="Times New Roman" w:hAnsi="Times New Roman" w:eastAsia="仿宋_GB2312"/>
          <w:b/>
          <w:color w:val="000000" w:themeColor="text1"/>
          <w:sz w:val="32"/>
          <w:szCs w:val="28"/>
          <w14:textFill>
            <w14:solidFill>
              <w14:schemeClr w14:val="tx1"/>
            </w14:solidFill>
          </w14:textFill>
        </w:rPr>
        <w:t>（盖单位章）</w:t>
      </w:r>
    </w:p>
    <w:p>
      <w:pPr>
        <w:pStyle w:val="16"/>
        <w:spacing w:before="120" w:beforeLines="50" w:after="120" w:afterLines="50"/>
        <w:ind w:firstLine="0" w:firstLineChars="0"/>
        <w:jc w:val="center"/>
        <w:rPr>
          <w:rFonts w:ascii="Times New Roman" w:hAnsi="Times New Roman" w:eastAsia="黑体"/>
          <w:color w:val="000000" w:themeColor="text1"/>
          <w:sz w:val="22"/>
          <w14:textFill>
            <w14:solidFill>
              <w14:schemeClr w14:val="tx1"/>
            </w14:solidFill>
          </w14:textFill>
        </w:rPr>
      </w:pPr>
      <w:r>
        <w:rPr>
          <w:rFonts w:hint="eastAsia" w:ascii="Times New Roman" w:hAnsi="Times New Roman" w:eastAsia="黑体"/>
          <w:color w:val="000000" w:themeColor="text1"/>
          <w:sz w:val="22"/>
          <w14:textFill>
            <w14:solidFill>
              <w14:schemeClr w14:val="tx1"/>
            </w14:solidFill>
          </w14:textFill>
        </w:rPr>
        <w:t>（</w:t>
      </w:r>
      <w:bookmarkStart w:id="271" w:name="_Hlk496274652"/>
      <w:r>
        <w:rPr>
          <w:rFonts w:hint="eastAsia" w:ascii="Times New Roman" w:hAnsi="Times New Roman" w:eastAsia="黑体"/>
          <w:color w:val="000000" w:themeColor="text1"/>
          <w:sz w:val="22"/>
          <w14:textFill>
            <w14:solidFill>
              <w14:schemeClr w14:val="tx1"/>
            </w14:solidFill>
          </w14:textFill>
        </w:rPr>
        <w:t>联合体投标人，“投标人”一栏填写联合体各方公司名称</w:t>
      </w:r>
      <w:bookmarkEnd w:id="271"/>
      <w:r>
        <w:rPr>
          <w:rFonts w:hint="eastAsia" w:ascii="Times New Roman" w:hAnsi="Times New Roman" w:eastAsia="黑体"/>
          <w:color w:val="000000" w:themeColor="text1"/>
          <w:sz w:val="22"/>
          <w14:textFill>
            <w14:solidFill>
              <w14:schemeClr w14:val="tx1"/>
            </w14:solidFill>
          </w14:textFill>
        </w:rPr>
        <w:t>，本页盖牵头公司公章）</w:t>
      </w:r>
    </w:p>
    <w:p>
      <w:pPr>
        <w:pStyle w:val="16"/>
        <w:spacing w:before="120" w:beforeLines="50" w:after="120" w:afterLines="50"/>
        <w:ind w:firstLine="0" w:firstLineChars="0"/>
        <w:jc w:val="center"/>
        <w:rPr>
          <w:rFonts w:ascii="Times New Roman" w:hAnsi="Times New Roman"/>
          <w:color w:val="000000" w:themeColor="text1"/>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2018</w:t>
      </w:r>
      <w:r>
        <w:rPr>
          <w:rFonts w:hint="eastAsia" w:ascii="Times New Roman" w:hAnsi="Times New Roman" w:eastAsia="仿宋_GB2312"/>
          <w:color w:val="000000" w:themeColor="text1"/>
          <w:sz w:val="28"/>
          <w:szCs w:val="28"/>
          <w14:textFill>
            <w14:solidFill>
              <w14:schemeClr w14:val="tx1"/>
            </w14:solidFill>
          </w14:textFill>
        </w:rPr>
        <w:t>年</w:t>
      </w:r>
      <w:r>
        <w:rPr>
          <w:rFonts w:ascii="Times New Roman" w:hAnsi="Times New Roman" w:eastAsia="仿宋_GB2312"/>
          <w:color w:val="000000" w:themeColor="text1"/>
          <w:sz w:val="28"/>
          <w:szCs w:val="28"/>
          <w:u w:val="single"/>
          <w14:textFill>
            <w14:solidFill>
              <w14:schemeClr w14:val="tx1"/>
            </w14:solidFill>
          </w14:textFill>
        </w:rPr>
        <w:t xml:space="preserve">   </w:t>
      </w:r>
      <w:r>
        <w:rPr>
          <w:rFonts w:hint="eastAsia" w:ascii="Times New Roman" w:hAnsi="Times New Roman" w:eastAsia="仿宋_GB2312"/>
          <w:color w:val="000000" w:themeColor="text1"/>
          <w:sz w:val="28"/>
          <w:szCs w:val="28"/>
          <w14:textFill>
            <w14:solidFill>
              <w14:schemeClr w14:val="tx1"/>
            </w14:solidFill>
          </w14:textFill>
        </w:rPr>
        <w:t>月</w:t>
      </w:r>
      <w:r>
        <w:rPr>
          <w:rFonts w:ascii="Times New Roman" w:hAnsi="Times New Roman" w:eastAsia="仿宋_GB2312"/>
          <w:color w:val="000000" w:themeColor="text1"/>
          <w:sz w:val="28"/>
          <w:szCs w:val="28"/>
          <w:u w:val="single"/>
          <w14:textFill>
            <w14:solidFill>
              <w14:schemeClr w14:val="tx1"/>
            </w14:solidFill>
          </w14:textFill>
        </w:rPr>
        <w:t xml:space="preserve">  </w:t>
      </w:r>
      <w:r>
        <w:rPr>
          <w:rFonts w:hint="eastAsia" w:ascii="Times New Roman" w:hAnsi="Times New Roman" w:eastAsia="仿宋_GB2312"/>
          <w:color w:val="000000" w:themeColor="text1"/>
          <w:sz w:val="28"/>
          <w:szCs w:val="28"/>
          <w14:textFill>
            <w14:solidFill>
              <w14:schemeClr w14:val="tx1"/>
            </w14:solidFill>
          </w14:textFill>
        </w:rPr>
        <w:t>日</w:t>
      </w:r>
    </w:p>
    <w:p>
      <w:pPr>
        <w:widowControl/>
        <w:jc w:val="left"/>
        <w:rPr>
          <w:rFonts w:ascii="Times New Roman" w:hAnsi="Times New Roman" w:eastAsia="黑体"/>
          <w:color w:val="000000" w:themeColor="text1"/>
          <w:kern w:val="0"/>
          <w:sz w:val="24"/>
          <w:szCs w:val="24"/>
          <w14:textFill>
            <w14:solidFill>
              <w14:schemeClr w14:val="tx1"/>
            </w14:solidFill>
          </w14:textFill>
        </w:rPr>
      </w:pPr>
      <w:r>
        <w:rPr>
          <w:rFonts w:ascii="Times New Roman" w:hAnsi="Times New Roman" w:eastAsia="黑体"/>
          <w:color w:val="000000" w:themeColor="text1"/>
          <w:kern w:val="0"/>
          <w:sz w:val="24"/>
          <w:szCs w:val="24"/>
          <w14:textFill>
            <w14:solidFill>
              <w14:schemeClr w14:val="tx1"/>
            </w14:solidFill>
          </w14:textFill>
        </w:rPr>
        <w:br w:type="page"/>
      </w:r>
    </w:p>
    <w:p>
      <w:pPr>
        <w:widowControl/>
        <w:jc w:val="left"/>
        <w:rPr>
          <w:rFonts w:ascii="Times New Roman" w:hAnsi="Times New Roman" w:eastAsia="黑体"/>
          <w:color w:val="000000" w:themeColor="text1"/>
          <w:kern w:val="0"/>
          <w:sz w:val="24"/>
          <w:szCs w:val="24"/>
          <w14:textFill>
            <w14:solidFill>
              <w14:schemeClr w14:val="tx1"/>
            </w14:solidFill>
          </w14:textFill>
        </w:rPr>
      </w:pPr>
    </w:p>
    <w:p>
      <w:pPr>
        <w:pStyle w:val="4"/>
        <w:rPr>
          <w:color w:val="000000" w:themeColor="text1"/>
          <w:lang w:val="en-US"/>
          <w14:textFill>
            <w14:solidFill>
              <w14:schemeClr w14:val="tx1"/>
            </w14:solidFill>
          </w14:textFill>
        </w:rPr>
      </w:pPr>
      <w:bookmarkStart w:id="272" w:name="_2、密封封面格式"/>
      <w:bookmarkEnd w:id="272"/>
      <w:bookmarkStart w:id="273" w:name="_Toc465698644"/>
      <w:bookmarkStart w:id="274" w:name="_Toc487201035"/>
      <w:bookmarkStart w:id="275" w:name="_Toc491857553"/>
      <w:bookmarkStart w:id="276" w:name="_Toc492021870"/>
      <w:bookmarkStart w:id="277" w:name="_Toc492040660"/>
      <w:bookmarkStart w:id="278" w:name="_Toc496258660"/>
      <w:bookmarkStart w:id="279" w:name="_Toc496299723"/>
      <w:bookmarkStart w:id="280" w:name="_Toc496299887"/>
      <w:bookmarkStart w:id="281" w:name="_Toc522635493"/>
      <w:r>
        <w:rPr>
          <w:rFonts w:hint="eastAsia"/>
          <w:color w:val="000000" w:themeColor="text1"/>
          <w14:textFill>
            <w14:solidFill>
              <w14:schemeClr w14:val="tx1"/>
            </w14:solidFill>
          </w14:textFill>
        </w:rPr>
        <w:t>附件</w:t>
      </w:r>
      <w:r>
        <w:rPr>
          <w:color w:val="000000" w:themeColor="text1"/>
          <w:lang w:val="en-US"/>
          <w14:textFill>
            <w14:solidFill>
              <w14:schemeClr w14:val="tx1"/>
            </w14:solidFill>
          </w14:textFill>
        </w:rPr>
        <w:t>4-2</w:t>
      </w:r>
      <w:r>
        <w:rPr>
          <w:rFonts w:hint="eastAsia"/>
          <w:color w:val="000000" w:themeColor="text1"/>
          <w14:textFill>
            <w14:solidFill>
              <w14:schemeClr w14:val="tx1"/>
            </w14:solidFill>
          </w14:textFill>
        </w:rPr>
        <w:t>密封封面格式</w:t>
      </w:r>
      <w:bookmarkEnd w:id="273"/>
      <w:bookmarkEnd w:id="274"/>
      <w:bookmarkEnd w:id="275"/>
      <w:bookmarkEnd w:id="276"/>
      <w:bookmarkEnd w:id="277"/>
      <w:bookmarkEnd w:id="278"/>
      <w:bookmarkEnd w:id="279"/>
      <w:bookmarkEnd w:id="280"/>
      <w:bookmarkEnd w:id="281"/>
    </w:p>
    <w:p>
      <w:pPr>
        <w:spacing w:line="360" w:lineRule="auto"/>
        <w:jc w:val="center"/>
        <w:rPr>
          <w:rFonts w:ascii="Times New Roman" w:hAnsi="Times New Roman"/>
          <w:b/>
          <w:color w:val="000000" w:themeColor="text1"/>
          <w:sz w:val="44"/>
          <w:szCs w:val="48"/>
          <w14:textFill>
            <w14:solidFill>
              <w14:schemeClr w14:val="tx1"/>
            </w14:solidFill>
          </w14:textFill>
        </w:rPr>
      </w:pPr>
    </w:p>
    <w:p>
      <w:pPr>
        <w:jc w:val="center"/>
        <w:rPr>
          <w:rFonts w:ascii="Times New Roman" w:hAnsi="Times New Roman" w:eastAsia="黑体"/>
          <w:color w:val="000000" w:themeColor="text1"/>
          <w:sz w:val="52"/>
          <w:szCs w:val="28"/>
          <w14:textFill>
            <w14:solidFill>
              <w14:schemeClr w14:val="tx1"/>
            </w14:solidFill>
          </w14:textFill>
        </w:rPr>
      </w:pPr>
      <w:r>
        <w:rPr>
          <w:rFonts w:ascii="Times New Roman" w:hAnsi="Times New Roman" w:eastAsia="黑体"/>
          <w:color w:val="000000" w:themeColor="text1"/>
          <w:sz w:val="144"/>
          <w:szCs w:val="48"/>
          <w14:textFill>
            <w14:solidFill>
              <w14:schemeClr w14:val="tx1"/>
            </w14:solidFill>
          </w14:textFill>
        </w:rPr>
        <w:fldChar w:fldCharType="begin"/>
      </w:r>
      <w:r>
        <w:rPr>
          <w:rFonts w:ascii="Times New Roman" w:hAnsi="Times New Roman" w:eastAsia="黑体"/>
          <w:color w:val="000000" w:themeColor="text1"/>
          <w:sz w:val="52"/>
          <w:szCs w:val="28"/>
          <w14:textFill>
            <w14:solidFill>
              <w14:schemeClr w14:val="tx1"/>
            </w14:solidFill>
          </w14:textFill>
        </w:rPr>
        <w:instrText xml:space="preserve"> REF </w:instrText>
      </w:r>
      <w:r>
        <w:rPr>
          <w:rFonts w:hint="eastAsia" w:ascii="Times New Roman" w:hAnsi="Times New Roman" w:eastAsia="黑体"/>
          <w:color w:val="000000" w:themeColor="text1"/>
          <w:sz w:val="52"/>
          <w:szCs w:val="28"/>
          <w14:textFill>
            <w14:solidFill>
              <w14:schemeClr w14:val="tx1"/>
            </w14:solidFill>
          </w14:textFill>
        </w:rPr>
        <w:instrText xml:space="preserve">采购项目名称</w:instrText>
      </w:r>
      <w:r>
        <w:rPr>
          <w:rFonts w:ascii="Times New Roman" w:hAnsi="Times New Roman" w:eastAsia="黑体"/>
          <w:color w:val="000000" w:themeColor="text1"/>
          <w:sz w:val="52"/>
          <w:szCs w:val="28"/>
          <w14:textFill>
            <w14:solidFill>
              <w14:schemeClr w14:val="tx1"/>
            </w14:solidFill>
          </w14:textFill>
        </w:rPr>
        <w:instrText xml:space="preserve"> \h </w:instrText>
      </w:r>
      <w:r>
        <w:rPr>
          <w:rFonts w:ascii="Times New Roman" w:hAnsi="Times New Roman" w:eastAsia="黑体"/>
          <w:color w:val="000000" w:themeColor="text1"/>
          <w:sz w:val="144"/>
          <w:szCs w:val="48"/>
          <w14:textFill>
            <w14:solidFill>
              <w14:schemeClr w14:val="tx1"/>
            </w14:solidFill>
          </w14:textFill>
        </w:rPr>
        <w:instrText xml:space="preserve"> \* MERGEFORMAT </w:instrText>
      </w:r>
      <w:r>
        <w:rPr>
          <w:rFonts w:ascii="Times New Roman" w:hAnsi="Times New Roman" w:eastAsia="黑体"/>
          <w:color w:val="000000" w:themeColor="text1"/>
          <w:sz w:val="144"/>
          <w:szCs w:val="48"/>
          <w14:textFill>
            <w14:solidFill>
              <w14:schemeClr w14:val="tx1"/>
            </w14:solidFill>
          </w14:textFill>
        </w:rPr>
        <w:fldChar w:fldCharType="separate"/>
      </w:r>
      <w:r>
        <w:rPr>
          <w:rFonts w:hint="eastAsia" w:ascii="Times New Roman" w:hAnsi="Times New Roman" w:eastAsia="黑体"/>
          <w:color w:val="000000" w:themeColor="text1"/>
          <w:sz w:val="40"/>
          <w:szCs w:val="21"/>
          <w14:textFill>
            <w14:solidFill>
              <w14:schemeClr w14:val="tx1"/>
            </w14:solidFill>
          </w14:textFill>
        </w:rPr>
        <w:t>艮山东路过江隧道工程</w:t>
      </w:r>
      <w:r>
        <w:rPr>
          <w:rFonts w:ascii="Times New Roman" w:hAnsi="Times New Roman" w:eastAsia="黑体"/>
          <w:color w:val="000000" w:themeColor="text1"/>
          <w:sz w:val="40"/>
          <w:szCs w:val="21"/>
          <w14:textFill>
            <w14:solidFill>
              <w14:schemeClr w14:val="tx1"/>
            </w14:solidFill>
          </w14:textFill>
        </w:rPr>
        <w:t>PPP</w:t>
      </w:r>
      <w:r>
        <w:rPr>
          <w:rFonts w:hint="eastAsia" w:ascii="Times New Roman" w:hAnsi="Times New Roman" w:eastAsia="黑体"/>
          <w:color w:val="000000" w:themeColor="text1"/>
          <w:sz w:val="40"/>
          <w:szCs w:val="21"/>
          <w14:textFill>
            <w14:solidFill>
              <w14:schemeClr w14:val="tx1"/>
            </w14:solidFill>
          </w14:textFill>
        </w:rPr>
        <w:t>项目社会资本采购</w:t>
      </w:r>
      <w:r>
        <w:rPr>
          <w:rFonts w:ascii="Times New Roman" w:hAnsi="Times New Roman" w:eastAsia="黑体"/>
          <w:color w:val="000000" w:themeColor="text1"/>
          <w:sz w:val="144"/>
          <w:szCs w:val="48"/>
          <w14:textFill>
            <w14:solidFill>
              <w14:schemeClr w14:val="tx1"/>
            </w14:solidFill>
          </w14:textFill>
        </w:rPr>
        <w:fldChar w:fldCharType="end"/>
      </w:r>
    </w:p>
    <w:p>
      <w:pPr>
        <w:jc w:val="center"/>
        <w:rPr>
          <w:rFonts w:ascii="Times New Roman" w:hAnsi="Times New Roman" w:eastAsia="仿宋_GB2312"/>
          <w:color w:val="000000" w:themeColor="text1"/>
          <w:sz w:val="28"/>
          <w:szCs w:val="28"/>
          <w14:textFill>
            <w14:solidFill>
              <w14:schemeClr w14:val="tx1"/>
            </w14:solidFill>
          </w14:textFill>
        </w:rPr>
      </w:pPr>
    </w:p>
    <w:p>
      <w:pPr>
        <w:jc w:val="center"/>
        <w:rPr>
          <w:rFonts w:ascii="Times New Roman" w:hAnsi="Times New Roman" w:eastAsia="仿宋_GB2312"/>
          <w:color w:val="000000" w:themeColor="text1"/>
          <w:sz w:val="28"/>
          <w:szCs w:val="28"/>
          <w14:textFill>
            <w14:solidFill>
              <w14:schemeClr w14:val="tx1"/>
            </w14:solidFill>
          </w14:textFill>
        </w:rPr>
      </w:pPr>
    </w:p>
    <w:p>
      <w:pPr>
        <w:jc w:val="center"/>
        <w:rPr>
          <w:rFonts w:ascii="Times New Roman" w:hAnsi="Times New Roman" w:eastAsia="黑体"/>
          <w:color w:val="000000" w:themeColor="text1"/>
          <w:sz w:val="56"/>
          <w:szCs w:val="44"/>
          <w14:textFill>
            <w14:solidFill>
              <w14:schemeClr w14:val="tx1"/>
            </w14:solidFill>
          </w14:textFill>
        </w:rPr>
      </w:pPr>
      <w:r>
        <w:rPr>
          <w:rFonts w:hint="eastAsia" w:ascii="Times New Roman" w:hAnsi="Times New Roman" w:eastAsia="黑体"/>
          <w:color w:val="000000" w:themeColor="text1"/>
          <w:sz w:val="56"/>
          <w:szCs w:val="44"/>
          <w14:textFill>
            <w14:solidFill>
              <w14:schemeClr w14:val="tx1"/>
            </w14:solidFill>
          </w14:textFill>
        </w:rPr>
        <w:t>商务报价</w:t>
      </w:r>
      <w:r>
        <w:rPr>
          <w:rFonts w:ascii="Times New Roman" w:hAnsi="Times New Roman" w:eastAsia="黑体"/>
          <w:color w:val="000000" w:themeColor="text1"/>
          <w:sz w:val="56"/>
          <w:szCs w:val="44"/>
          <w14:textFill>
            <w14:solidFill>
              <w14:schemeClr w14:val="tx1"/>
            </w14:solidFill>
          </w14:textFill>
        </w:rPr>
        <w:t>/</w:t>
      </w:r>
      <w:r>
        <w:rPr>
          <w:rFonts w:hint="eastAsia" w:ascii="Times New Roman" w:hAnsi="Times New Roman" w:eastAsia="黑体"/>
          <w:color w:val="000000" w:themeColor="text1"/>
          <w:sz w:val="56"/>
          <w:szCs w:val="44"/>
          <w14:textFill>
            <w14:solidFill>
              <w14:schemeClr w14:val="tx1"/>
            </w14:solidFill>
          </w14:textFill>
        </w:rPr>
        <w:t>资信</w:t>
      </w:r>
      <w:r>
        <w:rPr>
          <w:rFonts w:ascii="Times New Roman" w:hAnsi="Times New Roman" w:eastAsia="黑体"/>
          <w:color w:val="000000" w:themeColor="text1"/>
          <w:sz w:val="56"/>
          <w:szCs w:val="44"/>
          <w14:textFill>
            <w14:solidFill>
              <w14:schemeClr w14:val="tx1"/>
            </w14:solidFill>
          </w14:textFill>
        </w:rPr>
        <w:t>/</w:t>
      </w:r>
      <w:r>
        <w:rPr>
          <w:rFonts w:hint="eastAsia" w:ascii="Times New Roman" w:hAnsi="Times New Roman" w:eastAsia="黑体"/>
          <w:color w:val="000000" w:themeColor="text1"/>
          <w:sz w:val="56"/>
          <w:szCs w:val="44"/>
          <w14:textFill>
            <w14:solidFill>
              <w14:schemeClr w14:val="tx1"/>
            </w14:solidFill>
          </w14:textFill>
        </w:rPr>
        <w:t>技术投标文件</w:t>
      </w:r>
    </w:p>
    <w:p>
      <w:pPr>
        <w:rPr>
          <w:rFonts w:ascii="Times New Roman" w:hAnsi="Times New Roman" w:eastAsia="仿宋_GB2312"/>
          <w:color w:val="000000" w:themeColor="text1"/>
          <w14:textFill>
            <w14:solidFill>
              <w14:schemeClr w14:val="tx1"/>
            </w14:solidFill>
          </w14:textFill>
        </w:rPr>
      </w:pPr>
    </w:p>
    <w:p>
      <w:pPr>
        <w:ind w:firstLine="1984" w:firstLineChars="496"/>
        <w:rPr>
          <w:rFonts w:ascii="Times New Roman" w:hAnsi="Times New Roman" w:eastAsia="仿宋_GB2312"/>
          <w:color w:val="000000" w:themeColor="text1"/>
          <w:sz w:val="40"/>
          <w14:textFill>
            <w14:solidFill>
              <w14:schemeClr w14:val="tx1"/>
            </w14:solidFill>
          </w14:textFill>
        </w:rPr>
      </w:pPr>
    </w:p>
    <w:p>
      <w:pPr>
        <w:ind w:firstLine="1984" w:firstLineChars="496"/>
        <w:rPr>
          <w:rFonts w:ascii="Times New Roman" w:hAnsi="Times New Roman" w:eastAsia="仿宋_GB2312"/>
          <w:color w:val="000000" w:themeColor="text1"/>
          <w:sz w:val="56"/>
          <w14:textFill>
            <w14:solidFill>
              <w14:schemeClr w14:val="tx1"/>
            </w14:solidFill>
          </w14:textFill>
        </w:rPr>
      </w:pPr>
      <w:r>
        <w:rPr>
          <w:rFonts w:hint="eastAsia" w:ascii="Times New Roman" w:hAnsi="Times New Roman" w:eastAsia="仿宋_GB2312"/>
          <w:color w:val="000000" w:themeColor="text1"/>
          <w:sz w:val="40"/>
          <w14:textFill>
            <w14:solidFill>
              <w14:schemeClr w14:val="tx1"/>
            </w14:solidFill>
          </w14:textFill>
        </w:rPr>
        <w:t>采购项目编号：</w:t>
      </w:r>
    </w:p>
    <w:p>
      <w:pPr>
        <w:spacing w:line="400" w:lineRule="exact"/>
        <w:rPr>
          <w:rFonts w:ascii="Times New Roman" w:hAnsi="Times New Roman" w:eastAsia="仿宋_GB2312"/>
          <w:color w:val="000000" w:themeColor="text1"/>
          <w:sz w:val="28"/>
          <w:szCs w:val="28"/>
          <w14:textFill>
            <w14:solidFill>
              <w14:schemeClr w14:val="tx1"/>
            </w14:solidFill>
          </w14:textFill>
        </w:rPr>
      </w:pPr>
    </w:p>
    <w:p>
      <w:pPr>
        <w:spacing w:line="400" w:lineRule="exact"/>
        <w:rPr>
          <w:rFonts w:ascii="Times New Roman" w:hAnsi="Times New Roman" w:eastAsia="仿宋_GB2312"/>
          <w:b/>
          <w:color w:val="000000" w:themeColor="text1"/>
          <w14:textFill>
            <w14:solidFill>
              <w14:schemeClr w14:val="tx1"/>
            </w14:solidFill>
          </w14:textFill>
        </w:rPr>
      </w:pPr>
    </w:p>
    <w:p>
      <w:pPr>
        <w:ind w:firstLine="283" w:firstLineChars="88"/>
        <w:jc w:val="center"/>
        <w:rPr>
          <w:rFonts w:ascii="Times New Roman" w:hAnsi="Times New Roman" w:eastAsia="仿宋_GB2312"/>
          <w:b/>
          <w:color w:val="000000" w:themeColor="text1"/>
          <w:sz w:val="32"/>
          <w:szCs w:val="28"/>
          <w14:textFill>
            <w14:solidFill>
              <w14:schemeClr w14:val="tx1"/>
            </w14:solidFill>
          </w14:textFill>
        </w:rPr>
      </w:pPr>
    </w:p>
    <w:p>
      <w:pPr>
        <w:ind w:firstLine="316" w:firstLineChars="88"/>
        <w:jc w:val="center"/>
        <w:rPr>
          <w:rFonts w:ascii="Times New Roman" w:hAnsi="Times New Roman" w:eastAsia="黑体"/>
          <w:color w:val="000000" w:themeColor="text1"/>
          <w:kern w:val="0"/>
          <w:sz w:val="36"/>
          <w14:textFill>
            <w14:solidFill>
              <w14:schemeClr w14:val="tx1"/>
            </w14:solidFill>
          </w14:textFill>
        </w:rPr>
      </w:pPr>
      <w:r>
        <w:rPr>
          <w:rFonts w:hint="eastAsia" w:ascii="Times New Roman" w:hAnsi="Times New Roman" w:eastAsia="黑体"/>
          <w:color w:val="000000" w:themeColor="text1"/>
          <w:kern w:val="0"/>
          <w:sz w:val="36"/>
          <w14:textFill>
            <w14:solidFill>
              <w14:schemeClr w14:val="tx1"/>
            </w14:solidFill>
          </w14:textFill>
        </w:rPr>
        <w:t>在</w:t>
      </w:r>
      <w:r>
        <w:rPr>
          <w:rFonts w:ascii="Times New Roman" w:hAnsi="Times New Roman" w:eastAsia="黑体"/>
          <w:color w:val="000000" w:themeColor="text1"/>
          <w:kern w:val="0"/>
          <w:sz w:val="36"/>
          <w14:textFill>
            <w14:solidFill>
              <w14:schemeClr w14:val="tx1"/>
            </w14:solidFill>
          </w14:textFill>
        </w:rPr>
        <w:t>2018</w:t>
      </w:r>
      <w:r>
        <w:rPr>
          <w:rFonts w:hint="eastAsia" w:ascii="Times New Roman" w:hAnsi="Times New Roman" w:eastAsia="黑体"/>
          <w:color w:val="000000" w:themeColor="text1"/>
          <w:kern w:val="0"/>
          <w:sz w:val="36"/>
          <w14:textFill>
            <w14:solidFill>
              <w14:schemeClr w14:val="tx1"/>
            </w14:solidFill>
          </w14:textFill>
        </w:rPr>
        <w:t>年</w:t>
      </w:r>
      <w:r>
        <w:rPr>
          <w:rFonts w:ascii="Times New Roman" w:hAnsi="Times New Roman" w:eastAsia="黑体"/>
          <w:color w:val="000000" w:themeColor="text1"/>
          <w:kern w:val="0"/>
          <w:sz w:val="36"/>
          <w14:textFill>
            <w14:solidFill>
              <w14:schemeClr w14:val="tx1"/>
            </w14:solidFill>
          </w14:textFill>
        </w:rPr>
        <w:t xml:space="preserve">  </w:t>
      </w:r>
      <w:r>
        <w:rPr>
          <w:rFonts w:hint="eastAsia" w:ascii="Times New Roman" w:hAnsi="Times New Roman" w:eastAsia="黑体"/>
          <w:color w:val="000000" w:themeColor="text1"/>
          <w:kern w:val="0"/>
          <w:sz w:val="36"/>
          <w14:textFill>
            <w14:solidFill>
              <w14:schemeClr w14:val="tx1"/>
            </w14:solidFill>
          </w14:textFill>
        </w:rPr>
        <w:t>月</w:t>
      </w:r>
      <w:r>
        <w:rPr>
          <w:rFonts w:ascii="Times New Roman" w:hAnsi="Times New Roman" w:eastAsia="黑体"/>
          <w:color w:val="000000" w:themeColor="text1"/>
          <w:kern w:val="0"/>
          <w:sz w:val="36"/>
          <w14:textFill>
            <w14:solidFill>
              <w14:schemeClr w14:val="tx1"/>
            </w14:solidFill>
          </w14:textFill>
        </w:rPr>
        <w:t xml:space="preserve">  </w:t>
      </w:r>
      <w:r>
        <w:rPr>
          <w:rFonts w:hint="eastAsia" w:ascii="Times New Roman" w:hAnsi="Times New Roman" w:eastAsia="黑体"/>
          <w:color w:val="000000" w:themeColor="text1"/>
          <w:kern w:val="0"/>
          <w:sz w:val="36"/>
          <w14:textFill>
            <w14:solidFill>
              <w14:schemeClr w14:val="tx1"/>
            </w14:solidFill>
          </w14:textFill>
        </w:rPr>
        <w:t>日</w:t>
      </w:r>
      <w:r>
        <w:rPr>
          <w:rFonts w:ascii="Times New Roman" w:hAnsi="Times New Roman" w:eastAsia="黑体"/>
          <w:color w:val="000000" w:themeColor="text1"/>
          <w:kern w:val="0"/>
          <w:sz w:val="36"/>
          <w14:textFill>
            <w14:solidFill>
              <w14:schemeClr w14:val="tx1"/>
            </w14:solidFill>
          </w14:textFill>
        </w:rPr>
        <w:t xml:space="preserve">  </w:t>
      </w:r>
      <w:r>
        <w:rPr>
          <w:rFonts w:hint="eastAsia" w:ascii="Times New Roman" w:hAnsi="Times New Roman" w:eastAsia="黑体"/>
          <w:color w:val="000000" w:themeColor="text1"/>
          <w:kern w:val="0"/>
          <w:sz w:val="36"/>
          <w14:textFill>
            <w14:solidFill>
              <w14:schemeClr w14:val="tx1"/>
            </w14:solidFill>
          </w14:textFill>
        </w:rPr>
        <w:t>时</w:t>
      </w:r>
      <w:r>
        <w:rPr>
          <w:rFonts w:ascii="Times New Roman" w:hAnsi="Times New Roman" w:eastAsia="黑体"/>
          <w:color w:val="000000" w:themeColor="text1"/>
          <w:kern w:val="0"/>
          <w:sz w:val="36"/>
          <w14:textFill>
            <w14:solidFill>
              <w14:schemeClr w14:val="tx1"/>
            </w14:solidFill>
          </w14:textFill>
        </w:rPr>
        <w:t xml:space="preserve">  </w:t>
      </w:r>
      <w:r>
        <w:rPr>
          <w:rFonts w:hint="eastAsia" w:ascii="Times New Roman" w:hAnsi="Times New Roman" w:eastAsia="黑体"/>
          <w:color w:val="000000" w:themeColor="text1"/>
          <w:kern w:val="0"/>
          <w:sz w:val="36"/>
          <w14:textFill>
            <w14:solidFill>
              <w14:schemeClr w14:val="tx1"/>
            </w14:solidFill>
          </w14:textFill>
        </w:rPr>
        <w:t>分前不得开启</w:t>
      </w:r>
    </w:p>
    <w:p>
      <w:pPr>
        <w:ind w:firstLine="283" w:firstLineChars="88"/>
        <w:jc w:val="center"/>
        <w:rPr>
          <w:rFonts w:ascii="Times New Roman" w:hAnsi="Times New Roman" w:eastAsia="仿宋_GB2312"/>
          <w:b/>
          <w:color w:val="000000" w:themeColor="text1"/>
          <w:sz w:val="32"/>
          <w:szCs w:val="28"/>
          <w14:textFill>
            <w14:solidFill>
              <w14:schemeClr w14:val="tx1"/>
            </w14:solidFill>
          </w14:textFill>
        </w:rPr>
      </w:pPr>
    </w:p>
    <w:p>
      <w:pPr>
        <w:ind w:firstLine="283" w:firstLineChars="88"/>
        <w:jc w:val="center"/>
        <w:rPr>
          <w:rFonts w:ascii="Times New Roman" w:hAnsi="Times New Roman" w:eastAsia="仿宋_GB2312"/>
          <w:b/>
          <w:color w:val="000000" w:themeColor="text1"/>
          <w:sz w:val="32"/>
          <w:szCs w:val="28"/>
          <w14:textFill>
            <w14:solidFill>
              <w14:schemeClr w14:val="tx1"/>
            </w14:solidFill>
          </w14:textFill>
        </w:rPr>
      </w:pPr>
    </w:p>
    <w:p>
      <w:pPr>
        <w:ind w:firstLine="283" w:firstLineChars="88"/>
        <w:jc w:val="center"/>
        <w:rPr>
          <w:rFonts w:ascii="Times New Roman" w:hAnsi="Times New Roman" w:eastAsia="黑体"/>
          <w:b/>
          <w:color w:val="000000" w:themeColor="text1"/>
          <w:sz w:val="32"/>
          <w:szCs w:val="28"/>
          <w14:textFill>
            <w14:solidFill>
              <w14:schemeClr w14:val="tx1"/>
            </w14:solidFill>
          </w14:textFill>
        </w:rPr>
      </w:pPr>
      <w:r>
        <w:rPr>
          <w:rFonts w:hint="eastAsia" w:ascii="Times New Roman" w:hAnsi="Times New Roman" w:eastAsia="黑体"/>
          <w:b/>
          <w:color w:val="000000" w:themeColor="text1"/>
          <w:sz w:val="32"/>
          <w:szCs w:val="28"/>
          <w14:textFill>
            <w14:solidFill>
              <w14:schemeClr w14:val="tx1"/>
            </w14:solidFill>
          </w14:textFill>
        </w:rPr>
        <w:t>投标人：</w:t>
      </w:r>
      <w:r>
        <w:rPr>
          <w:rFonts w:ascii="Times New Roman" w:hAnsi="Times New Roman" w:eastAsia="黑体"/>
          <w:b/>
          <w:color w:val="000000" w:themeColor="text1"/>
          <w:sz w:val="22"/>
          <w:u w:val="single"/>
          <w14:textFill>
            <w14:solidFill>
              <w14:schemeClr w14:val="tx1"/>
            </w14:solidFill>
          </w14:textFill>
        </w:rPr>
        <w:t xml:space="preserve">                                 </w:t>
      </w:r>
      <w:r>
        <w:rPr>
          <w:rFonts w:hint="eastAsia" w:ascii="Times New Roman" w:hAnsi="Times New Roman" w:eastAsia="黑体"/>
          <w:b/>
          <w:color w:val="000000" w:themeColor="text1"/>
          <w:sz w:val="32"/>
          <w:szCs w:val="28"/>
          <w14:textFill>
            <w14:solidFill>
              <w14:schemeClr w14:val="tx1"/>
            </w14:solidFill>
          </w14:textFill>
        </w:rPr>
        <w:t>（盖单位章）</w:t>
      </w:r>
    </w:p>
    <w:p>
      <w:pPr>
        <w:pStyle w:val="16"/>
        <w:spacing w:before="120" w:beforeLines="50" w:after="120" w:afterLines="50"/>
        <w:ind w:firstLine="0" w:firstLineChars="0"/>
        <w:jc w:val="center"/>
        <w:rPr>
          <w:rFonts w:ascii="Times New Roman" w:hAnsi="Times New Roman" w:eastAsia="黑体"/>
          <w:color w:val="000000" w:themeColor="text1"/>
          <w:sz w:val="22"/>
          <w14:textFill>
            <w14:solidFill>
              <w14:schemeClr w14:val="tx1"/>
            </w14:solidFill>
          </w14:textFill>
        </w:rPr>
      </w:pPr>
    </w:p>
    <w:p>
      <w:pPr>
        <w:ind w:firstLine="283" w:firstLineChars="88"/>
        <w:jc w:val="center"/>
        <w:rPr>
          <w:rFonts w:ascii="Times New Roman" w:hAnsi="Times New Roman" w:eastAsia="黑体"/>
          <w:b/>
          <w:color w:val="000000" w:themeColor="text1"/>
          <w:sz w:val="32"/>
          <w:szCs w:val="28"/>
          <w14:textFill>
            <w14:solidFill>
              <w14:schemeClr w14:val="tx1"/>
            </w14:solidFill>
          </w14:textFill>
        </w:rPr>
      </w:pPr>
      <w:r>
        <w:rPr>
          <w:rFonts w:ascii="Times New Roman" w:hAnsi="Times New Roman" w:eastAsia="黑体"/>
          <w:b/>
          <w:color w:val="000000" w:themeColor="text1"/>
          <w:sz w:val="32"/>
          <w:szCs w:val="28"/>
          <w14:textFill>
            <w14:solidFill>
              <w14:schemeClr w14:val="tx1"/>
            </w14:solidFill>
          </w14:textFill>
        </w:rPr>
        <w:t>2018</w:t>
      </w:r>
      <w:r>
        <w:rPr>
          <w:rFonts w:hint="eastAsia" w:ascii="Times New Roman" w:hAnsi="Times New Roman" w:eastAsia="黑体"/>
          <w:b/>
          <w:color w:val="000000" w:themeColor="text1"/>
          <w:sz w:val="32"/>
          <w:szCs w:val="28"/>
          <w14:textFill>
            <w14:solidFill>
              <w14:schemeClr w14:val="tx1"/>
            </w14:solidFill>
          </w14:textFill>
        </w:rPr>
        <w:t>年</w:t>
      </w:r>
      <w:r>
        <w:rPr>
          <w:rFonts w:ascii="Times New Roman" w:hAnsi="Times New Roman" w:eastAsia="黑体"/>
          <w:b/>
          <w:color w:val="000000" w:themeColor="text1"/>
          <w:sz w:val="32"/>
          <w:szCs w:val="28"/>
          <w14:textFill>
            <w14:solidFill>
              <w14:schemeClr w14:val="tx1"/>
            </w14:solidFill>
          </w14:textFill>
        </w:rPr>
        <w:t xml:space="preserve">   </w:t>
      </w:r>
      <w:r>
        <w:rPr>
          <w:rFonts w:hint="eastAsia" w:ascii="Times New Roman" w:hAnsi="Times New Roman" w:eastAsia="黑体"/>
          <w:b/>
          <w:color w:val="000000" w:themeColor="text1"/>
          <w:sz w:val="32"/>
          <w:szCs w:val="28"/>
          <w14:textFill>
            <w14:solidFill>
              <w14:schemeClr w14:val="tx1"/>
            </w14:solidFill>
          </w14:textFill>
        </w:rPr>
        <w:t>月</w:t>
      </w:r>
      <w:r>
        <w:rPr>
          <w:rFonts w:ascii="Times New Roman" w:hAnsi="Times New Roman" w:eastAsia="黑体"/>
          <w:b/>
          <w:color w:val="000000" w:themeColor="text1"/>
          <w:sz w:val="32"/>
          <w:szCs w:val="28"/>
          <w14:textFill>
            <w14:solidFill>
              <w14:schemeClr w14:val="tx1"/>
            </w14:solidFill>
          </w14:textFill>
        </w:rPr>
        <w:t xml:space="preserve">  </w:t>
      </w:r>
      <w:r>
        <w:rPr>
          <w:rFonts w:hint="eastAsia" w:ascii="Times New Roman" w:hAnsi="Times New Roman" w:eastAsia="黑体"/>
          <w:b/>
          <w:color w:val="000000" w:themeColor="text1"/>
          <w:sz w:val="32"/>
          <w:szCs w:val="28"/>
          <w14:textFill>
            <w14:solidFill>
              <w14:schemeClr w14:val="tx1"/>
            </w14:solidFill>
          </w14:textFill>
        </w:rPr>
        <w:t>日</w:t>
      </w:r>
    </w:p>
    <w:p>
      <w:pPr>
        <w:pStyle w:val="16"/>
        <w:spacing w:before="120" w:beforeLines="50" w:after="120" w:afterLines="50"/>
        <w:ind w:firstLine="0" w:firstLineChars="0"/>
        <w:jc w:val="center"/>
        <w:rPr>
          <w:rFonts w:ascii="Times New Roman" w:hAnsi="Times New Roman" w:eastAsia="黑体"/>
          <w:color w:val="000000" w:themeColor="text1"/>
          <w:sz w:val="22"/>
          <w14:textFill>
            <w14:solidFill>
              <w14:schemeClr w14:val="tx1"/>
            </w14:solidFill>
          </w14:textFill>
        </w:rPr>
      </w:pPr>
    </w:p>
    <w:p>
      <w:pPr>
        <w:pStyle w:val="16"/>
        <w:spacing w:before="120" w:beforeLines="50" w:after="120" w:afterLines="50"/>
        <w:ind w:firstLine="440"/>
        <w:rPr>
          <w:rFonts w:ascii="Times New Roman" w:hAnsi="Times New Roman" w:eastAsia="黑体"/>
          <w:color w:val="000000" w:themeColor="text1"/>
          <w:sz w:val="22"/>
          <w14:textFill>
            <w14:solidFill>
              <w14:schemeClr w14:val="tx1"/>
            </w14:solidFill>
          </w14:textFill>
        </w:rPr>
      </w:pPr>
      <w:r>
        <w:rPr>
          <w:rFonts w:hint="eastAsia" w:ascii="Times New Roman" w:hAnsi="Times New Roman" w:eastAsia="黑体"/>
          <w:color w:val="000000" w:themeColor="text1"/>
          <w:sz w:val="22"/>
          <w14:textFill>
            <w14:solidFill>
              <w14:schemeClr w14:val="tx1"/>
            </w14:solidFill>
          </w14:textFill>
        </w:rPr>
        <w:t>注：联合体投标人，“投标人”一栏填写联合体各方公司名称，本页由牵头公司公章</w:t>
      </w:r>
    </w:p>
    <w:p>
      <w:pPr>
        <w:widowControl/>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pStyle w:val="2"/>
        <w:spacing w:line="360" w:lineRule="auto"/>
        <w:jc w:val="center"/>
        <w:rPr>
          <w:rFonts w:eastAsia="黑体"/>
          <w:color w:val="000000" w:themeColor="text1"/>
          <w14:textFill>
            <w14:solidFill>
              <w14:schemeClr w14:val="tx1"/>
            </w14:solidFill>
          </w14:textFill>
        </w:rPr>
      </w:pPr>
      <w:bookmarkStart w:id="282" w:name="_Toc522635494"/>
      <w:r>
        <w:rPr>
          <w:rFonts w:hint="eastAsia" w:eastAsia="黑体"/>
          <w:color w:val="000000" w:themeColor="text1"/>
          <w14:textFill>
            <w14:solidFill>
              <w14:schemeClr w14:val="tx1"/>
            </w14:solidFill>
          </w14:textFill>
        </w:rPr>
        <w:t>第二卷</w:t>
      </w:r>
      <w:r>
        <w:rPr>
          <w:rFonts w:eastAsia="黑体"/>
          <w:color w:val="000000" w:themeColor="text1"/>
          <w14:textFill>
            <w14:solidFill>
              <w14:schemeClr w14:val="tx1"/>
            </w14:solidFill>
          </w14:textFill>
        </w:rPr>
        <w:t xml:space="preserve">  PPP</w:t>
      </w:r>
      <w:r>
        <w:rPr>
          <w:rFonts w:hint="eastAsia" w:eastAsia="黑体"/>
          <w:color w:val="000000" w:themeColor="text1"/>
          <w14:textFill>
            <w14:solidFill>
              <w14:schemeClr w14:val="tx1"/>
            </w14:solidFill>
          </w14:textFill>
        </w:rPr>
        <w:t>项目合同</w:t>
      </w:r>
      <w:bookmarkEnd w:id="282"/>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p>
    <w:p>
      <w:pPr>
        <w:widowControl/>
        <w:jc w:val="left"/>
        <w:rPr>
          <w:rFonts w:ascii="Times New Roman" w:hAnsi="Times New Roman"/>
          <w:color w:val="000000" w:themeColor="text1"/>
          <w14:textFill>
            <w14:solidFill>
              <w14:schemeClr w14:val="tx1"/>
            </w14:solidFill>
          </w14:textFill>
        </w:rPr>
      </w:pPr>
    </w:p>
    <w:p>
      <w:pPr>
        <w:pStyle w:val="310"/>
        <w:spacing w:line="360" w:lineRule="auto"/>
        <w:jc w:val="center"/>
        <w:rPr>
          <w:rFonts w:ascii="Times New Roman" w:eastAsia="宋体" w:cs="Times New Roman"/>
          <w:b/>
          <w:color w:val="000000" w:themeColor="text1"/>
          <w:sz w:val="44"/>
          <w:szCs w:val="44"/>
          <w14:textFill>
            <w14:solidFill>
              <w14:schemeClr w14:val="tx1"/>
            </w14:solidFill>
          </w14:textFill>
        </w:rPr>
      </w:pPr>
      <w:r>
        <w:rPr>
          <w:rFonts w:hint="eastAsia" w:ascii="Times New Roman" w:eastAsia="宋体" w:cs="Times New Roman"/>
          <w:b/>
          <w:color w:val="000000" w:themeColor="text1"/>
          <w:sz w:val="44"/>
          <w:szCs w:val="44"/>
          <w14:textFill>
            <w14:solidFill>
              <w14:schemeClr w14:val="tx1"/>
            </w14:solidFill>
          </w14:textFill>
        </w:rPr>
        <w:t>艮山东路过江隧道工程</w:t>
      </w:r>
    </w:p>
    <w:p>
      <w:pPr>
        <w:pStyle w:val="310"/>
        <w:spacing w:line="360" w:lineRule="auto"/>
        <w:rPr>
          <w:rFonts w:ascii="Times New Roman" w:eastAsia="宋体" w:cs="Times New Roman"/>
          <w:color w:val="000000" w:themeColor="text1"/>
          <w:sz w:val="52"/>
          <w:szCs w:val="52"/>
          <w14:textFill>
            <w14:solidFill>
              <w14:schemeClr w14:val="tx1"/>
            </w14:solidFill>
          </w14:textFill>
        </w:rPr>
      </w:pPr>
    </w:p>
    <w:p>
      <w:pPr>
        <w:pStyle w:val="310"/>
        <w:spacing w:line="360" w:lineRule="auto"/>
        <w:jc w:val="center"/>
        <w:rPr>
          <w:rFonts w:ascii="Times New Roman" w:eastAsia="黑体" w:cs="Times New Roman"/>
          <w:color w:val="000000" w:themeColor="text1"/>
          <w:sz w:val="72"/>
          <w:szCs w:val="32"/>
          <w14:textFill>
            <w14:solidFill>
              <w14:schemeClr w14:val="tx1"/>
            </w14:solidFill>
          </w14:textFill>
        </w:rPr>
      </w:pPr>
    </w:p>
    <w:p>
      <w:pPr>
        <w:pStyle w:val="310"/>
        <w:spacing w:line="360" w:lineRule="auto"/>
        <w:jc w:val="center"/>
        <w:rPr>
          <w:rFonts w:ascii="Times New Roman" w:eastAsia="黑体" w:cs="Times New Roman"/>
          <w:color w:val="000000" w:themeColor="text1"/>
          <w:sz w:val="72"/>
          <w:szCs w:val="32"/>
          <w14:textFill>
            <w14:solidFill>
              <w14:schemeClr w14:val="tx1"/>
            </w14:solidFill>
          </w14:textFill>
        </w:rPr>
      </w:pPr>
      <w:r>
        <w:rPr>
          <w:rFonts w:ascii="Times New Roman" w:eastAsia="黑体" w:cs="Times New Roman"/>
          <w:color w:val="000000" w:themeColor="text1"/>
          <w:sz w:val="72"/>
          <w:szCs w:val="32"/>
          <w14:textFill>
            <w14:solidFill>
              <w14:schemeClr w14:val="tx1"/>
            </w14:solidFill>
          </w14:textFill>
        </w:rPr>
        <w:t>PPP</w:t>
      </w:r>
      <w:r>
        <w:rPr>
          <w:rFonts w:hint="eastAsia" w:ascii="Times New Roman" w:eastAsia="黑体" w:cs="Times New Roman"/>
          <w:color w:val="000000" w:themeColor="text1"/>
          <w:sz w:val="72"/>
          <w:szCs w:val="32"/>
          <w14:textFill>
            <w14:solidFill>
              <w14:schemeClr w14:val="tx1"/>
            </w14:solidFill>
          </w14:textFill>
        </w:rPr>
        <w:t>项目合同</w:t>
      </w:r>
    </w:p>
    <w:p>
      <w:pPr>
        <w:pStyle w:val="310"/>
        <w:spacing w:line="360" w:lineRule="auto"/>
        <w:rPr>
          <w:rFonts w:ascii="Times New Roman" w:eastAsia="黑体" w:cs="Times New Roman"/>
          <w:color w:val="000000" w:themeColor="text1"/>
          <w:sz w:val="40"/>
          <w:szCs w:val="32"/>
          <w14:textFill>
            <w14:solidFill>
              <w14:schemeClr w14:val="tx1"/>
            </w14:solidFill>
          </w14:textFill>
        </w:rPr>
      </w:pPr>
    </w:p>
    <w:p>
      <w:pPr>
        <w:pStyle w:val="310"/>
        <w:spacing w:line="360" w:lineRule="auto"/>
        <w:rPr>
          <w:rFonts w:ascii="Times New Roman" w:eastAsia="黑体" w:cs="Times New Roman"/>
          <w:color w:val="000000" w:themeColor="text1"/>
          <w:sz w:val="32"/>
          <w:szCs w:val="32"/>
          <w14:textFill>
            <w14:solidFill>
              <w14:schemeClr w14:val="tx1"/>
            </w14:solidFill>
          </w14:textFill>
        </w:rPr>
      </w:pPr>
    </w:p>
    <w:p>
      <w:pPr>
        <w:pStyle w:val="310"/>
        <w:spacing w:line="360" w:lineRule="auto"/>
        <w:rPr>
          <w:rFonts w:ascii="Times New Roman" w:eastAsia="黑体" w:cs="Times New Roman"/>
          <w:color w:val="000000" w:themeColor="text1"/>
          <w:sz w:val="32"/>
          <w:szCs w:val="32"/>
          <w14:textFill>
            <w14:solidFill>
              <w14:schemeClr w14:val="tx1"/>
            </w14:solidFill>
          </w14:textFill>
        </w:rPr>
      </w:pPr>
    </w:p>
    <w:p>
      <w:pPr>
        <w:pStyle w:val="310"/>
        <w:spacing w:line="360" w:lineRule="auto"/>
        <w:rPr>
          <w:rFonts w:ascii="Times New Roman" w:eastAsia="黑体" w:cs="Times New Roman"/>
          <w:color w:val="000000" w:themeColor="text1"/>
          <w:sz w:val="32"/>
          <w:szCs w:val="32"/>
          <w14:textFill>
            <w14:solidFill>
              <w14:schemeClr w14:val="tx1"/>
            </w14:solidFill>
          </w14:textFill>
        </w:rPr>
      </w:pPr>
    </w:p>
    <w:p>
      <w:pPr>
        <w:pStyle w:val="310"/>
        <w:spacing w:line="360" w:lineRule="auto"/>
        <w:rPr>
          <w:rFonts w:ascii="Times New Roman" w:eastAsia="黑体" w:cs="Times New Roman"/>
          <w:color w:val="000000" w:themeColor="text1"/>
          <w:sz w:val="32"/>
          <w:szCs w:val="32"/>
          <w14:textFill>
            <w14:solidFill>
              <w14:schemeClr w14:val="tx1"/>
            </w14:solidFill>
          </w14:textFill>
        </w:rPr>
      </w:pPr>
    </w:p>
    <w:p>
      <w:pPr>
        <w:pStyle w:val="310"/>
        <w:spacing w:line="360" w:lineRule="auto"/>
        <w:rPr>
          <w:rFonts w:ascii="Times New Roman" w:eastAsia="黑体" w:cs="Times New Roman"/>
          <w:color w:val="000000" w:themeColor="text1"/>
          <w:sz w:val="32"/>
          <w:szCs w:val="32"/>
          <w14:textFill>
            <w14:solidFill>
              <w14:schemeClr w14:val="tx1"/>
            </w14:solidFill>
          </w14:textFill>
        </w:rPr>
      </w:pPr>
    </w:p>
    <w:p>
      <w:pPr>
        <w:pStyle w:val="310"/>
        <w:spacing w:line="360" w:lineRule="auto"/>
        <w:ind w:left="1470" w:leftChars="300" w:hanging="840" w:hangingChars="300"/>
        <w:rPr>
          <w:rFonts w:ascii="Times New Roman" w:eastAsia="黑体" w:cs="Times New Roman"/>
          <w:color w:val="000000" w:themeColor="text1"/>
          <w:sz w:val="28"/>
          <w:szCs w:val="28"/>
          <w:u w:val="single"/>
          <w14:textFill>
            <w14:solidFill>
              <w14:schemeClr w14:val="tx1"/>
            </w14:solidFill>
          </w14:textFill>
        </w:rPr>
      </w:pPr>
      <w:r>
        <w:rPr>
          <w:rFonts w:hint="eastAsia" w:ascii="Times New Roman" w:eastAsia="黑体" w:cs="Times New Roman"/>
          <w:color w:val="000000" w:themeColor="text1"/>
          <w:sz w:val="28"/>
          <w:szCs w:val="32"/>
          <w14:textFill>
            <w14:solidFill>
              <w14:schemeClr w14:val="tx1"/>
            </w14:solidFill>
          </w14:textFill>
        </w:rPr>
        <w:t>甲方：</w:t>
      </w:r>
      <w:r>
        <w:rPr>
          <w:rFonts w:ascii="Times New Roman" w:eastAsia="黑体" w:cs="Times New Roman"/>
          <w:color w:val="000000" w:themeColor="text1"/>
          <w:sz w:val="28"/>
          <w:szCs w:val="32"/>
          <w:u w:val="single"/>
          <w14:textFill>
            <w14:solidFill>
              <w14:schemeClr w14:val="tx1"/>
            </w14:solidFill>
          </w14:textFill>
        </w:rPr>
        <w:t xml:space="preserve">                                   </w:t>
      </w:r>
    </w:p>
    <w:p>
      <w:pPr>
        <w:pStyle w:val="310"/>
        <w:spacing w:line="360" w:lineRule="auto"/>
        <w:ind w:left="1470" w:leftChars="300" w:hanging="840" w:hangingChars="300"/>
        <w:rPr>
          <w:rFonts w:ascii="Times New Roman" w:eastAsia="黑体" w:cs="Times New Roman"/>
          <w:color w:val="000000" w:themeColor="text1"/>
          <w:sz w:val="32"/>
          <w:szCs w:val="32"/>
          <w:u w:val="single"/>
          <w14:textFill>
            <w14:solidFill>
              <w14:schemeClr w14:val="tx1"/>
            </w14:solidFill>
          </w14:textFill>
        </w:rPr>
      </w:pPr>
      <w:r>
        <w:rPr>
          <w:rFonts w:hint="eastAsia" w:ascii="Times New Roman" w:eastAsia="黑体" w:cs="Times New Roman"/>
          <w:color w:val="000000" w:themeColor="text1"/>
          <w:sz w:val="28"/>
          <w:szCs w:val="32"/>
          <w14:textFill>
            <w14:solidFill>
              <w14:schemeClr w14:val="tx1"/>
            </w14:solidFill>
          </w14:textFill>
        </w:rPr>
        <w:t>乙方：</w:t>
      </w:r>
      <w:r>
        <w:rPr>
          <w:rFonts w:ascii="Times New Roman" w:eastAsia="黑体" w:cs="Times New Roman"/>
          <w:color w:val="000000" w:themeColor="text1"/>
          <w:sz w:val="28"/>
          <w:szCs w:val="32"/>
          <w:u w:val="single"/>
          <w14:textFill>
            <w14:solidFill>
              <w14:schemeClr w14:val="tx1"/>
            </w14:solidFill>
          </w14:textFill>
        </w:rPr>
        <w:t xml:space="preserve">                                  </w:t>
      </w:r>
    </w:p>
    <w:p>
      <w:pPr>
        <w:pStyle w:val="310"/>
        <w:spacing w:line="360" w:lineRule="auto"/>
        <w:ind w:firstLine="991" w:firstLineChars="354"/>
        <w:rPr>
          <w:rFonts w:ascii="Times New Roman" w:eastAsia="黑体" w:cs="Times New Roman"/>
          <w:color w:val="000000" w:themeColor="text1"/>
          <w:sz w:val="28"/>
          <w:szCs w:val="32"/>
          <w:u w:val="single"/>
          <w14:textFill>
            <w14:solidFill>
              <w14:schemeClr w14:val="tx1"/>
            </w14:solidFill>
          </w14:textFill>
        </w:rPr>
      </w:pPr>
      <w:r>
        <w:rPr>
          <w:rFonts w:ascii="Times New Roman" w:eastAsia="黑体" w:cs="Times New Roman"/>
          <w:color w:val="000000" w:themeColor="text1"/>
          <w:sz w:val="28"/>
          <w:szCs w:val="32"/>
          <w14:textFill>
            <w14:solidFill>
              <w14:schemeClr w14:val="tx1"/>
            </w14:solidFill>
          </w14:textFill>
        </w:rPr>
        <w:t xml:space="preserve">   </w:t>
      </w:r>
    </w:p>
    <w:p>
      <w:pPr>
        <w:pStyle w:val="310"/>
        <w:spacing w:line="360" w:lineRule="auto"/>
        <w:ind w:firstLine="1132" w:firstLineChars="354"/>
        <w:rPr>
          <w:rFonts w:ascii="Times New Roman" w:eastAsia="黑体" w:cs="Times New Roman"/>
          <w:color w:val="000000" w:themeColor="text1"/>
          <w:sz w:val="32"/>
          <w:szCs w:val="32"/>
          <w14:textFill>
            <w14:solidFill>
              <w14:schemeClr w14:val="tx1"/>
            </w14:solidFill>
          </w14:textFill>
        </w:rPr>
      </w:pPr>
    </w:p>
    <w:p>
      <w:pPr>
        <w:pStyle w:val="310"/>
        <w:spacing w:line="360" w:lineRule="auto"/>
        <w:jc w:val="center"/>
        <w:rPr>
          <w:rFonts w:ascii="Times New Roman" w:eastAsia="黑体" w:cs="Times New Roman"/>
          <w:color w:val="000000" w:themeColor="text1"/>
          <w:sz w:val="32"/>
          <w:szCs w:val="32"/>
          <w14:textFill>
            <w14:solidFill>
              <w14:schemeClr w14:val="tx1"/>
            </w14:solidFill>
          </w14:textFill>
        </w:rPr>
      </w:pPr>
      <w:r>
        <w:rPr>
          <w:rFonts w:hint="eastAsia" w:ascii="Times New Roman" w:eastAsia="黑体" w:cs="Times New Roman"/>
          <w:color w:val="000000" w:themeColor="text1"/>
          <w:sz w:val="32"/>
          <w:szCs w:val="32"/>
          <w14:textFill>
            <w14:solidFill>
              <w14:schemeClr w14:val="tx1"/>
            </w14:solidFill>
          </w14:textFill>
        </w:rPr>
        <w:t>二〇一八年</w:t>
      </w:r>
      <w:r>
        <w:rPr>
          <w:rFonts w:ascii="Times New Roman" w:eastAsia="黑体" w:cs="Times New Roman"/>
          <w:color w:val="000000" w:themeColor="text1"/>
          <w:sz w:val="32"/>
          <w:szCs w:val="32"/>
          <w14:textFill>
            <w14:solidFill>
              <w14:schemeClr w14:val="tx1"/>
            </w14:solidFill>
          </w14:textFill>
        </w:rPr>
        <w:t xml:space="preserve">  </w:t>
      </w:r>
      <w:r>
        <w:rPr>
          <w:rFonts w:hint="eastAsia" w:ascii="Times New Roman" w:eastAsia="黑体" w:cs="Times New Roman"/>
          <w:color w:val="000000" w:themeColor="text1"/>
          <w:sz w:val="32"/>
          <w:szCs w:val="32"/>
          <w14:textFill>
            <w14:solidFill>
              <w14:schemeClr w14:val="tx1"/>
            </w14:solidFill>
          </w14:textFill>
        </w:rPr>
        <w:t>月</w:t>
      </w:r>
    </w:p>
    <w:p>
      <w:pPr>
        <w:pStyle w:val="42"/>
        <w:rPr>
          <w:color w:val="000000" w:themeColor="text1"/>
          <w14:textFill>
            <w14:solidFill>
              <w14:schemeClr w14:val="tx1"/>
            </w14:solidFill>
          </w14:textFill>
        </w:rPr>
        <w:sectPr>
          <w:pgSz w:w="11907" w:h="16839"/>
          <w:pgMar w:top="1418" w:right="1588" w:bottom="1418" w:left="1588" w:header="720" w:footer="720" w:gutter="0"/>
          <w:cols w:space="720" w:num="1"/>
        </w:sectPr>
      </w:pPr>
    </w:p>
    <w:p>
      <w:pPr>
        <w:pStyle w:val="42"/>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目</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录</w:t>
      </w:r>
    </w:p>
    <w:p>
      <w:pPr>
        <w:pStyle w:val="42"/>
        <w:rPr>
          <w:rFonts w:asciiTheme="minorHAnsi" w:hAnsiTheme="minorHAnsi" w:eastAsiaTheme="minorEastAsia" w:cstheme="minorBidi"/>
          <w:szCs w:val="22"/>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TOC \o "1-3" \h \z \u </w:instrText>
      </w:r>
      <w:r>
        <w:rPr>
          <w:color w:val="000000" w:themeColor="text1"/>
          <w:sz w:val="24"/>
          <w14:textFill>
            <w14:solidFill>
              <w14:schemeClr w14:val="tx1"/>
            </w14:solidFill>
          </w14:textFill>
        </w:rPr>
        <w:fldChar w:fldCharType="separate"/>
      </w:r>
      <w:r>
        <w:fldChar w:fldCharType="begin"/>
      </w:r>
      <w:r>
        <w:instrText xml:space="preserve"> HYPERLINK \l "_Toc516399718" </w:instrText>
      </w:r>
      <w:r>
        <w:fldChar w:fldCharType="separate"/>
      </w:r>
      <w:r>
        <w:rPr>
          <w:rStyle w:val="54"/>
          <w:rFonts w:hint="eastAsia" w:eastAsia="黑体"/>
        </w:rPr>
        <w:t>第</w:t>
      </w:r>
      <w:r>
        <w:rPr>
          <w:rStyle w:val="54"/>
          <w:rFonts w:eastAsia="黑体"/>
        </w:rPr>
        <w:t xml:space="preserve"> 1 </w:t>
      </w:r>
      <w:r>
        <w:rPr>
          <w:rStyle w:val="54"/>
          <w:rFonts w:hint="eastAsia" w:eastAsia="黑体"/>
        </w:rPr>
        <w:t>条</w:t>
      </w:r>
      <w:r>
        <w:rPr>
          <w:rStyle w:val="54"/>
          <w:rFonts w:eastAsia="黑体"/>
        </w:rPr>
        <w:t xml:space="preserve"> </w:t>
      </w:r>
      <w:r>
        <w:rPr>
          <w:rStyle w:val="54"/>
          <w:rFonts w:hint="eastAsia" w:eastAsia="黑体"/>
        </w:rPr>
        <w:t>定义和释义</w:t>
      </w:r>
      <w:r>
        <w:tab/>
      </w:r>
      <w:r>
        <w:fldChar w:fldCharType="begin"/>
      </w:r>
      <w:r>
        <w:instrText xml:space="preserve"> PAGEREF _Toc516399718 \h </w:instrText>
      </w:r>
      <w:r>
        <w:fldChar w:fldCharType="separate"/>
      </w:r>
      <w:r>
        <w:t>61</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"_Toc516399719" </w:instrText>
      </w:r>
      <w:r>
        <w:fldChar w:fldCharType="separate"/>
      </w:r>
      <w:r>
        <w:rPr>
          <w:rStyle w:val="54"/>
        </w:rPr>
        <w:t xml:space="preserve">1.1 </w:t>
      </w:r>
      <w:r>
        <w:rPr>
          <w:rStyle w:val="54"/>
          <w:rFonts w:hint="eastAsia"/>
        </w:rPr>
        <w:t>定义</w:t>
      </w:r>
      <w:r>
        <w:tab/>
      </w:r>
      <w:r>
        <w:fldChar w:fldCharType="begin"/>
      </w:r>
      <w:r>
        <w:instrText xml:space="preserve"> PAGEREF _Toc516399719 \h </w:instrText>
      </w:r>
      <w:r>
        <w:fldChar w:fldCharType="separate"/>
      </w:r>
      <w:r>
        <w:t>61</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"_Toc516399720" </w:instrText>
      </w:r>
      <w:r>
        <w:fldChar w:fldCharType="separate"/>
      </w:r>
      <w:r>
        <w:rPr>
          <w:rStyle w:val="54"/>
        </w:rPr>
        <w:t xml:space="preserve">1.2 </w:t>
      </w:r>
      <w:r>
        <w:rPr>
          <w:rStyle w:val="54"/>
          <w:rFonts w:hint="eastAsia"/>
        </w:rPr>
        <w:t>释义</w:t>
      </w:r>
      <w:r>
        <w:tab/>
      </w:r>
      <w:r>
        <w:fldChar w:fldCharType="begin"/>
      </w:r>
      <w:r>
        <w:instrText xml:space="preserve"> PAGEREF _Toc516399720 \h </w:instrText>
      </w:r>
      <w:r>
        <w:fldChar w:fldCharType="separate"/>
      </w:r>
      <w:r>
        <w:t>63</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"_Toc516399721" </w:instrText>
      </w:r>
      <w:r>
        <w:fldChar w:fldCharType="separate"/>
      </w:r>
      <w:r>
        <w:rPr>
          <w:rStyle w:val="54"/>
          <w:rFonts w:hint="eastAsia" w:eastAsia="黑体"/>
        </w:rPr>
        <w:t>第</w:t>
      </w:r>
      <w:r>
        <w:rPr>
          <w:rStyle w:val="54"/>
          <w:rFonts w:eastAsia="黑体"/>
        </w:rPr>
        <w:t xml:space="preserve"> 2 </w:t>
      </w:r>
      <w:r>
        <w:rPr>
          <w:rStyle w:val="54"/>
          <w:rFonts w:hint="eastAsia" w:eastAsia="黑体"/>
        </w:rPr>
        <w:t>条</w:t>
      </w:r>
      <w:r>
        <w:rPr>
          <w:rStyle w:val="54"/>
          <w:rFonts w:eastAsia="黑体"/>
        </w:rPr>
        <w:t xml:space="preserve"> </w:t>
      </w:r>
      <w:r>
        <w:rPr>
          <w:rStyle w:val="54"/>
          <w:rFonts w:hint="eastAsia" w:eastAsia="黑体"/>
        </w:rPr>
        <w:t>合作关系</w:t>
      </w:r>
      <w:r>
        <w:tab/>
      </w:r>
      <w:r>
        <w:fldChar w:fldCharType="begin"/>
      </w:r>
      <w:r>
        <w:instrText xml:space="preserve"> PAGEREF _Toc516399721 \h </w:instrText>
      </w:r>
      <w:r>
        <w:fldChar w:fldCharType="separate"/>
      </w:r>
      <w:r>
        <w:t>63</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"_Toc516399722" </w:instrText>
      </w:r>
      <w:r>
        <w:fldChar w:fldCharType="separate"/>
      </w:r>
      <w:r>
        <w:rPr>
          <w:rStyle w:val="54"/>
        </w:rPr>
        <w:t xml:space="preserve">2.1 </w:t>
      </w:r>
      <w:r>
        <w:rPr>
          <w:rStyle w:val="54"/>
          <w:rFonts w:hint="eastAsia"/>
        </w:rPr>
        <w:t>项目合作方式</w:t>
      </w:r>
      <w:r>
        <w:tab/>
      </w:r>
      <w:r>
        <w:fldChar w:fldCharType="begin"/>
      </w:r>
      <w:r>
        <w:instrText xml:space="preserve"> PAGEREF _Toc516399722 \h </w:instrText>
      </w:r>
      <w:r>
        <w:fldChar w:fldCharType="separate"/>
      </w:r>
      <w:r>
        <w:t>63</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"_Toc516399724" </w:instrText>
      </w:r>
      <w:r>
        <w:fldChar w:fldCharType="separate"/>
      </w:r>
      <w:r>
        <w:rPr>
          <w:rStyle w:val="54"/>
        </w:rPr>
        <w:t>2.2</w:t>
      </w:r>
      <w:r>
        <w:rPr>
          <w:rFonts w:asciiTheme="minorHAnsi" w:hAnsiTheme="minorHAnsi" w:eastAsiaTheme="minorEastAsia" w:cstheme="minorBidi"/>
          <w:szCs w:val="22"/>
        </w:rPr>
        <w:tab/>
      </w:r>
      <w:r>
        <w:rPr>
          <w:rStyle w:val="54"/>
          <w:rFonts w:hint="eastAsia"/>
        </w:rPr>
        <w:t>建设内容</w:t>
      </w:r>
      <w:r>
        <w:tab/>
      </w:r>
      <w:r>
        <w:fldChar w:fldCharType="begin"/>
      </w:r>
      <w:r>
        <w:instrText xml:space="preserve"> PAGEREF _Toc516399724 \h </w:instrText>
      </w:r>
      <w:r>
        <w:fldChar w:fldCharType="separate"/>
      </w:r>
      <w:r>
        <w:t>64</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"_Toc516399725" </w:instrText>
      </w:r>
      <w:r>
        <w:fldChar w:fldCharType="separate"/>
      </w:r>
      <w:r>
        <w:rPr>
          <w:rStyle w:val="54"/>
        </w:rPr>
        <w:t xml:space="preserve">2.3 </w:t>
      </w:r>
      <w:r>
        <w:rPr>
          <w:rStyle w:val="54"/>
          <w:rFonts w:hint="eastAsia"/>
        </w:rPr>
        <w:t>建设投资</w:t>
      </w:r>
      <w:r>
        <w:tab/>
      </w:r>
      <w:r>
        <w:fldChar w:fldCharType="begin"/>
      </w:r>
      <w:r>
        <w:instrText xml:space="preserve"> PAGEREF _Toc516399725 \h </w:instrText>
      </w:r>
      <w:r>
        <w:fldChar w:fldCharType="separate"/>
      </w:r>
      <w:r>
        <w:t>64</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"_Toc516399726" </w:instrText>
      </w:r>
      <w:r>
        <w:fldChar w:fldCharType="separate"/>
      </w:r>
      <w:r>
        <w:rPr>
          <w:rStyle w:val="54"/>
        </w:rPr>
        <w:t xml:space="preserve">2.4 </w:t>
      </w:r>
      <w:r>
        <w:rPr>
          <w:rStyle w:val="54"/>
          <w:rFonts w:hint="eastAsia"/>
        </w:rPr>
        <w:t>合作期限</w:t>
      </w:r>
      <w:r>
        <w:tab/>
      </w:r>
      <w:r>
        <w:fldChar w:fldCharType="begin"/>
      </w:r>
      <w:r>
        <w:instrText xml:space="preserve"> PAGEREF _Toc516399726 \h </w:instrText>
      </w:r>
      <w:r>
        <w:fldChar w:fldCharType="separate"/>
      </w:r>
      <w:r>
        <w:t>67</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"_Toc516399727" </w:instrText>
      </w:r>
      <w:r>
        <w:fldChar w:fldCharType="separate"/>
      </w:r>
      <w:r>
        <w:rPr>
          <w:rStyle w:val="54"/>
          <w:rFonts w:hint="eastAsia" w:eastAsia="黑体"/>
        </w:rPr>
        <w:t>第</w:t>
      </w:r>
      <w:r>
        <w:rPr>
          <w:rStyle w:val="54"/>
          <w:rFonts w:eastAsia="黑体"/>
        </w:rPr>
        <w:t xml:space="preserve"> 3 </w:t>
      </w:r>
      <w:r>
        <w:rPr>
          <w:rStyle w:val="54"/>
          <w:rFonts w:hint="eastAsia" w:eastAsia="黑体"/>
        </w:rPr>
        <w:t>条</w:t>
      </w:r>
      <w:r>
        <w:rPr>
          <w:rStyle w:val="54"/>
          <w:rFonts w:eastAsia="黑体"/>
        </w:rPr>
        <w:t xml:space="preserve"> </w:t>
      </w:r>
      <w:r>
        <w:rPr>
          <w:rStyle w:val="54"/>
          <w:rFonts w:hint="eastAsia" w:eastAsia="黑体"/>
        </w:rPr>
        <w:t>声明和保证</w:t>
      </w:r>
      <w:r>
        <w:tab/>
      </w:r>
      <w:r>
        <w:fldChar w:fldCharType="begin"/>
      </w:r>
      <w:r>
        <w:instrText xml:space="preserve"> PAGEREF _Toc516399727 \h </w:instrText>
      </w:r>
      <w:r>
        <w:fldChar w:fldCharType="separate"/>
      </w:r>
      <w:r>
        <w:t>68</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"_Toc516399728" </w:instrText>
      </w:r>
      <w:r>
        <w:fldChar w:fldCharType="separate"/>
      </w:r>
      <w:r>
        <w:rPr>
          <w:rStyle w:val="54"/>
        </w:rPr>
        <w:t xml:space="preserve">3.1 </w:t>
      </w:r>
      <w:r>
        <w:rPr>
          <w:rStyle w:val="54"/>
          <w:rFonts w:hint="eastAsia"/>
        </w:rPr>
        <w:t>甲方的声明</w:t>
      </w:r>
      <w:r>
        <w:tab/>
      </w:r>
      <w:r>
        <w:fldChar w:fldCharType="begin"/>
      </w:r>
      <w:r>
        <w:instrText xml:space="preserve"> PAGEREF _Toc516399728 \h </w:instrText>
      </w:r>
      <w:r>
        <w:fldChar w:fldCharType="separate"/>
      </w:r>
      <w:r>
        <w:t>68</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"_Toc516399729" </w:instrText>
      </w:r>
      <w:r>
        <w:fldChar w:fldCharType="separate"/>
      </w:r>
      <w:r>
        <w:rPr>
          <w:rStyle w:val="54"/>
        </w:rPr>
        <w:t xml:space="preserve">3.2 </w:t>
      </w:r>
      <w:r>
        <w:rPr>
          <w:rStyle w:val="54"/>
          <w:rFonts w:hint="eastAsia"/>
        </w:rPr>
        <w:t>乙方的声明</w:t>
      </w:r>
      <w:r>
        <w:tab/>
      </w:r>
      <w:r>
        <w:fldChar w:fldCharType="begin"/>
      </w:r>
      <w:r>
        <w:instrText xml:space="preserve"> PAGEREF _Toc516399729 \h </w:instrText>
      </w:r>
      <w:r>
        <w:fldChar w:fldCharType="separate"/>
      </w:r>
      <w:r>
        <w:t>68</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"_Toc516399730" </w:instrText>
      </w:r>
      <w:r>
        <w:fldChar w:fldCharType="separate"/>
      </w:r>
      <w:r>
        <w:rPr>
          <w:rStyle w:val="54"/>
        </w:rPr>
        <w:t xml:space="preserve">3.3 </w:t>
      </w:r>
      <w:r>
        <w:rPr>
          <w:rStyle w:val="54"/>
          <w:rFonts w:hint="eastAsia"/>
        </w:rPr>
        <w:t>不限制甲方的权利</w:t>
      </w:r>
      <w:r>
        <w:tab/>
      </w:r>
      <w:r>
        <w:fldChar w:fldCharType="begin"/>
      </w:r>
      <w:r>
        <w:instrText xml:space="preserve"> PAGEREF _Toc516399730 \h </w:instrText>
      </w:r>
      <w:r>
        <w:fldChar w:fldCharType="separate"/>
      </w:r>
      <w:r>
        <w:t>69</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"_Toc516399731" </w:instrText>
      </w:r>
      <w:r>
        <w:fldChar w:fldCharType="separate"/>
      </w:r>
      <w:r>
        <w:rPr>
          <w:rStyle w:val="54"/>
        </w:rPr>
        <w:t xml:space="preserve">3.4 </w:t>
      </w:r>
      <w:r>
        <w:rPr>
          <w:rStyle w:val="54"/>
          <w:rFonts w:hint="eastAsia"/>
        </w:rPr>
        <w:t>建设期履约保函</w:t>
      </w:r>
      <w:r>
        <w:tab/>
      </w:r>
      <w:r>
        <w:fldChar w:fldCharType="begin"/>
      </w:r>
      <w:r>
        <w:instrText xml:space="preserve"> PAGEREF _Toc516399731 \h </w:instrText>
      </w:r>
      <w:r>
        <w:fldChar w:fldCharType="separate"/>
      </w:r>
      <w:r>
        <w:t>69</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"_Toc516399732" </w:instrText>
      </w:r>
      <w:r>
        <w:fldChar w:fldCharType="separate"/>
      </w:r>
      <w:r>
        <w:rPr>
          <w:rStyle w:val="54"/>
          <w:rFonts w:hint="eastAsia" w:eastAsia="黑体"/>
        </w:rPr>
        <w:t>第</w:t>
      </w:r>
      <w:r>
        <w:rPr>
          <w:rStyle w:val="54"/>
          <w:rFonts w:eastAsia="黑体"/>
        </w:rPr>
        <w:t xml:space="preserve"> 4 </w:t>
      </w:r>
      <w:r>
        <w:rPr>
          <w:rStyle w:val="54"/>
          <w:rFonts w:hint="eastAsia" w:eastAsia="黑体"/>
        </w:rPr>
        <w:t>条</w:t>
      </w:r>
      <w:r>
        <w:rPr>
          <w:rStyle w:val="54"/>
          <w:rFonts w:eastAsia="黑体"/>
        </w:rPr>
        <w:t xml:space="preserve"> </w:t>
      </w:r>
      <w:r>
        <w:rPr>
          <w:rStyle w:val="54"/>
          <w:rFonts w:hint="eastAsia" w:eastAsia="黑体"/>
        </w:rPr>
        <w:t>双方的一般权利和义务</w:t>
      </w:r>
      <w:r>
        <w:tab/>
      </w:r>
      <w:r>
        <w:fldChar w:fldCharType="begin"/>
      </w:r>
      <w:r>
        <w:instrText xml:space="preserve"> PAGEREF _Toc516399732 \h </w:instrText>
      </w:r>
      <w:r>
        <w:fldChar w:fldCharType="separate"/>
      </w:r>
      <w:r>
        <w:t>71</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"_Toc516399733" </w:instrText>
      </w:r>
      <w:r>
        <w:fldChar w:fldCharType="separate"/>
      </w:r>
      <w:r>
        <w:rPr>
          <w:rStyle w:val="54"/>
        </w:rPr>
        <w:t xml:space="preserve">4.1 </w:t>
      </w:r>
      <w:r>
        <w:rPr>
          <w:rStyle w:val="54"/>
          <w:rFonts w:hint="eastAsia"/>
        </w:rPr>
        <w:t>甲方的一般权利</w:t>
      </w:r>
      <w:r>
        <w:tab/>
      </w:r>
      <w:r>
        <w:fldChar w:fldCharType="begin"/>
      </w:r>
      <w:r>
        <w:instrText xml:space="preserve"> PAGEREF _Toc516399733 \h </w:instrText>
      </w:r>
      <w:r>
        <w:fldChar w:fldCharType="separate"/>
      </w:r>
      <w:r>
        <w:t>71</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"_Toc516399734" </w:instrText>
      </w:r>
      <w:r>
        <w:fldChar w:fldCharType="separate"/>
      </w:r>
      <w:r>
        <w:rPr>
          <w:rStyle w:val="54"/>
        </w:rPr>
        <w:t xml:space="preserve">4.2 </w:t>
      </w:r>
      <w:r>
        <w:rPr>
          <w:rStyle w:val="54"/>
          <w:rFonts w:hint="eastAsia"/>
        </w:rPr>
        <w:t>甲方的一般义务</w:t>
      </w:r>
      <w:r>
        <w:tab/>
      </w:r>
      <w:r>
        <w:fldChar w:fldCharType="begin"/>
      </w:r>
      <w:r>
        <w:instrText xml:space="preserve"> PAGEREF _Toc516399734 \h </w:instrText>
      </w:r>
      <w:r>
        <w:fldChar w:fldCharType="separate"/>
      </w:r>
      <w:r>
        <w:t>71</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"_Toc516399735" </w:instrText>
      </w:r>
      <w:r>
        <w:fldChar w:fldCharType="separate"/>
      </w:r>
      <w:r>
        <w:rPr>
          <w:rStyle w:val="54"/>
        </w:rPr>
        <w:t xml:space="preserve">4.3 </w:t>
      </w:r>
      <w:r>
        <w:rPr>
          <w:rStyle w:val="54"/>
          <w:rFonts w:hint="eastAsia"/>
        </w:rPr>
        <w:t>乙方的一般权利</w:t>
      </w:r>
      <w:r>
        <w:tab/>
      </w:r>
      <w:r>
        <w:fldChar w:fldCharType="begin"/>
      </w:r>
      <w:r>
        <w:instrText xml:space="preserve"> PAGEREF _Toc516399735 \h </w:instrText>
      </w:r>
      <w:r>
        <w:fldChar w:fldCharType="separate"/>
      </w:r>
      <w:r>
        <w:t>72</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"_Toc516399736" </w:instrText>
      </w:r>
      <w:r>
        <w:fldChar w:fldCharType="separate"/>
      </w:r>
      <w:r>
        <w:rPr>
          <w:rStyle w:val="54"/>
        </w:rPr>
        <w:t xml:space="preserve">4.4 </w:t>
      </w:r>
      <w:r>
        <w:rPr>
          <w:rStyle w:val="54"/>
          <w:rFonts w:hint="eastAsia"/>
        </w:rPr>
        <w:t>乙方的一般义务</w:t>
      </w:r>
      <w:r>
        <w:tab/>
      </w:r>
      <w:r>
        <w:fldChar w:fldCharType="begin"/>
      </w:r>
      <w:r>
        <w:instrText xml:space="preserve"> PAGEREF _Toc516399736 \h </w:instrText>
      </w:r>
      <w:r>
        <w:fldChar w:fldCharType="separate"/>
      </w:r>
      <w:r>
        <w:t>72</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"_Toc516399737" </w:instrText>
      </w:r>
      <w:r>
        <w:fldChar w:fldCharType="separate"/>
      </w:r>
      <w:r>
        <w:rPr>
          <w:rStyle w:val="54"/>
          <w:rFonts w:hint="eastAsia" w:eastAsia="黑体"/>
        </w:rPr>
        <w:t>第</w:t>
      </w:r>
      <w:r>
        <w:rPr>
          <w:rStyle w:val="54"/>
          <w:rFonts w:eastAsia="黑体"/>
        </w:rPr>
        <w:t xml:space="preserve"> 5 </w:t>
      </w:r>
      <w:r>
        <w:rPr>
          <w:rStyle w:val="54"/>
          <w:rFonts w:hint="eastAsia" w:eastAsia="黑体"/>
        </w:rPr>
        <w:t>条</w:t>
      </w:r>
      <w:r>
        <w:rPr>
          <w:rStyle w:val="54"/>
          <w:rFonts w:eastAsia="黑体"/>
        </w:rPr>
        <w:t xml:space="preserve"> </w:t>
      </w:r>
      <w:r>
        <w:rPr>
          <w:rStyle w:val="54"/>
          <w:rFonts w:hint="eastAsia" w:eastAsia="黑体"/>
        </w:rPr>
        <w:t>项目前期工作和融资交割</w:t>
      </w:r>
      <w:r>
        <w:tab/>
      </w:r>
      <w:r>
        <w:fldChar w:fldCharType="begin"/>
      </w:r>
      <w:r>
        <w:instrText xml:space="preserve"> PAGEREF _Toc516399737 \h </w:instrText>
      </w:r>
      <w:r>
        <w:fldChar w:fldCharType="separate"/>
      </w:r>
      <w:r>
        <w:t>73</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"_Toc516399738" </w:instrText>
      </w:r>
      <w:r>
        <w:fldChar w:fldCharType="separate"/>
      </w:r>
      <w:r>
        <w:rPr>
          <w:rStyle w:val="54"/>
        </w:rPr>
        <w:t xml:space="preserve">5.1 </w:t>
      </w:r>
      <w:r>
        <w:rPr>
          <w:rStyle w:val="54"/>
          <w:rFonts w:hint="eastAsia"/>
        </w:rPr>
        <w:t>前期工作</w:t>
      </w:r>
      <w:r>
        <w:tab/>
      </w:r>
      <w:r>
        <w:fldChar w:fldCharType="begin"/>
      </w:r>
      <w:r>
        <w:instrText xml:space="preserve"> PAGEREF _Toc516399738 \h </w:instrText>
      </w:r>
      <w:r>
        <w:fldChar w:fldCharType="separate"/>
      </w:r>
      <w:r>
        <w:t>73</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"_Toc516399739" </w:instrText>
      </w:r>
      <w:r>
        <w:fldChar w:fldCharType="separate"/>
      </w:r>
      <w:r>
        <w:rPr>
          <w:rStyle w:val="54"/>
        </w:rPr>
        <w:t xml:space="preserve">5.2 </w:t>
      </w:r>
      <w:r>
        <w:rPr>
          <w:rStyle w:val="54"/>
          <w:rFonts w:hint="eastAsia"/>
        </w:rPr>
        <w:t>前期费用（工程建设其他费）</w:t>
      </w:r>
      <w:r>
        <w:tab/>
      </w:r>
      <w:r>
        <w:fldChar w:fldCharType="begin"/>
      </w:r>
      <w:r>
        <w:instrText xml:space="preserve"> PAGEREF _Toc516399739 \h </w:instrText>
      </w:r>
      <w:r>
        <w:fldChar w:fldCharType="separate"/>
      </w:r>
      <w:r>
        <w:t>73</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"_Toc516399740" </w:instrText>
      </w:r>
      <w:r>
        <w:fldChar w:fldCharType="separate"/>
      </w:r>
      <w:r>
        <w:rPr>
          <w:rStyle w:val="54"/>
        </w:rPr>
        <w:t>5.3</w:t>
      </w:r>
      <w:r>
        <w:rPr>
          <w:rStyle w:val="54"/>
          <w:rFonts w:hint="eastAsia"/>
        </w:rPr>
        <w:t>融资交割</w:t>
      </w:r>
      <w:r>
        <w:tab/>
      </w:r>
      <w:r>
        <w:fldChar w:fldCharType="begin"/>
      </w:r>
      <w:r>
        <w:instrText xml:space="preserve"> PAGEREF _Toc516399740 \h </w:instrText>
      </w:r>
      <w:r>
        <w:fldChar w:fldCharType="separate"/>
      </w:r>
      <w:r>
        <w:t>74</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"_Toc516399741" </w:instrText>
      </w:r>
      <w:r>
        <w:fldChar w:fldCharType="separate"/>
      </w:r>
      <w:r>
        <w:rPr>
          <w:rStyle w:val="54"/>
          <w:rFonts w:hint="eastAsia" w:eastAsia="黑体"/>
        </w:rPr>
        <w:t>第</w:t>
      </w:r>
      <w:r>
        <w:rPr>
          <w:rStyle w:val="54"/>
          <w:rFonts w:eastAsia="黑体"/>
        </w:rPr>
        <w:t xml:space="preserve"> 6 </w:t>
      </w:r>
      <w:r>
        <w:rPr>
          <w:rStyle w:val="54"/>
          <w:rFonts w:hint="eastAsia" w:eastAsia="黑体"/>
        </w:rPr>
        <w:t>条</w:t>
      </w:r>
      <w:r>
        <w:rPr>
          <w:rStyle w:val="54"/>
          <w:rFonts w:eastAsia="黑体"/>
        </w:rPr>
        <w:t xml:space="preserve"> </w:t>
      </w:r>
      <w:r>
        <w:rPr>
          <w:rStyle w:val="54"/>
          <w:rFonts w:hint="eastAsia" w:eastAsia="黑体"/>
        </w:rPr>
        <w:t>项目工程用地</w:t>
      </w:r>
      <w:r>
        <w:tab/>
      </w:r>
      <w:r>
        <w:fldChar w:fldCharType="begin"/>
      </w:r>
      <w:r>
        <w:instrText xml:space="preserve"> PAGEREF _Toc516399741 \h </w:instrText>
      </w:r>
      <w:r>
        <w:fldChar w:fldCharType="separate"/>
      </w:r>
      <w:r>
        <w:t>74</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"_Toc516399742" </w:instrText>
      </w:r>
      <w:r>
        <w:fldChar w:fldCharType="separate"/>
      </w:r>
      <w:r>
        <w:rPr>
          <w:rStyle w:val="54"/>
        </w:rPr>
        <w:t xml:space="preserve">6.1 </w:t>
      </w:r>
      <w:r>
        <w:rPr>
          <w:rStyle w:val="54"/>
          <w:rFonts w:hint="eastAsia"/>
        </w:rPr>
        <w:t>征地拆迁</w:t>
      </w:r>
      <w:r>
        <w:tab/>
      </w:r>
      <w:r>
        <w:fldChar w:fldCharType="begin"/>
      </w:r>
      <w:r>
        <w:instrText xml:space="preserve"> PAGEREF _Toc516399742 \h </w:instrText>
      </w:r>
      <w:r>
        <w:fldChar w:fldCharType="separate"/>
      </w:r>
      <w:r>
        <w:t>74</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"_Toc516399743" </w:instrText>
      </w:r>
      <w:r>
        <w:fldChar w:fldCharType="separate"/>
      </w:r>
      <w:r>
        <w:rPr>
          <w:rStyle w:val="54"/>
        </w:rPr>
        <w:t xml:space="preserve">6.2 </w:t>
      </w:r>
      <w:r>
        <w:rPr>
          <w:rStyle w:val="54"/>
          <w:rFonts w:hint="eastAsia"/>
        </w:rPr>
        <w:t>土地使用权</w:t>
      </w:r>
      <w:r>
        <w:tab/>
      </w:r>
      <w:r>
        <w:fldChar w:fldCharType="begin"/>
      </w:r>
      <w:r>
        <w:instrText xml:space="preserve"> PAGEREF _Toc516399743 \h </w:instrText>
      </w:r>
      <w:r>
        <w:fldChar w:fldCharType="separate"/>
      </w:r>
      <w:r>
        <w:t>74</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"_Toc516399744" </w:instrText>
      </w:r>
      <w:r>
        <w:fldChar w:fldCharType="separate"/>
      </w:r>
      <w:r>
        <w:rPr>
          <w:rStyle w:val="54"/>
        </w:rPr>
        <w:t xml:space="preserve">6.3 </w:t>
      </w:r>
      <w:r>
        <w:rPr>
          <w:rStyle w:val="54"/>
          <w:rFonts w:hint="eastAsia"/>
        </w:rPr>
        <w:t>对土地使用权的限制</w:t>
      </w:r>
      <w:r>
        <w:tab/>
      </w:r>
      <w:r>
        <w:fldChar w:fldCharType="begin"/>
      </w:r>
      <w:r>
        <w:instrText xml:space="preserve"> PAGEREF _Toc516399744 \h </w:instrText>
      </w:r>
      <w:r>
        <w:fldChar w:fldCharType="separate"/>
      </w:r>
      <w:r>
        <w:t>74</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"_Toc516399745" </w:instrText>
      </w:r>
      <w:r>
        <w:fldChar w:fldCharType="separate"/>
      </w:r>
      <w:r>
        <w:rPr>
          <w:rStyle w:val="54"/>
          <w:rFonts w:hint="eastAsia" w:eastAsia="黑体"/>
        </w:rPr>
        <w:t>第</w:t>
      </w:r>
      <w:r>
        <w:rPr>
          <w:rStyle w:val="54"/>
          <w:rFonts w:eastAsia="黑体"/>
        </w:rPr>
        <w:t xml:space="preserve"> 7 </w:t>
      </w:r>
      <w:r>
        <w:rPr>
          <w:rStyle w:val="54"/>
          <w:rFonts w:hint="eastAsia" w:eastAsia="黑体"/>
        </w:rPr>
        <w:t>条</w:t>
      </w:r>
      <w:r>
        <w:rPr>
          <w:rStyle w:val="54"/>
          <w:rFonts w:eastAsia="黑体"/>
        </w:rPr>
        <w:t xml:space="preserve"> </w:t>
      </w:r>
      <w:r>
        <w:rPr>
          <w:rStyle w:val="54"/>
          <w:rFonts w:hint="eastAsia" w:eastAsia="黑体"/>
        </w:rPr>
        <w:t>项目建设</w:t>
      </w:r>
      <w:r>
        <w:tab/>
      </w:r>
      <w:r>
        <w:fldChar w:fldCharType="begin"/>
      </w:r>
      <w:r>
        <w:instrText xml:space="preserve"> PAGEREF _Toc516399745 \h </w:instrText>
      </w:r>
      <w:r>
        <w:fldChar w:fldCharType="separate"/>
      </w:r>
      <w:r>
        <w:t>75</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"_Toc516399746" </w:instrText>
      </w:r>
      <w:r>
        <w:fldChar w:fldCharType="separate"/>
      </w:r>
      <w:r>
        <w:rPr>
          <w:rStyle w:val="54"/>
        </w:rPr>
        <w:t xml:space="preserve">7.1 </w:t>
      </w:r>
      <w:r>
        <w:rPr>
          <w:rStyle w:val="54"/>
          <w:rFonts w:hint="eastAsia"/>
        </w:rPr>
        <w:t>设计和监理单位</w:t>
      </w:r>
      <w:r>
        <w:tab/>
      </w:r>
      <w:r>
        <w:fldChar w:fldCharType="begin"/>
      </w:r>
      <w:r>
        <w:instrText xml:space="preserve"> PAGEREF _Toc516399746 \h </w:instrText>
      </w:r>
      <w:r>
        <w:fldChar w:fldCharType="separate"/>
      </w:r>
      <w:r>
        <w:t>75</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"_Toc516399747" </w:instrText>
      </w:r>
      <w:r>
        <w:fldChar w:fldCharType="separate"/>
      </w:r>
      <w:r>
        <w:rPr>
          <w:rStyle w:val="54"/>
        </w:rPr>
        <w:t xml:space="preserve">7.2 </w:t>
      </w:r>
      <w:r>
        <w:rPr>
          <w:rStyle w:val="54"/>
          <w:rFonts w:hint="eastAsia"/>
        </w:rPr>
        <w:t>工程协调和管理</w:t>
      </w:r>
      <w:r>
        <w:tab/>
      </w:r>
      <w:r>
        <w:fldChar w:fldCharType="begin"/>
      </w:r>
      <w:r>
        <w:instrText xml:space="preserve"> PAGEREF _Toc516399747 \h </w:instrText>
      </w:r>
      <w:r>
        <w:fldChar w:fldCharType="separate"/>
      </w:r>
      <w:r>
        <w:t>75</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"_Toc516399748" </w:instrText>
      </w:r>
      <w:r>
        <w:fldChar w:fldCharType="separate"/>
      </w:r>
      <w:r>
        <w:rPr>
          <w:rStyle w:val="54"/>
        </w:rPr>
        <w:t xml:space="preserve">7.3 </w:t>
      </w:r>
      <w:r>
        <w:rPr>
          <w:rStyle w:val="54"/>
          <w:rFonts w:hint="eastAsia"/>
        </w:rPr>
        <w:t>关联合同</w:t>
      </w:r>
      <w:r>
        <w:tab/>
      </w:r>
      <w:r>
        <w:fldChar w:fldCharType="begin"/>
      </w:r>
      <w:r>
        <w:instrText xml:space="preserve"> PAGEREF _Toc516399748 \h </w:instrText>
      </w:r>
      <w:r>
        <w:fldChar w:fldCharType="separate"/>
      </w:r>
      <w:r>
        <w:t>76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"_Toc516399749" </w:instrText>
      </w:r>
      <w:r>
        <w:fldChar w:fldCharType="separate"/>
      </w:r>
      <w:r>
        <w:rPr>
          <w:rStyle w:val="54"/>
        </w:rPr>
        <w:t xml:space="preserve">7.4 </w:t>
      </w:r>
      <w:r>
        <w:rPr>
          <w:rStyle w:val="54"/>
          <w:rFonts w:hint="eastAsia"/>
        </w:rPr>
        <w:t>工程进度</w:t>
      </w:r>
      <w:r>
        <w:tab/>
      </w:r>
      <w:r>
        <w:fldChar w:fldCharType="begin"/>
      </w:r>
      <w:r>
        <w:instrText xml:space="preserve"> PAGEREF _Toc516399749 \h </w:instrText>
      </w:r>
      <w:r>
        <w:fldChar w:fldCharType="separate"/>
      </w:r>
      <w:r>
        <w:t>76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"_Toc516399750" </w:instrText>
      </w:r>
      <w:r>
        <w:fldChar w:fldCharType="separate"/>
      </w:r>
      <w:r>
        <w:rPr>
          <w:rStyle w:val="54"/>
        </w:rPr>
        <w:t xml:space="preserve">7.5 </w:t>
      </w:r>
      <w:r>
        <w:rPr>
          <w:rStyle w:val="54"/>
          <w:rFonts w:hint="eastAsia"/>
        </w:rPr>
        <w:t>工程招标</w:t>
      </w:r>
      <w:r>
        <w:tab/>
      </w:r>
      <w:r>
        <w:fldChar w:fldCharType="begin"/>
      </w:r>
      <w:r>
        <w:instrText xml:space="preserve"> PAGEREF _Toc516399750 \h </w:instrText>
      </w:r>
      <w:r>
        <w:fldChar w:fldCharType="separate"/>
      </w:r>
      <w:r>
        <w:t>77</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"_Toc516399751" </w:instrText>
      </w:r>
      <w:r>
        <w:fldChar w:fldCharType="separate"/>
      </w:r>
      <w:r>
        <w:rPr>
          <w:rStyle w:val="54"/>
        </w:rPr>
        <w:t xml:space="preserve">7.6 </w:t>
      </w:r>
      <w:r>
        <w:rPr>
          <w:rStyle w:val="54"/>
          <w:rFonts w:hint="eastAsia"/>
        </w:rPr>
        <w:t>质量控制</w:t>
      </w:r>
      <w:r>
        <w:tab/>
      </w:r>
      <w:r>
        <w:fldChar w:fldCharType="begin"/>
      </w:r>
      <w:r>
        <w:instrText xml:space="preserve"> PAGEREF _Toc516399751 \h </w:instrText>
      </w:r>
      <w:r>
        <w:fldChar w:fldCharType="separate"/>
      </w:r>
      <w:r>
        <w:t>78</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"_Toc516399752" </w:instrText>
      </w:r>
      <w:r>
        <w:fldChar w:fldCharType="separate"/>
      </w:r>
      <w:r>
        <w:rPr>
          <w:rStyle w:val="54"/>
        </w:rPr>
        <w:t xml:space="preserve">7.7 </w:t>
      </w:r>
      <w:r>
        <w:rPr>
          <w:rStyle w:val="54"/>
          <w:rFonts w:hint="eastAsia"/>
        </w:rPr>
        <w:t>现场数据</w:t>
      </w:r>
      <w:r>
        <w:tab/>
      </w:r>
      <w:r>
        <w:fldChar w:fldCharType="begin"/>
      </w:r>
      <w:r>
        <w:instrText xml:space="preserve"> PAGEREF _Toc516399752 \h </w:instrText>
      </w:r>
      <w:r>
        <w:fldChar w:fldCharType="separate"/>
      </w:r>
      <w:r>
        <w:t>79</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"_Toc516399753" </w:instrText>
      </w:r>
      <w:r>
        <w:fldChar w:fldCharType="separate"/>
      </w:r>
      <w:r>
        <w:rPr>
          <w:rStyle w:val="54"/>
        </w:rPr>
        <w:t xml:space="preserve">7.8 </w:t>
      </w:r>
      <w:r>
        <w:rPr>
          <w:rStyle w:val="54"/>
          <w:rFonts w:hint="eastAsia"/>
        </w:rPr>
        <w:t>进场路线</w:t>
      </w:r>
      <w:r>
        <w:tab/>
      </w:r>
      <w:r>
        <w:fldChar w:fldCharType="begin"/>
      </w:r>
      <w:r>
        <w:instrText xml:space="preserve"> PAGEREF _Toc516399753 \h </w:instrText>
      </w:r>
      <w:r>
        <w:fldChar w:fldCharType="separate"/>
      </w:r>
      <w:r>
        <w:t>79</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"_Toc516399754" </w:instrText>
      </w:r>
      <w:r>
        <w:fldChar w:fldCharType="separate"/>
      </w:r>
      <w:r>
        <w:rPr>
          <w:rStyle w:val="54"/>
        </w:rPr>
        <w:t xml:space="preserve">7.9 </w:t>
      </w:r>
      <w:r>
        <w:rPr>
          <w:rStyle w:val="54"/>
          <w:rFonts w:hint="eastAsia"/>
        </w:rPr>
        <w:t>文明施工和环境保护</w:t>
      </w:r>
      <w:r>
        <w:tab/>
      </w:r>
      <w:r>
        <w:fldChar w:fldCharType="begin"/>
      </w:r>
      <w:r>
        <w:instrText xml:space="preserve"> PAGEREF _Toc516399754 \h </w:instrText>
      </w:r>
      <w:r>
        <w:fldChar w:fldCharType="separate"/>
      </w:r>
      <w:r>
        <w:t>80</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"_Toc516399755" </w:instrText>
      </w:r>
      <w:r>
        <w:fldChar w:fldCharType="separate"/>
      </w:r>
      <w:r>
        <w:rPr>
          <w:rStyle w:val="54"/>
        </w:rPr>
        <w:t xml:space="preserve">7.10 </w:t>
      </w:r>
      <w:r>
        <w:rPr>
          <w:rStyle w:val="54"/>
          <w:rFonts w:hint="eastAsia"/>
        </w:rPr>
        <w:t>资金管理</w:t>
      </w:r>
      <w:r>
        <w:tab/>
      </w:r>
      <w:r>
        <w:fldChar w:fldCharType="begin"/>
      </w:r>
      <w:r>
        <w:instrText xml:space="preserve"> PAGEREF _Toc516399755 \h </w:instrText>
      </w:r>
      <w:r>
        <w:fldChar w:fldCharType="separate"/>
      </w:r>
      <w:r>
        <w:t>81</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"_Toc516399756" </w:instrText>
      </w:r>
      <w:r>
        <w:fldChar w:fldCharType="separate"/>
      </w:r>
      <w:r>
        <w:rPr>
          <w:rStyle w:val="54"/>
        </w:rPr>
        <w:t xml:space="preserve">7.11 </w:t>
      </w:r>
      <w:r>
        <w:rPr>
          <w:rStyle w:val="54"/>
          <w:rFonts w:hint="eastAsia"/>
        </w:rPr>
        <w:t>工程变更</w:t>
      </w:r>
      <w:r>
        <w:tab/>
      </w:r>
      <w:r>
        <w:fldChar w:fldCharType="begin"/>
      </w:r>
      <w:r>
        <w:instrText xml:space="preserve"> PAGEREF _Toc516399756 \h </w:instrText>
      </w:r>
      <w:r>
        <w:fldChar w:fldCharType="separate"/>
      </w:r>
      <w:r>
        <w:t>81</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"_Toc516399757" </w:instrText>
      </w:r>
      <w:r>
        <w:fldChar w:fldCharType="separate"/>
      </w:r>
      <w:r>
        <w:rPr>
          <w:rStyle w:val="54"/>
        </w:rPr>
        <w:t xml:space="preserve">7.12 </w:t>
      </w:r>
      <w:r>
        <w:rPr>
          <w:rStyle w:val="54"/>
          <w:rFonts w:hint="eastAsia"/>
        </w:rPr>
        <w:t>项目文件</w:t>
      </w:r>
      <w:r>
        <w:tab/>
      </w:r>
      <w:r>
        <w:fldChar w:fldCharType="begin"/>
      </w:r>
      <w:r>
        <w:instrText xml:space="preserve"> PAGEREF _Toc516399757 \h </w:instrText>
      </w:r>
      <w:r>
        <w:fldChar w:fldCharType="separate"/>
      </w:r>
      <w:r>
        <w:t>82</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"_Toc516399758" </w:instrText>
      </w:r>
      <w:r>
        <w:fldChar w:fldCharType="separate"/>
      </w:r>
      <w:r>
        <w:rPr>
          <w:rStyle w:val="54"/>
        </w:rPr>
        <w:t xml:space="preserve">7.13 </w:t>
      </w:r>
      <w:r>
        <w:rPr>
          <w:rStyle w:val="54"/>
          <w:rFonts w:hint="eastAsia"/>
        </w:rPr>
        <w:t>职员与劳工</w:t>
      </w:r>
      <w:r>
        <w:tab/>
      </w:r>
      <w:r>
        <w:fldChar w:fldCharType="begin"/>
      </w:r>
      <w:r>
        <w:instrText xml:space="preserve"> PAGEREF _Toc516399758 \h </w:instrText>
      </w:r>
      <w:r>
        <w:fldChar w:fldCharType="separate"/>
      </w:r>
      <w:r>
        <w:t>83</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"_Toc516399759" </w:instrText>
      </w:r>
      <w:r>
        <w:fldChar w:fldCharType="separate"/>
      </w:r>
      <w:r>
        <w:rPr>
          <w:rStyle w:val="54"/>
        </w:rPr>
        <w:t xml:space="preserve">7.14 </w:t>
      </w:r>
      <w:r>
        <w:rPr>
          <w:rStyle w:val="54"/>
          <w:rFonts w:hint="eastAsia"/>
        </w:rPr>
        <w:t>工程设备、材料和工艺</w:t>
      </w:r>
      <w:r>
        <w:tab/>
      </w:r>
      <w:r>
        <w:fldChar w:fldCharType="begin"/>
      </w:r>
      <w:r>
        <w:instrText xml:space="preserve"> PAGEREF _Toc516399759 \h </w:instrText>
      </w:r>
      <w:r>
        <w:fldChar w:fldCharType="separate"/>
      </w:r>
      <w:r>
        <w:t>84</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"_Toc516399760" </w:instrText>
      </w:r>
      <w:r>
        <w:fldChar w:fldCharType="separate"/>
      </w:r>
      <w:r>
        <w:rPr>
          <w:rStyle w:val="54"/>
        </w:rPr>
        <w:t xml:space="preserve">7.15 </w:t>
      </w:r>
      <w:r>
        <w:rPr>
          <w:rStyle w:val="54"/>
          <w:rFonts w:hint="eastAsia"/>
        </w:rPr>
        <w:t>开工、延误、暂停和复工</w:t>
      </w:r>
      <w:r>
        <w:tab/>
      </w:r>
      <w:r>
        <w:fldChar w:fldCharType="begin"/>
      </w:r>
      <w:r>
        <w:instrText xml:space="preserve"> PAGEREF _Toc516399760 \h </w:instrText>
      </w:r>
      <w:r>
        <w:fldChar w:fldCharType="separate"/>
      </w:r>
      <w:r>
        <w:t>85</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"_Toc516399761" </w:instrText>
      </w:r>
      <w:r>
        <w:fldChar w:fldCharType="separate"/>
      </w:r>
      <w:r>
        <w:rPr>
          <w:rStyle w:val="54"/>
        </w:rPr>
        <w:t xml:space="preserve">7.16 </w:t>
      </w:r>
      <w:r>
        <w:rPr>
          <w:rStyle w:val="54"/>
          <w:rFonts w:hint="eastAsia"/>
        </w:rPr>
        <w:t>验收和运营</w:t>
      </w:r>
      <w:r>
        <w:tab/>
      </w:r>
      <w:r>
        <w:fldChar w:fldCharType="begin"/>
      </w:r>
      <w:r>
        <w:instrText xml:space="preserve"> PAGEREF _Toc516399761 \h </w:instrText>
      </w:r>
      <w:r>
        <w:fldChar w:fldCharType="separate"/>
      </w:r>
      <w:r>
        <w:t>86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"_Toc516399762" </w:instrText>
      </w:r>
      <w:r>
        <w:fldChar w:fldCharType="separate"/>
      </w:r>
      <w:r>
        <w:rPr>
          <w:rStyle w:val="54"/>
        </w:rPr>
        <w:t xml:space="preserve">7.17 </w:t>
      </w:r>
      <w:r>
        <w:rPr>
          <w:rStyle w:val="54"/>
          <w:rFonts w:hint="eastAsia"/>
        </w:rPr>
        <w:t>建设的放弃</w:t>
      </w:r>
      <w:r>
        <w:tab/>
      </w:r>
      <w:r>
        <w:fldChar w:fldCharType="begin"/>
      </w:r>
      <w:r>
        <w:instrText xml:space="preserve"> PAGEREF _Toc516399762 \h </w:instrText>
      </w:r>
      <w:r>
        <w:fldChar w:fldCharType="separate"/>
      </w:r>
      <w:r>
        <w:t>87</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"_Toc516399763" </w:instrText>
      </w:r>
      <w:r>
        <w:fldChar w:fldCharType="separate"/>
      </w:r>
      <w:r>
        <w:rPr>
          <w:rStyle w:val="54"/>
        </w:rPr>
        <w:t xml:space="preserve">7.18  </w:t>
      </w:r>
      <w:r>
        <w:rPr>
          <w:rStyle w:val="54"/>
          <w:rFonts w:hint="eastAsia"/>
        </w:rPr>
        <w:t>工程建设其他要求及相关约定</w:t>
      </w:r>
      <w:r>
        <w:tab/>
      </w:r>
      <w:r>
        <w:fldChar w:fldCharType="begin"/>
      </w:r>
      <w:r>
        <w:instrText xml:space="preserve"> PAGEREF _Toc516399763 \h </w:instrText>
      </w:r>
      <w:r>
        <w:fldChar w:fldCharType="separate"/>
      </w:r>
      <w:r>
        <w:t>88</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"_Toc516399764" </w:instrText>
      </w:r>
      <w:r>
        <w:fldChar w:fldCharType="separate"/>
      </w:r>
      <w:r>
        <w:rPr>
          <w:rStyle w:val="54"/>
          <w:rFonts w:hint="eastAsia" w:eastAsia="黑体"/>
        </w:rPr>
        <w:t>第</w:t>
      </w:r>
      <w:r>
        <w:rPr>
          <w:rStyle w:val="54"/>
          <w:rFonts w:eastAsia="黑体"/>
        </w:rPr>
        <w:t xml:space="preserve"> 8 </w:t>
      </w:r>
      <w:r>
        <w:rPr>
          <w:rStyle w:val="54"/>
          <w:rFonts w:hint="eastAsia" w:eastAsia="黑体"/>
        </w:rPr>
        <w:t>条</w:t>
      </w:r>
      <w:r>
        <w:rPr>
          <w:rStyle w:val="54"/>
          <w:rFonts w:eastAsia="黑体"/>
        </w:rPr>
        <w:t xml:space="preserve"> </w:t>
      </w:r>
      <w:r>
        <w:rPr>
          <w:rStyle w:val="54"/>
          <w:rFonts w:hint="eastAsia" w:eastAsia="黑体"/>
        </w:rPr>
        <w:t>运营和维护</w:t>
      </w:r>
      <w:r>
        <w:tab/>
      </w:r>
      <w:r>
        <w:fldChar w:fldCharType="begin"/>
      </w:r>
      <w:r>
        <w:instrText xml:space="preserve"> PAGEREF _Toc516399764 \h </w:instrText>
      </w:r>
      <w:r>
        <w:fldChar w:fldCharType="separate"/>
      </w:r>
      <w:r>
        <w:t>91</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"_Toc516399765" </w:instrText>
      </w:r>
      <w:r>
        <w:fldChar w:fldCharType="separate"/>
      </w:r>
      <w:r>
        <w:rPr>
          <w:rStyle w:val="54"/>
        </w:rPr>
        <w:t xml:space="preserve">8.1 </w:t>
      </w:r>
      <w:r>
        <w:rPr>
          <w:rStyle w:val="54"/>
          <w:rFonts w:hint="eastAsia"/>
        </w:rPr>
        <w:t>运营和维护服务范围</w:t>
      </w:r>
      <w:r>
        <w:tab/>
      </w:r>
      <w:r>
        <w:fldChar w:fldCharType="begin"/>
      </w:r>
      <w:r>
        <w:instrText xml:space="preserve"> PAGEREF _Toc516399765 \h </w:instrText>
      </w:r>
      <w:r>
        <w:fldChar w:fldCharType="separate"/>
      </w:r>
      <w:r>
        <w:t>91</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"_Toc516399766" </w:instrText>
      </w:r>
      <w:r>
        <w:fldChar w:fldCharType="separate"/>
      </w:r>
      <w:r>
        <w:rPr>
          <w:rStyle w:val="54"/>
        </w:rPr>
        <w:t xml:space="preserve">8.2 </w:t>
      </w:r>
      <w:r>
        <w:rPr>
          <w:rStyle w:val="54"/>
          <w:rFonts w:hint="eastAsia"/>
        </w:rPr>
        <w:t>运营和维护服务基本要求</w:t>
      </w:r>
      <w:r>
        <w:tab/>
      </w:r>
      <w:r>
        <w:fldChar w:fldCharType="begin"/>
      </w:r>
      <w:r>
        <w:instrText xml:space="preserve"> PAGEREF _Toc516399766 \h </w:instrText>
      </w:r>
      <w:r>
        <w:fldChar w:fldCharType="separate"/>
      </w:r>
      <w:r>
        <w:t>92</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"_Toc516399767" </w:instrText>
      </w:r>
      <w:r>
        <w:fldChar w:fldCharType="separate"/>
      </w:r>
      <w:r>
        <w:rPr>
          <w:rStyle w:val="54"/>
        </w:rPr>
        <w:t xml:space="preserve">8.3  </w:t>
      </w:r>
      <w:r>
        <w:rPr>
          <w:rStyle w:val="54"/>
          <w:rFonts w:hint="eastAsia"/>
        </w:rPr>
        <w:t>运营期履约保函</w:t>
      </w:r>
      <w:r>
        <w:tab/>
      </w:r>
      <w:r>
        <w:fldChar w:fldCharType="begin"/>
      </w:r>
      <w:r>
        <w:instrText xml:space="preserve"> PAGEREF _Toc516399767 \h </w:instrText>
      </w:r>
      <w:r>
        <w:fldChar w:fldCharType="separate"/>
      </w:r>
      <w:r>
        <w:t>93</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"_Toc516399768" </w:instrText>
      </w:r>
      <w:r>
        <w:fldChar w:fldCharType="separate"/>
      </w:r>
      <w:r>
        <w:rPr>
          <w:rStyle w:val="54"/>
        </w:rPr>
        <w:t xml:space="preserve">8.4 </w:t>
      </w:r>
      <w:r>
        <w:rPr>
          <w:rStyle w:val="54"/>
          <w:rFonts w:hint="eastAsia"/>
        </w:rPr>
        <w:t>运营维护人员安排</w:t>
      </w:r>
      <w:r>
        <w:tab/>
      </w:r>
      <w:r>
        <w:fldChar w:fldCharType="begin"/>
      </w:r>
      <w:r>
        <w:instrText xml:space="preserve"> PAGEREF _Toc516399768 \h </w:instrText>
      </w:r>
      <w:r>
        <w:fldChar w:fldCharType="separate"/>
      </w:r>
      <w:r>
        <w:t>94</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"_Toc516399769" </w:instrText>
      </w:r>
      <w:r>
        <w:fldChar w:fldCharType="separate"/>
      </w:r>
      <w:r>
        <w:rPr>
          <w:rStyle w:val="54"/>
        </w:rPr>
        <w:t xml:space="preserve">8.5 </w:t>
      </w:r>
      <w:r>
        <w:rPr>
          <w:rStyle w:val="54"/>
          <w:rFonts w:hint="eastAsia"/>
        </w:rPr>
        <w:t>维（养）护手册</w:t>
      </w:r>
      <w:r>
        <w:tab/>
      </w:r>
      <w:r>
        <w:fldChar w:fldCharType="begin"/>
      </w:r>
      <w:r>
        <w:instrText xml:space="preserve"> PAGEREF _Toc516399769 \h </w:instrText>
      </w:r>
      <w:r>
        <w:fldChar w:fldCharType="separate"/>
      </w:r>
      <w:r>
        <w:t>94</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"_Toc516399770" </w:instrText>
      </w:r>
      <w:r>
        <w:fldChar w:fldCharType="separate"/>
      </w:r>
      <w:r>
        <w:rPr>
          <w:rStyle w:val="54"/>
        </w:rPr>
        <w:t xml:space="preserve">8.6 </w:t>
      </w:r>
      <w:r>
        <w:rPr>
          <w:rStyle w:val="54"/>
          <w:rFonts w:hint="eastAsia"/>
        </w:rPr>
        <w:t>维（养）护质量标准</w:t>
      </w:r>
      <w:r>
        <w:tab/>
      </w:r>
      <w:r>
        <w:fldChar w:fldCharType="begin"/>
      </w:r>
      <w:r>
        <w:instrText xml:space="preserve"> PAGEREF _Toc516399770 \h </w:instrText>
      </w:r>
      <w:r>
        <w:fldChar w:fldCharType="separate"/>
      </w:r>
      <w:r>
        <w:t>95</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"_Toc516399771" </w:instrText>
      </w:r>
      <w:r>
        <w:fldChar w:fldCharType="separate"/>
      </w:r>
      <w:r>
        <w:rPr>
          <w:rStyle w:val="54"/>
        </w:rPr>
        <w:t xml:space="preserve">8.7 </w:t>
      </w:r>
      <w:r>
        <w:rPr>
          <w:rStyle w:val="54"/>
          <w:rFonts w:hint="eastAsia"/>
        </w:rPr>
        <w:t>检查及定期考核</w:t>
      </w:r>
      <w:r>
        <w:tab/>
      </w:r>
      <w:r>
        <w:fldChar w:fldCharType="begin"/>
      </w:r>
      <w:r>
        <w:instrText xml:space="preserve"> PAGEREF _Toc516399771 \h </w:instrText>
      </w:r>
      <w:r>
        <w:fldChar w:fldCharType="separate"/>
      </w:r>
      <w:r>
        <w:t>95</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"_Toc516399772" </w:instrText>
      </w:r>
      <w:r>
        <w:fldChar w:fldCharType="separate"/>
      </w:r>
      <w:r>
        <w:rPr>
          <w:rStyle w:val="54"/>
        </w:rPr>
        <w:t xml:space="preserve">8.8 </w:t>
      </w:r>
      <w:r>
        <w:rPr>
          <w:rStyle w:val="54"/>
          <w:rFonts w:hint="eastAsia"/>
        </w:rPr>
        <w:t>未履行维护义务</w:t>
      </w:r>
      <w:r>
        <w:tab/>
      </w:r>
      <w:r>
        <w:fldChar w:fldCharType="begin"/>
      </w:r>
      <w:r>
        <w:instrText xml:space="preserve"> PAGEREF _Toc516399772 \h </w:instrText>
      </w:r>
      <w:r>
        <w:fldChar w:fldCharType="separate"/>
      </w:r>
      <w:r>
        <w:t>95</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"_Toc516399773" </w:instrText>
      </w:r>
      <w:r>
        <w:fldChar w:fldCharType="separate"/>
      </w:r>
      <w:r>
        <w:rPr>
          <w:rStyle w:val="54"/>
        </w:rPr>
        <w:t xml:space="preserve">8.9 </w:t>
      </w:r>
      <w:r>
        <w:rPr>
          <w:rStyle w:val="54"/>
          <w:rFonts w:hint="eastAsia"/>
        </w:rPr>
        <w:t>临时接管</w:t>
      </w:r>
      <w:r>
        <w:tab/>
      </w:r>
      <w:r>
        <w:fldChar w:fldCharType="begin"/>
      </w:r>
      <w:r>
        <w:instrText xml:space="preserve"> PAGEREF _Toc516399773 \h </w:instrText>
      </w:r>
      <w:r>
        <w:fldChar w:fldCharType="separate"/>
      </w:r>
      <w:r>
        <w:t>96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"_Toc516399774" </w:instrText>
      </w:r>
      <w:r>
        <w:fldChar w:fldCharType="separate"/>
      </w:r>
      <w:r>
        <w:rPr>
          <w:rStyle w:val="54"/>
        </w:rPr>
        <w:t xml:space="preserve">8.10 </w:t>
      </w:r>
      <w:r>
        <w:rPr>
          <w:rStyle w:val="54"/>
          <w:rFonts w:hint="eastAsia"/>
        </w:rPr>
        <w:t>应急管理</w:t>
      </w:r>
      <w:r>
        <w:tab/>
      </w:r>
      <w:r>
        <w:fldChar w:fldCharType="begin"/>
      </w:r>
      <w:r>
        <w:instrText xml:space="preserve"> PAGEREF _Toc516399774 \h </w:instrText>
      </w:r>
      <w:r>
        <w:fldChar w:fldCharType="separate"/>
      </w:r>
      <w:r>
        <w:t>96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"_Toc516399775" </w:instrText>
      </w:r>
      <w:r>
        <w:fldChar w:fldCharType="separate"/>
      </w:r>
      <w:r>
        <w:rPr>
          <w:rStyle w:val="54"/>
        </w:rPr>
        <w:t xml:space="preserve">8.11 </w:t>
      </w:r>
      <w:r>
        <w:rPr>
          <w:rStyle w:val="54"/>
          <w:rFonts w:hint="eastAsia"/>
        </w:rPr>
        <w:t>保密管理</w:t>
      </w:r>
      <w:r>
        <w:tab/>
      </w:r>
      <w:r>
        <w:fldChar w:fldCharType="begin"/>
      </w:r>
      <w:r>
        <w:instrText xml:space="preserve"> PAGEREF _Toc516399775 \h </w:instrText>
      </w:r>
      <w:r>
        <w:fldChar w:fldCharType="separate"/>
      </w:r>
      <w:r>
        <w:t>96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"_Toc516399776" </w:instrText>
      </w:r>
      <w:r>
        <w:fldChar w:fldCharType="separate"/>
      </w:r>
      <w:r>
        <w:rPr>
          <w:rStyle w:val="54"/>
        </w:rPr>
        <w:t xml:space="preserve">8.12 </w:t>
      </w:r>
      <w:r>
        <w:rPr>
          <w:rStyle w:val="54"/>
          <w:rFonts w:hint="eastAsia"/>
        </w:rPr>
        <w:t>定期评估</w:t>
      </w:r>
      <w:r>
        <w:tab/>
      </w:r>
      <w:r>
        <w:fldChar w:fldCharType="begin"/>
      </w:r>
      <w:r>
        <w:instrText xml:space="preserve"> PAGEREF _Toc516399776 \h </w:instrText>
      </w:r>
      <w:r>
        <w:fldChar w:fldCharType="separate"/>
      </w:r>
      <w:r>
        <w:t>96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"_Toc516399777" </w:instrText>
      </w:r>
      <w:r>
        <w:fldChar w:fldCharType="separate"/>
      </w:r>
      <w:r>
        <w:rPr>
          <w:rStyle w:val="54"/>
        </w:rPr>
        <w:t xml:space="preserve">8.13 </w:t>
      </w:r>
      <w:r>
        <w:rPr>
          <w:rStyle w:val="54"/>
          <w:rFonts w:hint="eastAsia"/>
        </w:rPr>
        <w:t>公众监督</w:t>
      </w:r>
      <w:r>
        <w:tab/>
      </w:r>
      <w:r>
        <w:fldChar w:fldCharType="begin"/>
      </w:r>
      <w:r>
        <w:instrText xml:space="preserve"> PAGEREF _Toc516399777 \h </w:instrText>
      </w:r>
      <w:r>
        <w:fldChar w:fldCharType="separate"/>
      </w:r>
      <w:r>
        <w:t>97</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"_Toc516399778" </w:instrText>
      </w:r>
      <w:r>
        <w:fldChar w:fldCharType="separate"/>
      </w:r>
      <w:r>
        <w:rPr>
          <w:rStyle w:val="54"/>
          <w:rFonts w:hint="eastAsia" w:eastAsia="黑体"/>
        </w:rPr>
        <w:t>第</w:t>
      </w:r>
      <w:r>
        <w:rPr>
          <w:rStyle w:val="54"/>
          <w:rFonts w:eastAsia="黑体"/>
        </w:rPr>
        <w:t xml:space="preserve"> 9 </w:t>
      </w:r>
      <w:r>
        <w:rPr>
          <w:rStyle w:val="54"/>
          <w:rFonts w:hint="eastAsia" w:eastAsia="黑体"/>
        </w:rPr>
        <w:t>条</w:t>
      </w:r>
      <w:r>
        <w:rPr>
          <w:rStyle w:val="54"/>
          <w:rFonts w:eastAsia="黑体"/>
        </w:rPr>
        <w:t xml:space="preserve"> </w:t>
      </w:r>
      <w:r>
        <w:rPr>
          <w:rStyle w:val="54"/>
          <w:rFonts w:hint="eastAsia" w:eastAsia="黑体"/>
        </w:rPr>
        <w:t>保险</w:t>
      </w:r>
      <w:r>
        <w:tab/>
      </w:r>
      <w:r>
        <w:fldChar w:fldCharType="begin"/>
      </w:r>
      <w:r>
        <w:instrText xml:space="preserve"> PAGEREF _Toc516399778 \h </w:instrText>
      </w:r>
      <w:r>
        <w:fldChar w:fldCharType="separate"/>
      </w:r>
      <w:r>
        <w:t>97</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"_Toc516399779" </w:instrText>
      </w:r>
      <w:r>
        <w:fldChar w:fldCharType="separate"/>
      </w:r>
      <w:r>
        <w:rPr>
          <w:rStyle w:val="54"/>
        </w:rPr>
        <w:t xml:space="preserve">9.1 </w:t>
      </w:r>
      <w:r>
        <w:rPr>
          <w:rStyle w:val="54"/>
          <w:rFonts w:hint="eastAsia"/>
        </w:rPr>
        <w:t>保险内容</w:t>
      </w:r>
      <w:r>
        <w:tab/>
      </w:r>
      <w:r>
        <w:fldChar w:fldCharType="begin"/>
      </w:r>
      <w:r>
        <w:instrText xml:space="preserve"> PAGEREF _Toc516399779 \h </w:instrText>
      </w:r>
      <w:r>
        <w:fldChar w:fldCharType="separate"/>
      </w:r>
      <w:r>
        <w:t>97</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"_Toc516399780" </w:instrText>
      </w:r>
      <w:r>
        <w:fldChar w:fldCharType="separate"/>
      </w:r>
      <w:r>
        <w:rPr>
          <w:rStyle w:val="54"/>
        </w:rPr>
        <w:t xml:space="preserve">9.2 </w:t>
      </w:r>
      <w:r>
        <w:rPr>
          <w:rStyle w:val="54"/>
          <w:rFonts w:hint="eastAsia"/>
        </w:rPr>
        <w:t>保险办理原则</w:t>
      </w:r>
      <w:r>
        <w:tab/>
      </w:r>
      <w:r>
        <w:fldChar w:fldCharType="begin"/>
      </w:r>
      <w:r>
        <w:instrText xml:space="preserve"> PAGEREF _Toc516399780 \h </w:instrText>
      </w:r>
      <w:r>
        <w:fldChar w:fldCharType="separate"/>
      </w:r>
      <w:r>
        <w:t>97</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"_Toc516399781" </w:instrText>
      </w:r>
      <w:r>
        <w:fldChar w:fldCharType="separate"/>
      </w:r>
      <w:r>
        <w:rPr>
          <w:rStyle w:val="54"/>
        </w:rPr>
        <w:t xml:space="preserve">9.3 </w:t>
      </w:r>
      <w:r>
        <w:rPr>
          <w:rStyle w:val="54"/>
          <w:rFonts w:hint="eastAsia"/>
        </w:rPr>
        <w:t>购买保险证明</w:t>
      </w:r>
      <w:r>
        <w:tab/>
      </w:r>
      <w:r>
        <w:fldChar w:fldCharType="begin"/>
      </w:r>
      <w:r>
        <w:instrText xml:space="preserve"> PAGEREF _Toc516399781 \h </w:instrText>
      </w:r>
      <w:r>
        <w:fldChar w:fldCharType="separate"/>
      </w:r>
      <w:r>
        <w:t>97</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"_Toc516399782" </w:instrText>
      </w:r>
      <w:r>
        <w:fldChar w:fldCharType="separate"/>
      </w:r>
      <w:r>
        <w:rPr>
          <w:rStyle w:val="54"/>
        </w:rPr>
        <w:t xml:space="preserve">9.4 </w:t>
      </w:r>
      <w:r>
        <w:rPr>
          <w:rStyle w:val="54"/>
          <w:rFonts w:hint="eastAsia"/>
        </w:rPr>
        <w:t>未维持保险</w:t>
      </w:r>
      <w:r>
        <w:tab/>
      </w:r>
      <w:r>
        <w:fldChar w:fldCharType="begin"/>
      </w:r>
      <w:r>
        <w:instrText xml:space="preserve"> PAGEREF _Toc516399782 \h </w:instrText>
      </w:r>
      <w:r>
        <w:fldChar w:fldCharType="separate"/>
      </w:r>
      <w:r>
        <w:t>97</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"_Toc516399783" </w:instrText>
      </w:r>
      <w:r>
        <w:fldChar w:fldCharType="separate"/>
      </w:r>
      <w:r>
        <w:rPr>
          <w:rStyle w:val="54"/>
          <w:rFonts w:hint="eastAsia" w:eastAsia="黑体"/>
        </w:rPr>
        <w:t>第</w:t>
      </w:r>
      <w:r>
        <w:rPr>
          <w:rStyle w:val="54"/>
          <w:rFonts w:eastAsia="黑体"/>
        </w:rPr>
        <w:t xml:space="preserve"> 10 </w:t>
      </w:r>
      <w:r>
        <w:rPr>
          <w:rStyle w:val="54"/>
          <w:rFonts w:hint="eastAsia" w:eastAsia="黑体"/>
        </w:rPr>
        <w:t>条</w:t>
      </w:r>
      <w:r>
        <w:rPr>
          <w:rStyle w:val="54"/>
          <w:rFonts w:eastAsia="黑体"/>
        </w:rPr>
        <w:t xml:space="preserve"> </w:t>
      </w:r>
      <w:r>
        <w:rPr>
          <w:rStyle w:val="54"/>
          <w:rFonts w:hint="eastAsia" w:eastAsia="黑体"/>
        </w:rPr>
        <w:t>项目回报</w:t>
      </w:r>
      <w:r>
        <w:tab/>
      </w:r>
      <w:r>
        <w:fldChar w:fldCharType="begin"/>
      </w:r>
      <w:r>
        <w:instrText xml:space="preserve"> PAGEREF _Toc516399783 \h </w:instrText>
      </w:r>
      <w:r>
        <w:fldChar w:fldCharType="separate"/>
      </w:r>
      <w:r>
        <w:t>98</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"_Toc516399784" </w:instrText>
      </w:r>
      <w:r>
        <w:fldChar w:fldCharType="separate"/>
      </w:r>
      <w:r>
        <w:rPr>
          <w:rStyle w:val="54"/>
        </w:rPr>
        <w:t xml:space="preserve">10.1 </w:t>
      </w:r>
      <w:r>
        <w:rPr>
          <w:rStyle w:val="54"/>
          <w:rFonts w:hint="eastAsia"/>
        </w:rPr>
        <w:t>使用者付费</w:t>
      </w:r>
      <w:r>
        <w:tab/>
      </w:r>
      <w:r>
        <w:fldChar w:fldCharType="begin"/>
      </w:r>
      <w:r>
        <w:instrText xml:space="preserve"> PAGEREF _Toc516399784 \h </w:instrText>
      </w:r>
      <w:r>
        <w:fldChar w:fldCharType="separate"/>
      </w:r>
      <w:r>
        <w:t>98</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"_Toc516399785" </w:instrText>
      </w:r>
      <w:r>
        <w:fldChar w:fldCharType="separate"/>
      </w:r>
      <w:r>
        <w:rPr>
          <w:rStyle w:val="54"/>
        </w:rPr>
        <w:t xml:space="preserve">10.2 </w:t>
      </w:r>
      <w:r>
        <w:rPr>
          <w:rStyle w:val="54"/>
          <w:rFonts w:hint="eastAsia"/>
        </w:rPr>
        <w:t>可行性缺口补助</w:t>
      </w:r>
      <w:r>
        <w:tab/>
      </w:r>
      <w:r>
        <w:fldChar w:fldCharType="begin"/>
      </w:r>
      <w:r>
        <w:instrText xml:space="preserve"> PAGEREF _Toc516399785 \h </w:instrText>
      </w:r>
      <w:r>
        <w:fldChar w:fldCharType="separate"/>
      </w:r>
      <w:r>
        <w:t>98</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"_Toc516399786" </w:instrText>
      </w:r>
      <w:r>
        <w:fldChar w:fldCharType="separate"/>
      </w:r>
      <w:r>
        <w:rPr>
          <w:rStyle w:val="54"/>
          <w:rFonts w:hint="eastAsia" w:eastAsia="黑体"/>
        </w:rPr>
        <w:t>第</w:t>
      </w:r>
      <w:r>
        <w:rPr>
          <w:rStyle w:val="54"/>
          <w:rFonts w:eastAsia="黑体"/>
        </w:rPr>
        <w:t xml:space="preserve"> 11 </w:t>
      </w:r>
      <w:r>
        <w:rPr>
          <w:rStyle w:val="54"/>
          <w:rFonts w:hint="eastAsia" w:eastAsia="黑体"/>
        </w:rPr>
        <w:t>条</w:t>
      </w:r>
      <w:r>
        <w:rPr>
          <w:rStyle w:val="54"/>
          <w:rFonts w:eastAsia="黑体"/>
        </w:rPr>
        <w:t xml:space="preserve"> </w:t>
      </w:r>
      <w:r>
        <w:rPr>
          <w:rStyle w:val="54"/>
          <w:rFonts w:hint="eastAsia" w:eastAsia="黑体"/>
        </w:rPr>
        <w:t>开票和付款</w:t>
      </w:r>
      <w:r>
        <w:tab/>
      </w:r>
      <w:r>
        <w:fldChar w:fldCharType="begin"/>
      </w:r>
      <w:r>
        <w:instrText xml:space="preserve"> PAGEREF _Toc516399786 \h </w:instrText>
      </w:r>
      <w:r>
        <w:fldChar w:fldCharType="separate"/>
      </w:r>
      <w:r>
        <w:t>102</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"_Toc516399787" </w:instrText>
      </w:r>
      <w:r>
        <w:fldChar w:fldCharType="separate"/>
      </w:r>
      <w:r>
        <w:rPr>
          <w:rStyle w:val="54"/>
        </w:rPr>
        <w:t xml:space="preserve">11.1 </w:t>
      </w:r>
      <w:r>
        <w:rPr>
          <w:rStyle w:val="54"/>
          <w:rFonts w:hint="eastAsia"/>
        </w:rPr>
        <w:t>付款和开票</w:t>
      </w:r>
      <w:r>
        <w:tab/>
      </w:r>
      <w:r>
        <w:fldChar w:fldCharType="begin"/>
      </w:r>
      <w:r>
        <w:instrText xml:space="preserve"> PAGEREF _Toc516399787 \h </w:instrText>
      </w:r>
      <w:r>
        <w:fldChar w:fldCharType="separate"/>
      </w:r>
      <w:r>
        <w:t>102</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"_Toc516399788" </w:instrText>
      </w:r>
      <w:r>
        <w:fldChar w:fldCharType="separate"/>
      </w:r>
      <w:r>
        <w:rPr>
          <w:rStyle w:val="54"/>
        </w:rPr>
        <w:t xml:space="preserve">11.2 </w:t>
      </w:r>
      <w:r>
        <w:rPr>
          <w:rStyle w:val="54"/>
          <w:rFonts w:hint="eastAsia"/>
        </w:rPr>
        <w:t>逾期付款</w:t>
      </w:r>
      <w:r>
        <w:tab/>
      </w:r>
      <w:r>
        <w:fldChar w:fldCharType="begin"/>
      </w:r>
      <w:r>
        <w:instrText xml:space="preserve"> PAGEREF _Toc516399788 \h </w:instrText>
      </w:r>
      <w:r>
        <w:fldChar w:fldCharType="separate"/>
      </w:r>
      <w:r>
        <w:t>103</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"_Toc516399789" </w:instrText>
      </w:r>
      <w:r>
        <w:fldChar w:fldCharType="separate"/>
      </w:r>
      <w:r>
        <w:rPr>
          <w:rStyle w:val="54"/>
        </w:rPr>
        <w:t xml:space="preserve">11.3 </w:t>
      </w:r>
      <w:r>
        <w:rPr>
          <w:rStyle w:val="54"/>
          <w:rFonts w:hint="eastAsia"/>
        </w:rPr>
        <w:t>货币</w:t>
      </w:r>
      <w:r>
        <w:tab/>
      </w:r>
      <w:r>
        <w:fldChar w:fldCharType="begin"/>
      </w:r>
      <w:r>
        <w:instrText xml:space="preserve"> PAGEREF _Toc516399789 \h </w:instrText>
      </w:r>
      <w:r>
        <w:fldChar w:fldCharType="separate"/>
      </w:r>
      <w:r>
        <w:t>103</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"_Toc516399790" </w:instrText>
      </w:r>
      <w:r>
        <w:fldChar w:fldCharType="separate"/>
      </w:r>
      <w:r>
        <w:rPr>
          <w:rStyle w:val="54"/>
          <w:rFonts w:hint="eastAsia" w:eastAsia="黑体"/>
        </w:rPr>
        <w:t>第</w:t>
      </w:r>
      <w:r>
        <w:rPr>
          <w:rStyle w:val="54"/>
          <w:rFonts w:eastAsia="黑体"/>
        </w:rPr>
        <w:t xml:space="preserve"> 12 </w:t>
      </w:r>
      <w:r>
        <w:rPr>
          <w:rStyle w:val="54"/>
          <w:rFonts w:hint="eastAsia" w:eastAsia="黑体"/>
        </w:rPr>
        <w:t>条</w:t>
      </w:r>
      <w:r>
        <w:rPr>
          <w:rStyle w:val="54"/>
          <w:rFonts w:eastAsia="黑体"/>
        </w:rPr>
        <w:t xml:space="preserve"> </w:t>
      </w:r>
      <w:r>
        <w:rPr>
          <w:rStyle w:val="54"/>
          <w:rFonts w:hint="eastAsia" w:eastAsia="黑体"/>
        </w:rPr>
        <w:t>合作期的项目设施移交</w:t>
      </w:r>
      <w:r>
        <w:tab/>
      </w:r>
      <w:r>
        <w:fldChar w:fldCharType="begin"/>
      </w:r>
      <w:r>
        <w:instrText xml:space="preserve"> PAGEREF _Toc516399790 \h </w:instrText>
      </w:r>
      <w:r>
        <w:fldChar w:fldCharType="separate"/>
      </w:r>
      <w:r>
        <w:t>103</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"_Toc516399791" </w:instrText>
      </w:r>
      <w:r>
        <w:fldChar w:fldCharType="separate"/>
      </w:r>
      <w:r>
        <w:rPr>
          <w:rStyle w:val="54"/>
        </w:rPr>
        <w:t xml:space="preserve">12.1 </w:t>
      </w:r>
      <w:r>
        <w:rPr>
          <w:rStyle w:val="54"/>
          <w:rFonts w:hint="eastAsia"/>
        </w:rPr>
        <w:t>移交范围</w:t>
      </w:r>
      <w:r>
        <w:tab/>
      </w:r>
      <w:r>
        <w:fldChar w:fldCharType="begin"/>
      </w:r>
      <w:r>
        <w:instrText xml:space="preserve"> PAGEREF _Toc516399791 \h </w:instrText>
      </w:r>
      <w:r>
        <w:fldChar w:fldCharType="separate"/>
      </w:r>
      <w:r>
        <w:t>103</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"_Toc516399792" </w:instrText>
      </w:r>
      <w:r>
        <w:fldChar w:fldCharType="separate"/>
      </w:r>
      <w:r>
        <w:rPr>
          <w:rStyle w:val="54"/>
        </w:rPr>
        <w:t xml:space="preserve">12.2 </w:t>
      </w:r>
      <w:r>
        <w:rPr>
          <w:rStyle w:val="54"/>
          <w:rFonts w:hint="eastAsia"/>
        </w:rPr>
        <w:t>移交委员会和移交程序</w:t>
      </w:r>
      <w:r>
        <w:tab/>
      </w:r>
      <w:r>
        <w:fldChar w:fldCharType="begin"/>
      </w:r>
      <w:r>
        <w:instrText xml:space="preserve"> PAGEREF _Toc516399792 \h </w:instrText>
      </w:r>
      <w:r>
        <w:fldChar w:fldCharType="separate"/>
      </w:r>
      <w:r>
        <w:t>104</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"_Toc516399793" </w:instrText>
      </w:r>
      <w:r>
        <w:fldChar w:fldCharType="separate"/>
      </w:r>
      <w:r>
        <w:rPr>
          <w:rStyle w:val="54"/>
        </w:rPr>
        <w:t xml:space="preserve">12.3 </w:t>
      </w:r>
      <w:r>
        <w:rPr>
          <w:rStyle w:val="54"/>
          <w:rFonts w:hint="eastAsia"/>
        </w:rPr>
        <w:t>保证、保险和技术的转让</w:t>
      </w:r>
      <w:r>
        <w:tab/>
      </w:r>
      <w:r>
        <w:fldChar w:fldCharType="begin"/>
      </w:r>
      <w:r>
        <w:instrText xml:space="preserve"> PAGEREF _Toc516399793 \h </w:instrText>
      </w:r>
      <w:r>
        <w:fldChar w:fldCharType="separate"/>
      </w:r>
      <w:r>
        <w:t>104</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"_Toc516399794" </w:instrText>
      </w:r>
      <w:r>
        <w:fldChar w:fldCharType="separate"/>
      </w:r>
      <w:r>
        <w:rPr>
          <w:rStyle w:val="54"/>
        </w:rPr>
        <w:t xml:space="preserve">12.4 </w:t>
      </w:r>
      <w:r>
        <w:rPr>
          <w:rStyle w:val="54"/>
          <w:rFonts w:hint="eastAsia"/>
        </w:rPr>
        <w:t>合同的取消和转让</w:t>
      </w:r>
      <w:r>
        <w:tab/>
      </w:r>
      <w:r>
        <w:fldChar w:fldCharType="begin"/>
      </w:r>
      <w:r>
        <w:instrText xml:space="preserve"> PAGEREF _Toc516399794 \h </w:instrText>
      </w:r>
      <w:r>
        <w:fldChar w:fldCharType="separate"/>
      </w:r>
      <w:r>
        <w:t>104</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"_Toc516399795" </w:instrText>
      </w:r>
      <w:r>
        <w:fldChar w:fldCharType="separate"/>
      </w:r>
      <w:r>
        <w:rPr>
          <w:rStyle w:val="54"/>
        </w:rPr>
        <w:t xml:space="preserve">12.5 </w:t>
      </w:r>
      <w:r>
        <w:rPr>
          <w:rStyle w:val="54"/>
          <w:rFonts w:hint="eastAsia"/>
        </w:rPr>
        <w:t>人员和人员培训</w:t>
      </w:r>
      <w:r>
        <w:tab/>
      </w:r>
      <w:r>
        <w:fldChar w:fldCharType="begin"/>
      </w:r>
      <w:r>
        <w:instrText xml:space="preserve"> PAGEREF _Toc516399795 \h </w:instrText>
      </w:r>
      <w:r>
        <w:fldChar w:fldCharType="separate"/>
      </w:r>
      <w:r>
        <w:t>104</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"_Toc516399796" </w:instrText>
      </w:r>
      <w:r>
        <w:fldChar w:fldCharType="separate"/>
      </w:r>
      <w:r>
        <w:rPr>
          <w:rStyle w:val="54"/>
        </w:rPr>
        <w:t xml:space="preserve">12.6 </w:t>
      </w:r>
      <w:r>
        <w:rPr>
          <w:rStyle w:val="54"/>
          <w:rFonts w:hint="eastAsia"/>
        </w:rPr>
        <w:t>移交标准与缺陷修复</w:t>
      </w:r>
      <w:r>
        <w:tab/>
      </w:r>
      <w:r>
        <w:fldChar w:fldCharType="begin"/>
      </w:r>
      <w:r>
        <w:instrText xml:space="preserve"> PAGEREF _Toc516399796 \h </w:instrText>
      </w:r>
      <w:r>
        <w:fldChar w:fldCharType="separate"/>
      </w:r>
      <w:r>
        <w:t>105</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"_Toc516399797" </w:instrText>
      </w:r>
      <w:r>
        <w:fldChar w:fldCharType="separate"/>
      </w:r>
      <w:r>
        <w:rPr>
          <w:rStyle w:val="54"/>
        </w:rPr>
        <w:t xml:space="preserve">12.7 </w:t>
      </w:r>
      <w:r>
        <w:rPr>
          <w:rStyle w:val="54"/>
          <w:rFonts w:hint="eastAsia"/>
        </w:rPr>
        <w:t>质保期</w:t>
      </w:r>
      <w:r>
        <w:tab/>
      </w:r>
      <w:r>
        <w:fldChar w:fldCharType="begin"/>
      </w:r>
      <w:r>
        <w:instrText xml:space="preserve"> PAGEREF _Toc516399797 \h </w:instrText>
      </w:r>
      <w:r>
        <w:fldChar w:fldCharType="separate"/>
      </w:r>
      <w:r>
        <w:t>105</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"_Toc516399798" </w:instrText>
      </w:r>
      <w:r>
        <w:fldChar w:fldCharType="separate"/>
      </w:r>
      <w:r>
        <w:rPr>
          <w:rStyle w:val="54"/>
        </w:rPr>
        <w:t xml:space="preserve">12.8 </w:t>
      </w:r>
      <w:r>
        <w:rPr>
          <w:rStyle w:val="54"/>
          <w:rFonts w:hint="eastAsia"/>
        </w:rPr>
        <w:t>移交费用</w:t>
      </w:r>
      <w:r>
        <w:tab/>
      </w:r>
      <w:r>
        <w:fldChar w:fldCharType="begin"/>
      </w:r>
      <w:r>
        <w:instrText xml:space="preserve"> PAGEREF _Toc516399798 \h </w:instrText>
      </w:r>
      <w:r>
        <w:fldChar w:fldCharType="separate"/>
      </w:r>
      <w:r>
        <w:t>106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"_Toc516399799" </w:instrText>
      </w:r>
      <w:r>
        <w:fldChar w:fldCharType="separate"/>
      </w:r>
      <w:r>
        <w:rPr>
          <w:rStyle w:val="54"/>
        </w:rPr>
        <w:t xml:space="preserve">12.9 </w:t>
      </w:r>
      <w:r>
        <w:rPr>
          <w:rStyle w:val="54"/>
          <w:rFonts w:hint="eastAsia"/>
        </w:rPr>
        <w:t>移交效力</w:t>
      </w:r>
      <w:r>
        <w:tab/>
      </w:r>
      <w:r>
        <w:fldChar w:fldCharType="begin"/>
      </w:r>
      <w:r>
        <w:instrText xml:space="preserve"> PAGEREF _Toc516399799 \h </w:instrText>
      </w:r>
      <w:r>
        <w:fldChar w:fldCharType="separate"/>
      </w:r>
      <w:r>
        <w:t>106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"_Toc516399800" </w:instrText>
      </w:r>
      <w:r>
        <w:fldChar w:fldCharType="separate"/>
      </w:r>
      <w:r>
        <w:rPr>
          <w:rStyle w:val="54"/>
        </w:rPr>
        <w:t xml:space="preserve">12.10 </w:t>
      </w:r>
      <w:r>
        <w:rPr>
          <w:rStyle w:val="54"/>
          <w:rFonts w:hint="eastAsia"/>
        </w:rPr>
        <w:t>移走乙方的其他无关物品</w:t>
      </w:r>
      <w:r>
        <w:tab/>
      </w:r>
      <w:r>
        <w:fldChar w:fldCharType="begin"/>
      </w:r>
      <w:r>
        <w:instrText xml:space="preserve"> PAGEREF _Toc516399800 \h </w:instrText>
      </w:r>
      <w:r>
        <w:fldChar w:fldCharType="separate"/>
      </w:r>
      <w:r>
        <w:t>106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"_Toc516399801" </w:instrText>
      </w:r>
      <w:r>
        <w:fldChar w:fldCharType="separate"/>
      </w:r>
      <w:r>
        <w:rPr>
          <w:rStyle w:val="54"/>
        </w:rPr>
        <w:t>12.11</w:t>
      </w:r>
      <w:r>
        <w:rPr>
          <w:rStyle w:val="54"/>
          <w:rFonts w:hint="eastAsia"/>
        </w:rPr>
        <w:t>逾期移交的违约责任</w:t>
      </w:r>
      <w:r>
        <w:tab/>
      </w:r>
      <w:r>
        <w:fldChar w:fldCharType="begin"/>
      </w:r>
      <w:r>
        <w:instrText xml:space="preserve"> PAGEREF _Toc516399801 \h </w:instrText>
      </w:r>
      <w:r>
        <w:fldChar w:fldCharType="separate"/>
      </w:r>
      <w:r>
        <w:t>106</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"_Toc516399802" </w:instrText>
      </w:r>
      <w:r>
        <w:fldChar w:fldCharType="separate"/>
      </w:r>
      <w:r>
        <w:rPr>
          <w:rStyle w:val="54"/>
          <w:rFonts w:hint="eastAsia" w:eastAsia="黑体"/>
        </w:rPr>
        <w:t>第</w:t>
      </w:r>
      <w:r>
        <w:rPr>
          <w:rStyle w:val="54"/>
          <w:rFonts w:eastAsia="黑体"/>
        </w:rPr>
        <w:t xml:space="preserve"> 13 </w:t>
      </w:r>
      <w:r>
        <w:rPr>
          <w:rStyle w:val="54"/>
          <w:rFonts w:hint="eastAsia" w:eastAsia="黑体"/>
        </w:rPr>
        <w:t>条</w:t>
      </w:r>
      <w:r>
        <w:rPr>
          <w:rStyle w:val="54"/>
          <w:rFonts w:eastAsia="黑体"/>
        </w:rPr>
        <w:t xml:space="preserve"> </w:t>
      </w:r>
      <w:r>
        <w:rPr>
          <w:rStyle w:val="54"/>
          <w:rFonts w:hint="eastAsia" w:eastAsia="黑体"/>
        </w:rPr>
        <w:t>不可抗力</w:t>
      </w:r>
      <w:r>
        <w:tab/>
      </w:r>
      <w:r>
        <w:fldChar w:fldCharType="begin"/>
      </w:r>
      <w:r>
        <w:instrText xml:space="preserve"> PAGEREF _Toc516399802 \h </w:instrText>
      </w:r>
      <w:r>
        <w:fldChar w:fldCharType="separate"/>
      </w:r>
      <w:r>
        <w:t>106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"_Toc516399803" </w:instrText>
      </w:r>
      <w:r>
        <w:fldChar w:fldCharType="separate"/>
      </w:r>
      <w:r>
        <w:rPr>
          <w:rStyle w:val="54"/>
        </w:rPr>
        <w:t xml:space="preserve">13.1 </w:t>
      </w:r>
      <w:r>
        <w:rPr>
          <w:rStyle w:val="54"/>
          <w:rFonts w:hint="eastAsia"/>
        </w:rPr>
        <w:t>不可抗力事件</w:t>
      </w:r>
      <w:r>
        <w:tab/>
      </w:r>
      <w:r>
        <w:fldChar w:fldCharType="begin"/>
      </w:r>
      <w:r>
        <w:instrText xml:space="preserve"> PAGEREF _Toc516399803 \h </w:instrText>
      </w:r>
      <w:r>
        <w:fldChar w:fldCharType="separate"/>
      </w:r>
      <w:r>
        <w:t>106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"_Toc516399804" </w:instrText>
      </w:r>
      <w:r>
        <w:fldChar w:fldCharType="separate"/>
      </w:r>
      <w:r>
        <w:rPr>
          <w:rStyle w:val="54"/>
        </w:rPr>
        <w:t xml:space="preserve">13.2 </w:t>
      </w:r>
      <w:r>
        <w:rPr>
          <w:rStyle w:val="54"/>
          <w:rFonts w:hint="eastAsia"/>
        </w:rPr>
        <w:t>免于履行</w:t>
      </w:r>
      <w:r>
        <w:tab/>
      </w:r>
      <w:r>
        <w:fldChar w:fldCharType="begin"/>
      </w:r>
      <w:r>
        <w:instrText xml:space="preserve"> PAGEREF _Toc516399804 \h </w:instrText>
      </w:r>
      <w:r>
        <w:fldChar w:fldCharType="separate"/>
      </w:r>
      <w:r>
        <w:t>107</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"_Toc516399805" </w:instrText>
      </w:r>
      <w:r>
        <w:fldChar w:fldCharType="separate"/>
      </w:r>
      <w:r>
        <w:rPr>
          <w:rStyle w:val="54"/>
        </w:rPr>
        <w:t xml:space="preserve">13.3 </w:t>
      </w:r>
      <w:r>
        <w:rPr>
          <w:rStyle w:val="54"/>
          <w:rFonts w:hint="eastAsia"/>
        </w:rPr>
        <w:t>适用于乙方的例外情况</w:t>
      </w:r>
      <w:r>
        <w:tab/>
      </w:r>
      <w:r>
        <w:fldChar w:fldCharType="begin"/>
      </w:r>
      <w:r>
        <w:instrText xml:space="preserve"> PAGEREF _Toc516399805 \h </w:instrText>
      </w:r>
      <w:r>
        <w:fldChar w:fldCharType="separate"/>
      </w:r>
      <w:r>
        <w:t>107</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"_Toc516399806" </w:instrText>
      </w:r>
      <w:r>
        <w:fldChar w:fldCharType="separate"/>
      </w:r>
      <w:r>
        <w:rPr>
          <w:rStyle w:val="54"/>
        </w:rPr>
        <w:t xml:space="preserve">13.4 </w:t>
      </w:r>
      <w:r>
        <w:rPr>
          <w:rStyle w:val="54"/>
          <w:rFonts w:hint="eastAsia"/>
        </w:rPr>
        <w:t>不可抗力发生后的处理程序</w:t>
      </w:r>
      <w:r>
        <w:tab/>
      </w:r>
      <w:r>
        <w:fldChar w:fldCharType="begin"/>
      </w:r>
      <w:r>
        <w:instrText xml:space="preserve"> PAGEREF _Toc516399806 \h </w:instrText>
      </w:r>
      <w:r>
        <w:fldChar w:fldCharType="separate"/>
      </w:r>
      <w:r>
        <w:t>107</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"_Toc516399807" </w:instrText>
      </w:r>
      <w:r>
        <w:fldChar w:fldCharType="separate"/>
      </w:r>
      <w:r>
        <w:rPr>
          <w:rStyle w:val="54"/>
        </w:rPr>
        <w:t xml:space="preserve">13.5 </w:t>
      </w:r>
      <w:r>
        <w:rPr>
          <w:rStyle w:val="54"/>
          <w:rFonts w:hint="eastAsia"/>
        </w:rPr>
        <w:t>费用及时间表的修改</w:t>
      </w:r>
      <w:r>
        <w:tab/>
      </w:r>
      <w:r>
        <w:fldChar w:fldCharType="begin"/>
      </w:r>
      <w:r>
        <w:instrText xml:space="preserve"> PAGEREF _Toc516399807 \h </w:instrText>
      </w:r>
      <w:r>
        <w:fldChar w:fldCharType="separate"/>
      </w:r>
      <w:r>
        <w:t>108</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"_Toc516399808" </w:instrText>
      </w:r>
      <w:r>
        <w:fldChar w:fldCharType="separate"/>
      </w:r>
      <w:r>
        <w:rPr>
          <w:rStyle w:val="54"/>
        </w:rPr>
        <w:t xml:space="preserve">13.6 </w:t>
      </w:r>
      <w:r>
        <w:rPr>
          <w:rStyle w:val="54"/>
          <w:rFonts w:hint="eastAsia"/>
        </w:rPr>
        <w:t>减少损失的责任和协商</w:t>
      </w:r>
      <w:r>
        <w:tab/>
      </w:r>
      <w:r>
        <w:fldChar w:fldCharType="begin"/>
      </w:r>
      <w:r>
        <w:instrText xml:space="preserve"> PAGEREF _Toc516399808 \h </w:instrText>
      </w:r>
      <w:r>
        <w:fldChar w:fldCharType="separate"/>
      </w:r>
      <w:r>
        <w:t>108</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"_Toc516399809" </w:instrText>
      </w:r>
      <w:r>
        <w:fldChar w:fldCharType="separate"/>
      </w:r>
      <w:r>
        <w:rPr>
          <w:rStyle w:val="54"/>
        </w:rPr>
        <w:t xml:space="preserve">13.7 </w:t>
      </w:r>
      <w:r>
        <w:rPr>
          <w:rStyle w:val="54"/>
          <w:rFonts w:hint="eastAsia"/>
        </w:rPr>
        <w:t>不可抗力造成的终止</w:t>
      </w:r>
      <w:r>
        <w:tab/>
      </w:r>
      <w:r>
        <w:fldChar w:fldCharType="begin"/>
      </w:r>
      <w:r>
        <w:instrText xml:space="preserve"> PAGEREF _Toc516399809 \h </w:instrText>
      </w:r>
      <w:r>
        <w:fldChar w:fldCharType="separate"/>
      </w:r>
      <w:r>
        <w:t>108</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"_Toc516399810" </w:instrText>
      </w:r>
      <w:r>
        <w:fldChar w:fldCharType="separate"/>
      </w:r>
      <w:r>
        <w:rPr>
          <w:rStyle w:val="54"/>
        </w:rPr>
        <w:t xml:space="preserve">13.8 </w:t>
      </w:r>
      <w:r>
        <w:rPr>
          <w:rStyle w:val="54"/>
          <w:rFonts w:hint="eastAsia"/>
        </w:rPr>
        <w:t>本级政府可控范围内的法律变更</w:t>
      </w:r>
      <w:r>
        <w:tab/>
      </w:r>
      <w:r>
        <w:fldChar w:fldCharType="begin"/>
      </w:r>
      <w:r>
        <w:instrText xml:space="preserve"> PAGEREF _Toc516399810 \h </w:instrText>
      </w:r>
      <w:r>
        <w:fldChar w:fldCharType="separate"/>
      </w:r>
      <w:r>
        <w:t>108</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"_Toc516399811" </w:instrText>
      </w:r>
      <w:r>
        <w:fldChar w:fldCharType="separate"/>
      </w:r>
      <w:r>
        <w:rPr>
          <w:rStyle w:val="54"/>
          <w:rFonts w:hint="eastAsia" w:eastAsia="黑体"/>
        </w:rPr>
        <w:t>第</w:t>
      </w:r>
      <w:r>
        <w:rPr>
          <w:rStyle w:val="54"/>
          <w:rFonts w:eastAsia="黑体"/>
        </w:rPr>
        <w:t xml:space="preserve"> 14 </w:t>
      </w:r>
      <w:r>
        <w:rPr>
          <w:rStyle w:val="54"/>
          <w:rFonts w:hint="eastAsia" w:eastAsia="黑体"/>
        </w:rPr>
        <w:t>条</w:t>
      </w:r>
      <w:r>
        <w:rPr>
          <w:rStyle w:val="54"/>
          <w:rFonts w:eastAsia="黑体"/>
        </w:rPr>
        <w:t xml:space="preserve"> </w:t>
      </w:r>
      <w:r>
        <w:rPr>
          <w:rStyle w:val="54"/>
          <w:rFonts w:hint="eastAsia" w:eastAsia="黑体"/>
        </w:rPr>
        <w:t>提前终止</w:t>
      </w:r>
      <w:r>
        <w:tab/>
      </w:r>
      <w:r>
        <w:fldChar w:fldCharType="begin"/>
      </w:r>
      <w:r>
        <w:instrText xml:space="preserve"> PAGEREF _Toc516399811 \h </w:instrText>
      </w:r>
      <w:r>
        <w:fldChar w:fldCharType="separate"/>
      </w:r>
      <w:r>
        <w:t>109</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"_Toc516399812" </w:instrText>
      </w:r>
      <w:r>
        <w:fldChar w:fldCharType="separate"/>
      </w:r>
      <w:r>
        <w:rPr>
          <w:rStyle w:val="54"/>
        </w:rPr>
        <w:t xml:space="preserve">14.1 </w:t>
      </w:r>
      <w:r>
        <w:rPr>
          <w:rStyle w:val="54"/>
          <w:rFonts w:hint="eastAsia"/>
        </w:rPr>
        <w:t>由甲方提出的提前终止</w:t>
      </w:r>
      <w:r>
        <w:tab/>
      </w:r>
      <w:r>
        <w:fldChar w:fldCharType="begin"/>
      </w:r>
      <w:r>
        <w:instrText xml:space="preserve"> PAGEREF _Toc516399812 \h </w:instrText>
      </w:r>
      <w:r>
        <w:fldChar w:fldCharType="separate"/>
      </w:r>
      <w:r>
        <w:t>109</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"_Toc516399813" </w:instrText>
      </w:r>
      <w:r>
        <w:fldChar w:fldCharType="separate"/>
      </w:r>
      <w:r>
        <w:rPr>
          <w:rStyle w:val="54"/>
        </w:rPr>
        <w:t xml:space="preserve">14.2 </w:t>
      </w:r>
      <w:r>
        <w:rPr>
          <w:rStyle w:val="54"/>
          <w:rFonts w:hint="eastAsia"/>
        </w:rPr>
        <w:t>由乙方和项目公司提出的提前终止</w:t>
      </w:r>
      <w:r>
        <w:tab/>
      </w:r>
      <w:r>
        <w:fldChar w:fldCharType="begin"/>
      </w:r>
      <w:r>
        <w:instrText xml:space="preserve"> PAGEREF _Toc516399813 \h </w:instrText>
      </w:r>
      <w:r>
        <w:fldChar w:fldCharType="separate"/>
      </w:r>
      <w:r>
        <w:t>109</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"_Toc516399814" </w:instrText>
      </w:r>
      <w:r>
        <w:fldChar w:fldCharType="separate"/>
      </w:r>
      <w:r>
        <w:rPr>
          <w:rStyle w:val="54"/>
        </w:rPr>
        <w:t xml:space="preserve">14.3 </w:t>
      </w:r>
      <w:r>
        <w:rPr>
          <w:rStyle w:val="54"/>
          <w:rFonts w:hint="eastAsia"/>
        </w:rPr>
        <w:t>不可抗力导致的提前终止</w:t>
      </w:r>
      <w:r>
        <w:tab/>
      </w:r>
      <w:r>
        <w:fldChar w:fldCharType="begin"/>
      </w:r>
      <w:r>
        <w:instrText xml:space="preserve"> PAGEREF _Toc516399814 \h </w:instrText>
      </w:r>
      <w:r>
        <w:fldChar w:fldCharType="separate"/>
      </w:r>
      <w:r>
        <w:t>110</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"_Toc516399815" </w:instrText>
      </w:r>
      <w:r>
        <w:fldChar w:fldCharType="separate"/>
      </w:r>
      <w:r>
        <w:rPr>
          <w:rStyle w:val="54"/>
        </w:rPr>
        <w:t xml:space="preserve">14.4 </w:t>
      </w:r>
      <w:r>
        <w:rPr>
          <w:rStyle w:val="54"/>
          <w:rFonts w:hint="eastAsia"/>
        </w:rPr>
        <w:t>提前终止意向通知和提前终止通知</w:t>
      </w:r>
      <w:r>
        <w:tab/>
      </w:r>
      <w:r>
        <w:fldChar w:fldCharType="begin"/>
      </w:r>
      <w:r>
        <w:instrText xml:space="preserve"> PAGEREF _Toc516399815 \h </w:instrText>
      </w:r>
      <w:r>
        <w:fldChar w:fldCharType="separate"/>
      </w:r>
      <w:r>
        <w:t>110</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"_Toc516399816" </w:instrText>
      </w:r>
      <w:r>
        <w:fldChar w:fldCharType="separate"/>
      </w:r>
      <w:r>
        <w:rPr>
          <w:rStyle w:val="54"/>
        </w:rPr>
        <w:t xml:space="preserve">14.5 </w:t>
      </w:r>
      <w:r>
        <w:rPr>
          <w:rStyle w:val="54"/>
          <w:rFonts w:hint="eastAsia"/>
        </w:rPr>
        <w:t>提前终止的一般后果</w:t>
      </w:r>
      <w:r>
        <w:tab/>
      </w:r>
      <w:r>
        <w:fldChar w:fldCharType="begin"/>
      </w:r>
      <w:r>
        <w:instrText xml:space="preserve"> PAGEREF _Toc516399816 \h </w:instrText>
      </w:r>
      <w:r>
        <w:fldChar w:fldCharType="separate"/>
      </w:r>
      <w:r>
        <w:t>110</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"_Toc516399817" </w:instrText>
      </w:r>
      <w:r>
        <w:fldChar w:fldCharType="separate"/>
      </w:r>
      <w:r>
        <w:rPr>
          <w:rStyle w:val="54"/>
        </w:rPr>
        <w:t xml:space="preserve">14.6 </w:t>
      </w:r>
      <w:r>
        <w:rPr>
          <w:rStyle w:val="54"/>
          <w:rFonts w:hint="eastAsia"/>
        </w:rPr>
        <w:t>提前终止后的提前移交</w:t>
      </w:r>
      <w:r>
        <w:tab/>
      </w:r>
      <w:r>
        <w:fldChar w:fldCharType="begin"/>
      </w:r>
      <w:r>
        <w:instrText xml:space="preserve"> PAGEREF _Toc516399817 \h </w:instrText>
      </w:r>
      <w:r>
        <w:fldChar w:fldCharType="separate"/>
      </w:r>
      <w:r>
        <w:t>111</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"_Toc516399818" </w:instrText>
      </w:r>
      <w:r>
        <w:fldChar w:fldCharType="separate"/>
      </w:r>
      <w:r>
        <w:rPr>
          <w:rStyle w:val="54"/>
        </w:rPr>
        <w:t xml:space="preserve">14.7 </w:t>
      </w:r>
      <w:r>
        <w:rPr>
          <w:rStyle w:val="54"/>
          <w:rFonts w:hint="eastAsia"/>
        </w:rPr>
        <w:t>提前终止后的补偿</w:t>
      </w:r>
      <w:r>
        <w:tab/>
      </w:r>
      <w:r>
        <w:fldChar w:fldCharType="begin"/>
      </w:r>
      <w:r>
        <w:instrText xml:space="preserve"> PAGEREF _Toc516399818 \h </w:instrText>
      </w:r>
      <w:r>
        <w:fldChar w:fldCharType="separate"/>
      </w:r>
      <w:r>
        <w:t>111</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"_Toc516399819" </w:instrText>
      </w:r>
      <w:r>
        <w:fldChar w:fldCharType="separate"/>
      </w:r>
      <w:r>
        <w:rPr>
          <w:rStyle w:val="54"/>
        </w:rPr>
        <w:t xml:space="preserve">14.8 </w:t>
      </w:r>
      <w:r>
        <w:rPr>
          <w:rStyle w:val="54"/>
          <w:rFonts w:hint="eastAsia"/>
        </w:rPr>
        <w:t>提前终止</w:t>
      </w:r>
      <w:r>
        <w:tab/>
      </w:r>
      <w:r>
        <w:fldChar w:fldCharType="begin"/>
      </w:r>
      <w:r>
        <w:instrText xml:space="preserve"> PAGEREF _Toc516399819 \h </w:instrText>
      </w:r>
      <w:r>
        <w:fldChar w:fldCharType="separate"/>
      </w:r>
      <w:r>
        <w:t>112</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"_Toc516399820" </w:instrText>
      </w:r>
      <w:r>
        <w:fldChar w:fldCharType="separate"/>
      </w:r>
      <w:r>
        <w:rPr>
          <w:rStyle w:val="54"/>
        </w:rPr>
        <w:t xml:space="preserve">14.9 </w:t>
      </w:r>
      <w:r>
        <w:rPr>
          <w:rStyle w:val="54"/>
          <w:rFonts w:hint="eastAsia"/>
        </w:rPr>
        <w:t>提前终止时履约保函的提交和解除</w:t>
      </w:r>
      <w:r>
        <w:tab/>
      </w:r>
      <w:r>
        <w:fldChar w:fldCharType="begin"/>
      </w:r>
      <w:r>
        <w:instrText xml:space="preserve"> PAGEREF _Toc516399820 \h </w:instrText>
      </w:r>
      <w:r>
        <w:fldChar w:fldCharType="separate"/>
      </w:r>
      <w:r>
        <w:t>112</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"_Toc516399821" </w:instrText>
      </w:r>
      <w:r>
        <w:fldChar w:fldCharType="separate"/>
      </w:r>
      <w:r>
        <w:rPr>
          <w:rStyle w:val="54"/>
        </w:rPr>
        <w:t xml:space="preserve">14.10 </w:t>
      </w:r>
      <w:r>
        <w:rPr>
          <w:rStyle w:val="54"/>
          <w:rFonts w:hint="eastAsia"/>
        </w:rPr>
        <w:t>责任限制</w:t>
      </w:r>
      <w:r>
        <w:tab/>
      </w:r>
      <w:r>
        <w:fldChar w:fldCharType="begin"/>
      </w:r>
      <w:r>
        <w:instrText xml:space="preserve"> PAGEREF _Toc516399821 \h </w:instrText>
      </w:r>
      <w:r>
        <w:fldChar w:fldCharType="separate"/>
      </w:r>
      <w:r>
        <w:t>113</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"_Toc516399822" </w:instrText>
      </w:r>
      <w:r>
        <w:fldChar w:fldCharType="separate"/>
      </w:r>
      <w:r>
        <w:rPr>
          <w:rStyle w:val="54"/>
          <w:rFonts w:hint="eastAsia" w:eastAsia="黑体"/>
        </w:rPr>
        <w:t>第</w:t>
      </w:r>
      <w:r>
        <w:rPr>
          <w:rStyle w:val="54"/>
          <w:rFonts w:eastAsia="黑体"/>
        </w:rPr>
        <w:t xml:space="preserve"> 15 </w:t>
      </w:r>
      <w:r>
        <w:rPr>
          <w:rStyle w:val="54"/>
          <w:rFonts w:hint="eastAsia" w:eastAsia="黑体"/>
        </w:rPr>
        <w:t>条</w:t>
      </w:r>
      <w:r>
        <w:rPr>
          <w:rStyle w:val="54"/>
          <w:rFonts w:eastAsia="黑体"/>
        </w:rPr>
        <w:t xml:space="preserve"> </w:t>
      </w:r>
      <w:r>
        <w:rPr>
          <w:rStyle w:val="54"/>
          <w:rFonts w:hint="eastAsia" w:eastAsia="黑体"/>
        </w:rPr>
        <w:t>转让和担保</w:t>
      </w:r>
      <w:r>
        <w:tab/>
      </w:r>
      <w:r>
        <w:fldChar w:fldCharType="begin"/>
      </w:r>
      <w:r>
        <w:instrText xml:space="preserve"> PAGEREF _Toc516399822 \h </w:instrText>
      </w:r>
      <w:r>
        <w:fldChar w:fldCharType="separate"/>
      </w:r>
      <w:r>
        <w:t>113</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"_Toc516399823" </w:instrText>
      </w:r>
      <w:r>
        <w:fldChar w:fldCharType="separate"/>
      </w:r>
      <w:r>
        <w:rPr>
          <w:rStyle w:val="54"/>
        </w:rPr>
        <w:t xml:space="preserve">15.1 </w:t>
      </w:r>
      <w:r>
        <w:rPr>
          <w:rStyle w:val="54"/>
          <w:rFonts w:hint="eastAsia"/>
        </w:rPr>
        <w:t>甲方的转让</w:t>
      </w:r>
      <w:r>
        <w:tab/>
      </w:r>
      <w:r>
        <w:fldChar w:fldCharType="begin"/>
      </w:r>
      <w:r>
        <w:instrText xml:space="preserve"> PAGEREF _Toc516399823 \h </w:instrText>
      </w:r>
      <w:r>
        <w:fldChar w:fldCharType="separate"/>
      </w:r>
      <w:r>
        <w:t>113</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"_Toc516399824" </w:instrText>
      </w:r>
      <w:r>
        <w:fldChar w:fldCharType="separate"/>
      </w:r>
      <w:r>
        <w:rPr>
          <w:rStyle w:val="54"/>
        </w:rPr>
        <w:t xml:space="preserve">15.2 </w:t>
      </w:r>
      <w:r>
        <w:rPr>
          <w:rStyle w:val="54"/>
          <w:rFonts w:hint="eastAsia"/>
        </w:rPr>
        <w:t>乙方的转让</w:t>
      </w:r>
      <w:r>
        <w:tab/>
      </w:r>
      <w:r>
        <w:fldChar w:fldCharType="begin"/>
      </w:r>
      <w:r>
        <w:instrText xml:space="preserve"> PAGEREF _Toc516399824 \h </w:instrText>
      </w:r>
      <w:r>
        <w:fldChar w:fldCharType="separate"/>
      </w:r>
      <w:r>
        <w:t>113</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"_Toc516399825" </w:instrText>
      </w:r>
      <w:r>
        <w:fldChar w:fldCharType="separate"/>
      </w:r>
      <w:r>
        <w:rPr>
          <w:rStyle w:val="54"/>
        </w:rPr>
        <w:t xml:space="preserve">15.3 </w:t>
      </w:r>
      <w:r>
        <w:rPr>
          <w:rStyle w:val="54"/>
          <w:rFonts w:hint="eastAsia"/>
        </w:rPr>
        <w:t>乙方股权的转让</w:t>
      </w:r>
      <w:r>
        <w:tab/>
      </w:r>
      <w:r>
        <w:fldChar w:fldCharType="begin"/>
      </w:r>
      <w:r>
        <w:instrText xml:space="preserve"> PAGEREF _Toc516399825 \h </w:instrText>
      </w:r>
      <w:r>
        <w:fldChar w:fldCharType="separate"/>
      </w:r>
      <w:r>
        <w:t>113</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"_Toc516399826" </w:instrText>
      </w:r>
      <w:r>
        <w:fldChar w:fldCharType="separate"/>
      </w:r>
      <w:r>
        <w:rPr>
          <w:rStyle w:val="54"/>
          <w:rFonts w:hint="eastAsia" w:eastAsia="黑体"/>
        </w:rPr>
        <w:t>第</w:t>
      </w:r>
      <w:r>
        <w:rPr>
          <w:rStyle w:val="54"/>
          <w:rFonts w:eastAsia="黑体"/>
        </w:rPr>
        <w:t xml:space="preserve"> 16 </w:t>
      </w:r>
      <w:r>
        <w:rPr>
          <w:rStyle w:val="54"/>
          <w:rFonts w:hint="eastAsia" w:eastAsia="黑体"/>
        </w:rPr>
        <w:t>条</w:t>
      </w:r>
      <w:r>
        <w:rPr>
          <w:rStyle w:val="54"/>
          <w:rFonts w:eastAsia="黑体"/>
        </w:rPr>
        <w:t xml:space="preserve"> </w:t>
      </w:r>
      <w:r>
        <w:rPr>
          <w:rStyle w:val="54"/>
          <w:rFonts w:hint="eastAsia" w:eastAsia="黑体"/>
        </w:rPr>
        <w:t>补偿</w:t>
      </w:r>
      <w:r>
        <w:tab/>
      </w:r>
      <w:r>
        <w:fldChar w:fldCharType="begin"/>
      </w:r>
      <w:r>
        <w:instrText xml:space="preserve"> PAGEREF _Toc516399826 \h </w:instrText>
      </w:r>
      <w:r>
        <w:fldChar w:fldCharType="separate"/>
      </w:r>
      <w:r>
        <w:t>114</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"_Toc516399827" </w:instrText>
      </w:r>
      <w:r>
        <w:fldChar w:fldCharType="separate"/>
      </w:r>
      <w:r>
        <w:rPr>
          <w:rStyle w:val="54"/>
        </w:rPr>
        <w:t xml:space="preserve">16.1 </w:t>
      </w:r>
      <w:r>
        <w:rPr>
          <w:rStyle w:val="54"/>
          <w:rFonts w:hint="eastAsia"/>
        </w:rPr>
        <w:t>获得补偿的权利</w:t>
      </w:r>
      <w:r>
        <w:tab/>
      </w:r>
      <w:r>
        <w:fldChar w:fldCharType="begin"/>
      </w:r>
      <w:r>
        <w:instrText xml:space="preserve"> PAGEREF _Toc516399827 \h </w:instrText>
      </w:r>
      <w:r>
        <w:fldChar w:fldCharType="separate"/>
      </w:r>
      <w:r>
        <w:t>114</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"_Toc516399828" </w:instrText>
      </w:r>
      <w:r>
        <w:fldChar w:fldCharType="separate"/>
      </w:r>
      <w:r>
        <w:rPr>
          <w:rStyle w:val="54"/>
        </w:rPr>
        <w:t xml:space="preserve">16.2 </w:t>
      </w:r>
      <w:r>
        <w:rPr>
          <w:rStyle w:val="54"/>
          <w:rFonts w:hint="eastAsia"/>
        </w:rPr>
        <w:t>补偿形式</w:t>
      </w:r>
      <w:r>
        <w:tab/>
      </w:r>
      <w:r>
        <w:fldChar w:fldCharType="begin"/>
      </w:r>
      <w:r>
        <w:instrText xml:space="preserve"> PAGEREF _Toc516399828 \h </w:instrText>
      </w:r>
      <w:r>
        <w:fldChar w:fldCharType="separate"/>
      </w:r>
      <w:r>
        <w:t>114</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"_Toc516399829" </w:instrText>
      </w:r>
      <w:r>
        <w:fldChar w:fldCharType="separate"/>
      </w:r>
      <w:r>
        <w:rPr>
          <w:rStyle w:val="54"/>
        </w:rPr>
        <w:t xml:space="preserve">16.3 </w:t>
      </w:r>
      <w:r>
        <w:rPr>
          <w:rStyle w:val="54"/>
          <w:rFonts w:hint="eastAsia"/>
        </w:rPr>
        <w:t>一次性补偿</w:t>
      </w:r>
      <w:r>
        <w:tab/>
      </w:r>
      <w:r>
        <w:fldChar w:fldCharType="begin"/>
      </w:r>
      <w:r>
        <w:instrText xml:space="preserve"> PAGEREF _Toc516399829 \h </w:instrText>
      </w:r>
      <w:r>
        <w:fldChar w:fldCharType="separate"/>
      </w:r>
      <w:r>
        <w:t>114</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"_Toc516399830" </w:instrText>
      </w:r>
      <w:r>
        <w:fldChar w:fldCharType="separate"/>
      </w:r>
      <w:r>
        <w:rPr>
          <w:rStyle w:val="54"/>
        </w:rPr>
        <w:t xml:space="preserve">16.4 </w:t>
      </w:r>
      <w:r>
        <w:rPr>
          <w:rStyle w:val="54"/>
          <w:rFonts w:hint="eastAsia"/>
        </w:rPr>
        <w:t>以其他方式已补偿的损失</w:t>
      </w:r>
      <w:r>
        <w:tab/>
      </w:r>
      <w:r>
        <w:fldChar w:fldCharType="begin"/>
      </w:r>
      <w:r>
        <w:instrText xml:space="preserve"> PAGEREF _Toc516399830 \h </w:instrText>
      </w:r>
      <w:r>
        <w:fldChar w:fldCharType="separate"/>
      </w:r>
      <w:r>
        <w:t>115</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"_Toc516399831" </w:instrText>
      </w:r>
      <w:r>
        <w:fldChar w:fldCharType="separate"/>
      </w:r>
      <w:r>
        <w:rPr>
          <w:rStyle w:val="54"/>
        </w:rPr>
        <w:t xml:space="preserve">16.5 </w:t>
      </w:r>
      <w:r>
        <w:rPr>
          <w:rStyle w:val="54"/>
          <w:rFonts w:hint="eastAsia"/>
        </w:rPr>
        <w:t>补偿事件的通知</w:t>
      </w:r>
      <w:r>
        <w:tab/>
      </w:r>
      <w:r>
        <w:fldChar w:fldCharType="begin"/>
      </w:r>
      <w:r>
        <w:instrText xml:space="preserve"> PAGEREF _Toc516399831 \h </w:instrText>
      </w:r>
      <w:r>
        <w:fldChar w:fldCharType="separate"/>
      </w:r>
      <w:r>
        <w:t>115</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"_Toc516399832" </w:instrText>
      </w:r>
      <w:r>
        <w:fldChar w:fldCharType="separate"/>
      </w:r>
      <w:r>
        <w:rPr>
          <w:rStyle w:val="54"/>
        </w:rPr>
        <w:t xml:space="preserve">16.6 </w:t>
      </w:r>
      <w:r>
        <w:rPr>
          <w:rStyle w:val="54"/>
          <w:rFonts w:hint="eastAsia"/>
        </w:rPr>
        <w:t>谈判期</w:t>
      </w:r>
      <w:r>
        <w:tab/>
      </w:r>
      <w:r>
        <w:fldChar w:fldCharType="begin"/>
      </w:r>
      <w:r>
        <w:instrText xml:space="preserve"> PAGEREF _Toc516399832 \h </w:instrText>
      </w:r>
      <w:r>
        <w:fldChar w:fldCharType="separate"/>
      </w:r>
      <w:r>
        <w:t>115</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"_Toc516399833" </w:instrText>
      </w:r>
      <w:r>
        <w:fldChar w:fldCharType="separate"/>
      </w:r>
      <w:r>
        <w:rPr>
          <w:rStyle w:val="54"/>
        </w:rPr>
        <w:t xml:space="preserve">16.7 </w:t>
      </w:r>
      <w:r>
        <w:rPr>
          <w:rStyle w:val="54"/>
          <w:rFonts w:hint="eastAsia"/>
        </w:rPr>
        <w:t>对责任的限制</w:t>
      </w:r>
      <w:r>
        <w:tab/>
      </w:r>
      <w:r>
        <w:fldChar w:fldCharType="begin"/>
      </w:r>
      <w:r>
        <w:instrText xml:space="preserve"> PAGEREF _Toc516399833 \h </w:instrText>
      </w:r>
      <w:r>
        <w:fldChar w:fldCharType="separate"/>
      </w:r>
      <w:r>
        <w:t>115</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"_Toc516399834" </w:instrText>
      </w:r>
      <w:r>
        <w:fldChar w:fldCharType="separate"/>
      </w:r>
      <w:r>
        <w:rPr>
          <w:rStyle w:val="54"/>
          <w:rFonts w:hint="eastAsia" w:eastAsia="黑体"/>
        </w:rPr>
        <w:t>第</w:t>
      </w:r>
      <w:r>
        <w:rPr>
          <w:rStyle w:val="54"/>
          <w:rFonts w:eastAsia="黑体"/>
        </w:rPr>
        <w:t xml:space="preserve"> 17 </w:t>
      </w:r>
      <w:r>
        <w:rPr>
          <w:rStyle w:val="54"/>
          <w:rFonts w:hint="eastAsia" w:eastAsia="黑体"/>
        </w:rPr>
        <w:t>条</w:t>
      </w:r>
      <w:r>
        <w:rPr>
          <w:rStyle w:val="54"/>
          <w:rFonts w:eastAsia="黑体"/>
        </w:rPr>
        <w:t xml:space="preserve"> </w:t>
      </w:r>
      <w:r>
        <w:rPr>
          <w:rStyle w:val="54"/>
          <w:rFonts w:hint="eastAsia" w:eastAsia="黑体"/>
        </w:rPr>
        <w:t>违约赔偿</w:t>
      </w:r>
      <w:r>
        <w:tab/>
      </w:r>
      <w:r>
        <w:fldChar w:fldCharType="begin"/>
      </w:r>
      <w:r>
        <w:instrText xml:space="preserve"> PAGEREF _Toc516399834 \h </w:instrText>
      </w:r>
      <w:r>
        <w:fldChar w:fldCharType="separate"/>
      </w:r>
      <w:r>
        <w:t>115</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"_Toc516399835" </w:instrText>
      </w:r>
      <w:r>
        <w:fldChar w:fldCharType="separate"/>
      </w:r>
      <w:r>
        <w:rPr>
          <w:rStyle w:val="54"/>
        </w:rPr>
        <w:t xml:space="preserve">17.1 </w:t>
      </w:r>
      <w:r>
        <w:rPr>
          <w:rStyle w:val="54"/>
          <w:rFonts w:hint="eastAsia"/>
        </w:rPr>
        <w:t>赔偿</w:t>
      </w:r>
      <w:r>
        <w:tab/>
      </w:r>
      <w:r>
        <w:fldChar w:fldCharType="begin"/>
      </w:r>
      <w:r>
        <w:instrText xml:space="preserve"> PAGEREF _Toc516399835 \h </w:instrText>
      </w:r>
      <w:r>
        <w:fldChar w:fldCharType="separate"/>
      </w:r>
      <w:r>
        <w:t>115</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"_Toc516399836" </w:instrText>
      </w:r>
      <w:r>
        <w:fldChar w:fldCharType="separate"/>
      </w:r>
      <w:r>
        <w:rPr>
          <w:rStyle w:val="54"/>
        </w:rPr>
        <w:t xml:space="preserve">17.2 </w:t>
      </w:r>
      <w:r>
        <w:rPr>
          <w:rStyle w:val="54"/>
          <w:rFonts w:hint="eastAsia"/>
        </w:rPr>
        <w:t>免责</w:t>
      </w:r>
      <w:r>
        <w:tab/>
      </w:r>
      <w:r>
        <w:fldChar w:fldCharType="begin"/>
      </w:r>
      <w:r>
        <w:instrText xml:space="preserve"> PAGEREF _Toc516399836 \h </w:instrText>
      </w:r>
      <w:r>
        <w:fldChar w:fldCharType="separate"/>
      </w:r>
      <w:r>
        <w:t>116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"_Toc516399837" </w:instrText>
      </w:r>
      <w:r>
        <w:fldChar w:fldCharType="separate"/>
      </w:r>
      <w:r>
        <w:rPr>
          <w:rStyle w:val="54"/>
        </w:rPr>
        <w:t xml:space="preserve">17.3 </w:t>
      </w:r>
      <w:r>
        <w:rPr>
          <w:rStyle w:val="54"/>
          <w:rFonts w:hint="eastAsia"/>
        </w:rPr>
        <w:t>减轻损失的措施</w:t>
      </w:r>
      <w:r>
        <w:tab/>
      </w:r>
      <w:r>
        <w:fldChar w:fldCharType="begin"/>
      </w:r>
      <w:r>
        <w:instrText xml:space="preserve"> PAGEREF _Toc516399837 \h </w:instrText>
      </w:r>
      <w:r>
        <w:fldChar w:fldCharType="separate"/>
      </w:r>
      <w:r>
        <w:t>116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"_Toc516399838" </w:instrText>
      </w:r>
      <w:r>
        <w:fldChar w:fldCharType="separate"/>
      </w:r>
      <w:r>
        <w:rPr>
          <w:rStyle w:val="54"/>
        </w:rPr>
        <w:t xml:space="preserve">17.4 </w:t>
      </w:r>
      <w:r>
        <w:rPr>
          <w:rStyle w:val="54"/>
          <w:rFonts w:hint="eastAsia"/>
        </w:rPr>
        <w:t>部分由于受损害方造成的损失</w:t>
      </w:r>
      <w:r>
        <w:tab/>
      </w:r>
      <w:r>
        <w:fldChar w:fldCharType="begin"/>
      </w:r>
      <w:r>
        <w:instrText xml:space="preserve"> PAGEREF _Toc516399838 \h </w:instrText>
      </w:r>
      <w:r>
        <w:fldChar w:fldCharType="separate"/>
      </w:r>
      <w:r>
        <w:t>116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"_Toc516399839" </w:instrText>
      </w:r>
      <w:r>
        <w:fldChar w:fldCharType="separate"/>
      </w:r>
      <w:r>
        <w:rPr>
          <w:rStyle w:val="54"/>
        </w:rPr>
        <w:t xml:space="preserve">17.5 </w:t>
      </w:r>
      <w:r>
        <w:rPr>
          <w:rStyle w:val="54"/>
          <w:rFonts w:hint="eastAsia"/>
        </w:rPr>
        <w:t>对间接损失不负责任</w:t>
      </w:r>
      <w:r>
        <w:tab/>
      </w:r>
      <w:r>
        <w:fldChar w:fldCharType="begin"/>
      </w:r>
      <w:r>
        <w:instrText xml:space="preserve"> PAGEREF _Toc516399839 \h </w:instrText>
      </w:r>
      <w:r>
        <w:fldChar w:fldCharType="separate"/>
      </w:r>
      <w:r>
        <w:t>116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"_Toc516399840" </w:instrText>
      </w:r>
      <w:r>
        <w:fldChar w:fldCharType="separate"/>
      </w:r>
      <w:r>
        <w:rPr>
          <w:rStyle w:val="54"/>
        </w:rPr>
        <w:t xml:space="preserve">17.6 </w:t>
      </w:r>
      <w:r>
        <w:rPr>
          <w:rStyle w:val="54"/>
          <w:rFonts w:hint="eastAsia"/>
        </w:rPr>
        <w:t>补救之累积</w:t>
      </w:r>
      <w:r>
        <w:tab/>
      </w:r>
      <w:r>
        <w:fldChar w:fldCharType="begin"/>
      </w:r>
      <w:r>
        <w:instrText xml:space="preserve"> PAGEREF _Toc516399840 \h </w:instrText>
      </w:r>
      <w:r>
        <w:fldChar w:fldCharType="separate"/>
      </w:r>
      <w:r>
        <w:t>116</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"_Toc516399841" </w:instrText>
      </w:r>
      <w:r>
        <w:fldChar w:fldCharType="separate"/>
      </w:r>
      <w:r>
        <w:rPr>
          <w:rStyle w:val="54"/>
          <w:rFonts w:hint="eastAsia" w:eastAsia="黑体"/>
        </w:rPr>
        <w:t>第</w:t>
      </w:r>
      <w:r>
        <w:rPr>
          <w:rStyle w:val="54"/>
          <w:rFonts w:eastAsia="黑体"/>
        </w:rPr>
        <w:t xml:space="preserve"> 18 </w:t>
      </w:r>
      <w:r>
        <w:rPr>
          <w:rStyle w:val="54"/>
          <w:rFonts w:hint="eastAsia" w:eastAsia="黑体"/>
        </w:rPr>
        <w:t>条</w:t>
      </w:r>
      <w:r>
        <w:rPr>
          <w:rStyle w:val="54"/>
          <w:rFonts w:eastAsia="黑体"/>
        </w:rPr>
        <w:t xml:space="preserve"> </w:t>
      </w:r>
      <w:r>
        <w:rPr>
          <w:rStyle w:val="54"/>
          <w:rFonts w:hint="eastAsia" w:eastAsia="黑体"/>
        </w:rPr>
        <w:t>争议的解决</w:t>
      </w:r>
      <w:r>
        <w:tab/>
      </w:r>
      <w:r>
        <w:fldChar w:fldCharType="begin"/>
      </w:r>
      <w:r>
        <w:instrText xml:space="preserve"> PAGEREF _Toc516399841 \h </w:instrText>
      </w:r>
      <w:r>
        <w:fldChar w:fldCharType="separate"/>
      </w:r>
      <w:r>
        <w:t>116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"_Toc516399842" </w:instrText>
      </w:r>
      <w:r>
        <w:fldChar w:fldCharType="separate"/>
      </w:r>
      <w:r>
        <w:rPr>
          <w:rStyle w:val="54"/>
        </w:rPr>
        <w:t xml:space="preserve">18.1 </w:t>
      </w:r>
      <w:r>
        <w:rPr>
          <w:rStyle w:val="54"/>
          <w:rFonts w:hint="eastAsia"/>
        </w:rPr>
        <w:t>协商解决</w:t>
      </w:r>
      <w:r>
        <w:tab/>
      </w:r>
      <w:r>
        <w:fldChar w:fldCharType="begin"/>
      </w:r>
      <w:r>
        <w:instrText xml:space="preserve"> PAGEREF _Toc516399842 \h </w:instrText>
      </w:r>
      <w:r>
        <w:fldChar w:fldCharType="separate"/>
      </w:r>
      <w:r>
        <w:t>116</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"_Toc516399843" </w:instrText>
      </w:r>
      <w:r>
        <w:fldChar w:fldCharType="separate"/>
      </w:r>
      <w:r>
        <w:rPr>
          <w:rStyle w:val="54"/>
        </w:rPr>
        <w:t xml:space="preserve">18.2 </w:t>
      </w:r>
      <w:r>
        <w:rPr>
          <w:rStyle w:val="54"/>
          <w:rFonts w:hint="eastAsia"/>
        </w:rPr>
        <w:t>诉讼</w:t>
      </w:r>
      <w:r>
        <w:tab/>
      </w:r>
      <w:r>
        <w:fldChar w:fldCharType="begin"/>
      </w:r>
      <w:r>
        <w:instrText xml:space="preserve"> PAGEREF _Toc516399843 \h </w:instrText>
      </w:r>
      <w:r>
        <w:fldChar w:fldCharType="separate"/>
      </w:r>
      <w:r>
        <w:t>117</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"_Toc516399844" </w:instrText>
      </w:r>
      <w:r>
        <w:fldChar w:fldCharType="separate"/>
      </w:r>
      <w:r>
        <w:rPr>
          <w:rStyle w:val="54"/>
          <w:rFonts w:hint="eastAsia" w:eastAsia="黑体"/>
        </w:rPr>
        <w:t>第</w:t>
      </w:r>
      <w:r>
        <w:rPr>
          <w:rStyle w:val="54"/>
          <w:rFonts w:eastAsia="黑体"/>
        </w:rPr>
        <w:t xml:space="preserve"> 19 </w:t>
      </w:r>
      <w:r>
        <w:rPr>
          <w:rStyle w:val="54"/>
          <w:rFonts w:hint="eastAsia" w:eastAsia="黑体"/>
        </w:rPr>
        <w:t>条</w:t>
      </w:r>
      <w:r>
        <w:rPr>
          <w:rStyle w:val="54"/>
          <w:rFonts w:eastAsia="黑体"/>
        </w:rPr>
        <w:t xml:space="preserve"> </w:t>
      </w:r>
      <w:r>
        <w:rPr>
          <w:rStyle w:val="54"/>
          <w:rFonts w:hint="eastAsia" w:eastAsia="黑体"/>
        </w:rPr>
        <w:t>其他条款</w:t>
      </w:r>
      <w:r>
        <w:tab/>
      </w:r>
      <w:r>
        <w:fldChar w:fldCharType="begin"/>
      </w:r>
      <w:r>
        <w:instrText xml:space="preserve"> PAGEREF _Toc516399844 \h </w:instrText>
      </w:r>
      <w:r>
        <w:fldChar w:fldCharType="separate"/>
      </w:r>
      <w:r>
        <w:t>117</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"_Toc516399845" </w:instrText>
      </w:r>
      <w:r>
        <w:fldChar w:fldCharType="separate"/>
      </w:r>
      <w:r>
        <w:rPr>
          <w:rStyle w:val="54"/>
        </w:rPr>
        <w:t xml:space="preserve">19.1 </w:t>
      </w:r>
      <w:r>
        <w:rPr>
          <w:rStyle w:val="54"/>
          <w:rFonts w:hint="eastAsia"/>
        </w:rPr>
        <w:t>协议的解释规则</w:t>
      </w:r>
      <w:r>
        <w:tab/>
      </w:r>
      <w:r>
        <w:fldChar w:fldCharType="begin"/>
      </w:r>
      <w:r>
        <w:instrText xml:space="preserve"> PAGEREF _Toc516399845 \h </w:instrText>
      </w:r>
      <w:r>
        <w:fldChar w:fldCharType="separate"/>
      </w:r>
      <w:r>
        <w:t>117</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"_Toc516399846" </w:instrText>
      </w:r>
      <w:r>
        <w:fldChar w:fldCharType="separate"/>
      </w:r>
      <w:r>
        <w:rPr>
          <w:rStyle w:val="54"/>
        </w:rPr>
        <w:t xml:space="preserve">19.2 </w:t>
      </w:r>
      <w:r>
        <w:rPr>
          <w:rStyle w:val="54"/>
          <w:rFonts w:hint="eastAsia"/>
        </w:rPr>
        <w:t>保密</w:t>
      </w:r>
      <w:r>
        <w:tab/>
      </w:r>
      <w:r>
        <w:fldChar w:fldCharType="begin"/>
      </w:r>
      <w:r>
        <w:instrText xml:space="preserve"> PAGEREF _Toc516399846 \h </w:instrText>
      </w:r>
      <w:r>
        <w:fldChar w:fldCharType="separate"/>
      </w:r>
      <w:r>
        <w:t>118</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"_Toc516399847" </w:instrText>
      </w:r>
      <w:r>
        <w:fldChar w:fldCharType="separate"/>
      </w:r>
      <w:r>
        <w:rPr>
          <w:rStyle w:val="54"/>
        </w:rPr>
        <w:t xml:space="preserve">19.3 </w:t>
      </w:r>
      <w:r>
        <w:rPr>
          <w:rStyle w:val="54"/>
          <w:rFonts w:hint="eastAsia"/>
        </w:rPr>
        <w:t>合作义务和预先警告通知</w:t>
      </w:r>
      <w:r>
        <w:tab/>
      </w:r>
      <w:r>
        <w:fldChar w:fldCharType="begin"/>
      </w:r>
      <w:r>
        <w:instrText xml:space="preserve"> PAGEREF _Toc516399847 \h </w:instrText>
      </w:r>
      <w:r>
        <w:fldChar w:fldCharType="separate"/>
      </w:r>
      <w:r>
        <w:t>118</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"_Toc516399848" </w:instrText>
      </w:r>
      <w:r>
        <w:fldChar w:fldCharType="separate"/>
      </w:r>
      <w:r>
        <w:rPr>
          <w:rStyle w:val="54"/>
        </w:rPr>
        <w:t xml:space="preserve">19.4 </w:t>
      </w:r>
      <w:r>
        <w:rPr>
          <w:rStyle w:val="54"/>
          <w:rFonts w:hint="eastAsia"/>
        </w:rPr>
        <w:t>通知</w:t>
      </w:r>
      <w:r>
        <w:tab/>
      </w:r>
      <w:r>
        <w:fldChar w:fldCharType="begin"/>
      </w:r>
      <w:r>
        <w:instrText xml:space="preserve"> PAGEREF _Toc516399848 \h </w:instrText>
      </w:r>
      <w:r>
        <w:fldChar w:fldCharType="separate"/>
      </w:r>
      <w:r>
        <w:t>118</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"_Toc516399849" </w:instrText>
      </w:r>
      <w:r>
        <w:fldChar w:fldCharType="separate"/>
      </w:r>
      <w:r>
        <w:rPr>
          <w:rStyle w:val="54"/>
        </w:rPr>
        <w:t xml:space="preserve">19.5 </w:t>
      </w:r>
      <w:r>
        <w:rPr>
          <w:rStyle w:val="54"/>
          <w:rFonts w:hint="eastAsia"/>
        </w:rPr>
        <w:t>协议文字和文本</w:t>
      </w:r>
      <w:r>
        <w:tab/>
      </w:r>
      <w:r>
        <w:fldChar w:fldCharType="begin"/>
      </w:r>
      <w:r>
        <w:instrText xml:space="preserve"> PAGEREF _Toc516399849 \h </w:instrText>
      </w:r>
      <w:r>
        <w:fldChar w:fldCharType="separate"/>
      </w:r>
      <w:r>
        <w:t>119</w:t>
      </w:r>
      <w:r>
        <w:fldChar w:fldCharType="end"/>
      </w:r>
      <w:r>
        <w:fldChar w:fldCharType="end"/>
      </w:r>
    </w:p>
    <w:p>
      <w:pPr>
        <w:pStyle w:val="25"/>
        <w:ind w:left="1260" w:hanging="420"/>
        <w:rPr>
          <w:rFonts w:asciiTheme="minorHAnsi" w:hAnsiTheme="minorHAnsi" w:eastAsiaTheme="minorEastAsia" w:cstheme="minorBidi"/>
          <w:szCs w:val="22"/>
        </w:rPr>
      </w:pPr>
      <w:r>
        <w:fldChar w:fldCharType="begin"/>
      </w:r>
      <w:r>
        <w:instrText xml:space="preserve"> HYPERLINK \l "_Toc516399850" </w:instrText>
      </w:r>
      <w:r>
        <w:fldChar w:fldCharType="separate"/>
      </w:r>
      <w:r>
        <w:rPr>
          <w:rStyle w:val="54"/>
        </w:rPr>
        <w:t xml:space="preserve">19.6 </w:t>
      </w:r>
      <w:r>
        <w:rPr>
          <w:rStyle w:val="54"/>
          <w:rFonts w:hint="eastAsia"/>
        </w:rPr>
        <w:t>生效</w:t>
      </w:r>
      <w:r>
        <w:tab/>
      </w:r>
      <w:r>
        <w:fldChar w:fldCharType="begin"/>
      </w:r>
      <w:r>
        <w:instrText xml:space="preserve"> PAGEREF _Toc516399850 \h </w:instrText>
      </w:r>
      <w:r>
        <w:fldChar w:fldCharType="separate"/>
      </w:r>
      <w:r>
        <w:t>119</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"_Toc516399851" </w:instrText>
      </w:r>
      <w:r>
        <w:fldChar w:fldCharType="separate"/>
      </w:r>
      <w:r>
        <w:rPr>
          <w:rStyle w:val="54"/>
          <w:rFonts w:hint="eastAsia" w:eastAsia="黑体"/>
        </w:rPr>
        <w:t>附件一政府批复文件</w:t>
      </w:r>
      <w:r>
        <w:tab/>
      </w:r>
      <w:r>
        <w:fldChar w:fldCharType="begin"/>
      </w:r>
      <w:r>
        <w:instrText xml:space="preserve"> PAGEREF _Toc516399851 \h </w:instrText>
      </w:r>
      <w:r>
        <w:fldChar w:fldCharType="separate"/>
      </w:r>
      <w:r>
        <w:t>121</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"_Toc516399852" </w:instrText>
      </w:r>
      <w:r>
        <w:fldChar w:fldCharType="separate"/>
      </w:r>
      <w:r>
        <w:rPr>
          <w:rStyle w:val="54"/>
          <w:rFonts w:hint="eastAsia" w:eastAsia="黑体"/>
        </w:rPr>
        <w:t>附件二</w:t>
      </w:r>
      <w:r>
        <w:rPr>
          <w:rStyle w:val="54"/>
          <w:rFonts w:eastAsia="黑体"/>
        </w:rPr>
        <w:t xml:space="preserve"> </w:t>
      </w:r>
      <w:r>
        <w:rPr>
          <w:rStyle w:val="54"/>
          <w:rFonts w:hint="eastAsia" w:eastAsia="黑体"/>
        </w:rPr>
        <w:t>履约保函格式</w:t>
      </w:r>
      <w:r>
        <w:tab/>
      </w:r>
      <w:r>
        <w:fldChar w:fldCharType="begin"/>
      </w:r>
      <w:r>
        <w:instrText xml:space="preserve"> PAGEREF _Toc516399852 \h </w:instrText>
      </w:r>
      <w:r>
        <w:fldChar w:fldCharType="separate"/>
      </w:r>
      <w:r>
        <w:t>122</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"_Toc516399853" </w:instrText>
      </w:r>
      <w:r>
        <w:fldChar w:fldCharType="separate"/>
      </w:r>
      <w:r>
        <w:rPr>
          <w:rStyle w:val="54"/>
          <w:rFonts w:hint="eastAsia" w:eastAsia="黑体"/>
        </w:rPr>
        <w:t>附件三</w:t>
      </w:r>
      <w:r>
        <w:rPr>
          <w:rStyle w:val="54"/>
          <w:rFonts w:eastAsia="黑体"/>
        </w:rPr>
        <w:t xml:space="preserve"> </w:t>
      </w:r>
      <w:r>
        <w:rPr>
          <w:rStyle w:val="54"/>
          <w:rFonts w:hint="eastAsia" w:eastAsia="黑体"/>
        </w:rPr>
        <w:t>运营管理要求及考核办法</w:t>
      </w:r>
      <w:r>
        <w:tab/>
      </w:r>
      <w:r>
        <w:fldChar w:fldCharType="begin"/>
      </w:r>
      <w:r>
        <w:instrText xml:space="preserve"> PAGEREF _Toc516399853 \h </w:instrText>
      </w:r>
      <w:r>
        <w:fldChar w:fldCharType="separate"/>
      </w:r>
      <w:r>
        <w:t>124</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"_Toc516399858" </w:instrText>
      </w:r>
      <w:r>
        <w:fldChar w:fldCharType="separate"/>
      </w:r>
      <w:r>
        <w:rPr>
          <w:rStyle w:val="54"/>
          <w:rFonts w:hint="eastAsia" w:eastAsia="黑体"/>
        </w:rPr>
        <w:t>附件四</w:t>
      </w:r>
      <w:r>
        <w:rPr>
          <w:rStyle w:val="54"/>
          <w:rFonts w:eastAsia="黑体"/>
        </w:rPr>
        <w:t xml:space="preserve"> </w:t>
      </w:r>
      <w:r>
        <w:rPr>
          <w:rStyle w:val="54"/>
          <w:rFonts w:hint="eastAsia" w:eastAsia="黑体"/>
        </w:rPr>
        <w:t>保险</w:t>
      </w:r>
      <w:r>
        <w:tab/>
      </w:r>
      <w:r>
        <w:fldChar w:fldCharType="begin"/>
      </w:r>
      <w:r>
        <w:instrText xml:space="preserve"> PAGEREF _Toc516399858 \h </w:instrText>
      </w:r>
      <w:r>
        <w:fldChar w:fldCharType="separate"/>
      </w:r>
      <w:r>
        <w:t>134</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"_Toc516399859" </w:instrText>
      </w:r>
      <w:r>
        <w:fldChar w:fldCharType="separate"/>
      </w:r>
      <w:r>
        <w:rPr>
          <w:rStyle w:val="54"/>
          <w:rFonts w:hint="eastAsia" w:eastAsia="黑体"/>
        </w:rPr>
        <w:t>附件五</w:t>
      </w:r>
      <w:r>
        <w:rPr>
          <w:rStyle w:val="54"/>
          <w:rFonts w:eastAsia="黑体"/>
        </w:rPr>
        <w:t xml:space="preserve"> </w:t>
      </w:r>
      <w:r>
        <w:rPr>
          <w:rStyle w:val="54"/>
          <w:rFonts w:hint="eastAsia" w:eastAsia="黑体"/>
        </w:rPr>
        <w:t>联合体协议（如有）</w:t>
      </w:r>
      <w:r>
        <w:tab/>
      </w:r>
      <w:r>
        <w:fldChar w:fldCharType="begin"/>
      </w:r>
      <w:r>
        <w:instrText xml:space="preserve"> PAGEREF _Toc516399859 \h </w:instrText>
      </w:r>
      <w:r>
        <w:fldChar w:fldCharType="separate"/>
      </w:r>
      <w:r>
        <w:t>135</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"_Toc516399861" </w:instrText>
      </w:r>
      <w:r>
        <w:fldChar w:fldCharType="separate"/>
      </w:r>
      <w:r>
        <w:rPr>
          <w:rStyle w:val="54"/>
          <w:rFonts w:hint="eastAsia" w:eastAsia="黑体"/>
        </w:rPr>
        <w:t>附件六</w:t>
      </w:r>
      <w:r>
        <w:rPr>
          <w:rStyle w:val="54"/>
          <w:rFonts w:eastAsia="黑体"/>
        </w:rPr>
        <w:t xml:space="preserve"> </w:t>
      </w:r>
      <w:r>
        <w:rPr>
          <w:rStyle w:val="54"/>
          <w:rFonts w:hint="eastAsia" w:eastAsia="黑体"/>
        </w:rPr>
        <w:t>招标要求、投标承诺及确认谈判补充事项</w:t>
      </w:r>
      <w:r>
        <w:tab/>
      </w:r>
      <w:r>
        <w:fldChar w:fldCharType="begin"/>
      </w:r>
      <w:r>
        <w:instrText xml:space="preserve"> PAGEREF _Toc516399861 \h </w:instrText>
      </w:r>
      <w:r>
        <w:fldChar w:fldCharType="separate"/>
      </w:r>
      <w:r>
        <w:t>136</w:t>
      </w:r>
      <w:r>
        <w:fldChar w:fldCharType="end"/>
      </w:r>
      <w:r>
        <w:fldChar w:fldCharType="end"/>
      </w:r>
    </w:p>
    <w:p>
      <w:pPr>
        <w:pStyle w:val="42"/>
        <w:rPr>
          <w:rFonts w:asciiTheme="minorHAnsi" w:hAnsiTheme="minorHAnsi" w:eastAsiaTheme="minorEastAsia" w:cstheme="minorBidi"/>
          <w:szCs w:val="22"/>
        </w:rPr>
      </w:pPr>
      <w:r>
        <w:fldChar w:fldCharType="begin"/>
      </w:r>
      <w:r>
        <w:instrText xml:space="preserve"> HYPERLINK \l "_Toc516399862" </w:instrText>
      </w:r>
      <w:r>
        <w:fldChar w:fldCharType="separate"/>
      </w:r>
      <w:r>
        <w:rPr>
          <w:rStyle w:val="54"/>
          <w:rFonts w:hint="eastAsia" w:eastAsia="黑体"/>
        </w:rPr>
        <w:t>附件七</w:t>
      </w:r>
      <w:r>
        <w:rPr>
          <w:rStyle w:val="54"/>
          <w:rFonts w:eastAsia="黑体"/>
        </w:rPr>
        <w:t xml:space="preserve"> </w:t>
      </w:r>
      <w:r>
        <w:rPr>
          <w:rStyle w:val="54"/>
          <w:rFonts w:hint="eastAsia" w:eastAsia="黑体"/>
        </w:rPr>
        <w:t>确认谈判通知函</w:t>
      </w:r>
      <w:r>
        <w:tab/>
      </w:r>
      <w:r>
        <w:fldChar w:fldCharType="begin"/>
      </w:r>
      <w:r>
        <w:instrText xml:space="preserve"> PAGEREF _Toc516399862 \h </w:instrText>
      </w:r>
      <w:r>
        <w:fldChar w:fldCharType="separate"/>
      </w:r>
      <w:r>
        <w:t>137</w:t>
      </w:r>
      <w:r>
        <w:fldChar w:fldCharType="end"/>
      </w:r>
      <w:r>
        <w:fldChar w:fldCharType="end"/>
      </w:r>
    </w:p>
    <w:p>
      <w:pPr>
        <w:pStyle w:val="42"/>
        <w:tabs>
          <w:tab w:val="right" w:leader="dot" w:pos="8647"/>
          <w:tab w:val="clear" w:pos="8018"/>
        </w:tabs>
        <w:rPr>
          <w:color w:val="000000" w:themeColor="text1"/>
          <w14:textFill>
            <w14:solidFill>
              <w14:schemeClr w14:val="tx1"/>
            </w14:solidFill>
          </w14:textFill>
        </w:rPr>
        <w:sectPr>
          <w:pgSz w:w="11907" w:h="16839"/>
          <w:pgMar w:top="1418" w:right="1588" w:bottom="1418" w:left="1588" w:header="720" w:footer="720" w:gutter="0"/>
          <w:cols w:space="720" w:num="1"/>
        </w:sectPr>
      </w:pPr>
      <w:r>
        <w:rPr>
          <w:color w:val="000000" w:themeColor="text1"/>
          <w:sz w:val="24"/>
          <w14:textFill>
            <w14:solidFill>
              <w14:schemeClr w14:val="tx1"/>
            </w14:solidFill>
          </w14:textFill>
        </w:rPr>
        <w:fldChar w:fldCharType="end"/>
      </w:r>
    </w:p>
    <w:p>
      <w:pPr>
        <w:pStyle w:val="310"/>
        <w:spacing w:line="360" w:lineRule="auto"/>
        <w:jc w:val="center"/>
        <w:rPr>
          <w:rFonts w:ascii="Times New Roman" w:eastAsia="黑体" w:cs="Times New Roman"/>
          <w:color w:val="000000" w:themeColor="text1"/>
          <w:sz w:val="30"/>
          <w:szCs w:val="30"/>
          <w14:textFill>
            <w14:solidFill>
              <w14:schemeClr w14:val="tx1"/>
            </w14:solidFill>
          </w14:textFill>
        </w:rPr>
      </w:pPr>
      <w:r>
        <w:rPr>
          <w:rFonts w:hint="eastAsia" w:ascii="Times New Roman" w:eastAsia="黑体" w:cs="Times New Roman"/>
          <w:color w:val="000000" w:themeColor="text1"/>
          <w:sz w:val="30"/>
          <w:szCs w:val="30"/>
          <w14:textFill>
            <w14:solidFill>
              <w14:schemeClr w14:val="tx1"/>
            </w14:solidFill>
          </w14:textFill>
        </w:rPr>
        <w:t>艮山东路过江隧道工程</w:t>
      </w:r>
    </w:p>
    <w:p>
      <w:pPr>
        <w:pStyle w:val="310"/>
        <w:spacing w:line="360" w:lineRule="auto"/>
        <w:jc w:val="center"/>
        <w:rPr>
          <w:rFonts w:ascii="Times New Roman" w:eastAsia="宋体" w:cs="Times New Roman"/>
          <w:color w:val="000000" w:themeColor="text1"/>
          <w:sz w:val="30"/>
          <w:szCs w:val="30"/>
          <w14:textFill>
            <w14:solidFill>
              <w14:schemeClr w14:val="tx1"/>
            </w14:solidFill>
          </w14:textFill>
        </w:rPr>
      </w:pPr>
      <w:r>
        <w:rPr>
          <w:rFonts w:ascii="Times New Roman" w:eastAsia="黑体" w:cs="Times New Roman"/>
          <w:color w:val="000000" w:themeColor="text1"/>
          <w:sz w:val="30"/>
          <w:szCs w:val="30"/>
          <w14:textFill>
            <w14:solidFill>
              <w14:schemeClr w14:val="tx1"/>
            </w14:solidFill>
          </w14:textFill>
        </w:rPr>
        <w:t>PPP</w:t>
      </w:r>
      <w:r>
        <w:rPr>
          <w:rFonts w:hint="eastAsia" w:ascii="Times New Roman" w:eastAsia="黑体" w:cs="Times New Roman"/>
          <w:color w:val="000000" w:themeColor="text1"/>
          <w:sz w:val="30"/>
          <w:szCs w:val="30"/>
          <w14:textFill>
            <w14:solidFill>
              <w14:schemeClr w14:val="tx1"/>
            </w14:solidFill>
          </w14:textFill>
        </w:rPr>
        <w:t>项目合同</w:t>
      </w:r>
    </w:p>
    <w:p>
      <w:pPr>
        <w:pStyle w:val="310"/>
        <w:spacing w:line="386" w:lineRule="exact"/>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本合同由下列双方于</w:t>
      </w:r>
      <w:r>
        <w:rPr>
          <w:rFonts w:ascii="Times New Roman" w:eastAsia="宋体" w:cs="Times New Roman"/>
          <w:color w:val="000000" w:themeColor="text1"/>
          <w:sz w:val="21"/>
          <w:szCs w:val="21"/>
          <w14:textFill>
            <w14:solidFill>
              <w14:schemeClr w14:val="tx1"/>
            </w14:solidFill>
          </w14:textFill>
        </w:rPr>
        <w:t>2018</w:t>
      </w:r>
      <w:r>
        <w:rPr>
          <w:rFonts w:hint="eastAsia" w:ascii="Times New Roman" w:eastAsia="宋体" w:cs="Times New Roman"/>
          <w:color w:val="000000" w:themeColor="text1"/>
          <w:sz w:val="21"/>
          <w:szCs w:val="21"/>
          <w14:textFill>
            <w14:solidFill>
              <w14:schemeClr w14:val="tx1"/>
            </w14:solidFill>
          </w14:textFill>
        </w:rPr>
        <w:t>年【</w:t>
      </w: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】月【】日在</w:t>
      </w:r>
      <w:r>
        <w:rPr>
          <w:rFonts w:hint="eastAsia" w:ascii="Times New Roman" w:eastAsia="宋体" w:cs="Times New Roman"/>
          <w:color w:val="000000" w:themeColor="text1"/>
          <w:sz w:val="21"/>
          <w:szCs w:val="21"/>
          <w:u w:val="single"/>
          <w14:textFill>
            <w14:solidFill>
              <w14:schemeClr w14:val="tx1"/>
            </w14:solidFill>
          </w14:textFill>
        </w:rPr>
        <w:t>浙江省杭州市</w:t>
      </w:r>
      <w:r>
        <w:rPr>
          <w:rFonts w:hint="eastAsia" w:ascii="Times New Roman" w:eastAsia="宋体" w:cs="Times New Roman"/>
          <w:color w:val="000000" w:themeColor="text1"/>
          <w:sz w:val="21"/>
          <w:szCs w:val="21"/>
          <w14:textFill>
            <w14:solidFill>
              <w14:schemeClr w14:val="tx1"/>
            </w14:solidFill>
          </w14:textFill>
        </w:rPr>
        <w:t>签署：</w:t>
      </w:r>
    </w:p>
    <w:p>
      <w:pPr>
        <w:pStyle w:val="310"/>
        <w:spacing w:line="386" w:lineRule="exact"/>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b/>
          <w:color w:val="000000" w:themeColor="text1"/>
          <w:sz w:val="21"/>
          <w:szCs w:val="21"/>
          <w14:textFill>
            <w14:solidFill>
              <w14:schemeClr w14:val="tx1"/>
            </w14:solidFill>
          </w14:textFill>
        </w:rPr>
        <w:t>甲方：</w:t>
      </w:r>
      <w:r>
        <w:rPr>
          <w:rFonts w:hint="eastAsia" w:ascii="Times New Roman" w:eastAsia="宋体" w:cs="Times New Roman"/>
          <w:b/>
          <w:color w:val="000000" w:themeColor="text1"/>
          <w:sz w:val="21"/>
          <w:szCs w:val="21"/>
          <w:u w:val="single"/>
          <w14:textFill>
            <w14:solidFill>
              <w14:schemeClr w14:val="tx1"/>
            </w14:solidFill>
          </w14:textFill>
        </w:rPr>
        <w:t>杭州大江东产业集聚区公路管理所</w:t>
      </w:r>
    </w:p>
    <w:p>
      <w:pPr>
        <w:pStyle w:val="310"/>
        <w:spacing w:line="386" w:lineRule="exact"/>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和</w:t>
      </w:r>
    </w:p>
    <w:p>
      <w:pPr>
        <w:pStyle w:val="310"/>
        <w:spacing w:line="386" w:lineRule="exact"/>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b/>
          <w:color w:val="000000" w:themeColor="text1"/>
          <w:sz w:val="21"/>
          <w:szCs w:val="21"/>
          <w14:textFill>
            <w14:solidFill>
              <w14:schemeClr w14:val="tx1"/>
            </w14:solidFill>
          </w14:textFill>
        </w:rPr>
        <w:t>乙方：</w:t>
      </w:r>
      <w:r>
        <w:rPr>
          <w:rFonts w:ascii="Times New Roman" w:eastAsia="宋体" w:cs="Times New Roman"/>
          <w:b/>
          <w:color w:val="000000" w:themeColor="text1"/>
          <w:sz w:val="21"/>
          <w:szCs w:val="21"/>
          <w:u w:val="single"/>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w:t>
      </w:r>
    </w:p>
    <w:p>
      <w:pPr>
        <w:pStyle w:val="310"/>
        <w:spacing w:line="386" w:lineRule="exact"/>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【社会资本签订时若为联合体，此处为联合体全体成员；正式签订时为项目公司名称】</w:t>
      </w:r>
    </w:p>
    <w:p>
      <w:pPr>
        <w:pStyle w:val="310"/>
        <w:spacing w:line="386" w:lineRule="exact"/>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鉴于：</w:t>
      </w:r>
    </w:p>
    <w:p>
      <w:pPr>
        <w:numPr>
          <w:ilvl w:val="0"/>
          <w:numId w:val="45"/>
        </w:numPr>
        <w:spacing w:line="386" w:lineRule="exac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为进一步创新杭州大江东产业集聚区及杭州经济技术开发区基础设施及公共事业领域投融资模式，缓解地方政府短期资金压力，提高项目工程建设和运营效率，杭州经济技术开发区管理委员会委托杭州大江东产业集聚区管理委员会拟采用</w:t>
      </w:r>
      <w:r>
        <w:rPr>
          <w:rFonts w:ascii="Times New Roman" w:hAnsi="Times New Roman"/>
          <w:color w:val="000000" w:themeColor="text1"/>
          <w14:textFill>
            <w14:solidFill>
              <w14:schemeClr w14:val="tx1"/>
            </w14:solidFill>
          </w14:textFill>
        </w:rPr>
        <w:t>PPP</w:t>
      </w:r>
      <w:r>
        <w:rPr>
          <w:rFonts w:hint="eastAsia" w:ascii="Times New Roman" w:hAnsi="Times New Roman"/>
          <w:color w:val="000000" w:themeColor="text1"/>
          <w14:textFill>
            <w14:solidFill>
              <w14:schemeClr w14:val="tx1"/>
            </w14:solidFill>
          </w14:textFill>
        </w:rPr>
        <w:t>（政府与社会资本合作）模式实施</w:t>
      </w:r>
      <w:r>
        <w:rPr>
          <w:rFonts w:hint="eastAsia" w:ascii="Times New Roman" w:hAnsi="Times New Roman"/>
          <w:b/>
          <w:color w:val="000000" w:themeColor="text1"/>
          <w14:textFill>
            <w14:solidFill>
              <w14:schemeClr w14:val="tx1"/>
            </w14:solidFill>
          </w14:textFill>
        </w:rPr>
        <w:t>艮山东路过江隧道工程</w:t>
      </w:r>
      <w:r>
        <w:rPr>
          <w:rFonts w:ascii="Times New Roman" w:hAnsi="Times New Roman"/>
          <w:b/>
          <w:color w:val="000000" w:themeColor="text1"/>
          <w14:textFill>
            <w14:solidFill>
              <w14:schemeClr w14:val="tx1"/>
            </w14:solidFill>
          </w14:textFill>
        </w:rPr>
        <w:t>PPP</w:t>
      </w:r>
      <w:r>
        <w:rPr>
          <w:rFonts w:hint="eastAsia" w:ascii="Times New Roman" w:hAnsi="Times New Roman"/>
          <w:b/>
          <w:color w:val="000000" w:themeColor="text1"/>
          <w14:textFill>
            <w14:solidFill>
              <w14:schemeClr w14:val="tx1"/>
            </w14:solidFill>
          </w14:textFill>
        </w:rPr>
        <w:t>项目</w:t>
      </w:r>
      <w:r>
        <w:rPr>
          <w:rFonts w:hint="eastAsia" w:ascii="Times New Roman" w:hAnsi="Times New Roman"/>
          <w:color w:val="000000" w:themeColor="text1"/>
          <w14:textFill>
            <w14:solidFill>
              <w14:schemeClr w14:val="tx1"/>
            </w14:solidFill>
          </w14:textFill>
        </w:rPr>
        <w:t>；</w:t>
      </w:r>
    </w:p>
    <w:p>
      <w:pPr>
        <w:numPr>
          <w:ilvl w:val="0"/>
          <w:numId w:val="45"/>
        </w:numPr>
        <w:spacing w:line="386" w:lineRule="exact"/>
        <w:ind w:left="590" w:hanging="16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杭州大江东产业集聚区管理委员会已同意实施</w:t>
      </w:r>
      <w:r>
        <w:rPr>
          <w:rFonts w:hint="eastAsia" w:ascii="Times New Roman" w:hAnsi="Times New Roman"/>
          <w:b/>
          <w:color w:val="000000" w:themeColor="text1"/>
          <w14:textFill>
            <w14:solidFill>
              <w14:schemeClr w14:val="tx1"/>
            </w14:solidFill>
          </w14:textFill>
        </w:rPr>
        <w:t>艮山东路过江隧道工程</w:t>
      </w:r>
      <w:r>
        <w:rPr>
          <w:rFonts w:ascii="Times New Roman" w:hAnsi="Times New Roman"/>
          <w:b/>
          <w:color w:val="000000" w:themeColor="text1"/>
          <w14:textFill>
            <w14:solidFill>
              <w14:schemeClr w14:val="tx1"/>
            </w14:solidFill>
          </w14:textFill>
        </w:rPr>
        <w:t>PPP</w:t>
      </w:r>
      <w:r>
        <w:rPr>
          <w:rFonts w:hint="eastAsia" w:ascii="Times New Roman" w:hAnsi="Times New Roman"/>
          <w:b/>
          <w:color w:val="000000" w:themeColor="text1"/>
          <w14:textFill>
            <w14:solidFill>
              <w14:schemeClr w14:val="tx1"/>
            </w14:solidFill>
          </w14:textFill>
        </w:rPr>
        <w:t>项目</w:t>
      </w:r>
      <w:r>
        <w:rPr>
          <w:rFonts w:hint="eastAsia" w:ascii="Times New Roman" w:hAnsi="Times New Roman"/>
          <w:color w:val="000000" w:themeColor="text1"/>
          <w14:textFill>
            <w14:solidFill>
              <w14:schemeClr w14:val="tx1"/>
            </w14:solidFill>
          </w14:textFill>
        </w:rPr>
        <w:t>（下称</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），甲方获得授权签署本合同；</w:t>
      </w:r>
    </w:p>
    <w:p>
      <w:pPr>
        <w:numPr>
          <w:ilvl w:val="0"/>
          <w:numId w:val="45"/>
        </w:numPr>
        <w:spacing w:line="386" w:lineRule="exact"/>
        <w:ind w:left="590" w:hanging="16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甲方于</w:t>
      </w:r>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日发布《</w:t>
      </w:r>
      <w:r>
        <w:rPr>
          <w:rFonts w:hint="eastAsia" w:ascii="Times New Roman" w:hAnsi="Times New Roman"/>
          <w:b/>
          <w:color w:val="000000" w:themeColor="text1"/>
          <w14:textFill>
            <w14:solidFill>
              <w14:schemeClr w14:val="tx1"/>
            </w14:solidFill>
          </w14:textFill>
        </w:rPr>
        <w:t>艮山东路过江隧道工程</w:t>
      </w:r>
      <w:r>
        <w:rPr>
          <w:rFonts w:ascii="Times New Roman" w:hAnsi="Times New Roman"/>
          <w:b/>
          <w:color w:val="000000" w:themeColor="text1"/>
          <w14:textFill>
            <w14:solidFill>
              <w14:schemeClr w14:val="tx1"/>
            </w14:solidFill>
          </w14:textFill>
        </w:rPr>
        <w:t>PPP</w:t>
      </w:r>
      <w:r>
        <w:rPr>
          <w:rFonts w:hint="eastAsia" w:ascii="Times New Roman" w:hAnsi="Times New Roman"/>
          <w:b/>
          <w:color w:val="000000" w:themeColor="text1"/>
          <w14:textFill>
            <w14:solidFill>
              <w14:schemeClr w14:val="tx1"/>
            </w14:solidFill>
          </w14:textFill>
        </w:rPr>
        <w:t>项目</w:t>
      </w:r>
      <w:r>
        <w:rPr>
          <w:rFonts w:hint="eastAsia" w:ascii="Times New Roman" w:hAnsi="Times New Roman"/>
          <w:color w:val="000000" w:themeColor="text1"/>
          <w14:textFill>
            <w14:solidFill>
              <w14:schemeClr w14:val="tx1"/>
            </w14:solidFill>
          </w14:textFill>
        </w:rPr>
        <w:t>社会资本采购资格预审公告》，并于</w:t>
      </w:r>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日组织了资格预审评审。甲方于</w:t>
      </w:r>
      <w:r>
        <w:rPr>
          <w:rFonts w:ascii="Times New Roman" w:hAnsi="Times New Roman"/>
          <w:color w:val="000000" w:themeColor="text1"/>
          <w14:textFill>
            <w14:solidFill>
              <w14:schemeClr w14:val="tx1"/>
            </w14:solidFill>
          </w14:textFill>
        </w:rPr>
        <w:t>2018</w:t>
      </w:r>
      <w:r>
        <w:rPr>
          <w:rFonts w:hint="eastAsia" w:ascii="Times New Roman" w:hAnsi="Times New Roman"/>
          <w:color w:val="000000" w:themeColor="text1"/>
          <w14:textFill>
            <w14:solidFill>
              <w14:schemeClr w14:val="tx1"/>
            </w14:solidFill>
          </w14:textFill>
        </w:rPr>
        <w:t>年【</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】月【</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】日发布了《</w:t>
      </w:r>
      <w:r>
        <w:rPr>
          <w:rFonts w:hint="eastAsia" w:ascii="Times New Roman" w:hAnsi="Times New Roman"/>
          <w:b/>
          <w:color w:val="000000" w:themeColor="text1"/>
          <w14:textFill>
            <w14:solidFill>
              <w14:schemeClr w14:val="tx1"/>
            </w14:solidFill>
          </w14:textFill>
        </w:rPr>
        <w:t>艮山东路过江隧道工程</w:t>
      </w:r>
      <w:r>
        <w:rPr>
          <w:rFonts w:ascii="Times New Roman" w:hAnsi="Times New Roman"/>
          <w:b/>
          <w:color w:val="000000" w:themeColor="text1"/>
          <w14:textFill>
            <w14:solidFill>
              <w14:schemeClr w14:val="tx1"/>
            </w14:solidFill>
          </w14:textFill>
        </w:rPr>
        <w:t>PPP</w:t>
      </w:r>
      <w:r>
        <w:rPr>
          <w:rFonts w:hint="eastAsia" w:ascii="Times New Roman" w:hAnsi="Times New Roman"/>
          <w:b/>
          <w:color w:val="000000" w:themeColor="text1"/>
          <w14:textFill>
            <w14:solidFill>
              <w14:schemeClr w14:val="tx1"/>
            </w14:solidFill>
          </w14:textFill>
        </w:rPr>
        <w:t>项目</w:t>
      </w:r>
      <w:r>
        <w:rPr>
          <w:rFonts w:hint="eastAsia" w:ascii="Times New Roman" w:hAnsi="Times New Roman"/>
          <w:color w:val="000000" w:themeColor="text1"/>
          <w14:textFill>
            <w14:solidFill>
              <w14:schemeClr w14:val="tx1"/>
            </w14:solidFill>
          </w14:textFill>
        </w:rPr>
        <w:t>社会资本采购招标公告》；【中标社会资本】于投标截止时间之前提交了投标文件；甲方根据《投标人须知》中规定的程序和方法，组织评标委员会对提交的投标文件进行评审，经过询标与确认谈判，最终确定【中标社会资本】为中标人；</w:t>
      </w:r>
    </w:p>
    <w:p>
      <w:pPr>
        <w:numPr>
          <w:ilvl w:val="0"/>
          <w:numId w:val="45"/>
        </w:numPr>
        <w:spacing w:line="386" w:lineRule="exact"/>
        <w:rPr>
          <w:rFonts w:ascii="Times New Roman" w:hAnsi="Times New Roman"/>
          <w:color w:val="000000" w:themeColor="text1"/>
          <w14:textFill>
            <w14:solidFill>
              <w14:schemeClr w14:val="tx1"/>
            </w14:solidFill>
          </w14:textFill>
        </w:rPr>
      </w:pPr>
      <w:r>
        <w:rPr>
          <w:rFonts w:ascii="Times New Roman" w:hAnsi="Times New Roman"/>
          <w:b/>
          <w:color w:val="000000" w:themeColor="text1"/>
          <w:u w:val="single"/>
          <w14:textFill>
            <w14:solidFill>
              <w14:schemeClr w14:val="tx1"/>
            </w14:solidFill>
          </w14:textFill>
        </w:rPr>
        <w:t xml:space="preserve">            </w:t>
      </w:r>
      <w:r>
        <w:rPr>
          <w:rFonts w:hint="eastAsia" w:ascii="Times New Roman" w:hAnsi="Times New Roman"/>
          <w:b/>
          <w:color w:val="000000" w:themeColor="text1"/>
          <w:u w:val="single"/>
          <w14:textFill>
            <w14:solidFill>
              <w14:schemeClr w14:val="tx1"/>
            </w14:solidFill>
          </w14:textFill>
        </w:rPr>
        <w:t>（中标社会资本）</w:t>
      </w:r>
      <w:r>
        <w:rPr>
          <w:rFonts w:ascii="Times New Roman" w:hAnsi="Times New Roman"/>
          <w:b/>
          <w:color w:val="000000" w:themeColor="text1"/>
          <w:u w:val="single"/>
          <w14:textFill>
            <w14:solidFill>
              <w14:schemeClr w14:val="tx1"/>
            </w14:solidFill>
          </w14:textFill>
        </w:rPr>
        <w:t xml:space="preserve"> </w:t>
      </w:r>
      <w:r>
        <w:rPr>
          <w:rFonts w:hint="eastAsia" w:ascii="Times New Roman" w:hAnsi="Times New Roman"/>
          <w:b/>
          <w:color w:val="000000" w:themeColor="text1"/>
          <w14:textFill>
            <w14:solidFill>
              <w14:schemeClr w14:val="tx1"/>
            </w14:solidFill>
          </w14:textFill>
        </w:rPr>
        <w:t>应根据中国法律和采购文件规定于</w:t>
      </w:r>
      <w:r>
        <w:rPr>
          <w:rFonts w:ascii="Times New Roman" w:hAnsi="Times New Roman"/>
          <w:b/>
          <w:color w:val="000000" w:themeColor="text1"/>
          <w14:textFill>
            <w14:solidFill>
              <w14:schemeClr w14:val="tx1"/>
            </w14:solidFill>
          </w14:textFill>
        </w:rPr>
        <w:t>2018</w:t>
      </w:r>
      <w:r>
        <w:rPr>
          <w:rFonts w:hint="eastAsia" w:ascii="Times New Roman" w:hAnsi="Times New Roman"/>
          <w:b/>
          <w:color w:val="000000" w:themeColor="text1"/>
          <w14:textFill>
            <w14:solidFill>
              <w14:schemeClr w14:val="tx1"/>
            </w14:solidFill>
          </w14:textFill>
        </w:rPr>
        <w:t>年【</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14:textFill>
            <w14:solidFill>
              <w14:schemeClr w14:val="tx1"/>
            </w14:solidFill>
          </w14:textFill>
        </w:rPr>
        <w:t>】月【</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14:textFill>
            <w14:solidFill>
              <w14:schemeClr w14:val="tx1"/>
            </w14:solidFill>
          </w14:textFill>
        </w:rPr>
        <w:t>】日前在杭州大江东产业集聚区组建项目公司（</w:t>
      </w:r>
      <w:r>
        <w:rPr>
          <w:rFonts w:ascii="Times New Roman" w:hAnsi="Times New Roman"/>
          <w:b/>
          <w:color w:val="000000" w:themeColor="text1"/>
          <w:u w:val="single"/>
          <w14:textFill>
            <w14:solidFill>
              <w14:schemeClr w14:val="tx1"/>
            </w14:solidFill>
          </w14:textFill>
        </w:rPr>
        <w:t xml:space="preserve">     </w:t>
      </w:r>
      <w:r>
        <w:rPr>
          <w:rFonts w:hint="eastAsia" w:ascii="Times New Roman" w:hAnsi="Times New Roman"/>
          <w:b/>
          <w:color w:val="000000" w:themeColor="text1"/>
          <w14:textFill>
            <w14:solidFill>
              <w14:schemeClr w14:val="tx1"/>
            </w14:solidFill>
          </w14:textFill>
        </w:rPr>
        <w:t>出资</w:t>
      </w:r>
      <w:r>
        <w:rPr>
          <w:rFonts w:ascii="Times New Roman" w:hAnsi="Times New Roman"/>
          <w:b/>
          <w:color w:val="000000" w:themeColor="text1"/>
          <w:u w:val="single"/>
          <w14:textFill>
            <w14:solidFill>
              <w14:schemeClr w14:val="tx1"/>
            </w14:solidFill>
          </w14:textFill>
        </w:rPr>
        <w:t xml:space="preserve">    %</w:t>
      </w:r>
      <w:r>
        <w:rPr>
          <w:rFonts w:hint="eastAsia" w:ascii="Times New Roman" w:hAnsi="Times New Roman"/>
          <w:b/>
          <w:color w:val="000000" w:themeColor="text1"/>
          <w14:textFill>
            <w14:solidFill>
              <w14:schemeClr w14:val="tx1"/>
            </w14:solidFill>
          </w14:textFill>
        </w:rPr>
        <w:t>，</w:t>
      </w:r>
      <w:r>
        <w:rPr>
          <w:rFonts w:ascii="Times New Roman" w:hAnsi="Times New Roman"/>
          <w:b/>
          <w:color w:val="000000" w:themeColor="text1"/>
          <w:u w:val="single"/>
          <w14:textFill>
            <w14:solidFill>
              <w14:schemeClr w14:val="tx1"/>
            </w14:solidFill>
          </w14:textFill>
        </w:rPr>
        <w:t xml:space="preserve">    </w:t>
      </w:r>
      <w:r>
        <w:rPr>
          <w:rFonts w:hint="eastAsia" w:ascii="Times New Roman" w:hAnsi="Times New Roman"/>
          <w:b/>
          <w:color w:val="000000" w:themeColor="text1"/>
          <w14:textFill>
            <w14:solidFill>
              <w14:schemeClr w14:val="tx1"/>
            </w14:solidFill>
          </w14:textFill>
        </w:rPr>
        <w:t>出资</w:t>
      </w:r>
      <w:r>
        <w:rPr>
          <w:rFonts w:ascii="Times New Roman" w:hAnsi="Times New Roman"/>
          <w:b/>
          <w:color w:val="000000" w:themeColor="text1"/>
          <w:u w:val="single"/>
          <w14:textFill>
            <w14:solidFill>
              <w14:schemeClr w14:val="tx1"/>
            </w14:solidFill>
          </w14:textFill>
        </w:rPr>
        <w:t xml:space="preserve">  %</w:t>
      </w:r>
      <w:r>
        <w:rPr>
          <w:rFonts w:hint="eastAsia" w:ascii="Times New Roman" w:hAnsi="Times New Roman"/>
          <w:b/>
          <w:color w:val="000000" w:themeColor="text1"/>
          <w14:textFill>
            <w14:solidFill>
              <w14:schemeClr w14:val="tx1"/>
            </w14:solidFill>
          </w14:textFill>
        </w:rPr>
        <w:t>），以实施本项目。项目公司成立并获发营业执照后七（</w:t>
      </w:r>
      <w:r>
        <w:rPr>
          <w:rFonts w:ascii="Times New Roman" w:hAnsi="Times New Roman"/>
          <w:b/>
          <w:color w:val="000000" w:themeColor="text1"/>
          <w14:textFill>
            <w14:solidFill>
              <w14:schemeClr w14:val="tx1"/>
            </w14:solidFill>
          </w14:textFill>
        </w:rPr>
        <w:t>7</w:t>
      </w:r>
      <w:r>
        <w:rPr>
          <w:rFonts w:hint="eastAsia" w:ascii="Times New Roman" w:hAnsi="Times New Roman"/>
          <w:b/>
          <w:color w:val="000000" w:themeColor="text1"/>
          <w14:textFill>
            <w14:solidFill>
              <w14:schemeClr w14:val="tx1"/>
            </w14:solidFill>
          </w14:textFill>
        </w:rPr>
        <w:t>）个工作日内，项目公司与甲方签订重新签署</w:t>
      </w:r>
      <w:r>
        <w:rPr>
          <w:rFonts w:ascii="Times New Roman" w:hAnsi="Times New Roman"/>
          <w:b/>
          <w:color w:val="000000" w:themeColor="text1"/>
          <w14:textFill>
            <w14:solidFill>
              <w14:schemeClr w14:val="tx1"/>
            </w14:solidFill>
          </w14:textFill>
        </w:rPr>
        <w:t>PPP</w:t>
      </w:r>
      <w:r>
        <w:rPr>
          <w:rFonts w:hint="eastAsia" w:ascii="Times New Roman" w:hAnsi="Times New Roman"/>
          <w:b/>
          <w:color w:val="000000" w:themeColor="text1"/>
          <w14:textFill>
            <w14:solidFill>
              <w14:schemeClr w14:val="tx1"/>
            </w14:solidFill>
          </w14:textFill>
        </w:rPr>
        <w:t>项目合同。项目公司组建成立和项目公司的</w:t>
      </w:r>
      <w:r>
        <w:rPr>
          <w:rFonts w:ascii="Times New Roman" w:hAnsi="Times New Roman"/>
          <w:b/>
          <w:color w:val="000000" w:themeColor="text1"/>
          <w14:textFill>
            <w14:solidFill>
              <w14:schemeClr w14:val="tx1"/>
            </w14:solidFill>
          </w14:textFill>
        </w:rPr>
        <w:t>PPP</w:t>
      </w:r>
      <w:r>
        <w:rPr>
          <w:rFonts w:hint="eastAsia" w:ascii="Times New Roman" w:hAnsi="Times New Roman"/>
          <w:b/>
          <w:color w:val="000000" w:themeColor="text1"/>
          <w14:textFill>
            <w14:solidFill>
              <w14:schemeClr w14:val="tx1"/>
            </w14:solidFill>
          </w14:textFill>
        </w:rPr>
        <w:t>项目合同签订事项，未按上述规定时间内完成，则甲方有权兑取建设期履约保函，每逾期一（</w:t>
      </w:r>
      <w:r>
        <w:rPr>
          <w:rFonts w:ascii="Times New Roman" w:hAnsi="Times New Roman"/>
          <w:b/>
          <w:color w:val="000000" w:themeColor="text1"/>
          <w14:textFill>
            <w14:solidFill>
              <w14:schemeClr w14:val="tx1"/>
            </w14:solidFill>
          </w14:textFill>
        </w:rPr>
        <w:t>1</w:t>
      </w:r>
      <w:r>
        <w:rPr>
          <w:rFonts w:hint="eastAsia" w:ascii="Times New Roman" w:hAnsi="Times New Roman"/>
          <w:b/>
          <w:color w:val="000000" w:themeColor="text1"/>
          <w14:textFill>
            <w14:solidFill>
              <w14:schemeClr w14:val="tx1"/>
            </w14:solidFill>
          </w14:textFill>
        </w:rPr>
        <w:t>）日，兑取建设期履约保函的</w:t>
      </w:r>
      <w:r>
        <w:rPr>
          <w:rFonts w:ascii="Times New Roman" w:hAnsi="Times New Roman"/>
          <w:b/>
          <w:color w:val="000000" w:themeColor="text1"/>
          <w14:textFill>
            <w14:solidFill>
              <w14:schemeClr w14:val="tx1"/>
            </w14:solidFill>
          </w14:textFill>
        </w:rPr>
        <w:t>2%</w:t>
      </w:r>
      <w:r>
        <w:rPr>
          <w:rFonts w:hint="eastAsia" w:ascii="Times New Roman" w:hAnsi="Times New Roman"/>
          <w:b/>
          <w:color w:val="000000" w:themeColor="text1"/>
          <w14:textFill>
            <w14:solidFill>
              <w14:schemeClr w14:val="tx1"/>
            </w14:solidFill>
          </w14:textFill>
        </w:rPr>
        <w:t>。逾期超过二十（</w:t>
      </w:r>
      <w:r>
        <w:rPr>
          <w:rFonts w:ascii="Times New Roman" w:hAnsi="Times New Roman"/>
          <w:b/>
          <w:color w:val="000000" w:themeColor="text1"/>
          <w14:textFill>
            <w14:solidFill>
              <w14:schemeClr w14:val="tx1"/>
            </w14:solidFill>
          </w14:textFill>
        </w:rPr>
        <w:t>20</w:t>
      </w:r>
      <w:r>
        <w:rPr>
          <w:rFonts w:hint="eastAsia" w:ascii="Times New Roman" w:hAnsi="Times New Roman"/>
          <w:b/>
          <w:color w:val="000000" w:themeColor="text1"/>
          <w14:textFill>
            <w14:solidFill>
              <w14:schemeClr w14:val="tx1"/>
            </w14:solidFill>
          </w14:textFill>
        </w:rPr>
        <w:t>）日，甲方有权终止合同；</w:t>
      </w:r>
      <w:r>
        <w:rPr>
          <w:rFonts w:ascii="Times New Roman" w:hAnsi="Times New Roman"/>
          <w:color w:val="000000" w:themeColor="text1"/>
          <w14:textFill>
            <w14:solidFill>
              <w14:schemeClr w14:val="tx1"/>
            </w14:solidFill>
          </w14:textFill>
        </w:rPr>
        <w:t xml:space="preserve"> </w:t>
      </w:r>
    </w:p>
    <w:p>
      <w:pPr>
        <w:numPr>
          <w:ilvl w:val="0"/>
          <w:numId w:val="45"/>
        </w:numPr>
        <w:spacing w:line="386" w:lineRule="exact"/>
        <w:ind w:left="590" w:hanging="16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甲方与乙方特此订立本合同，以规定乙方投资、建设、运营和管理本合同有关的项目设施，合作期满后根据本合同的规定将项目设施完好无偿移交给甲方。</w:t>
      </w:r>
    </w:p>
    <w:p>
      <w:pPr>
        <w:spacing w:line="386" w:lineRule="exact"/>
        <w:ind w:left="59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为此，双方达成如下合同，共同遵守执行：</w:t>
      </w:r>
    </w:p>
    <w:p>
      <w:pPr>
        <w:spacing w:line="386" w:lineRule="exact"/>
        <w:ind w:left="590"/>
        <w:rPr>
          <w:rFonts w:ascii="Times New Roman" w:hAnsi="Times New Roman"/>
          <w:b/>
          <w:color w:val="000000" w:themeColor="text1"/>
          <w:szCs w:val="21"/>
          <w14:textFill>
            <w14:solidFill>
              <w14:schemeClr w14:val="tx1"/>
            </w14:solidFill>
          </w14:textFill>
        </w:rPr>
      </w:pPr>
      <w:r>
        <w:rPr>
          <w:rFonts w:hint="eastAsia" w:ascii="Times New Roman" w:hAnsi="Times New Roman"/>
          <w:b/>
          <w:color w:val="000000" w:themeColor="text1"/>
          <w:szCs w:val="21"/>
          <w14:textFill>
            <w14:solidFill>
              <w14:schemeClr w14:val="tx1"/>
            </w14:solidFill>
          </w14:textFill>
        </w:rPr>
        <w:t>除据合同上下文理解的乙方为中标社会资本及项目公司股东外，“乙方”在</w:t>
      </w:r>
      <w:r>
        <w:rPr>
          <w:rFonts w:ascii="Times New Roman" w:hAnsi="Times New Roman"/>
          <w:b/>
          <w:color w:val="000000" w:themeColor="text1"/>
          <w:szCs w:val="21"/>
          <w14:textFill>
            <w14:solidFill>
              <w14:schemeClr w14:val="tx1"/>
            </w14:solidFill>
          </w14:textFill>
        </w:rPr>
        <w:t>PPP</w:t>
      </w:r>
      <w:r>
        <w:rPr>
          <w:rFonts w:hint="eastAsia" w:ascii="Times New Roman" w:hAnsi="Times New Roman"/>
          <w:b/>
          <w:color w:val="000000" w:themeColor="text1"/>
          <w:szCs w:val="21"/>
          <w14:textFill>
            <w14:solidFill>
              <w14:schemeClr w14:val="tx1"/>
            </w14:solidFill>
          </w14:textFill>
        </w:rPr>
        <w:t>项目合同中等同于项目公司。</w:t>
      </w:r>
    </w:p>
    <w:p>
      <w:pPr>
        <w:pStyle w:val="3"/>
        <w:jc w:val="center"/>
        <w:rPr>
          <w:rFonts w:ascii="Times New Roman" w:hAnsi="Times New Roman" w:eastAsia="黑体"/>
          <w:color w:val="000000" w:themeColor="text1"/>
          <w:sz w:val="21"/>
          <w:szCs w:val="21"/>
          <w14:textFill>
            <w14:solidFill>
              <w14:schemeClr w14:val="tx1"/>
            </w14:solidFill>
          </w14:textFill>
        </w:rPr>
      </w:pPr>
      <w:r>
        <w:rPr>
          <w:rFonts w:ascii="Times New Roman" w:hAnsi="Times New Roman"/>
          <w:color w:val="000000" w:themeColor="text1"/>
          <w14:textFill>
            <w14:solidFill>
              <w14:schemeClr w14:val="tx1"/>
            </w14:solidFill>
          </w14:textFill>
        </w:rPr>
        <w:br w:type="page"/>
      </w:r>
      <w:bookmarkStart w:id="283" w:name="_Toc516399718"/>
      <w:bookmarkStart w:id="284" w:name="_Toc522635495"/>
      <w:bookmarkStart w:id="285" w:name="_Toc495845954"/>
      <w:bookmarkStart w:id="286" w:name="_Toc491857555"/>
      <w:bookmarkStart w:id="287" w:name="_Toc496299561"/>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1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定义和释义</w:t>
      </w:r>
      <w:bookmarkEnd w:id="283"/>
      <w:bookmarkEnd w:id="284"/>
      <w:bookmarkEnd w:id="285"/>
      <w:bookmarkEnd w:id="286"/>
      <w:bookmarkEnd w:id="287"/>
    </w:p>
    <w:p>
      <w:pPr>
        <w:pStyle w:val="4"/>
        <w:rPr>
          <w:color w:val="000000" w:themeColor="text1"/>
          <w14:textFill>
            <w14:solidFill>
              <w14:schemeClr w14:val="tx1"/>
            </w14:solidFill>
          </w14:textFill>
        </w:rPr>
      </w:pPr>
      <w:bookmarkStart w:id="288" w:name="_Toc491857556"/>
      <w:bookmarkStart w:id="289" w:name="_Toc495845955"/>
      <w:bookmarkStart w:id="290" w:name="_Toc496299562"/>
      <w:bookmarkStart w:id="291" w:name="_Toc516399719"/>
      <w:bookmarkStart w:id="292" w:name="_Toc522635496"/>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定义</w:t>
      </w:r>
      <w:bookmarkEnd w:id="288"/>
      <w:bookmarkEnd w:id="289"/>
      <w:bookmarkEnd w:id="290"/>
      <w:bookmarkEnd w:id="291"/>
      <w:bookmarkEnd w:id="292"/>
    </w:p>
    <w:p>
      <w:pPr>
        <w:pStyle w:val="310"/>
        <w:spacing w:line="360" w:lineRule="auto"/>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在本合同中，下述术语具有如下含义：</w:t>
      </w:r>
      <w:r>
        <w:rPr>
          <w:rFonts w:ascii="Times New Roman" w:eastAsia="宋体" w:cs="Times New Roman"/>
          <w:color w:val="000000" w:themeColor="text1"/>
          <w:sz w:val="21"/>
          <w:szCs w:val="21"/>
          <w14:textFill>
            <w14:solidFill>
              <w14:schemeClr w14:val="tx1"/>
            </w14:solidFill>
          </w14:textFill>
        </w:rPr>
        <w:t xml:space="preserve"> </w:t>
      </w:r>
    </w:p>
    <w:tbl>
      <w:tblPr>
        <w:tblStyle w:val="57"/>
        <w:tblW w:w="8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本合同</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指甲方与乙方之间签订的《艮山东路过江隧道工程</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项目合同》，包括附件一至附件七，以及日后可能签订的任何本合同之补充修改协议和附件，上述每一文件均被视为本合同的一部分。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本项目</w:t>
            </w:r>
            <w:r>
              <w:rPr>
                <w:rFonts w:ascii="Times New Roman" w:eastAsia="宋体" w:cs="Times New Roman"/>
                <w:b/>
                <w:bCs/>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项目</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指艮山东路过江隧道工程</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《投标须知》</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指本项目采购招标文件第一卷《艮山东路过江隧道工程</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项目社会资本投标须知》。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投标文件</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w:t>
            </w:r>
            <w:r>
              <w:rPr>
                <w:rFonts w:ascii="Times New Roman" w:eastAsia="宋体" w:cs="Times New Roman"/>
                <w:color w:val="000000" w:themeColor="text1"/>
                <w:sz w:val="21"/>
                <w:szCs w:val="21"/>
                <w:u w:val="single"/>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【中标社会资本】在</w:t>
            </w:r>
            <w:r>
              <w:rPr>
                <w:rFonts w:ascii="Times New Roman" w:eastAsia="宋体" w:cs="Times New Roman"/>
                <w:color w:val="000000" w:themeColor="text1"/>
                <w:sz w:val="21"/>
                <w:szCs w:val="21"/>
                <w14:textFill>
                  <w14:solidFill>
                    <w14:schemeClr w14:val="tx1"/>
                  </w14:solidFill>
                </w14:textFill>
              </w:rPr>
              <w:t>2018</w:t>
            </w:r>
            <w:r>
              <w:rPr>
                <w:rFonts w:hint="eastAsia" w:ascii="Times New Roman" w:eastAsia="宋体" w:cs="Times New Roman"/>
                <w:color w:val="000000" w:themeColor="text1"/>
                <w:sz w:val="21"/>
                <w:szCs w:val="21"/>
                <w14:textFill>
                  <w14:solidFill>
                    <w14:schemeClr w14:val="tx1"/>
                  </w14:solidFill>
                </w14:textFill>
              </w:rPr>
              <w:t>年</w:t>
            </w:r>
            <w:r>
              <w:rPr>
                <w:rFonts w:ascii="Times New Roman" w:eastAsia="宋体" w:cs="Times New Roman"/>
                <w:color w:val="000000" w:themeColor="text1"/>
                <w:sz w:val="21"/>
                <w:szCs w:val="21"/>
                <w:u w:val="single"/>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月</w:t>
            </w:r>
            <w:r>
              <w:rPr>
                <w:rFonts w:ascii="Times New Roman" w:eastAsia="宋体" w:cs="Times New Roman"/>
                <w:color w:val="000000" w:themeColor="text1"/>
                <w:sz w:val="21"/>
                <w:szCs w:val="21"/>
                <w:u w:val="single"/>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日【招标文件递交截止日】向甲方提交的艮山东路过江隧道工程</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项目社会资本采购项目投标文件以及应甲方要求而作出的所有书面澄清及补充文件。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投标保证金</w:t>
            </w:r>
            <w:r>
              <w:rPr>
                <w:rFonts w:ascii="Times New Roman" w:eastAsia="宋体" w:cs="Times New Roman"/>
                <w:b/>
                <w:bCs/>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投标保函</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w:t>
            </w:r>
            <w:r>
              <w:rPr>
                <w:rFonts w:ascii="Times New Roman" w:eastAsia="宋体" w:cs="Times New Roman"/>
                <w:color w:val="000000" w:themeColor="text1"/>
                <w:sz w:val="21"/>
                <w:szCs w:val="21"/>
                <w:u w:val="single"/>
                <w14:textFill>
                  <w14:solidFill>
                    <w14:schemeClr w14:val="tx1"/>
                  </w14:solidFill>
                </w14:textFill>
              </w:rPr>
              <w:t xml:space="preserve">           </w:t>
            </w:r>
            <w:r>
              <w:rPr>
                <w:rFonts w:hint="eastAsia" w:ascii="Times New Roman" w:eastAsia="宋体" w:cs="Times New Roman"/>
                <w:color w:val="000000" w:themeColor="text1"/>
                <w:sz w:val="21"/>
                <w:szCs w:val="21"/>
                <w:u w:val="single"/>
                <w14:textFill>
                  <w14:solidFill>
                    <w14:schemeClr w14:val="tx1"/>
                  </w14:solidFill>
                </w14:textFill>
              </w:rPr>
              <w:t>【中标社会资本】</w:t>
            </w:r>
            <w:r>
              <w:rPr>
                <w:rFonts w:hint="eastAsia" w:ascii="Times New Roman" w:eastAsia="宋体" w:cs="Times New Roman"/>
                <w:color w:val="000000" w:themeColor="text1"/>
                <w:sz w:val="21"/>
                <w:szCs w:val="21"/>
                <w14:textFill>
                  <w14:solidFill>
                    <w14:schemeClr w14:val="tx1"/>
                  </w14:solidFill>
                </w14:textFill>
              </w:rPr>
              <w:t>依据招标文件《投标人须知前附表》第</w:t>
            </w:r>
            <w:r>
              <w:rPr>
                <w:rFonts w:ascii="Times New Roman" w:eastAsia="宋体" w:cs="Times New Roman"/>
                <w:color w:val="000000" w:themeColor="text1"/>
                <w:sz w:val="21"/>
                <w:szCs w:val="21"/>
                <w14:textFill>
                  <w14:solidFill>
                    <w14:schemeClr w14:val="tx1"/>
                  </w14:solidFill>
                </w14:textFill>
              </w:rPr>
              <w:t>2.1</w:t>
            </w:r>
            <w:r>
              <w:rPr>
                <w:rFonts w:hint="eastAsia" w:ascii="Times New Roman" w:eastAsia="宋体" w:cs="Times New Roman"/>
                <w:color w:val="000000" w:themeColor="text1"/>
                <w:sz w:val="21"/>
                <w:szCs w:val="21"/>
                <w14:textFill>
                  <w14:solidFill>
                    <w14:schemeClr w14:val="tx1"/>
                  </w14:solidFill>
                </w14:textFill>
              </w:rPr>
              <w:t>条的要求提交的保证金</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建设期履约保函</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w:t>
            </w:r>
            <w:r>
              <w:rPr>
                <w:rFonts w:hint="eastAsia" w:ascii="Times New Roman" w:eastAsia="宋体" w:cs="Times New Roman"/>
                <w:color w:val="000000" w:themeColor="text1"/>
                <w:sz w:val="21"/>
                <w:szCs w:val="21"/>
                <w:u w:val="single"/>
                <w14:textFill>
                  <w14:solidFill>
                    <w14:schemeClr w14:val="tx1"/>
                  </w14:solidFill>
                </w14:textFill>
              </w:rPr>
              <w:t>乙方</w:t>
            </w:r>
            <w:r>
              <w:rPr>
                <w:rFonts w:hint="eastAsia" w:ascii="Times New Roman" w:eastAsia="宋体" w:cs="Times New Roman"/>
                <w:color w:val="000000" w:themeColor="text1"/>
                <w:sz w:val="21"/>
                <w:szCs w:val="21"/>
                <w14:textFill>
                  <w14:solidFill>
                    <w14:schemeClr w14:val="tx1"/>
                  </w14:solidFill>
                </w14:textFill>
              </w:rPr>
              <w:t>按照第</w:t>
            </w:r>
            <w:r>
              <w:rPr>
                <w:rFonts w:ascii="Times New Roman" w:eastAsia="宋体" w:cs="Times New Roman"/>
                <w:color w:val="000000" w:themeColor="text1"/>
                <w:sz w:val="21"/>
                <w:szCs w:val="21"/>
                <w14:textFill>
                  <w14:solidFill>
                    <w14:schemeClr w14:val="tx1"/>
                  </w14:solidFill>
                </w14:textFill>
              </w:rPr>
              <w:t>3.4</w:t>
            </w:r>
            <w:r>
              <w:rPr>
                <w:rFonts w:hint="eastAsia" w:ascii="Times New Roman" w:eastAsia="宋体" w:cs="Times New Roman"/>
                <w:color w:val="000000" w:themeColor="text1"/>
                <w:sz w:val="21"/>
                <w:szCs w:val="21"/>
                <w14:textFill>
                  <w14:solidFill>
                    <w14:schemeClr w14:val="tx1"/>
                  </w14:solidFill>
                </w14:textFill>
              </w:rPr>
              <w:t>条款规定向甲方提供的保函。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hint="eastAsia" w:ascii="Times New Roman" w:eastAsia="宋体" w:cs="Times New Roman"/>
                <w:b/>
                <w:color w:val="000000" w:themeColor="text1"/>
                <w:sz w:val="21"/>
                <w:szCs w:val="21"/>
                <w14:textFill>
                  <w14:solidFill>
                    <w14:schemeClr w14:val="tx1"/>
                  </w14:solidFill>
                </w14:textFill>
              </w:rPr>
              <w:t>“运营期履约保函”</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项目公司按照第</w:t>
            </w:r>
            <w:r>
              <w:rPr>
                <w:rFonts w:ascii="Times New Roman" w:eastAsia="宋体" w:cs="Times New Roman"/>
                <w:color w:val="000000" w:themeColor="text1"/>
                <w:sz w:val="21"/>
                <w:szCs w:val="21"/>
                <w14:textFill>
                  <w14:solidFill>
                    <w14:schemeClr w14:val="tx1"/>
                  </w14:solidFill>
                </w14:textFill>
              </w:rPr>
              <w:t>8.3</w:t>
            </w:r>
            <w:r>
              <w:rPr>
                <w:rFonts w:hint="eastAsia" w:ascii="Times New Roman" w:eastAsia="宋体" w:cs="Times New Roman"/>
                <w:color w:val="000000" w:themeColor="text1"/>
                <w:sz w:val="21"/>
                <w:szCs w:val="21"/>
                <w14:textFill>
                  <w14:solidFill>
                    <w14:schemeClr w14:val="tx1"/>
                  </w14:solidFill>
                </w14:textFill>
              </w:rPr>
              <w:t>条款规定向甲方提供的保函。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hint="eastAsia" w:ascii="Times New Roman" w:eastAsia="宋体" w:cs="Times New Roman"/>
                <w:b/>
                <w:color w:val="000000" w:themeColor="text1"/>
                <w:sz w:val="21"/>
                <w:szCs w:val="21"/>
                <w14:textFill>
                  <w14:solidFill>
                    <w14:schemeClr w14:val="tx1"/>
                  </w14:solidFill>
                </w14:textFill>
              </w:rPr>
              <w:t>“移交维护保函”</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项目公司按照第</w:t>
            </w:r>
            <w:r>
              <w:rPr>
                <w:rFonts w:ascii="Times New Roman" w:eastAsia="宋体" w:cs="Times New Roman"/>
                <w:color w:val="000000" w:themeColor="text1"/>
                <w:sz w:val="21"/>
                <w:szCs w:val="21"/>
                <w14:textFill>
                  <w14:solidFill>
                    <w14:schemeClr w14:val="tx1"/>
                  </w14:solidFill>
                </w14:textFill>
              </w:rPr>
              <w:t>12.7</w:t>
            </w:r>
            <w:r>
              <w:rPr>
                <w:rFonts w:hint="eastAsia" w:ascii="Times New Roman" w:eastAsia="宋体" w:cs="Times New Roman"/>
                <w:color w:val="000000" w:themeColor="text1"/>
                <w:sz w:val="21"/>
                <w:szCs w:val="21"/>
                <w14:textFill>
                  <w14:solidFill>
                    <w14:schemeClr w14:val="tx1"/>
                  </w14:solidFill>
                </w14:textFill>
              </w:rPr>
              <w:t>条款规定向甲方提供的保函。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生效日</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指甲方和乙方正式签署本合同之日期，如果双方签署日期不一致以较晚日期为生效日。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hint="eastAsia" w:ascii="Times New Roman" w:eastAsia="宋体" w:cs="Times New Roman"/>
                <w:b/>
                <w:color w:val="000000" w:themeColor="text1"/>
                <w:sz w:val="21"/>
                <w:szCs w:val="21"/>
                <w14:textFill>
                  <w14:solidFill>
                    <w14:schemeClr w14:val="tx1"/>
                  </w14:solidFill>
                </w14:textFill>
              </w:rPr>
              <w:t>“开工日”</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指监理单位下发的开工报告载明的时间。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完工日</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指乙方完成项目建设，项目整体工程竣工验收合格当日。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hint="eastAsia" w:ascii="Times New Roman" w:eastAsia="宋体" w:cs="Times New Roman"/>
                <w:b/>
                <w:color w:val="000000" w:themeColor="text1"/>
                <w:sz w:val="21"/>
                <w:szCs w:val="21"/>
                <w14:textFill>
                  <w14:solidFill>
                    <w14:schemeClr w14:val="tx1"/>
                  </w14:solidFill>
                </w14:textFill>
              </w:rPr>
              <w:t>“通车日”</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bookmarkStart w:id="293" w:name="_Hlk516083488"/>
            <w:r>
              <w:rPr>
                <w:rFonts w:hint="eastAsia" w:ascii="Times New Roman" w:eastAsia="宋体" w:cs="Times New Roman"/>
                <w:color w:val="000000" w:themeColor="text1"/>
                <w:sz w:val="21"/>
                <w:szCs w:val="21"/>
                <w14:textFill>
                  <w14:solidFill>
                    <w14:schemeClr w14:val="tx1"/>
                  </w14:solidFill>
                </w14:textFill>
              </w:rPr>
              <w:t>指乙方应于竣工验收合格以及交警部门的验收合格之后，决定的具体通车日期。</w:t>
            </w:r>
            <w:bookmarkEnd w:id="2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运营开始日</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通车日次日，即为运营开始日。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移交日</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指合作期满的第一个工作日，或经双方书面同意的乙方将项目设施移交给甲方的其他日期。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建设期</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指自本合同生效日起至项目运营开始日前一天的期间。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运营期</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指自运营开始日起至合作期最后一日止的期间。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运营年</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指运营期内任一年度期间，第一个运营年在运营开始日开始，至满一周年日；第二个运营年自第一年运营年满一周年的次日开始并持续一周年，依次类推。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材料</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指由乙方采购的（工程设备除外）并用于项目工程的各类物资。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工程设备</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指本合同中规定的、由乙方采购的预定构成或构成永久工程一部分所需要的设备、设施、仪表、仪器等。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临时工程</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指各类为了实施和完成本项目以及修补任何缺陷所需要的全部临时性工程（乙方的设备除外）。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永久工程</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指按照本合同投资、建设的本项目永久性工程。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乙方的设备</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指用于实施和完成项目工程以及修补任何缺陷所需要的全部机械、仪器和其他设备（临时工程除外），但不包括工程设备、材料或预定构成或构成永久工程一部分的其他物品。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现场</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指由甲方提供的用于实施项目工程以及工程设备和材料运达、存放的场所，以及在本合同中可能明确指定作为现场组成部分的任何场所。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项目设施</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指本项目红线范围内与本项目相关的道路、交安设施、给排水设施、照明设施、通风排烟设施等与项目相关的所有设施。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使用者付费</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指在运营期内，乙方通过对综合管廊的运营，向入廊单位收取入廊费和日常维护费（管廊）。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可行性缺口补助</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当乙方在运营期内收取的使用者付费不足以覆盖项目建设成本、运营成本和合理收益时，由甲方以补贴的方式支付给乙方的经济补助。该补助在本项目中由乙方在招标阶段投报产生初始值，并依据本合同相关约定计算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工作日</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指中国法定节假日和公休日以外的公历日。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甲方的要求</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指本合同中包括的对工程范围、技术标准、质量、进度、投资、安全和文明施工的要求和说明以及根据本合同对其所作的任何变更和修正。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批准</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指根据本合同的规定为乙方或为乙方将要进行的任何与建设经（运）营有关的工程项目进行融资、建设、维护和移交而需从政府部门获得的书面许可、执照、同意或授权。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融资文件</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指与项目相关的贷款协议、担保协议、保函和其他文件，但不包括与提供建设期履约保函、运营期履约保函及移交维护保函相关的文件。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补偿事件</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指乙方按本合同有权获得补偿的任一事件。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适用法律</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指所有适用的中国法律、法规、规章、地方法规和政府部门颁布的所有适用的技术标准、技术规范以及所有其他适用的强制性要求。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提前终止通知</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指根据本合同第</w:t>
            </w:r>
            <w:r>
              <w:rPr>
                <w:rFonts w:ascii="Times New Roman" w:eastAsia="宋体" w:cs="Times New Roman"/>
                <w:color w:val="000000" w:themeColor="text1"/>
                <w:sz w:val="21"/>
                <w:szCs w:val="21"/>
                <w14:textFill>
                  <w14:solidFill>
                    <w14:schemeClr w14:val="tx1"/>
                  </w14:solidFill>
                </w14:textFill>
              </w:rPr>
              <w:t>14.4.2</w:t>
            </w:r>
            <w:r>
              <w:rPr>
                <w:rFonts w:hint="eastAsia" w:ascii="Times New Roman" w:eastAsia="宋体" w:cs="Times New Roman"/>
                <w:color w:val="000000" w:themeColor="text1"/>
                <w:sz w:val="21"/>
                <w:szCs w:val="21"/>
                <w14:textFill>
                  <w14:solidFill>
                    <w14:schemeClr w14:val="tx1"/>
                  </w14:solidFill>
                </w14:textFill>
              </w:rPr>
              <w:t>条款发出的通知。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违约</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指本合同签约任何一方未能履行其在本合同项下的任何义务，而且该违约行为不能归咎于另一方违反本合同的作为或不作为或不可抗力等。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违约利率</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指一年期贷款基准利率加两个百分点（</w:t>
            </w:r>
            <w:r>
              <w:rPr>
                <w:rFonts w:ascii="Times New Roman" w:eastAsia="宋体" w:cs="Times New Roman"/>
                <w:color w:val="000000" w:themeColor="text1"/>
                <w:sz w:val="21"/>
                <w:szCs w:val="21"/>
                <w14:textFill>
                  <w14:solidFill>
                    <w14:schemeClr w14:val="tx1"/>
                  </w14:solidFill>
                </w14:textFill>
              </w:rPr>
              <w:t>+2%</w:t>
            </w:r>
            <w:r>
              <w:rPr>
                <w:rFonts w:hint="eastAsia" w:ascii="Times New Roman" w:eastAsia="宋体" w:cs="Times New Roman"/>
                <w:color w:val="000000" w:themeColor="text1"/>
                <w:sz w:val="21"/>
                <w:szCs w:val="21"/>
                <w14:textFill>
                  <w14:solidFill>
                    <w14:schemeClr w14:val="tx1"/>
                  </w14:solidFill>
                </w14:textFill>
              </w:rPr>
              <w:t>）的利率，并可按一年</w:t>
            </w:r>
            <w:r>
              <w:rPr>
                <w:rFonts w:ascii="Times New Roman" w:eastAsia="宋体" w:cs="Times New Roman"/>
                <w:color w:val="000000" w:themeColor="text1"/>
                <w:sz w:val="21"/>
                <w:szCs w:val="21"/>
                <w14:textFill>
                  <w14:solidFill>
                    <w14:schemeClr w14:val="tx1"/>
                  </w14:solidFill>
                </w14:textFill>
              </w:rPr>
              <w:t>365</w:t>
            </w:r>
            <w:r>
              <w:rPr>
                <w:rFonts w:hint="eastAsia" w:ascii="Times New Roman" w:eastAsia="宋体" w:cs="Times New Roman"/>
                <w:color w:val="000000" w:themeColor="text1"/>
                <w:sz w:val="21"/>
                <w:szCs w:val="21"/>
                <w14:textFill>
                  <w14:solidFill>
                    <w14:schemeClr w14:val="tx1"/>
                  </w14:solidFill>
                </w14:textFill>
              </w:rPr>
              <w:t>天折算为日利率。如果违约行为持续发生，且在该持续期间中国人民银行颁布的一年期贷款基准利率发生变动，则守约方有权选择变动期间最高的基准利率。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认定保险赔款</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指乙方被要求获得并维持的保险所承保的事件发生时，如果乙方遵守其在本合同项下获得并维持该等保险的义务就有权获得的，但因乙方未遵守该等义务而无权获得的保险赔款。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7" w:hRule="atLeast"/>
        </w:trPr>
        <w:tc>
          <w:tcPr>
            <w:tcW w:w="2127" w:type="dxa"/>
            <w:vAlign w:val="center"/>
          </w:tcPr>
          <w:p>
            <w:pPr>
              <w:pStyle w:val="310"/>
              <w:spacing w:line="330" w:lineRule="exact"/>
              <w:jc w:val="both"/>
              <w:rPr>
                <w:rFonts w:ascii="Times New Roman" w:eastAsia="宋体" w:cs="Times New Roman"/>
                <w:b/>
                <w:color w:val="000000" w:themeColor="text1"/>
                <w:sz w:val="21"/>
                <w:szCs w:val="21"/>
                <w14:textFill>
                  <w14:solidFill>
                    <w14:schemeClr w14:val="tx1"/>
                  </w14:solidFill>
                </w14:textFill>
              </w:rPr>
            </w:pPr>
            <w:r>
              <w:rPr>
                <w:rFonts w:ascii="Times New Roman" w:eastAsia="宋体" w:cs="Times New Roman"/>
                <w:b/>
                <w:color w:val="000000" w:themeColor="text1"/>
                <w:sz w:val="21"/>
                <w:szCs w:val="21"/>
                <w14:textFill>
                  <w14:solidFill>
                    <w14:schemeClr w14:val="tx1"/>
                  </w14:solidFill>
                </w14:textFill>
              </w:rPr>
              <w:t>“</w:t>
            </w:r>
            <w:r>
              <w:rPr>
                <w:rFonts w:hint="eastAsia" w:ascii="Times New Roman" w:eastAsia="宋体" w:cs="Times New Roman"/>
                <w:b/>
                <w:color w:val="000000" w:themeColor="text1"/>
                <w:sz w:val="21"/>
                <w:szCs w:val="21"/>
                <w14:textFill>
                  <w14:solidFill>
                    <w14:schemeClr w14:val="tx1"/>
                  </w14:solidFill>
                </w14:textFill>
              </w:rPr>
              <w:t>政府部门</w:t>
            </w:r>
            <w:r>
              <w:rPr>
                <w:rFonts w:ascii="Times New Roman" w:eastAsia="宋体" w:cs="Times New Roman"/>
                <w:b/>
                <w:color w:val="000000" w:themeColor="text1"/>
                <w:sz w:val="21"/>
                <w:szCs w:val="21"/>
                <w14:textFill>
                  <w14:solidFill>
                    <w14:schemeClr w14:val="tx1"/>
                  </w14:solidFill>
                </w14:textFill>
              </w:rPr>
              <w:t>”</w:t>
            </w:r>
          </w:p>
        </w:tc>
        <w:tc>
          <w:tcPr>
            <w:tcW w:w="6662" w:type="dxa"/>
            <w:vAlign w:val="center"/>
          </w:tcPr>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指</w:t>
            </w:r>
          </w:p>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a</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国务院及其下属的部、委、局、署，或具有中央政府行政管理功能的其他行政实体；</w:t>
            </w:r>
          </w:p>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b</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浙江省人民政府及其组成部门；</w:t>
            </w:r>
          </w:p>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c</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杭州市人民政府及其组成部门；</w:t>
            </w:r>
          </w:p>
          <w:p>
            <w:pPr>
              <w:pStyle w:val="310"/>
              <w:spacing w:line="330" w:lineRule="exact"/>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d</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杭州经济技术开发区管理委员会、杭州大江东产业集聚区管理委员会及其下辖政府职能部门。</w:t>
            </w:r>
          </w:p>
        </w:tc>
      </w:tr>
    </w:tbl>
    <w:p>
      <w:pPr>
        <w:rPr>
          <w:color w:val="000000" w:themeColor="text1"/>
          <w14:textFill>
            <w14:solidFill>
              <w14:schemeClr w14:val="tx1"/>
            </w14:solidFill>
          </w14:textFill>
        </w:rPr>
      </w:pPr>
      <w:bookmarkStart w:id="294" w:name="_Toc496299563"/>
      <w:bookmarkStart w:id="295" w:name="_Toc495845956"/>
      <w:bookmarkStart w:id="296" w:name="_Toc491857557"/>
    </w:p>
    <w:p>
      <w:pPr>
        <w:rPr>
          <w:color w:val="000000" w:themeColor="text1"/>
          <w14:textFill>
            <w14:solidFill>
              <w14:schemeClr w14:val="tx1"/>
            </w14:solidFill>
          </w14:textFill>
        </w:rPr>
      </w:pPr>
    </w:p>
    <w:p>
      <w:pPr>
        <w:pStyle w:val="4"/>
        <w:rPr>
          <w:color w:val="000000" w:themeColor="text1"/>
          <w14:textFill>
            <w14:solidFill>
              <w14:schemeClr w14:val="tx1"/>
            </w14:solidFill>
          </w14:textFill>
        </w:rPr>
      </w:pPr>
      <w:bookmarkStart w:id="297" w:name="_Toc522635497"/>
      <w:bookmarkStart w:id="298" w:name="_Toc516399720"/>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释义</w:t>
      </w:r>
      <w:bookmarkEnd w:id="294"/>
      <w:bookmarkEnd w:id="295"/>
      <w:bookmarkEnd w:id="296"/>
      <w:bookmarkEnd w:id="297"/>
      <w:bookmarkEnd w:id="298"/>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1.2.1 </w:t>
      </w:r>
      <w:r>
        <w:rPr>
          <w:rFonts w:hint="eastAsia"/>
          <w:color w:val="000000" w:themeColor="text1"/>
          <w14:textFill>
            <w14:solidFill>
              <w14:schemeClr w14:val="tx1"/>
            </w14:solidFill>
          </w14:textFill>
        </w:rPr>
        <w:t>在本合同中，除非另有明确规定，下述词语的释义如下：</w:t>
      </w:r>
    </w:p>
    <w:p>
      <w:pPr>
        <w:pStyle w:val="310"/>
        <w:numPr>
          <w:ilvl w:val="0"/>
          <w:numId w:val="46"/>
        </w:numPr>
        <w:spacing w:line="360" w:lineRule="auto"/>
        <w:ind w:left="993" w:leftChars="203" w:hanging="567" w:hangingChars="270"/>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日</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月</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年</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均指公历的日、月、年；</w:t>
      </w:r>
    </w:p>
    <w:p>
      <w:pPr>
        <w:pStyle w:val="310"/>
        <w:numPr>
          <w:ilvl w:val="0"/>
          <w:numId w:val="46"/>
        </w:numPr>
        <w:spacing w:line="360" w:lineRule="auto"/>
        <w:ind w:left="993" w:leftChars="203" w:hanging="567" w:hangingChars="270"/>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一方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按适用情况分别指甲方或乙方，包括其承继人和允许的被让与人或受让人；</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双方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指甲方和乙方，包括其承继人和允许的被让与人或受让人；</w:t>
      </w:r>
      <w:r>
        <w:rPr>
          <w:rFonts w:ascii="Times New Roman" w:eastAsia="宋体" w:cs="Times New Roman"/>
          <w:color w:val="000000" w:themeColor="text1"/>
          <w:sz w:val="21"/>
          <w:szCs w:val="21"/>
          <w14:textFill>
            <w14:solidFill>
              <w14:schemeClr w14:val="tx1"/>
            </w14:solidFill>
          </w14:textFill>
        </w:rPr>
        <w:t xml:space="preserve"> </w:t>
      </w:r>
    </w:p>
    <w:p>
      <w:pPr>
        <w:pStyle w:val="310"/>
        <w:numPr>
          <w:ilvl w:val="0"/>
          <w:numId w:val="46"/>
        </w:numPr>
        <w:spacing w:line="360" w:lineRule="auto"/>
        <w:ind w:left="993" w:leftChars="203" w:hanging="567" w:hangingChars="270"/>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除非上下文另有所指，</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元</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指人民币元；</w:t>
      </w:r>
    </w:p>
    <w:p>
      <w:pPr>
        <w:pStyle w:val="310"/>
        <w:numPr>
          <w:ilvl w:val="0"/>
          <w:numId w:val="46"/>
        </w:numPr>
        <w:spacing w:line="360" w:lineRule="auto"/>
        <w:ind w:left="993" w:leftChars="203" w:hanging="567" w:hangingChars="270"/>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包括</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指包括但不限于；</w:t>
      </w:r>
    </w:p>
    <w:p>
      <w:pPr>
        <w:pStyle w:val="310"/>
        <w:numPr>
          <w:ilvl w:val="0"/>
          <w:numId w:val="46"/>
        </w:numPr>
        <w:spacing w:line="360" w:lineRule="auto"/>
        <w:ind w:left="993" w:leftChars="203" w:hanging="567" w:hangingChars="270"/>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若规定支付任何款项或提交任何书面材料之日不是工作日，则应在该等日期后的第一个工作日支付或提交；</w:t>
      </w:r>
    </w:p>
    <w:p>
      <w:pPr>
        <w:pStyle w:val="310"/>
        <w:numPr>
          <w:ilvl w:val="0"/>
          <w:numId w:val="46"/>
        </w:numPr>
        <w:spacing w:line="360" w:lineRule="auto"/>
        <w:ind w:left="993" w:leftChars="203" w:hanging="567" w:hangingChars="270"/>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任何条款、段、附表或附件指本合同的条款、段、附表或附件。</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1.2.2 </w:t>
      </w:r>
      <w:r>
        <w:rPr>
          <w:rFonts w:hint="eastAsia"/>
          <w:color w:val="000000" w:themeColor="text1"/>
          <w14:textFill>
            <w14:solidFill>
              <w14:schemeClr w14:val="tx1"/>
            </w14:solidFill>
          </w14:textFill>
        </w:rPr>
        <w:t>标题仅为方便之用，不影响解释。</w:t>
      </w:r>
    </w:p>
    <w:p>
      <w:pPr>
        <w:pStyle w:val="3"/>
        <w:jc w:val="center"/>
        <w:rPr>
          <w:rFonts w:ascii="Times New Roman" w:hAnsi="Times New Roman" w:eastAsia="黑体"/>
          <w:color w:val="000000" w:themeColor="text1"/>
          <w:sz w:val="21"/>
          <w:szCs w:val="21"/>
          <w14:textFill>
            <w14:solidFill>
              <w14:schemeClr w14:val="tx1"/>
            </w14:solidFill>
          </w14:textFill>
        </w:rPr>
      </w:pPr>
      <w:bookmarkStart w:id="299" w:name="_Toc491857558"/>
      <w:bookmarkStart w:id="300" w:name="_Toc495845957"/>
      <w:bookmarkStart w:id="301" w:name="_Toc496299564"/>
      <w:bookmarkStart w:id="302" w:name="_Toc516399721"/>
      <w:bookmarkStart w:id="303" w:name="_Toc522635498"/>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2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合作关系</w:t>
      </w:r>
      <w:bookmarkEnd w:id="299"/>
      <w:bookmarkEnd w:id="300"/>
      <w:bookmarkEnd w:id="301"/>
      <w:bookmarkEnd w:id="302"/>
      <w:bookmarkEnd w:id="303"/>
    </w:p>
    <w:p>
      <w:pPr>
        <w:pStyle w:val="4"/>
        <w:rPr>
          <w:color w:val="000000" w:themeColor="text1"/>
          <w14:textFill>
            <w14:solidFill>
              <w14:schemeClr w14:val="tx1"/>
            </w14:solidFill>
          </w14:textFill>
        </w:rPr>
      </w:pPr>
      <w:bookmarkStart w:id="304" w:name="_Toc491857559"/>
      <w:bookmarkStart w:id="305" w:name="_Toc495845958"/>
      <w:bookmarkStart w:id="306" w:name="_Toc496299565"/>
      <w:bookmarkStart w:id="307" w:name="_Toc516399722"/>
      <w:bookmarkStart w:id="308" w:name="_Toc522635499"/>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项目合作方式</w:t>
      </w:r>
      <w:bookmarkEnd w:id="304"/>
      <w:bookmarkEnd w:id="305"/>
      <w:bookmarkEnd w:id="306"/>
      <w:bookmarkEnd w:id="307"/>
      <w:bookmarkEnd w:id="308"/>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2.1.1  </w:t>
      </w:r>
      <w:r>
        <w:rPr>
          <w:rFonts w:hint="eastAsia"/>
          <w:color w:val="000000" w:themeColor="text1"/>
          <w14:textFill>
            <w14:solidFill>
              <w14:schemeClr w14:val="tx1"/>
            </w14:solidFill>
          </w14:textFill>
        </w:rPr>
        <w:t>在项目合作期内，由乙方出资组建项目公司，由乙方及项目公司承担费用、责任和风险，负责本项目的投资、建设、运营，并按本合同约定履行相关移交。</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2.1.2  </w:t>
      </w:r>
      <w:r>
        <w:rPr>
          <w:rFonts w:hint="eastAsia"/>
          <w:color w:val="000000" w:themeColor="text1"/>
          <w14:textFill>
            <w14:solidFill>
              <w14:schemeClr w14:val="tx1"/>
            </w14:solidFill>
          </w14:textFill>
        </w:rPr>
        <w:t>由项目公司与</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（联合体中标，以</w:t>
      </w:r>
      <w:bookmarkStart w:id="309" w:name="_Hlk497292716"/>
      <w:r>
        <w:rPr>
          <w:rFonts w:hint="eastAsia"/>
          <w:color w:val="000000" w:themeColor="text1"/>
          <w14:textFill>
            <w14:solidFill>
              <w14:schemeClr w14:val="tx1"/>
            </w14:solidFill>
          </w14:textFill>
        </w:rPr>
        <w:t>联合体成员具有符合资质要求的</w:t>
      </w:r>
      <w:bookmarkEnd w:id="309"/>
      <w:r>
        <w:rPr>
          <w:rFonts w:hint="eastAsia"/>
          <w:color w:val="000000" w:themeColor="text1"/>
          <w14:textFill>
            <w14:solidFill>
              <w14:schemeClr w14:val="tx1"/>
            </w14:solidFill>
          </w14:textFill>
        </w:rPr>
        <w:t>施工承包商）签订施工总承包合同，并在当地建设行政主管部门备案。</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2.1.3  </w:t>
      </w:r>
      <w:r>
        <w:rPr>
          <w:rFonts w:hint="eastAsia"/>
          <w:color w:val="000000" w:themeColor="text1"/>
          <w14:textFill>
            <w14:solidFill>
              <w14:schemeClr w14:val="tx1"/>
            </w14:solidFill>
          </w14:textFill>
        </w:rPr>
        <w:t>除</w:t>
      </w:r>
      <w:r>
        <w:rPr>
          <w:color w:val="000000" w:themeColor="text1"/>
          <w14:textFill>
            <w14:solidFill>
              <w14:schemeClr w14:val="tx1"/>
            </w14:solidFill>
          </w14:textFill>
        </w:rPr>
        <w:t>PPP</w:t>
      </w:r>
      <w:r>
        <w:rPr>
          <w:rFonts w:hint="eastAsia"/>
          <w:color w:val="000000" w:themeColor="text1"/>
          <w14:textFill>
            <w14:solidFill>
              <w14:schemeClr w14:val="tx1"/>
            </w14:solidFill>
          </w14:textFill>
        </w:rPr>
        <w:t>项目合同项下另行约定外，本项目勘察设计、监理、审计（价）等第三方机构由甲方或项目审批业主委托，所发生费用在项目工程建设其他费中列支，费用投资由乙方及项目公司承担纳入</w:t>
      </w:r>
      <w:r>
        <w:rPr>
          <w:color w:val="000000" w:themeColor="text1"/>
          <w14:textFill>
            <w14:solidFill>
              <w14:schemeClr w14:val="tx1"/>
            </w14:solidFill>
          </w14:textFill>
        </w:rPr>
        <w:t>PPP</w:t>
      </w:r>
      <w:r>
        <w:rPr>
          <w:rFonts w:hint="eastAsia"/>
          <w:color w:val="000000" w:themeColor="text1"/>
          <w14:textFill>
            <w14:solidFill>
              <w14:schemeClr w14:val="tx1"/>
            </w14:solidFill>
          </w14:textFill>
        </w:rPr>
        <w:t>总投资。</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2.1.4  </w:t>
      </w:r>
      <w:r>
        <w:rPr>
          <w:rFonts w:hint="eastAsia"/>
          <w:color w:val="000000" w:themeColor="text1"/>
          <w14:textFill>
            <w14:solidFill>
              <w14:schemeClr w14:val="tx1"/>
            </w14:solidFill>
          </w14:textFill>
        </w:rPr>
        <w:t>建设期届满时：（</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）经政府或甲方确认未开工项目不再实施，未开工的工程不再纳入本</w:t>
      </w:r>
      <w:r>
        <w:rPr>
          <w:color w:val="000000" w:themeColor="text1"/>
          <w14:textFill>
            <w14:solidFill>
              <w14:schemeClr w14:val="tx1"/>
            </w14:solidFill>
          </w14:textFill>
        </w:rPr>
        <w:t>PPP</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）经政府或甲方确认无法继续施工的未完工程，对已完工部分计入</w:t>
      </w:r>
      <w:r>
        <w:rPr>
          <w:color w:val="000000" w:themeColor="text1"/>
          <w14:textFill>
            <w14:solidFill>
              <w14:schemeClr w14:val="tx1"/>
            </w14:solidFill>
          </w14:textFill>
        </w:rPr>
        <w:t>PPP</w:t>
      </w:r>
      <w:r>
        <w:rPr>
          <w:rFonts w:hint="eastAsia"/>
          <w:color w:val="000000" w:themeColor="text1"/>
          <w14:textFill>
            <w14:solidFill>
              <w14:schemeClr w14:val="tx1"/>
            </w14:solidFill>
          </w14:textFill>
        </w:rPr>
        <w:t>总投资，并计算可行性缺口补助；</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2.1.5  </w:t>
      </w:r>
      <w:r>
        <w:rPr>
          <w:rFonts w:hint="eastAsia"/>
          <w:color w:val="000000" w:themeColor="text1"/>
          <w14:textFill>
            <w14:solidFill>
              <w14:schemeClr w14:val="tx1"/>
            </w14:solidFill>
          </w14:textFill>
        </w:rPr>
        <w:t>合作期届满，乙方将运营范围内的所有项目设施无偿移交给甲方或政府指定机构，并保证项目设施完好、运营状况良好、不存在任何权利瑕疵。</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2.1.6  </w:t>
      </w:r>
      <w:r>
        <w:rPr>
          <w:rFonts w:hint="eastAsia"/>
          <w:color w:val="000000" w:themeColor="text1"/>
          <w14:textFill>
            <w14:solidFill>
              <w14:schemeClr w14:val="tx1"/>
            </w14:solidFill>
          </w14:textFill>
        </w:rPr>
        <w:t>本项目运营范围为隧道（含设施设备及配套辅助设施）、综合管廊运营维护等，乙方在合同约定的运营范围内参照《杭州市城市隧道养护技术规程》（</w:t>
      </w:r>
      <w:r>
        <w:rPr>
          <w:color w:val="000000" w:themeColor="text1"/>
          <w14:textFill>
            <w14:solidFill>
              <w14:schemeClr w14:val="tx1"/>
            </w14:solidFill>
          </w14:textFill>
        </w:rPr>
        <w:t>HZCG05-2006</w:t>
      </w:r>
      <w:r>
        <w:rPr>
          <w:rFonts w:hint="eastAsia"/>
          <w:color w:val="000000" w:themeColor="text1"/>
          <w14:textFill>
            <w14:solidFill>
              <w14:schemeClr w14:val="tx1"/>
            </w14:solidFill>
          </w14:textFill>
        </w:rPr>
        <w:t>）及国家、省、市相关规定执行。项目进入运营后，若有相关更新替代文件发布，按更新替代文件执行。</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2.1.7  </w:t>
      </w:r>
      <w:r>
        <w:rPr>
          <w:rFonts w:hint="eastAsia"/>
          <w:color w:val="000000" w:themeColor="text1"/>
          <w14:textFill>
            <w14:solidFill>
              <w14:schemeClr w14:val="tx1"/>
            </w14:solidFill>
          </w14:textFill>
        </w:rPr>
        <w:t>乙方在本合同约定的运营范围内对综合管廊（除管线外）进行维护，并向入廊单位收取入廊费和日常维护费（管廊）。若项目运营前期向入廊单位收取管廊有偿使用费的难度较大，在项目正式运营之日起，由杭州大江东产业集聚区管理委员会指定的机构或管理部门向入廊单位收取有偿使用费，所收费用进入专款账户，再由指定机构或管理部门根据对综合管廊运营主体的考核情况综合考虑，从专款账户中予以支付相应费用给乙方。</w:t>
      </w:r>
    </w:p>
    <w:p>
      <w:pPr>
        <w:pStyle w:val="5"/>
        <w:ind w:left="0" w:firstLine="0"/>
        <w:rPr>
          <w:color w:val="000000" w:themeColor="text1"/>
          <w14:textFill>
            <w14:solidFill>
              <w14:schemeClr w14:val="tx1"/>
            </w14:solidFill>
          </w14:textFill>
        </w:rPr>
      </w:pPr>
      <w:r>
        <w:rPr>
          <w:color w:val="000000" w:themeColor="text1"/>
          <w14:textFill>
            <w14:solidFill>
              <w14:schemeClr w14:val="tx1"/>
            </w14:solidFill>
          </w14:textFill>
        </w:rPr>
        <w:t xml:space="preserve">2.1.8  </w:t>
      </w:r>
      <w:r>
        <w:rPr>
          <w:rFonts w:hint="eastAsia"/>
          <w:color w:val="000000" w:themeColor="text1"/>
          <w14:textFill>
            <w14:solidFill>
              <w14:schemeClr w14:val="tx1"/>
            </w14:solidFill>
          </w14:textFill>
        </w:rPr>
        <w:t>未经甲方事先书面同意，乙方不得将经营权转让、出租或质押。</w:t>
      </w:r>
    </w:p>
    <w:p>
      <w:pPr>
        <w:pStyle w:val="4"/>
        <w:numPr>
          <w:ilvl w:val="1"/>
          <w:numId w:val="47"/>
        </w:numPr>
        <w:rPr>
          <w:color w:val="000000" w:themeColor="text1"/>
          <w14:textFill>
            <w14:solidFill>
              <w14:schemeClr w14:val="tx1"/>
            </w14:solidFill>
          </w14:textFill>
        </w:rPr>
      </w:pPr>
      <w:bookmarkStart w:id="310" w:name="_Toc516399723"/>
      <w:bookmarkEnd w:id="310"/>
      <w:bookmarkStart w:id="311" w:name="_Toc522635500"/>
      <w:bookmarkStart w:id="312" w:name="_Toc516399724"/>
      <w:bookmarkStart w:id="313" w:name="_Toc491857560"/>
      <w:bookmarkStart w:id="314" w:name="_Toc496299566"/>
      <w:bookmarkStart w:id="315" w:name="_Toc495845959"/>
      <w:r>
        <w:rPr>
          <w:rFonts w:hint="eastAsia"/>
          <w:color w:val="000000" w:themeColor="text1"/>
          <w14:textFill>
            <w14:solidFill>
              <w14:schemeClr w14:val="tx1"/>
            </w14:solidFill>
          </w14:textFill>
        </w:rPr>
        <w:t>建设内容</w:t>
      </w:r>
      <w:bookmarkEnd w:id="311"/>
      <w:bookmarkEnd w:id="312"/>
      <w:bookmarkEnd w:id="313"/>
      <w:bookmarkEnd w:id="314"/>
      <w:bookmarkEnd w:id="315"/>
    </w:p>
    <w:p>
      <w:pPr>
        <w:pStyle w:val="310"/>
        <w:spacing w:line="360" w:lineRule="auto"/>
        <w:ind w:left="567" w:leftChars="27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艮山东路过江隧道西起下沙艾博生物医药有限公司南侧，东至大江东滨江二路，工程总用地面积约</w:t>
      </w:r>
      <w:r>
        <w:rPr>
          <w:rFonts w:ascii="Times New Roman" w:eastAsia="宋体" w:cs="Times New Roman"/>
          <w:color w:val="000000" w:themeColor="text1"/>
          <w:sz w:val="21"/>
          <w:szCs w:val="21"/>
          <w14:textFill>
            <w14:solidFill>
              <w14:schemeClr w14:val="tx1"/>
            </w14:solidFill>
          </w14:textFill>
        </w:rPr>
        <w:t>9.535</w:t>
      </w:r>
      <w:r>
        <w:rPr>
          <w:rFonts w:hint="eastAsia" w:ascii="Times New Roman" w:eastAsia="宋体" w:cs="Times New Roman"/>
          <w:color w:val="000000" w:themeColor="text1"/>
          <w:sz w:val="21"/>
          <w:szCs w:val="21"/>
          <w14:textFill>
            <w14:solidFill>
              <w14:schemeClr w14:val="tx1"/>
            </w14:solidFill>
          </w14:textFill>
        </w:rPr>
        <w:t>公顷。项目建设内容包括过江隧道、综合管廊、地面接线工程及配套附属工程建设。工程全长</w:t>
      </w:r>
      <w:r>
        <w:rPr>
          <w:rFonts w:ascii="Times New Roman" w:eastAsia="宋体" w:cs="Times New Roman"/>
          <w:color w:val="000000" w:themeColor="text1"/>
          <w:sz w:val="21"/>
          <w:szCs w:val="21"/>
          <w14:textFill>
            <w14:solidFill>
              <w14:schemeClr w14:val="tx1"/>
            </w14:solidFill>
          </w14:textFill>
        </w:rPr>
        <w:t>4600</w:t>
      </w:r>
      <w:r>
        <w:rPr>
          <w:rFonts w:hint="eastAsia" w:ascii="Times New Roman" w:eastAsia="宋体" w:cs="Times New Roman"/>
          <w:color w:val="000000" w:themeColor="text1"/>
          <w:sz w:val="21"/>
          <w:szCs w:val="21"/>
          <w14:textFill>
            <w14:solidFill>
              <w14:schemeClr w14:val="tx1"/>
            </w14:solidFill>
          </w14:textFill>
        </w:rPr>
        <w:t>（含地面接线道路），其中隧道段长约</w:t>
      </w:r>
      <w:r>
        <w:rPr>
          <w:rFonts w:ascii="Times New Roman" w:eastAsia="宋体" w:cs="Times New Roman"/>
          <w:color w:val="000000" w:themeColor="text1"/>
          <w:sz w:val="21"/>
          <w:szCs w:val="21"/>
          <w14:textFill>
            <w14:solidFill>
              <w14:schemeClr w14:val="tx1"/>
            </w14:solidFill>
          </w14:textFill>
        </w:rPr>
        <w:t>4450</w:t>
      </w:r>
      <w:r>
        <w:rPr>
          <w:rFonts w:hint="eastAsia" w:ascii="Times New Roman" w:eastAsia="宋体" w:cs="Times New Roman"/>
          <w:color w:val="000000" w:themeColor="text1"/>
          <w:sz w:val="21"/>
          <w:szCs w:val="21"/>
          <w14:textFill>
            <w14:solidFill>
              <w14:schemeClr w14:val="tx1"/>
            </w14:solidFill>
          </w14:textFill>
        </w:rPr>
        <w:t>米（含盾构段长约</w:t>
      </w:r>
      <w:r>
        <w:rPr>
          <w:rFonts w:ascii="Times New Roman" w:eastAsia="宋体" w:cs="Times New Roman"/>
          <w:color w:val="000000" w:themeColor="text1"/>
          <w:sz w:val="21"/>
          <w:szCs w:val="21"/>
          <w14:textFill>
            <w14:solidFill>
              <w14:schemeClr w14:val="tx1"/>
            </w14:solidFill>
          </w14:textFill>
        </w:rPr>
        <w:t>3210</w:t>
      </w:r>
      <w:r>
        <w:rPr>
          <w:rFonts w:hint="eastAsia" w:ascii="Times New Roman" w:eastAsia="宋体" w:cs="Times New Roman"/>
          <w:color w:val="000000" w:themeColor="text1"/>
          <w:sz w:val="21"/>
          <w:szCs w:val="21"/>
          <w14:textFill>
            <w14:solidFill>
              <w14:schemeClr w14:val="tx1"/>
            </w14:solidFill>
          </w14:textFill>
        </w:rPr>
        <w:t>米），隧道盾构段外径</w:t>
      </w:r>
      <w:r>
        <w:rPr>
          <w:rFonts w:ascii="Times New Roman" w:eastAsia="宋体" w:cs="Times New Roman"/>
          <w:color w:val="000000" w:themeColor="text1"/>
          <w:sz w:val="21"/>
          <w:szCs w:val="21"/>
          <w14:textFill>
            <w14:solidFill>
              <w14:schemeClr w14:val="tx1"/>
            </w14:solidFill>
          </w14:textFill>
        </w:rPr>
        <w:t>14.5</w:t>
      </w:r>
      <w:r>
        <w:rPr>
          <w:rFonts w:hint="eastAsia" w:ascii="Times New Roman" w:eastAsia="宋体" w:cs="Times New Roman"/>
          <w:color w:val="000000" w:themeColor="text1"/>
          <w:sz w:val="21"/>
          <w:szCs w:val="21"/>
          <w14:textFill>
            <w14:solidFill>
              <w14:schemeClr w14:val="tx1"/>
            </w14:solidFill>
          </w14:textFill>
        </w:rPr>
        <w:t>米，内径</w:t>
      </w:r>
      <w:r>
        <w:rPr>
          <w:rFonts w:ascii="Times New Roman" w:eastAsia="宋体" w:cs="Times New Roman"/>
          <w:color w:val="000000" w:themeColor="text1"/>
          <w:sz w:val="21"/>
          <w:szCs w:val="21"/>
          <w14:textFill>
            <w14:solidFill>
              <w14:schemeClr w14:val="tx1"/>
            </w14:solidFill>
          </w14:textFill>
        </w:rPr>
        <w:t>13.3</w:t>
      </w:r>
      <w:r>
        <w:rPr>
          <w:rFonts w:hint="eastAsia" w:ascii="Times New Roman" w:eastAsia="宋体" w:cs="Times New Roman"/>
          <w:color w:val="000000" w:themeColor="text1"/>
          <w:sz w:val="21"/>
          <w:szCs w:val="21"/>
          <w14:textFill>
            <w14:solidFill>
              <w14:schemeClr w14:val="tx1"/>
            </w14:solidFill>
          </w14:textFill>
        </w:rPr>
        <w:t>米，车道净高</w:t>
      </w:r>
      <w:r>
        <w:rPr>
          <w:rFonts w:ascii="Times New Roman" w:eastAsia="宋体" w:cs="Times New Roman"/>
          <w:color w:val="000000" w:themeColor="text1"/>
          <w:sz w:val="21"/>
          <w:szCs w:val="21"/>
          <w14:textFill>
            <w14:solidFill>
              <w14:schemeClr w14:val="tx1"/>
            </w14:solidFill>
          </w14:textFill>
        </w:rPr>
        <w:t>4.5</w:t>
      </w:r>
      <w:r>
        <w:rPr>
          <w:rFonts w:hint="eastAsia" w:ascii="Times New Roman" w:eastAsia="宋体" w:cs="Times New Roman"/>
          <w:color w:val="000000" w:themeColor="text1"/>
          <w:sz w:val="21"/>
          <w:szCs w:val="21"/>
          <w14:textFill>
            <w14:solidFill>
              <w14:schemeClr w14:val="tx1"/>
            </w14:solidFill>
          </w14:textFill>
        </w:rPr>
        <w:t>米，双向</w:t>
      </w:r>
      <w:r>
        <w:rPr>
          <w:rFonts w:ascii="Times New Roman" w:eastAsia="宋体" w:cs="Times New Roman"/>
          <w:color w:val="000000" w:themeColor="text1"/>
          <w:sz w:val="21"/>
          <w:szCs w:val="21"/>
          <w14:textFill>
            <w14:solidFill>
              <w14:schemeClr w14:val="tx1"/>
            </w14:solidFill>
          </w14:textFill>
        </w:rPr>
        <w:t>6</w:t>
      </w:r>
      <w:r>
        <w:rPr>
          <w:rFonts w:hint="eastAsia" w:ascii="Times New Roman" w:eastAsia="宋体" w:cs="Times New Roman"/>
          <w:color w:val="000000" w:themeColor="text1"/>
          <w:sz w:val="21"/>
          <w:szCs w:val="21"/>
          <w14:textFill>
            <w14:solidFill>
              <w14:schemeClr w14:val="tx1"/>
            </w14:solidFill>
          </w14:textFill>
        </w:rPr>
        <w:t>车道设置，主线设计时速</w:t>
      </w:r>
      <w:r>
        <w:rPr>
          <w:rFonts w:ascii="Times New Roman" w:eastAsia="宋体" w:cs="Times New Roman"/>
          <w:color w:val="000000" w:themeColor="text1"/>
          <w:sz w:val="21"/>
          <w:szCs w:val="21"/>
          <w14:textFill>
            <w14:solidFill>
              <w14:schemeClr w14:val="tx1"/>
            </w14:solidFill>
          </w14:textFill>
        </w:rPr>
        <w:t>80</w:t>
      </w:r>
      <w:r>
        <w:rPr>
          <w:rFonts w:hint="eastAsia" w:ascii="Times New Roman" w:eastAsia="宋体" w:cs="Times New Roman"/>
          <w:color w:val="000000" w:themeColor="text1"/>
          <w:sz w:val="21"/>
          <w:szCs w:val="21"/>
          <w14:textFill>
            <w14:solidFill>
              <w14:schemeClr w14:val="tx1"/>
            </w14:solidFill>
          </w14:textFill>
        </w:rPr>
        <w:t>公里</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小时，匝道设计时速</w:t>
      </w:r>
      <w:r>
        <w:rPr>
          <w:rFonts w:ascii="Times New Roman" w:eastAsia="宋体" w:cs="Times New Roman"/>
          <w:color w:val="000000" w:themeColor="text1"/>
          <w:sz w:val="21"/>
          <w:szCs w:val="21"/>
          <w14:textFill>
            <w14:solidFill>
              <w14:schemeClr w14:val="tx1"/>
            </w14:solidFill>
          </w14:textFill>
        </w:rPr>
        <w:t>40</w:t>
      </w:r>
      <w:r>
        <w:rPr>
          <w:rFonts w:hint="eastAsia" w:ascii="Times New Roman" w:eastAsia="宋体" w:cs="Times New Roman"/>
          <w:color w:val="000000" w:themeColor="text1"/>
          <w:sz w:val="21"/>
          <w:szCs w:val="21"/>
          <w14:textFill>
            <w14:solidFill>
              <w14:schemeClr w14:val="tx1"/>
            </w14:solidFill>
          </w14:textFill>
        </w:rPr>
        <w:t>公里</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小时。附设平行匝道一对，风塔两座，管理用房一处建筑面积约</w:t>
      </w:r>
      <w:r>
        <w:rPr>
          <w:rFonts w:ascii="Times New Roman" w:eastAsia="宋体" w:cs="Times New Roman"/>
          <w:color w:val="000000" w:themeColor="text1"/>
          <w:sz w:val="21"/>
          <w:szCs w:val="21"/>
          <w14:textFill>
            <w14:solidFill>
              <w14:schemeClr w14:val="tx1"/>
            </w14:solidFill>
          </w14:textFill>
        </w:rPr>
        <w:t>2235</w:t>
      </w:r>
      <w:r>
        <w:rPr>
          <w:rFonts w:hint="eastAsia" w:ascii="Times New Roman" w:eastAsia="宋体" w:cs="Times New Roman"/>
          <w:color w:val="000000" w:themeColor="text1"/>
          <w:sz w:val="21"/>
          <w:szCs w:val="21"/>
          <w14:textFill>
            <w14:solidFill>
              <w14:schemeClr w14:val="tx1"/>
            </w14:solidFill>
          </w14:textFill>
        </w:rPr>
        <w:t>平方米。管廊单独敷设段长约</w:t>
      </w:r>
      <w:r>
        <w:rPr>
          <w:rFonts w:ascii="Times New Roman" w:eastAsia="宋体" w:cs="Times New Roman"/>
          <w:color w:val="000000" w:themeColor="text1"/>
          <w:sz w:val="21"/>
          <w:szCs w:val="21"/>
          <w14:textFill>
            <w14:solidFill>
              <w14:schemeClr w14:val="tx1"/>
            </w14:solidFill>
          </w14:textFill>
        </w:rPr>
        <w:t>1600</w:t>
      </w:r>
      <w:r>
        <w:rPr>
          <w:rFonts w:hint="eastAsia" w:ascii="Times New Roman" w:eastAsia="宋体" w:cs="Times New Roman"/>
          <w:color w:val="000000" w:themeColor="text1"/>
          <w:sz w:val="21"/>
          <w:szCs w:val="21"/>
          <w14:textFill>
            <w14:solidFill>
              <w14:schemeClr w14:val="tx1"/>
            </w14:solidFill>
          </w14:textFill>
        </w:rPr>
        <w:t>米（以实测为准），过江盾构段与隧道主体合建。</w:t>
      </w:r>
    </w:p>
    <w:p>
      <w:pPr>
        <w:pStyle w:val="4"/>
        <w:rPr>
          <w:color w:val="000000" w:themeColor="text1"/>
          <w14:textFill>
            <w14:solidFill>
              <w14:schemeClr w14:val="tx1"/>
            </w14:solidFill>
          </w14:textFill>
        </w:rPr>
      </w:pPr>
      <w:bookmarkStart w:id="316" w:name="_Toc491857561"/>
      <w:bookmarkStart w:id="317" w:name="_Toc516399725"/>
      <w:bookmarkStart w:id="318" w:name="_Toc496299567"/>
      <w:bookmarkStart w:id="319" w:name="_Toc495845960"/>
      <w:bookmarkStart w:id="320" w:name="_Toc522635501"/>
      <w:r>
        <w:rPr>
          <w:color w:val="000000" w:themeColor="text1"/>
          <w14:textFill>
            <w14:solidFill>
              <w14:schemeClr w14:val="tx1"/>
            </w14:solidFill>
          </w14:textFill>
        </w:rPr>
        <w:t xml:space="preserve">2.3 </w:t>
      </w:r>
      <w:r>
        <w:rPr>
          <w:rFonts w:hint="eastAsia"/>
          <w:color w:val="000000" w:themeColor="text1"/>
          <w14:textFill>
            <w14:solidFill>
              <w14:schemeClr w14:val="tx1"/>
            </w14:solidFill>
          </w14:textFill>
        </w:rPr>
        <w:t>建设投资</w:t>
      </w:r>
      <w:bookmarkEnd w:id="316"/>
      <w:bookmarkEnd w:id="317"/>
      <w:bookmarkEnd w:id="318"/>
      <w:bookmarkEnd w:id="319"/>
      <w:bookmarkEnd w:id="320"/>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2.3.1  </w:t>
      </w:r>
      <w:r>
        <w:rPr>
          <w:rFonts w:hint="eastAsia"/>
          <w:color w:val="000000" w:themeColor="text1"/>
          <w14:textFill>
            <w14:solidFill>
              <w14:schemeClr w14:val="tx1"/>
            </w14:solidFill>
          </w14:textFill>
        </w:rPr>
        <w:t>项目建设投资组成：</w:t>
      </w:r>
    </w:p>
    <w:p>
      <w:pPr>
        <w:pStyle w:val="310"/>
        <w:spacing w:line="360" w:lineRule="auto"/>
        <w:ind w:left="567" w:leftChars="27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本项目可行性研究报告批复估算总投资</w:t>
      </w:r>
      <w:r>
        <w:rPr>
          <w:rFonts w:ascii="Times New Roman" w:eastAsia="宋体" w:cs="Times New Roman"/>
          <w:color w:val="000000" w:themeColor="text1"/>
          <w:sz w:val="21"/>
          <w:szCs w:val="21"/>
          <w14:textFill>
            <w14:solidFill>
              <w14:schemeClr w14:val="tx1"/>
            </w14:solidFill>
          </w14:textFill>
        </w:rPr>
        <w:t>441988.58</w:t>
      </w:r>
      <w:r>
        <w:rPr>
          <w:rFonts w:hint="eastAsia" w:ascii="Times New Roman" w:eastAsia="宋体" w:cs="Times New Roman"/>
          <w:color w:val="000000" w:themeColor="text1"/>
          <w:sz w:val="21"/>
          <w:szCs w:val="21"/>
          <w14:textFill>
            <w14:solidFill>
              <w14:schemeClr w14:val="tx1"/>
            </w14:solidFill>
          </w14:textFill>
        </w:rPr>
        <w:t>万元，其中工程费用</w:t>
      </w:r>
      <w:r>
        <w:rPr>
          <w:rFonts w:ascii="Times New Roman" w:eastAsia="宋体" w:cs="Times New Roman"/>
          <w:color w:val="000000" w:themeColor="text1"/>
          <w:sz w:val="21"/>
          <w:szCs w:val="21"/>
          <w14:textFill>
            <w14:solidFill>
              <w14:schemeClr w14:val="tx1"/>
            </w14:solidFill>
          </w14:textFill>
        </w:rPr>
        <w:t>366333.43</w:t>
      </w:r>
      <w:r>
        <w:rPr>
          <w:rFonts w:hint="eastAsia" w:ascii="Times New Roman" w:eastAsia="宋体" w:cs="Times New Roman"/>
          <w:color w:val="000000" w:themeColor="text1"/>
          <w:sz w:val="21"/>
          <w:szCs w:val="21"/>
          <w14:textFill>
            <w14:solidFill>
              <w14:schemeClr w14:val="tx1"/>
            </w14:solidFill>
          </w14:textFill>
        </w:rPr>
        <w:t>万元，工程建设其他费用</w:t>
      </w:r>
      <w:r>
        <w:rPr>
          <w:rFonts w:ascii="Times New Roman" w:eastAsia="宋体" w:cs="Times New Roman"/>
          <w:color w:val="000000" w:themeColor="text1"/>
          <w:sz w:val="21"/>
          <w:szCs w:val="21"/>
          <w14:textFill>
            <w14:solidFill>
              <w14:schemeClr w14:val="tx1"/>
            </w14:solidFill>
          </w14:textFill>
        </w:rPr>
        <w:t>42915.26</w:t>
      </w:r>
      <w:r>
        <w:rPr>
          <w:rFonts w:hint="eastAsia" w:ascii="Times New Roman" w:eastAsia="宋体" w:cs="Times New Roman"/>
          <w:color w:val="000000" w:themeColor="text1"/>
          <w:sz w:val="21"/>
          <w:szCs w:val="21"/>
          <w14:textFill>
            <w14:solidFill>
              <w14:schemeClr w14:val="tx1"/>
            </w14:solidFill>
          </w14:textFill>
        </w:rPr>
        <w:t>万元，预备费</w:t>
      </w:r>
      <w:r>
        <w:rPr>
          <w:rFonts w:ascii="Times New Roman" w:eastAsia="宋体" w:cs="Times New Roman"/>
          <w:color w:val="000000" w:themeColor="text1"/>
          <w:sz w:val="21"/>
          <w:szCs w:val="21"/>
          <w14:textFill>
            <w14:solidFill>
              <w14:schemeClr w14:val="tx1"/>
            </w14:solidFill>
          </w14:textFill>
        </w:rPr>
        <w:t>32739.89</w:t>
      </w:r>
      <w:r>
        <w:rPr>
          <w:rFonts w:hint="eastAsia" w:ascii="Times New Roman" w:eastAsia="宋体" w:cs="Times New Roman"/>
          <w:color w:val="000000" w:themeColor="text1"/>
          <w:sz w:val="21"/>
          <w:szCs w:val="21"/>
          <w14:textFill>
            <w14:solidFill>
              <w14:schemeClr w14:val="tx1"/>
            </w14:solidFill>
          </w14:textFill>
        </w:rPr>
        <w:t>万元。</w:t>
      </w:r>
    </w:p>
    <w:p>
      <w:pPr>
        <w:pStyle w:val="310"/>
        <w:spacing w:line="360" w:lineRule="auto"/>
        <w:ind w:left="567" w:leftChars="27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纳入</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项目的建设投资包括工程费用</w:t>
      </w:r>
      <w:r>
        <w:rPr>
          <w:rFonts w:ascii="Times New Roman" w:eastAsia="宋体" w:cs="Times New Roman"/>
          <w:color w:val="000000" w:themeColor="text1"/>
          <w:sz w:val="21"/>
          <w:szCs w:val="21"/>
          <w14:textFill>
            <w14:solidFill>
              <w14:schemeClr w14:val="tx1"/>
            </w14:solidFill>
          </w14:textFill>
        </w:rPr>
        <w:t>366333.43</w:t>
      </w:r>
      <w:r>
        <w:rPr>
          <w:rFonts w:hint="eastAsia" w:ascii="Times New Roman" w:eastAsia="宋体" w:cs="Times New Roman"/>
          <w:color w:val="000000" w:themeColor="text1"/>
          <w:sz w:val="21"/>
          <w:szCs w:val="21"/>
          <w14:textFill>
            <w14:solidFill>
              <w14:schemeClr w14:val="tx1"/>
            </w14:solidFill>
          </w14:textFill>
        </w:rPr>
        <w:t>万元，工程建设其他费用</w:t>
      </w:r>
      <w:r>
        <w:rPr>
          <w:rFonts w:ascii="Times New Roman" w:eastAsia="宋体" w:cs="Times New Roman"/>
          <w:color w:val="000000" w:themeColor="text1"/>
          <w:sz w:val="21"/>
          <w:szCs w:val="21"/>
          <w14:textFill>
            <w14:solidFill>
              <w14:schemeClr w14:val="tx1"/>
            </w14:solidFill>
          </w14:textFill>
        </w:rPr>
        <w:t>42915.26</w:t>
      </w:r>
      <w:r>
        <w:rPr>
          <w:rFonts w:hint="eastAsia" w:ascii="Times New Roman" w:eastAsia="宋体" w:cs="Times New Roman"/>
          <w:color w:val="000000" w:themeColor="text1"/>
          <w:sz w:val="21"/>
          <w:szCs w:val="21"/>
          <w14:textFill>
            <w14:solidFill>
              <w14:schemeClr w14:val="tx1"/>
            </w14:solidFill>
          </w14:textFill>
        </w:rPr>
        <w:t>万元，预备费</w:t>
      </w:r>
      <w:r>
        <w:rPr>
          <w:rFonts w:ascii="Times New Roman" w:eastAsia="宋体" w:cs="Times New Roman"/>
          <w:color w:val="000000" w:themeColor="text1"/>
          <w:sz w:val="21"/>
          <w:szCs w:val="21"/>
          <w14:textFill>
            <w14:solidFill>
              <w14:schemeClr w14:val="tx1"/>
            </w14:solidFill>
          </w14:textFill>
        </w:rPr>
        <w:t>32739.89</w:t>
      </w:r>
      <w:r>
        <w:rPr>
          <w:rFonts w:hint="eastAsia" w:ascii="Times New Roman" w:eastAsia="宋体" w:cs="Times New Roman"/>
          <w:color w:val="000000" w:themeColor="text1"/>
          <w:sz w:val="21"/>
          <w:szCs w:val="21"/>
          <w14:textFill>
            <w14:solidFill>
              <w14:schemeClr w14:val="tx1"/>
            </w14:solidFill>
          </w14:textFill>
        </w:rPr>
        <w:t>万元（暂估），合计</w:t>
      </w:r>
      <w:r>
        <w:rPr>
          <w:rFonts w:ascii="Times New Roman" w:eastAsia="宋体" w:cs="Times New Roman"/>
          <w:color w:val="000000" w:themeColor="text1"/>
          <w:sz w:val="21"/>
          <w:szCs w:val="21"/>
          <w14:textFill>
            <w14:solidFill>
              <w14:schemeClr w14:val="tx1"/>
            </w14:solidFill>
          </w14:textFill>
        </w:rPr>
        <w:t>441988.58</w:t>
      </w:r>
      <w:r>
        <w:rPr>
          <w:rFonts w:hint="eastAsia" w:ascii="Times New Roman" w:eastAsia="宋体" w:cs="Times New Roman"/>
          <w:color w:val="000000" w:themeColor="text1"/>
          <w:sz w:val="21"/>
          <w:szCs w:val="21"/>
          <w14:textFill>
            <w14:solidFill>
              <w14:schemeClr w14:val="tx1"/>
            </w14:solidFill>
          </w14:textFill>
        </w:rPr>
        <w:t>万元。</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2.3.2  </w:t>
      </w:r>
      <w:r>
        <w:rPr>
          <w:rFonts w:hint="eastAsia"/>
          <w:color w:val="000000" w:themeColor="text1"/>
          <w14:textFill>
            <w14:solidFill>
              <w14:schemeClr w14:val="tx1"/>
            </w14:solidFill>
          </w14:textFill>
        </w:rPr>
        <w:t>本项目中标指标中建安费用下浮率为</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，投资回报率为</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，即中国人民银行公布的五年期以上银行贷款基准利率上浮</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。本项目合同签约静态建设投资额根据项目采购竞争指标确定，调整为</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万元。其中：工程费用</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万元（其中建安费用</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万元），工程建设其他费用为</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万元。</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2.3.3  </w:t>
      </w:r>
      <w:r>
        <w:rPr>
          <w:rFonts w:hint="eastAsia"/>
          <w:color w:val="000000" w:themeColor="text1"/>
          <w14:textFill>
            <w14:solidFill>
              <w14:schemeClr w14:val="tx1"/>
            </w14:solidFill>
          </w14:textFill>
        </w:rPr>
        <w:t>本项目按照政府投资项目管理相关规定实施。乙方实际完成建设投资最终以财政部门的竣工结算和竣工财务决算审核结果为准。竣工财务决算审核遵循以下原则：</w:t>
      </w:r>
    </w:p>
    <w:p>
      <w:pPr>
        <w:pStyle w:val="310"/>
        <w:numPr>
          <w:ilvl w:val="0"/>
          <w:numId w:val="48"/>
        </w:numPr>
        <w:spacing w:line="360" w:lineRule="auto"/>
        <w:ind w:left="993" w:hanging="57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工程费用以本合同约定的结算方法经财政部门复核认定结果为准，全额纳入乙方实际完成建设投资；</w:t>
      </w:r>
    </w:p>
    <w:p>
      <w:pPr>
        <w:pStyle w:val="310"/>
        <w:numPr>
          <w:ilvl w:val="0"/>
          <w:numId w:val="48"/>
        </w:numPr>
        <w:spacing w:line="360" w:lineRule="auto"/>
        <w:ind w:left="993" w:hanging="57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按本合同</w:t>
      </w:r>
      <w:r>
        <w:fldChar w:fldCharType="begin"/>
      </w:r>
      <w:r>
        <w:instrText xml:space="preserve"> HYPERLINK \l "_第_5_条" </w:instrText>
      </w:r>
      <w:r>
        <w:fldChar w:fldCharType="separate"/>
      </w:r>
      <w:r>
        <w:rPr>
          <w:rStyle w:val="54"/>
          <w:rFonts w:hint="eastAsia" w:ascii="Times New Roman"/>
          <w:color w:val="000000" w:themeColor="text1"/>
          <w:sz w:val="21"/>
          <w:szCs w:val="21"/>
          <w14:textFill>
            <w14:solidFill>
              <w14:schemeClr w14:val="tx1"/>
            </w14:solidFill>
          </w14:textFill>
        </w:rPr>
        <w:t>第</w:t>
      </w:r>
      <w:r>
        <w:rPr>
          <w:rStyle w:val="54"/>
          <w:rFonts w:ascii="Times New Roman"/>
          <w:color w:val="000000" w:themeColor="text1"/>
          <w:sz w:val="21"/>
          <w:szCs w:val="21"/>
          <w14:textFill>
            <w14:solidFill>
              <w14:schemeClr w14:val="tx1"/>
            </w14:solidFill>
          </w14:textFill>
        </w:rPr>
        <w:t>5</w:t>
      </w:r>
      <w:r>
        <w:rPr>
          <w:rStyle w:val="54"/>
          <w:rFonts w:hint="eastAsia" w:ascii="Times New Roman"/>
          <w:color w:val="000000" w:themeColor="text1"/>
          <w:sz w:val="21"/>
          <w:szCs w:val="21"/>
          <w14:textFill>
            <w14:solidFill>
              <w14:schemeClr w14:val="tx1"/>
            </w14:solidFill>
          </w14:textFill>
        </w:rPr>
        <w:t>条</w:t>
      </w:r>
      <w:r>
        <w:rPr>
          <w:rStyle w:val="54"/>
          <w:rFonts w:hint="eastAsia" w:ascii="Times New Roman"/>
          <w:color w:val="000000" w:themeColor="text1"/>
          <w:sz w:val="21"/>
          <w:szCs w:val="21"/>
          <w14:textFill>
            <w14:solidFill>
              <w14:schemeClr w14:val="tx1"/>
            </w14:solidFill>
          </w14:textFill>
        </w:rPr>
        <w:fldChar w:fldCharType="end"/>
      </w:r>
      <w:r>
        <w:rPr>
          <w:rFonts w:hint="eastAsia" w:ascii="Times New Roman" w:eastAsia="宋体" w:cs="Times New Roman"/>
          <w:color w:val="000000" w:themeColor="text1"/>
          <w:sz w:val="21"/>
          <w:szCs w:val="21"/>
          <w14:textFill>
            <w14:solidFill>
              <w14:schemeClr w14:val="tx1"/>
            </w14:solidFill>
          </w14:textFill>
        </w:rPr>
        <w:t>约定乙方向甲方或其指定机构支付的前期费用以实际支付结算额度全额计入乙方实际完成</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总投资；</w:t>
      </w:r>
    </w:p>
    <w:p>
      <w:pPr>
        <w:pStyle w:val="310"/>
        <w:numPr>
          <w:ilvl w:val="0"/>
          <w:numId w:val="48"/>
        </w:numPr>
        <w:spacing w:line="360" w:lineRule="auto"/>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工程建设其他费包括征地拆迁费用、勘察、设计、监理、检测、审核等费用。本项目工程建设其他费由乙方及项目公司承担筹资责任，在合同约定的额度内由甲方或其指定机构据实使用，以约定支付时点、额度、约定支付方式由项目公司支付给甲方或其指定机构。项目公司在建设期间承担项目管理职责，</w:t>
      </w:r>
      <w:bookmarkStart w:id="321" w:name="_Hlk524869725"/>
      <w:r>
        <w:rPr>
          <w:rFonts w:hint="eastAsia" w:ascii="Times New Roman" w:eastAsia="宋体" w:cs="Times New Roman"/>
          <w:color w:val="000000" w:themeColor="text1"/>
          <w:sz w:val="21"/>
          <w:szCs w:val="21"/>
          <w14:textFill>
            <w14:solidFill>
              <w14:schemeClr w14:val="tx1"/>
            </w14:solidFill>
          </w14:textFill>
        </w:rPr>
        <w:t>在概算批复建设单位管理费额度内开支使用</w:t>
      </w:r>
      <w:bookmarkEnd w:id="321"/>
      <w:r>
        <w:rPr>
          <w:rFonts w:hint="eastAsia" w:ascii="Times New Roman" w:eastAsia="宋体" w:cs="Times New Roman"/>
          <w:color w:val="000000" w:themeColor="text1"/>
          <w:sz w:val="21"/>
          <w:szCs w:val="21"/>
          <w14:textFill>
            <w14:solidFill>
              <w14:schemeClr w14:val="tx1"/>
            </w14:solidFill>
          </w14:textFill>
        </w:rPr>
        <w:t>（不计算建设期投资收益），在工程竣工决算中直接认定项目公司完成投资。工程建设其他费用概算批复除建设单位管理费以外的部分，若已选定了设计、审计（价）、监理等第三方机构，需由项目公司直接支付的，经甲方同意后，由项目公司与甲方或其指定机构和设计、审计（价）、监理等第三方机构签订补充合同，所产生的服务费用经甲方确认后由项目公司直接支付，并根据实际支付金额纳入</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总投资；若需由项目公司委托设计、审计（价）、监理等第三方机构，经甲方同意后，由项目公司通过法定程序选定第三方机构并签订合同，所产生的服务费用经甲方确认后由项目公司直接支付，根据实际支付金额纳入</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总投资；其他工程建设其他费由项目公司按约定时点支付给甲方或其指定机构，项目公司支付到账后由甲方或其指定机构提供相应的收据，并根据实际支付金额纳入</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总投资。</w:t>
      </w:r>
    </w:p>
    <w:p>
      <w:pPr>
        <w:pStyle w:val="310"/>
        <w:numPr>
          <w:ilvl w:val="0"/>
          <w:numId w:val="48"/>
        </w:numPr>
        <w:spacing w:line="360" w:lineRule="auto"/>
        <w:ind w:left="993" w:hanging="57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乙方为履行本合同以及建设实施本项目所签署的有关建设的关联合同下违约引起的罚款、赔偿金均不计入乙方实际完成建设投资；</w:t>
      </w:r>
    </w:p>
    <w:p>
      <w:pPr>
        <w:pStyle w:val="310"/>
        <w:numPr>
          <w:ilvl w:val="0"/>
          <w:numId w:val="48"/>
        </w:numPr>
        <w:spacing w:line="360" w:lineRule="auto"/>
        <w:ind w:left="993" w:hanging="57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乙方融资成本不计入乙方实际完成建设投资。</w:t>
      </w:r>
    </w:p>
    <w:p>
      <w:pPr>
        <w:pStyle w:val="310"/>
        <w:numPr>
          <w:ilvl w:val="0"/>
          <w:numId w:val="48"/>
        </w:numPr>
        <w:spacing w:line="360" w:lineRule="auto"/>
        <w:ind w:left="993" w:hanging="57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甲方取得上级财政性补助资金或其他政府性资金投入项目建设的，建设期内按实际投入额度在</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总投资中核减，运营期内作为年度可行性缺口补助支付给乙方。双方可根据需要签订补充协议明确相关事项。</w:t>
      </w:r>
    </w:p>
    <w:p>
      <w:pPr>
        <w:pStyle w:val="5"/>
        <w:numPr>
          <w:ilvl w:val="2"/>
          <w:numId w:val="49"/>
        </w:numPr>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工程费用结算方法约定</w:t>
      </w:r>
    </w:p>
    <w:p>
      <w:pPr>
        <w:pStyle w:val="188"/>
        <w:numPr>
          <w:ilvl w:val="0"/>
          <w:numId w:val="50"/>
        </w:numPr>
        <w:spacing w:line="360" w:lineRule="auto"/>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建安费用认定：本项目中各单项工程的施工图预算根据各子项目单项工程审定的施工图设计图纸、勘察资料，以各单项工程编制施工图预算时最新编制依据（参照合同第</w:t>
      </w:r>
      <w:r>
        <w:rPr>
          <w:b/>
          <w:color w:val="000000" w:themeColor="text1"/>
          <w14:textFill>
            <w14:solidFill>
              <w14:schemeClr w14:val="tx1"/>
            </w14:solidFill>
          </w14:textFill>
        </w:rPr>
        <w:t>2.3.5</w:t>
      </w:r>
      <w:r>
        <w:rPr>
          <w:rFonts w:hint="eastAsia"/>
          <w:b/>
          <w:color w:val="000000" w:themeColor="text1"/>
          <w14:textFill>
            <w14:solidFill>
              <w14:schemeClr w14:val="tx1"/>
            </w14:solidFill>
          </w14:textFill>
        </w:rPr>
        <w:t>款约定）执行，中标社会资本在投标阶段投报的建安费用下浮率为</w:t>
      </w:r>
      <w:r>
        <w:rPr>
          <w:b/>
          <w:color w:val="000000" w:themeColor="text1"/>
          <w:u w:val="single"/>
          <w14:textFill>
            <w14:solidFill>
              <w14:schemeClr w14:val="tx1"/>
            </w14:solidFill>
          </w14:textFill>
        </w:rPr>
        <w:t xml:space="preserve">   </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工程量按实调整，应包括原施工图纸与现场实际施工的区别及工程变更联系单上的实体工程。对临时工程、红线外的配套工程和通水、通电、通讯其他工程不核对量也不调整价。因实体工程量的调整，措施费根据相关取费定额做相应调整。本项目工程费用由第三方审计（价）机构进行全过程跟踪审计（价），最终以财政部门审定结果为准。</w:t>
      </w:r>
    </w:p>
    <w:p>
      <w:pPr>
        <w:pStyle w:val="188"/>
        <w:numPr>
          <w:ilvl w:val="0"/>
          <w:numId w:val="50"/>
        </w:numPr>
        <w:spacing w:line="360" w:lineRule="auto"/>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无信息价格的材料和设备，价格经双方询价共同确认（包括材料和设备品牌、规格、技术参数、颜色、材质等）并以签证价格进入预结算或通过专项招标确定价格，不参与下浮。</w:t>
      </w:r>
    </w:p>
    <w:p>
      <w:pPr>
        <w:pStyle w:val="188"/>
        <w:numPr>
          <w:ilvl w:val="0"/>
          <w:numId w:val="50"/>
        </w:numPr>
        <w:spacing w:line="360" w:lineRule="auto"/>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施工图预算若存在暂列项或暂定材料，作为要求独立发包或专项采购的工程或材料、设备设施，由乙方按照政府投资项目管理办法规定进行采购或招标，采购文件需经甲方认可，采购（招标）限价不得超出相应概算金额。采购过程应有甲方参与监督。</w:t>
      </w:r>
    </w:p>
    <w:p>
      <w:pPr>
        <w:pStyle w:val="188"/>
        <w:numPr>
          <w:ilvl w:val="0"/>
          <w:numId w:val="50"/>
        </w:numPr>
        <w:spacing w:line="360" w:lineRule="auto"/>
        <w:ind w:left="993" w:hanging="573"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结算时允许调整的内容</w:t>
      </w:r>
    </w:p>
    <w:p>
      <w:pPr>
        <w:pStyle w:val="188"/>
        <w:spacing w:line="360" w:lineRule="auto"/>
        <w:ind w:left="49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）人工、材料价格调整</w:t>
      </w:r>
    </w:p>
    <w:p>
      <w:pPr>
        <w:pStyle w:val="188"/>
        <w:spacing w:line="360" w:lineRule="auto"/>
        <w:ind w:left="988" w:leftChars="337" w:hanging="281" w:hangingChars="134"/>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）人工单价：</w:t>
      </w:r>
    </w:p>
    <w:p>
      <w:pPr>
        <w:pStyle w:val="188"/>
        <w:spacing w:line="360" w:lineRule="auto"/>
        <w:ind w:left="988" w:leftChars="437" w:hanging="71" w:hangingChars="34"/>
        <w:rPr>
          <w:color w:val="000000" w:themeColor="text1"/>
          <w14:textFill>
            <w14:solidFill>
              <w14:schemeClr w14:val="tx1"/>
            </w14:solidFill>
          </w14:textFill>
        </w:rPr>
      </w:pPr>
      <w:r>
        <w:rPr>
          <w:rFonts w:hint="eastAsia"/>
          <w:color w:val="000000" w:themeColor="text1"/>
          <w14:textFill>
            <w14:solidFill>
              <w14:schemeClr w14:val="tx1"/>
            </w14:solidFill>
          </w14:textFill>
        </w:rPr>
        <w:t>人工价格按工程施工期内自开工当月（包括开工日当月）至竣工月份（包括验收日当月）《杭州市建设工程造价信息》（正刊）发布的人工信息价的算术平均值与投标当月对应的当期的人工信息价按实调差，差价只计取税金不计管理费及利润。</w:t>
      </w:r>
    </w:p>
    <w:p>
      <w:pPr>
        <w:pStyle w:val="188"/>
        <w:spacing w:line="360" w:lineRule="auto"/>
        <w:ind w:left="988" w:leftChars="337" w:hanging="281" w:hangingChars="134"/>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）材料单价：</w:t>
      </w:r>
    </w:p>
    <w:p>
      <w:pPr>
        <w:pStyle w:val="188"/>
        <w:spacing w:line="360" w:lineRule="auto"/>
        <w:ind w:left="988" w:leftChars="437" w:hanging="71" w:hangingChars="34"/>
        <w:rPr>
          <w:color w:val="000000" w:themeColor="text1"/>
          <w14:textFill>
            <w14:solidFill>
              <w14:schemeClr w14:val="tx1"/>
            </w14:solidFill>
          </w14:textFill>
        </w:rPr>
      </w:pPr>
      <w:r>
        <w:rPr>
          <w:rFonts w:hint="eastAsia"/>
          <w:color w:val="000000" w:themeColor="text1"/>
          <w14:textFill>
            <w14:solidFill>
              <w14:schemeClr w14:val="tx1"/>
            </w14:solidFill>
          </w14:textFill>
        </w:rPr>
        <w:t>主要材料在项目施工期内按对应工程开工当月（包括开工日当月）至竣工月份（包括验收日当月）期间的前</w:t>
      </w:r>
      <w:r>
        <w:rPr>
          <w:color w:val="000000" w:themeColor="text1"/>
          <w14:textFill>
            <w14:solidFill>
              <w14:schemeClr w14:val="tx1"/>
            </w14:solidFill>
          </w14:textFill>
        </w:rPr>
        <w:t>80%</w:t>
      </w:r>
      <w:r>
        <w:rPr>
          <w:rFonts w:hint="eastAsia"/>
          <w:color w:val="000000" w:themeColor="text1"/>
          <w14:textFill>
            <w14:solidFill>
              <w14:schemeClr w14:val="tx1"/>
            </w14:solidFill>
          </w14:textFill>
        </w:rPr>
        <w:t>月份（四舍五入）的《杭州市建设工程造价信息》（正刊）中价格的算术平均值与投标当月对应的当期的材料价格之比上涨或者下跌幅度在</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以上时，对上涨或者下跌幅度在</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以上部分进行调差，差价只计取税金不计管理费及利润。</w:t>
      </w:r>
    </w:p>
    <w:p>
      <w:pPr>
        <w:pStyle w:val="188"/>
        <w:spacing w:line="360" w:lineRule="auto"/>
        <w:ind w:left="987" w:leftChars="470" w:firstLine="2" w:firstLineChars="1"/>
        <w:rPr>
          <w:color w:val="000000" w:themeColor="text1"/>
          <w14:textFill>
            <w14:solidFill>
              <w14:schemeClr w14:val="tx1"/>
            </w14:solidFill>
          </w14:textFill>
        </w:rPr>
      </w:pPr>
      <w:r>
        <w:rPr>
          <w:rFonts w:hint="eastAsia"/>
          <w:color w:val="000000" w:themeColor="text1"/>
          <w14:textFill>
            <w14:solidFill>
              <w14:schemeClr w14:val="tx1"/>
            </w14:solidFill>
          </w14:textFill>
        </w:rPr>
        <w:t>合同约定可调价的材料范围详见双方核对确认并经审计部门认可的主要材料表，材料优先按《杭州市建设工程造价信息》（正刊）中价格执行，其次为《浙江造价信息》，最后为经双方协商进行市场询价；</w:t>
      </w:r>
    </w:p>
    <w:p>
      <w:pPr>
        <w:pStyle w:val="188"/>
        <w:spacing w:line="360" w:lineRule="auto"/>
        <w:ind w:left="988" w:leftChars="337" w:hanging="281" w:hangingChars="134"/>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）已审定的施工图预算因法律、标准和规范变化价格和费用需要调整的，按其具体要求调整；</w:t>
      </w:r>
    </w:p>
    <w:p>
      <w:pPr>
        <w:pStyle w:val="188"/>
        <w:spacing w:line="360" w:lineRule="auto"/>
        <w:ind w:left="705" w:leftChars="203" w:hanging="279" w:hangingChars="133"/>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需政府方（包括甲方及甲方授权或书面指定的机构，下同）确认并能调整结算的资料，包括：工程联系单（政府方出具的）、设计变更联系单（政府方提出变更的）、材料价格确认单（政府方要求调换材料或品牌的）、图纸会审纪要等，未经政府方确认均不得作为调整结算的依据。</w:t>
      </w:r>
    </w:p>
    <w:p>
      <w:pPr>
        <w:pStyle w:val="188"/>
        <w:numPr>
          <w:ilvl w:val="0"/>
          <w:numId w:val="50"/>
        </w:numPr>
        <w:spacing w:line="360" w:lineRule="auto"/>
        <w:ind w:left="993" w:hanging="573"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建设工程施工费用定额取费标准约定：</w:t>
      </w:r>
    </w:p>
    <w:p>
      <w:pPr>
        <w:pStyle w:val="188"/>
        <w:numPr>
          <w:ilvl w:val="3"/>
          <w:numId w:val="27"/>
        </w:numPr>
        <w:spacing w:line="360" w:lineRule="auto"/>
        <w:ind w:left="1134"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综合费用（管理费、利润）费率根据项目类型及特征分类取费；。</w:t>
      </w:r>
    </w:p>
    <w:p>
      <w:pPr>
        <w:pStyle w:val="188"/>
        <w:numPr>
          <w:ilvl w:val="3"/>
          <w:numId w:val="27"/>
        </w:numPr>
        <w:spacing w:line="360" w:lineRule="auto"/>
        <w:ind w:left="1134"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组织措施费计安全文明施工费、工程定位复测费、二次搬运费、已完工程及设备保护费，费率按定额中值计取。</w:t>
      </w:r>
    </w:p>
    <w:p>
      <w:pPr>
        <w:pStyle w:val="188"/>
        <w:numPr>
          <w:ilvl w:val="3"/>
          <w:numId w:val="27"/>
        </w:numPr>
        <w:spacing w:line="360" w:lineRule="auto"/>
        <w:ind w:left="1134"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规费按《浙江省建设工程施工费用定额》（</w:t>
      </w:r>
      <w:r>
        <w:rPr>
          <w:color w:val="000000" w:themeColor="text1"/>
          <w14:textFill>
            <w14:solidFill>
              <w14:schemeClr w14:val="tx1"/>
            </w14:solidFill>
          </w14:textFill>
        </w:rPr>
        <w:t>2010</w:t>
      </w:r>
      <w:r>
        <w:rPr>
          <w:rFonts w:hint="eastAsia"/>
          <w:color w:val="000000" w:themeColor="text1"/>
          <w14:textFill>
            <w14:solidFill>
              <w14:schemeClr w14:val="tx1"/>
            </w14:solidFill>
          </w14:textFill>
        </w:rPr>
        <w:t>版）规定计取；</w:t>
      </w:r>
    </w:p>
    <w:p>
      <w:pPr>
        <w:pStyle w:val="188"/>
        <w:numPr>
          <w:ilvl w:val="3"/>
          <w:numId w:val="27"/>
        </w:numPr>
        <w:spacing w:line="360" w:lineRule="auto"/>
        <w:ind w:left="1134"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农民工工伤保险费率应按杭州市政府文件和杭州市建设行政主管部门发布的有关计价文件规定计算，取费标准按项目类型及特征分类取费；</w:t>
      </w:r>
    </w:p>
    <w:p>
      <w:pPr>
        <w:pStyle w:val="188"/>
        <w:numPr>
          <w:ilvl w:val="3"/>
          <w:numId w:val="27"/>
        </w:numPr>
        <w:spacing w:line="360" w:lineRule="auto"/>
        <w:ind w:left="1134" w:hanging="567"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工程税金按增值税率暂按</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计取。</w:t>
      </w:r>
    </w:p>
    <w:p>
      <w:pPr>
        <w:pStyle w:val="188"/>
        <w:numPr>
          <w:ilvl w:val="0"/>
          <w:numId w:val="50"/>
        </w:numPr>
        <w:spacing w:line="360" w:lineRule="auto"/>
        <w:ind w:left="993" w:hanging="573"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工程变更</w:t>
      </w:r>
    </w:p>
    <w:p>
      <w:pPr>
        <w:pStyle w:val="188"/>
        <w:spacing w:line="360" w:lineRule="auto"/>
        <w:ind w:left="993"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工程变更原则及程序按照合同第</w:t>
      </w:r>
      <w:r>
        <w:rPr>
          <w:color w:val="000000" w:themeColor="text1"/>
          <w14:textFill>
            <w14:solidFill>
              <w14:schemeClr w14:val="tx1"/>
            </w14:solidFill>
          </w14:textFill>
        </w:rPr>
        <w:t>7.11</w:t>
      </w:r>
      <w:r>
        <w:rPr>
          <w:rFonts w:hint="eastAsia"/>
          <w:color w:val="000000" w:themeColor="text1"/>
          <w14:textFill>
            <w14:solidFill>
              <w14:schemeClr w14:val="tx1"/>
            </w14:solidFill>
          </w14:textFill>
        </w:rPr>
        <w:t>款约定执行。</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2.3.5  </w:t>
      </w:r>
      <w:r>
        <w:rPr>
          <w:rFonts w:hint="eastAsia"/>
          <w:color w:val="000000" w:themeColor="text1"/>
          <w14:textFill>
            <w14:solidFill>
              <w14:schemeClr w14:val="tx1"/>
            </w14:solidFill>
          </w14:textFill>
        </w:rPr>
        <w:t>施工图预算编制依据（具体以正式出具的财审预算编制依据说明为准）</w:t>
      </w:r>
    </w:p>
    <w:p>
      <w:pPr>
        <w:pStyle w:val="188"/>
        <w:numPr>
          <w:ilvl w:val="0"/>
          <w:numId w:val="51"/>
        </w:numPr>
        <w:tabs>
          <w:tab w:val="left" w:pos="1176"/>
        </w:tabs>
        <w:adjustRightInd w:val="0"/>
        <w:snapToGrid w:val="0"/>
        <w:spacing w:line="360" w:lineRule="auto"/>
        <w:ind w:left="1134" w:hanging="567" w:firstLineChars="0"/>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工程设计施工图纸及有关资料；</w:t>
      </w:r>
    </w:p>
    <w:p>
      <w:pPr>
        <w:pStyle w:val="188"/>
        <w:numPr>
          <w:ilvl w:val="0"/>
          <w:numId w:val="51"/>
        </w:numPr>
        <w:tabs>
          <w:tab w:val="left" w:pos="1176"/>
        </w:tabs>
        <w:adjustRightInd w:val="0"/>
        <w:snapToGrid w:val="0"/>
        <w:spacing w:line="360" w:lineRule="auto"/>
        <w:ind w:left="1134" w:hanging="567" w:firstLineChars="0"/>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《建设工程工程量清单计价规范》（</w:t>
      </w:r>
      <w:r>
        <w:rPr>
          <w:snapToGrid w:val="0"/>
          <w:color w:val="000000" w:themeColor="text1"/>
          <w:szCs w:val="21"/>
          <w14:textFill>
            <w14:solidFill>
              <w14:schemeClr w14:val="tx1"/>
            </w14:solidFill>
          </w14:textFill>
        </w:rPr>
        <w:t>GB50500-2013</w:t>
      </w:r>
      <w:r>
        <w:rPr>
          <w:rFonts w:hint="eastAsia"/>
          <w:snapToGrid w:val="0"/>
          <w:color w:val="000000" w:themeColor="text1"/>
          <w:szCs w:val="21"/>
          <w14:textFill>
            <w14:solidFill>
              <w14:schemeClr w14:val="tx1"/>
            </w14:solidFill>
          </w14:textFill>
        </w:rPr>
        <w:t>）；</w:t>
      </w:r>
    </w:p>
    <w:p>
      <w:pPr>
        <w:pStyle w:val="188"/>
        <w:numPr>
          <w:ilvl w:val="0"/>
          <w:numId w:val="51"/>
        </w:numPr>
        <w:tabs>
          <w:tab w:val="left" w:pos="1176"/>
        </w:tabs>
        <w:adjustRightInd w:val="0"/>
        <w:snapToGrid w:val="0"/>
        <w:spacing w:line="360" w:lineRule="auto"/>
        <w:ind w:left="1134" w:hanging="567" w:firstLineChars="0"/>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《房屋建筑与装饰工程工程量计算规范》（</w:t>
      </w:r>
      <w:r>
        <w:rPr>
          <w:snapToGrid w:val="0"/>
          <w:color w:val="000000" w:themeColor="text1"/>
          <w:szCs w:val="21"/>
          <w14:textFill>
            <w14:solidFill>
              <w14:schemeClr w14:val="tx1"/>
            </w14:solidFill>
          </w14:textFill>
        </w:rPr>
        <w:t>GB50854-2013</w:t>
      </w:r>
      <w:r>
        <w:rPr>
          <w:rFonts w:hint="eastAsia"/>
          <w:snapToGrid w:val="0"/>
          <w:color w:val="000000" w:themeColor="text1"/>
          <w:szCs w:val="21"/>
          <w14:textFill>
            <w14:solidFill>
              <w14:schemeClr w14:val="tx1"/>
            </w14:solidFill>
          </w14:textFill>
        </w:rPr>
        <w:t>）</w:t>
      </w:r>
    </w:p>
    <w:p>
      <w:pPr>
        <w:pStyle w:val="188"/>
        <w:numPr>
          <w:ilvl w:val="0"/>
          <w:numId w:val="51"/>
        </w:numPr>
        <w:tabs>
          <w:tab w:val="left" w:pos="1176"/>
        </w:tabs>
        <w:adjustRightInd w:val="0"/>
        <w:snapToGrid w:val="0"/>
        <w:spacing w:line="360" w:lineRule="auto"/>
        <w:ind w:left="1134" w:hanging="567" w:firstLineChars="0"/>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《通用安装工程工程量计算规范》（</w:t>
      </w:r>
      <w:r>
        <w:rPr>
          <w:snapToGrid w:val="0"/>
          <w:color w:val="000000" w:themeColor="text1"/>
          <w:szCs w:val="21"/>
          <w14:textFill>
            <w14:solidFill>
              <w14:schemeClr w14:val="tx1"/>
            </w14:solidFill>
          </w14:textFill>
        </w:rPr>
        <w:t>GB50856-2013</w:t>
      </w:r>
      <w:r>
        <w:rPr>
          <w:rFonts w:hint="eastAsia"/>
          <w:snapToGrid w:val="0"/>
          <w:color w:val="000000" w:themeColor="text1"/>
          <w:szCs w:val="21"/>
          <w14:textFill>
            <w14:solidFill>
              <w14:schemeClr w14:val="tx1"/>
            </w14:solidFill>
          </w14:textFill>
        </w:rPr>
        <w:t>）</w:t>
      </w:r>
    </w:p>
    <w:p>
      <w:pPr>
        <w:pStyle w:val="188"/>
        <w:numPr>
          <w:ilvl w:val="0"/>
          <w:numId w:val="51"/>
        </w:numPr>
        <w:tabs>
          <w:tab w:val="left" w:pos="1176"/>
        </w:tabs>
        <w:adjustRightInd w:val="0"/>
        <w:snapToGrid w:val="0"/>
        <w:spacing w:line="360" w:lineRule="auto"/>
        <w:ind w:left="1134" w:hanging="567" w:firstLineChars="0"/>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《浙江省建设工程计价规则》（</w:t>
      </w:r>
      <w:r>
        <w:rPr>
          <w:snapToGrid w:val="0"/>
          <w:color w:val="000000" w:themeColor="text1"/>
          <w:szCs w:val="21"/>
          <w14:textFill>
            <w14:solidFill>
              <w14:schemeClr w14:val="tx1"/>
            </w14:solidFill>
          </w14:textFill>
        </w:rPr>
        <w:t>2010</w:t>
      </w:r>
      <w:r>
        <w:rPr>
          <w:rFonts w:hint="eastAsia"/>
          <w:snapToGrid w:val="0"/>
          <w:color w:val="000000" w:themeColor="text1"/>
          <w:szCs w:val="21"/>
          <w14:textFill>
            <w14:solidFill>
              <w14:schemeClr w14:val="tx1"/>
            </w14:solidFill>
          </w14:textFill>
        </w:rPr>
        <w:t>版）；</w:t>
      </w:r>
    </w:p>
    <w:p>
      <w:pPr>
        <w:pStyle w:val="188"/>
        <w:numPr>
          <w:ilvl w:val="0"/>
          <w:numId w:val="51"/>
        </w:numPr>
        <w:tabs>
          <w:tab w:val="left" w:pos="1176"/>
        </w:tabs>
        <w:adjustRightInd w:val="0"/>
        <w:snapToGrid w:val="0"/>
        <w:spacing w:line="360" w:lineRule="auto"/>
        <w:ind w:left="1134" w:hanging="567" w:firstLineChars="0"/>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《浙江省建筑工程预算定额》（</w:t>
      </w:r>
      <w:r>
        <w:rPr>
          <w:snapToGrid w:val="0"/>
          <w:color w:val="000000" w:themeColor="text1"/>
          <w:szCs w:val="21"/>
          <w14:textFill>
            <w14:solidFill>
              <w14:schemeClr w14:val="tx1"/>
            </w14:solidFill>
          </w14:textFill>
        </w:rPr>
        <w:t>2010</w:t>
      </w:r>
      <w:r>
        <w:rPr>
          <w:rFonts w:hint="eastAsia"/>
          <w:snapToGrid w:val="0"/>
          <w:color w:val="000000" w:themeColor="text1"/>
          <w:szCs w:val="21"/>
          <w14:textFill>
            <w14:solidFill>
              <w14:schemeClr w14:val="tx1"/>
            </w14:solidFill>
          </w14:textFill>
        </w:rPr>
        <w:t>版）；</w:t>
      </w:r>
    </w:p>
    <w:p>
      <w:pPr>
        <w:pStyle w:val="188"/>
        <w:numPr>
          <w:ilvl w:val="0"/>
          <w:numId w:val="51"/>
        </w:numPr>
        <w:tabs>
          <w:tab w:val="left" w:pos="1176"/>
        </w:tabs>
        <w:adjustRightInd w:val="0"/>
        <w:snapToGrid w:val="0"/>
        <w:spacing w:line="360" w:lineRule="auto"/>
        <w:ind w:left="1134" w:hanging="567" w:firstLineChars="0"/>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《浙江省安装工程预算定额》（</w:t>
      </w:r>
      <w:r>
        <w:rPr>
          <w:snapToGrid w:val="0"/>
          <w:color w:val="000000" w:themeColor="text1"/>
          <w:szCs w:val="21"/>
          <w14:textFill>
            <w14:solidFill>
              <w14:schemeClr w14:val="tx1"/>
            </w14:solidFill>
          </w14:textFill>
        </w:rPr>
        <w:t>2010</w:t>
      </w:r>
      <w:r>
        <w:rPr>
          <w:rFonts w:hint="eastAsia"/>
          <w:snapToGrid w:val="0"/>
          <w:color w:val="000000" w:themeColor="text1"/>
          <w:szCs w:val="21"/>
          <w14:textFill>
            <w14:solidFill>
              <w14:schemeClr w14:val="tx1"/>
            </w14:solidFill>
          </w14:textFill>
        </w:rPr>
        <w:t>版）；</w:t>
      </w:r>
    </w:p>
    <w:p>
      <w:pPr>
        <w:pStyle w:val="188"/>
        <w:numPr>
          <w:ilvl w:val="0"/>
          <w:numId w:val="51"/>
        </w:numPr>
        <w:tabs>
          <w:tab w:val="left" w:pos="1176"/>
        </w:tabs>
        <w:adjustRightInd w:val="0"/>
        <w:snapToGrid w:val="0"/>
        <w:spacing w:line="360" w:lineRule="auto"/>
        <w:ind w:left="1134" w:hanging="567" w:firstLineChars="0"/>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《浙江省市政工程预算定额》（</w:t>
      </w:r>
      <w:r>
        <w:rPr>
          <w:snapToGrid w:val="0"/>
          <w:color w:val="000000" w:themeColor="text1"/>
          <w:szCs w:val="21"/>
          <w14:textFill>
            <w14:solidFill>
              <w14:schemeClr w14:val="tx1"/>
            </w14:solidFill>
          </w14:textFill>
        </w:rPr>
        <w:t>2010</w:t>
      </w:r>
      <w:r>
        <w:rPr>
          <w:rFonts w:hint="eastAsia"/>
          <w:snapToGrid w:val="0"/>
          <w:color w:val="000000" w:themeColor="text1"/>
          <w:szCs w:val="21"/>
          <w14:textFill>
            <w14:solidFill>
              <w14:schemeClr w14:val="tx1"/>
            </w14:solidFill>
          </w14:textFill>
        </w:rPr>
        <w:t>版）；</w:t>
      </w:r>
    </w:p>
    <w:p>
      <w:pPr>
        <w:pStyle w:val="188"/>
        <w:numPr>
          <w:ilvl w:val="0"/>
          <w:numId w:val="51"/>
        </w:numPr>
        <w:tabs>
          <w:tab w:val="left" w:pos="1176"/>
        </w:tabs>
        <w:adjustRightInd w:val="0"/>
        <w:snapToGrid w:val="0"/>
        <w:spacing w:line="360" w:lineRule="auto"/>
        <w:ind w:left="1134" w:hanging="567" w:firstLineChars="0"/>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《浙江省仿古建筑园林绿化工程预算定额（</w:t>
      </w:r>
      <w:r>
        <w:rPr>
          <w:snapToGrid w:val="0"/>
          <w:color w:val="000000" w:themeColor="text1"/>
          <w:szCs w:val="21"/>
          <w14:textFill>
            <w14:solidFill>
              <w14:schemeClr w14:val="tx1"/>
            </w14:solidFill>
          </w14:textFill>
        </w:rPr>
        <w:t>2010</w:t>
      </w:r>
      <w:r>
        <w:rPr>
          <w:rFonts w:hint="eastAsia"/>
          <w:snapToGrid w:val="0"/>
          <w:color w:val="000000" w:themeColor="text1"/>
          <w:szCs w:val="21"/>
          <w14:textFill>
            <w14:solidFill>
              <w14:schemeClr w14:val="tx1"/>
            </w14:solidFill>
          </w14:textFill>
        </w:rPr>
        <w:t>）》；</w:t>
      </w:r>
    </w:p>
    <w:p>
      <w:pPr>
        <w:pStyle w:val="188"/>
        <w:numPr>
          <w:ilvl w:val="0"/>
          <w:numId w:val="51"/>
        </w:numPr>
        <w:tabs>
          <w:tab w:val="left" w:pos="1176"/>
        </w:tabs>
        <w:adjustRightInd w:val="0"/>
        <w:snapToGrid w:val="0"/>
        <w:spacing w:line="360" w:lineRule="auto"/>
        <w:ind w:left="1134" w:hanging="567" w:firstLineChars="0"/>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《浙江省建设工程施工取费定额》（</w:t>
      </w:r>
      <w:r>
        <w:rPr>
          <w:snapToGrid w:val="0"/>
          <w:color w:val="000000" w:themeColor="text1"/>
          <w:szCs w:val="21"/>
          <w14:textFill>
            <w14:solidFill>
              <w14:schemeClr w14:val="tx1"/>
            </w14:solidFill>
          </w14:textFill>
        </w:rPr>
        <w:t>2010</w:t>
      </w:r>
      <w:r>
        <w:rPr>
          <w:rFonts w:hint="eastAsia"/>
          <w:snapToGrid w:val="0"/>
          <w:color w:val="000000" w:themeColor="text1"/>
          <w:szCs w:val="21"/>
          <w14:textFill>
            <w14:solidFill>
              <w14:schemeClr w14:val="tx1"/>
            </w14:solidFill>
          </w14:textFill>
        </w:rPr>
        <w:t>版）；</w:t>
      </w:r>
    </w:p>
    <w:p>
      <w:pPr>
        <w:pStyle w:val="188"/>
        <w:numPr>
          <w:ilvl w:val="0"/>
          <w:numId w:val="51"/>
        </w:numPr>
        <w:tabs>
          <w:tab w:val="left" w:pos="1176"/>
        </w:tabs>
        <w:adjustRightInd w:val="0"/>
        <w:snapToGrid w:val="0"/>
        <w:spacing w:line="360" w:lineRule="auto"/>
        <w:ind w:left="1134" w:hanging="567" w:firstLineChars="0"/>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《浙江省施工机械台班费用参考单价》（</w:t>
      </w:r>
      <w:r>
        <w:rPr>
          <w:snapToGrid w:val="0"/>
          <w:color w:val="000000" w:themeColor="text1"/>
          <w:szCs w:val="21"/>
          <w14:textFill>
            <w14:solidFill>
              <w14:schemeClr w14:val="tx1"/>
            </w14:solidFill>
          </w14:textFill>
        </w:rPr>
        <w:t>2010</w:t>
      </w:r>
      <w:r>
        <w:rPr>
          <w:rFonts w:hint="eastAsia"/>
          <w:snapToGrid w:val="0"/>
          <w:color w:val="000000" w:themeColor="text1"/>
          <w:szCs w:val="21"/>
          <w14:textFill>
            <w14:solidFill>
              <w14:schemeClr w14:val="tx1"/>
            </w14:solidFill>
          </w14:textFill>
        </w:rPr>
        <w:t>版）；</w:t>
      </w:r>
    </w:p>
    <w:p>
      <w:pPr>
        <w:pStyle w:val="188"/>
        <w:numPr>
          <w:ilvl w:val="0"/>
          <w:numId w:val="51"/>
        </w:numPr>
        <w:tabs>
          <w:tab w:val="left" w:pos="1176"/>
        </w:tabs>
        <w:adjustRightInd w:val="0"/>
        <w:snapToGrid w:val="0"/>
        <w:spacing w:line="360" w:lineRule="auto"/>
        <w:ind w:left="1134" w:hanging="567" w:firstLineChars="0"/>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《浙江省建设工程工程量清单计价指引》；</w:t>
      </w:r>
    </w:p>
    <w:p>
      <w:pPr>
        <w:pStyle w:val="188"/>
        <w:numPr>
          <w:ilvl w:val="0"/>
          <w:numId w:val="51"/>
        </w:numPr>
        <w:tabs>
          <w:tab w:val="left" w:pos="1176"/>
        </w:tabs>
        <w:adjustRightInd w:val="0"/>
        <w:snapToGrid w:val="0"/>
        <w:spacing w:line="360" w:lineRule="auto"/>
        <w:ind w:left="1134" w:hanging="567" w:firstLineChars="0"/>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《浙江省关于规范建设工程安全文明施工费计取的通知》</w:t>
      </w:r>
      <w:r>
        <w:rPr>
          <w:snapToGrid w:val="0"/>
          <w:color w:val="000000" w:themeColor="text1"/>
          <w:szCs w:val="21"/>
          <w14:textFill>
            <w14:solidFill>
              <w14:schemeClr w14:val="tx1"/>
            </w14:solidFill>
          </w14:textFill>
        </w:rPr>
        <w:t xml:space="preserve"> (</w:t>
      </w:r>
      <w:r>
        <w:rPr>
          <w:rFonts w:hint="eastAsia"/>
          <w:snapToGrid w:val="0"/>
          <w:color w:val="000000" w:themeColor="text1"/>
          <w:szCs w:val="21"/>
          <w14:textFill>
            <w14:solidFill>
              <w14:schemeClr w14:val="tx1"/>
            </w14:solidFill>
          </w14:textFill>
        </w:rPr>
        <w:t>建建发﹝</w:t>
      </w:r>
      <w:r>
        <w:rPr>
          <w:snapToGrid w:val="0"/>
          <w:color w:val="000000" w:themeColor="text1"/>
          <w:szCs w:val="21"/>
          <w14:textFill>
            <w14:solidFill>
              <w14:schemeClr w14:val="tx1"/>
            </w14:solidFill>
          </w14:textFill>
        </w:rPr>
        <w:t>2015</w:t>
      </w:r>
      <w:r>
        <w:rPr>
          <w:rFonts w:hint="eastAsia"/>
          <w:snapToGrid w:val="0"/>
          <w:color w:val="000000" w:themeColor="text1"/>
          <w:szCs w:val="21"/>
          <w14:textFill>
            <w14:solidFill>
              <w14:schemeClr w14:val="tx1"/>
            </w14:solidFill>
          </w14:textFill>
        </w:rPr>
        <w:t>﹞</w:t>
      </w:r>
      <w:r>
        <w:rPr>
          <w:snapToGrid w:val="0"/>
          <w:color w:val="000000" w:themeColor="text1"/>
          <w:szCs w:val="21"/>
          <w14:textFill>
            <w14:solidFill>
              <w14:schemeClr w14:val="tx1"/>
            </w14:solidFill>
          </w14:textFill>
        </w:rPr>
        <w:t>517</w:t>
      </w:r>
      <w:r>
        <w:rPr>
          <w:rFonts w:hint="eastAsia"/>
          <w:snapToGrid w:val="0"/>
          <w:color w:val="000000" w:themeColor="text1"/>
          <w:szCs w:val="21"/>
          <w14:textFill>
            <w14:solidFill>
              <w14:schemeClr w14:val="tx1"/>
            </w14:solidFill>
          </w14:textFill>
        </w:rPr>
        <w:t>号</w:t>
      </w:r>
      <w:r>
        <w:rPr>
          <w:snapToGrid w:val="0"/>
          <w:color w:val="000000" w:themeColor="text1"/>
          <w:szCs w:val="21"/>
          <w14:textFill>
            <w14:solidFill>
              <w14:schemeClr w14:val="tx1"/>
            </w14:solidFill>
          </w14:textFill>
        </w:rPr>
        <w:t>)</w:t>
      </w:r>
      <w:r>
        <w:rPr>
          <w:rFonts w:hint="eastAsia"/>
          <w:snapToGrid w:val="0"/>
          <w:color w:val="000000" w:themeColor="text1"/>
          <w:szCs w:val="21"/>
          <w14:textFill>
            <w14:solidFill>
              <w14:schemeClr w14:val="tx1"/>
            </w14:solidFill>
          </w14:textFill>
        </w:rPr>
        <w:t>；</w:t>
      </w:r>
    </w:p>
    <w:p>
      <w:pPr>
        <w:pStyle w:val="188"/>
        <w:numPr>
          <w:ilvl w:val="0"/>
          <w:numId w:val="51"/>
        </w:numPr>
        <w:tabs>
          <w:tab w:val="left" w:pos="1176"/>
        </w:tabs>
        <w:adjustRightInd w:val="0"/>
        <w:snapToGrid w:val="0"/>
        <w:spacing w:line="360" w:lineRule="auto"/>
        <w:ind w:left="1134" w:hanging="567" w:firstLineChars="0"/>
        <w:rPr>
          <w:snapToGrid w:val="0"/>
          <w:color w:val="000000" w:themeColor="text1"/>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浙江省、杭州市有关工程造价文件、法律法规和省站的有关定额解释（包括营改增相关文件）；</w:t>
      </w:r>
    </w:p>
    <w:p>
      <w:pPr>
        <w:pStyle w:val="188"/>
        <w:numPr>
          <w:ilvl w:val="0"/>
          <w:numId w:val="51"/>
        </w:numPr>
        <w:tabs>
          <w:tab w:val="left" w:pos="1176"/>
        </w:tabs>
        <w:adjustRightInd w:val="0"/>
        <w:snapToGrid w:val="0"/>
        <w:spacing w:line="360" w:lineRule="auto"/>
        <w:ind w:left="1134" w:hanging="567" w:firstLineChars="0"/>
        <w:jc w:val="left"/>
        <w:rPr>
          <w:snapToGrid w:val="0"/>
          <w:color w:val="000000" w:themeColor="text1"/>
          <w:kern w:val="0"/>
          <w:szCs w:val="21"/>
          <w14:textFill>
            <w14:solidFill>
              <w14:schemeClr w14:val="tx1"/>
            </w14:solidFill>
          </w14:textFill>
        </w:rPr>
      </w:pPr>
      <w:r>
        <w:rPr>
          <w:rFonts w:hint="eastAsia"/>
          <w:snapToGrid w:val="0"/>
          <w:color w:val="000000" w:themeColor="text1"/>
          <w:szCs w:val="21"/>
          <w14:textFill>
            <w14:solidFill>
              <w14:schemeClr w14:val="tx1"/>
            </w14:solidFill>
          </w14:textFill>
        </w:rPr>
        <w:t>预算编制取用的《杭州市建设工程造价信息》（正刊）和《浙江造价信息》的对应期数；</w:t>
      </w:r>
    </w:p>
    <w:p>
      <w:pPr>
        <w:pStyle w:val="4"/>
        <w:tabs>
          <w:tab w:val="left" w:pos="567"/>
        </w:tabs>
        <w:rPr>
          <w:color w:val="000000" w:themeColor="text1"/>
          <w14:textFill>
            <w14:solidFill>
              <w14:schemeClr w14:val="tx1"/>
            </w14:solidFill>
          </w14:textFill>
        </w:rPr>
      </w:pPr>
      <w:bookmarkStart w:id="322" w:name="_Toc491857562"/>
      <w:bookmarkStart w:id="323" w:name="_Toc495845961"/>
      <w:bookmarkStart w:id="324" w:name="_Toc496299568"/>
      <w:bookmarkStart w:id="325" w:name="_Toc516399726"/>
      <w:bookmarkStart w:id="326" w:name="_Toc522635502"/>
      <w:r>
        <w:rPr>
          <w:color w:val="000000" w:themeColor="text1"/>
          <w14:textFill>
            <w14:solidFill>
              <w14:schemeClr w14:val="tx1"/>
            </w14:solidFill>
          </w14:textFill>
        </w:rPr>
        <w:t xml:space="preserve">2.4 </w:t>
      </w:r>
      <w:r>
        <w:rPr>
          <w:rFonts w:hint="eastAsia"/>
          <w:color w:val="000000" w:themeColor="text1"/>
          <w14:textFill>
            <w14:solidFill>
              <w14:schemeClr w14:val="tx1"/>
            </w14:solidFill>
          </w14:textFill>
        </w:rPr>
        <w:t>合作期限</w:t>
      </w:r>
      <w:bookmarkEnd w:id="322"/>
      <w:bookmarkEnd w:id="323"/>
      <w:bookmarkEnd w:id="324"/>
      <w:bookmarkEnd w:id="325"/>
      <w:bookmarkEnd w:id="326"/>
    </w:p>
    <w:p>
      <w:pPr>
        <w:pStyle w:val="310"/>
        <w:spacing w:line="360" w:lineRule="auto"/>
        <w:ind w:left="567" w:leftChars="270" w:firstLine="420" w:firstLineChars="20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除根据本合同</w:t>
      </w:r>
      <w:r>
        <w:fldChar w:fldCharType="begin"/>
      </w:r>
      <w:r>
        <w:instrText xml:space="preserve"> HYPERLINK \l "_第_14_条" </w:instrText>
      </w:r>
      <w:r>
        <w:fldChar w:fldCharType="separate"/>
      </w:r>
      <w:r>
        <w:rPr>
          <w:rStyle w:val="54"/>
          <w:rFonts w:hint="eastAsia" w:ascii="Times New Roman"/>
          <w:color w:val="000000" w:themeColor="text1"/>
          <w:sz w:val="21"/>
          <w:szCs w:val="21"/>
          <w14:textFill>
            <w14:solidFill>
              <w14:schemeClr w14:val="tx1"/>
            </w14:solidFill>
          </w14:textFill>
        </w:rPr>
        <w:t>第</w:t>
      </w:r>
      <w:r>
        <w:rPr>
          <w:rStyle w:val="54"/>
          <w:rFonts w:ascii="Times New Roman"/>
          <w:color w:val="000000" w:themeColor="text1"/>
          <w:sz w:val="21"/>
          <w:szCs w:val="21"/>
          <w14:textFill>
            <w14:solidFill>
              <w14:schemeClr w14:val="tx1"/>
            </w14:solidFill>
          </w14:textFill>
        </w:rPr>
        <w:t>14</w:t>
      </w:r>
      <w:r>
        <w:rPr>
          <w:rStyle w:val="54"/>
          <w:rFonts w:hint="eastAsia" w:ascii="Times New Roman"/>
          <w:color w:val="000000" w:themeColor="text1"/>
          <w:sz w:val="21"/>
          <w:szCs w:val="21"/>
          <w14:textFill>
            <w14:solidFill>
              <w14:schemeClr w14:val="tx1"/>
            </w14:solidFill>
          </w14:textFill>
        </w:rPr>
        <w:t>条</w:t>
      </w:r>
      <w:r>
        <w:rPr>
          <w:rStyle w:val="54"/>
          <w:rFonts w:hint="eastAsia" w:ascii="Times New Roman"/>
          <w:color w:val="000000" w:themeColor="text1"/>
          <w:sz w:val="21"/>
          <w:szCs w:val="21"/>
          <w14:textFill>
            <w14:solidFill>
              <w14:schemeClr w14:val="tx1"/>
            </w14:solidFill>
          </w14:textFill>
        </w:rPr>
        <w:fldChar w:fldCharType="end"/>
      </w:r>
      <w:r>
        <w:rPr>
          <w:rFonts w:hint="eastAsia" w:ascii="Times New Roman" w:eastAsia="宋体" w:cs="Times New Roman"/>
          <w:color w:val="000000" w:themeColor="text1"/>
          <w:sz w:val="21"/>
          <w:szCs w:val="21"/>
          <w14:textFill>
            <w14:solidFill>
              <w14:schemeClr w14:val="tx1"/>
            </w14:solidFill>
          </w14:textFill>
        </w:rPr>
        <w:t>提前终止或</w:t>
      </w:r>
      <w:r>
        <w:fldChar w:fldCharType="begin"/>
      </w:r>
      <w:r>
        <w:instrText xml:space="preserve"> HYPERLINK \l "_7.4.7_如果建设进度因第7.4.6条款延长，则第2.4条款约定的合" </w:instrText>
      </w:r>
      <w:r>
        <w:fldChar w:fldCharType="separate"/>
      </w:r>
      <w:r>
        <w:rPr>
          <w:rStyle w:val="54"/>
          <w:rFonts w:hint="eastAsia" w:ascii="Times New Roman"/>
          <w:color w:val="000000" w:themeColor="text1"/>
          <w:sz w:val="21"/>
          <w:szCs w:val="21"/>
          <w14:textFill>
            <w14:solidFill>
              <w14:schemeClr w14:val="tx1"/>
            </w14:solidFill>
          </w14:textFill>
        </w:rPr>
        <w:t>第</w:t>
      </w:r>
      <w:r>
        <w:rPr>
          <w:rStyle w:val="54"/>
          <w:rFonts w:ascii="Times New Roman"/>
          <w:color w:val="000000" w:themeColor="text1"/>
          <w:sz w:val="21"/>
          <w:szCs w:val="21"/>
          <w14:textFill>
            <w14:solidFill>
              <w14:schemeClr w14:val="tx1"/>
            </w14:solidFill>
          </w14:textFill>
        </w:rPr>
        <w:t>7.4.7</w:t>
      </w:r>
      <w:r>
        <w:rPr>
          <w:rStyle w:val="54"/>
          <w:rFonts w:hint="eastAsia" w:ascii="Times New Roman"/>
          <w:color w:val="000000" w:themeColor="text1"/>
          <w:sz w:val="21"/>
          <w:szCs w:val="21"/>
          <w14:textFill>
            <w14:solidFill>
              <w14:schemeClr w14:val="tx1"/>
            </w14:solidFill>
          </w14:textFill>
        </w:rPr>
        <w:t>条</w:t>
      </w:r>
      <w:r>
        <w:rPr>
          <w:rStyle w:val="54"/>
          <w:rFonts w:hint="eastAsia" w:ascii="Times New Roman"/>
          <w:color w:val="000000" w:themeColor="text1"/>
          <w:sz w:val="21"/>
          <w:szCs w:val="21"/>
          <w14:textFill>
            <w14:solidFill>
              <w14:schemeClr w14:val="tx1"/>
            </w14:solidFill>
          </w14:textFill>
        </w:rPr>
        <w:fldChar w:fldCharType="end"/>
      </w:r>
      <w:r>
        <w:rPr>
          <w:rFonts w:hint="eastAsia" w:ascii="Times New Roman" w:cs="Times New Roman"/>
          <w:color w:val="000000" w:themeColor="text1"/>
          <w:sz w:val="21"/>
          <w:szCs w:val="21"/>
          <w:u w:val="single"/>
          <w14:textFill>
            <w14:solidFill>
              <w14:schemeClr w14:val="tx1"/>
            </w14:solidFill>
          </w14:textFill>
        </w:rPr>
        <w:t>款</w:t>
      </w:r>
      <w:r>
        <w:rPr>
          <w:rFonts w:hint="eastAsia" w:ascii="Times New Roman" w:eastAsia="宋体" w:cs="Times New Roman"/>
          <w:color w:val="000000" w:themeColor="text1"/>
          <w:sz w:val="21"/>
          <w:szCs w:val="21"/>
          <w14:textFill>
            <w14:solidFill>
              <w14:schemeClr w14:val="tx1"/>
            </w14:solidFill>
          </w14:textFill>
        </w:rPr>
        <w:t>、</w:t>
      </w:r>
      <w:r>
        <w:fldChar w:fldCharType="begin"/>
      </w:r>
      <w:r>
        <w:instrText xml:space="preserve"> HYPERLINK \l "_7.11.4_工期顺延或提前" </w:instrText>
      </w:r>
      <w:r>
        <w:fldChar w:fldCharType="separate"/>
      </w:r>
      <w:r>
        <w:rPr>
          <w:rStyle w:val="54"/>
          <w:rFonts w:hint="eastAsia" w:ascii="Times New Roman"/>
          <w:color w:val="000000" w:themeColor="text1"/>
          <w:sz w:val="21"/>
          <w:szCs w:val="21"/>
          <w14:textFill>
            <w14:solidFill>
              <w14:schemeClr w14:val="tx1"/>
            </w14:solidFill>
          </w14:textFill>
        </w:rPr>
        <w:t>第</w:t>
      </w:r>
      <w:r>
        <w:rPr>
          <w:rStyle w:val="54"/>
          <w:rFonts w:ascii="Times New Roman"/>
          <w:color w:val="000000" w:themeColor="text1"/>
          <w:sz w:val="21"/>
          <w:szCs w:val="21"/>
          <w14:textFill>
            <w14:solidFill>
              <w14:schemeClr w14:val="tx1"/>
            </w14:solidFill>
          </w14:textFill>
        </w:rPr>
        <w:t>7.11.5</w:t>
      </w:r>
      <w:r>
        <w:rPr>
          <w:rStyle w:val="54"/>
          <w:rFonts w:hint="eastAsia" w:ascii="Times New Roman"/>
          <w:color w:val="000000" w:themeColor="text1"/>
          <w:sz w:val="21"/>
          <w:szCs w:val="21"/>
          <w14:textFill>
            <w14:solidFill>
              <w14:schemeClr w14:val="tx1"/>
            </w14:solidFill>
          </w14:textFill>
        </w:rPr>
        <w:t>条</w:t>
      </w:r>
      <w:r>
        <w:rPr>
          <w:rStyle w:val="54"/>
          <w:rFonts w:hint="eastAsia" w:ascii="Times New Roman"/>
          <w:color w:val="000000" w:themeColor="text1"/>
          <w:sz w:val="21"/>
          <w:szCs w:val="21"/>
          <w14:textFill>
            <w14:solidFill>
              <w14:schemeClr w14:val="tx1"/>
            </w14:solidFill>
          </w14:textFill>
        </w:rPr>
        <w:fldChar w:fldCharType="end"/>
      </w:r>
      <w:r>
        <w:rPr>
          <w:rFonts w:hint="eastAsia" w:ascii="Times New Roman" w:cs="Times New Roman"/>
          <w:color w:val="000000" w:themeColor="text1"/>
          <w:sz w:val="21"/>
          <w:szCs w:val="21"/>
          <w:u w:val="single"/>
          <w14:textFill>
            <w14:solidFill>
              <w14:schemeClr w14:val="tx1"/>
            </w14:solidFill>
          </w14:textFill>
        </w:rPr>
        <w:t>款</w:t>
      </w:r>
      <w:r>
        <w:rPr>
          <w:rFonts w:hint="eastAsia" w:ascii="Times New Roman" w:eastAsia="宋体" w:cs="Times New Roman"/>
          <w:color w:val="000000" w:themeColor="text1"/>
          <w:sz w:val="21"/>
          <w:szCs w:val="21"/>
          <w14:textFill>
            <w14:solidFill>
              <w14:schemeClr w14:val="tx1"/>
            </w14:solidFill>
          </w14:textFill>
        </w:rPr>
        <w:t>变更，本项目合作期限含（建设期</w:t>
      </w:r>
      <w:r>
        <w:rPr>
          <w:rFonts w:ascii="Times New Roman" w:eastAsia="宋体" w:cs="Times New Roman"/>
          <w:color w:val="000000" w:themeColor="text1"/>
          <w:sz w:val="21"/>
          <w:szCs w:val="21"/>
          <w14:textFill>
            <w14:solidFill>
              <w14:schemeClr w14:val="tx1"/>
            </w14:solidFill>
          </w14:textFill>
        </w:rPr>
        <w:t>38</w:t>
      </w:r>
      <w:r>
        <w:rPr>
          <w:rFonts w:hint="eastAsia" w:ascii="Times New Roman" w:eastAsia="宋体" w:cs="Times New Roman"/>
          <w:color w:val="000000" w:themeColor="text1"/>
          <w:sz w:val="21"/>
          <w:szCs w:val="21"/>
          <w14:textFill>
            <w14:solidFill>
              <w14:schemeClr w14:val="tx1"/>
            </w14:solidFill>
          </w14:textFill>
        </w:rPr>
        <w:t>个月和运营期</w:t>
      </w:r>
      <w:r>
        <w:rPr>
          <w:rFonts w:ascii="Times New Roman" w:eastAsia="宋体" w:cs="Times New Roman"/>
          <w:color w:val="000000" w:themeColor="text1"/>
          <w:sz w:val="21"/>
          <w:szCs w:val="21"/>
          <w14:textFill>
            <w14:solidFill>
              <w14:schemeClr w14:val="tx1"/>
            </w14:solidFill>
          </w14:textFill>
        </w:rPr>
        <w:t>20</w:t>
      </w:r>
      <w:r>
        <w:rPr>
          <w:rFonts w:hint="eastAsia" w:ascii="Times New Roman" w:eastAsia="宋体" w:cs="Times New Roman"/>
          <w:color w:val="000000" w:themeColor="text1"/>
          <w:sz w:val="21"/>
          <w:szCs w:val="21"/>
          <w14:textFill>
            <w14:solidFill>
              <w14:schemeClr w14:val="tx1"/>
            </w14:solidFill>
          </w14:textFill>
        </w:rPr>
        <w:t>年），自生效日起计算。合作期限包括建设期</w:t>
      </w:r>
      <w:r>
        <w:rPr>
          <w:rFonts w:ascii="Times New Roman" w:eastAsia="宋体" w:cs="Times New Roman"/>
          <w:color w:val="000000" w:themeColor="text1"/>
          <w:sz w:val="21"/>
          <w:szCs w:val="21"/>
          <w14:textFill>
            <w14:solidFill>
              <w14:schemeClr w14:val="tx1"/>
            </w14:solidFill>
          </w14:textFill>
        </w:rPr>
        <w:t>38</w:t>
      </w:r>
      <w:r>
        <w:rPr>
          <w:rFonts w:hint="eastAsia" w:ascii="Times New Roman" w:eastAsia="宋体" w:cs="Times New Roman"/>
          <w:color w:val="000000" w:themeColor="text1"/>
          <w:sz w:val="21"/>
          <w:szCs w:val="21"/>
          <w14:textFill>
            <w14:solidFill>
              <w14:schemeClr w14:val="tx1"/>
            </w14:solidFill>
          </w14:textFill>
        </w:rPr>
        <w:t>个月和运营期二十（</w:t>
      </w:r>
      <w:r>
        <w:rPr>
          <w:rFonts w:ascii="Times New Roman" w:eastAsia="宋体" w:cs="Times New Roman"/>
          <w:color w:val="000000" w:themeColor="text1"/>
          <w:sz w:val="21"/>
          <w:szCs w:val="21"/>
          <w14:textFill>
            <w14:solidFill>
              <w14:schemeClr w14:val="tx1"/>
            </w14:solidFill>
          </w14:textFill>
        </w:rPr>
        <w:t>20</w:t>
      </w:r>
      <w:r>
        <w:rPr>
          <w:rFonts w:hint="eastAsia" w:ascii="Times New Roman" w:eastAsia="宋体" w:cs="Times New Roman"/>
          <w:color w:val="000000" w:themeColor="text1"/>
          <w:sz w:val="21"/>
          <w:szCs w:val="21"/>
          <w14:textFill>
            <w14:solidFill>
              <w14:schemeClr w14:val="tx1"/>
            </w14:solidFill>
          </w14:textFill>
        </w:rPr>
        <w:t>）年。</w:t>
      </w:r>
      <w:r>
        <w:rPr>
          <w:rFonts w:hint="eastAsia" w:ascii="Times New Roman" w:eastAsia="宋体" w:cs="Times New Roman"/>
          <w:color w:val="auto"/>
          <w:sz w:val="21"/>
          <w:szCs w:val="21"/>
        </w:rPr>
        <w:t>如实际建设期小于</w:t>
      </w:r>
      <w:r>
        <w:rPr>
          <w:rFonts w:ascii="Times New Roman" w:eastAsia="宋体" w:cs="Times New Roman"/>
          <w:color w:val="auto"/>
          <w:sz w:val="21"/>
          <w:szCs w:val="21"/>
        </w:rPr>
        <w:t>38</w:t>
      </w:r>
      <w:r>
        <w:rPr>
          <w:rFonts w:hint="eastAsia" w:ascii="Times New Roman" w:eastAsia="宋体" w:cs="Times New Roman"/>
          <w:color w:val="auto"/>
          <w:sz w:val="21"/>
          <w:szCs w:val="21"/>
        </w:rPr>
        <w:t>个月的，则运营期保持二十（</w:t>
      </w:r>
      <w:r>
        <w:rPr>
          <w:rFonts w:ascii="Times New Roman" w:eastAsia="宋体" w:cs="Times New Roman"/>
          <w:color w:val="auto"/>
          <w:sz w:val="21"/>
          <w:szCs w:val="21"/>
        </w:rPr>
        <w:t>20</w:t>
      </w:r>
      <w:r>
        <w:rPr>
          <w:rFonts w:hint="eastAsia" w:ascii="Times New Roman" w:eastAsia="宋体" w:cs="Times New Roman"/>
          <w:color w:val="auto"/>
          <w:sz w:val="21"/>
          <w:szCs w:val="21"/>
        </w:rPr>
        <w:t>）年不变；实际建设期超过</w:t>
      </w:r>
      <w:r>
        <w:rPr>
          <w:rFonts w:ascii="Times New Roman" w:eastAsia="宋体" w:cs="Times New Roman"/>
          <w:color w:val="auto"/>
          <w:sz w:val="21"/>
          <w:szCs w:val="21"/>
        </w:rPr>
        <w:t>38</w:t>
      </w:r>
      <w:r>
        <w:rPr>
          <w:rFonts w:hint="eastAsia" w:ascii="Times New Roman" w:eastAsia="宋体" w:cs="Times New Roman"/>
          <w:color w:val="auto"/>
          <w:sz w:val="21"/>
          <w:szCs w:val="21"/>
        </w:rPr>
        <w:t>个月的，则运营期保持二十（</w:t>
      </w:r>
      <w:r>
        <w:rPr>
          <w:rFonts w:ascii="Times New Roman" w:eastAsia="宋体" w:cs="Times New Roman"/>
          <w:color w:val="auto"/>
          <w:sz w:val="21"/>
          <w:szCs w:val="21"/>
        </w:rPr>
        <w:t>20</w:t>
      </w:r>
      <w:r>
        <w:rPr>
          <w:rFonts w:hint="eastAsia" w:ascii="Times New Roman" w:eastAsia="宋体" w:cs="Times New Roman"/>
          <w:color w:val="auto"/>
          <w:sz w:val="21"/>
          <w:szCs w:val="21"/>
        </w:rPr>
        <w:t>）年不变。如因第</w:t>
      </w:r>
      <w:r>
        <w:rPr>
          <w:rFonts w:ascii="Times New Roman" w:eastAsia="宋体" w:cs="Times New Roman"/>
          <w:color w:val="auto"/>
          <w:sz w:val="21"/>
          <w:szCs w:val="21"/>
        </w:rPr>
        <w:t>7.4.5</w:t>
      </w:r>
      <w:r>
        <w:rPr>
          <w:rFonts w:hint="eastAsia" w:ascii="Times New Roman" w:eastAsia="宋体" w:cs="Times New Roman"/>
          <w:color w:val="auto"/>
          <w:sz w:val="21"/>
          <w:szCs w:val="21"/>
        </w:rPr>
        <w:t>条款（</w:t>
      </w:r>
      <w:r>
        <w:rPr>
          <w:rFonts w:ascii="Times New Roman" w:eastAsia="宋体" w:cs="Times New Roman"/>
          <w:color w:val="auto"/>
          <w:sz w:val="21"/>
          <w:szCs w:val="21"/>
        </w:rPr>
        <w:t>a</w:t>
      </w:r>
      <w:r>
        <w:rPr>
          <w:rFonts w:hint="eastAsia" w:ascii="Times New Roman" w:eastAsia="宋体" w:cs="Times New Roman"/>
          <w:color w:val="auto"/>
          <w:sz w:val="21"/>
          <w:szCs w:val="21"/>
        </w:rPr>
        <w:t>）、（</w:t>
      </w:r>
      <w:r>
        <w:rPr>
          <w:rFonts w:ascii="Times New Roman" w:eastAsia="宋体" w:cs="Times New Roman"/>
          <w:color w:val="auto"/>
          <w:sz w:val="21"/>
          <w:szCs w:val="21"/>
        </w:rPr>
        <w:t>b</w:t>
      </w:r>
      <w:r>
        <w:rPr>
          <w:rFonts w:hint="eastAsia" w:ascii="Times New Roman" w:eastAsia="宋体" w:cs="Times New Roman"/>
          <w:color w:val="auto"/>
          <w:sz w:val="21"/>
          <w:szCs w:val="21"/>
        </w:rPr>
        <w:t>）、（</w:t>
      </w:r>
      <w:r>
        <w:rPr>
          <w:rFonts w:ascii="Times New Roman" w:eastAsia="宋体" w:cs="Times New Roman"/>
          <w:color w:val="auto"/>
          <w:sz w:val="21"/>
          <w:szCs w:val="21"/>
        </w:rPr>
        <w:t>c</w:t>
      </w:r>
      <w:r>
        <w:rPr>
          <w:rFonts w:hint="eastAsia" w:ascii="Times New Roman" w:eastAsia="宋体" w:cs="Times New Roman"/>
          <w:color w:val="auto"/>
          <w:sz w:val="21"/>
          <w:szCs w:val="21"/>
        </w:rPr>
        <w:t>）原因导致实际建设期超过</w:t>
      </w:r>
      <w:r>
        <w:rPr>
          <w:rFonts w:ascii="Times New Roman" w:eastAsia="宋体" w:cs="Times New Roman"/>
          <w:color w:val="auto"/>
          <w:sz w:val="21"/>
          <w:szCs w:val="21"/>
        </w:rPr>
        <w:t>38</w:t>
      </w:r>
      <w:r>
        <w:rPr>
          <w:rFonts w:hint="eastAsia" w:ascii="Times New Roman" w:eastAsia="宋体" w:cs="Times New Roman"/>
          <w:color w:val="auto"/>
          <w:sz w:val="21"/>
          <w:szCs w:val="21"/>
        </w:rPr>
        <w:t>个月的，运营期保持二十（</w:t>
      </w:r>
      <w:r>
        <w:rPr>
          <w:rFonts w:ascii="Times New Roman" w:eastAsia="宋体" w:cs="Times New Roman"/>
          <w:color w:val="auto"/>
          <w:sz w:val="21"/>
          <w:szCs w:val="21"/>
        </w:rPr>
        <w:t>20</w:t>
      </w:r>
      <w:r>
        <w:rPr>
          <w:rFonts w:hint="eastAsia" w:ascii="Times New Roman" w:eastAsia="宋体" w:cs="Times New Roman"/>
          <w:color w:val="auto"/>
          <w:sz w:val="21"/>
          <w:szCs w:val="21"/>
        </w:rPr>
        <w:t>）年不变。</w:t>
      </w:r>
    </w:p>
    <w:p>
      <w:pPr>
        <w:pStyle w:val="3"/>
        <w:jc w:val="center"/>
        <w:rPr>
          <w:rFonts w:ascii="Times New Roman" w:hAnsi="Times New Roman" w:eastAsia="黑体"/>
          <w:color w:val="000000" w:themeColor="text1"/>
          <w:sz w:val="21"/>
          <w:szCs w:val="21"/>
          <w14:textFill>
            <w14:solidFill>
              <w14:schemeClr w14:val="tx1"/>
            </w14:solidFill>
          </w14:textFill>
        </w:rPr>
      </w:pPr>
      <w:bookmarkStart w:id="327" w:name="_Toc522635503"/>
      <w:bookmarkStart w:id="328" w:name="_Toc516399727"/>
      <w:bookmarkStart w:id="329" w:name="_Toc496299569"/>
      <w:bookmarkStart w:id="330" w:name="_Toc495845962"/>
      <w:bookmarkStart w:id="331" w:name="_Toc491857563"/>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3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声明和保证</w:t>
      </w:r>
      <w:bookmarkEnd w:id="327"/>
      <w:bookmarkEnd w:id="328"/>
      <w:bookmarkEnd w:id="329"/>
      <w:bookmarkEnd w:id="330"/>
      <w:bookmarkEnd w:id="331"/>
      <w:r>
        <w:rPr>
          <w:rFonts w:ascii="Times New Roman" w:hAnsi="Times New Roman" w:eastAsia="黑体"/>
          <w:color w:val="000000" w:themeColor="text1"/>
          <w:sz w:val="21"/>
          <w:szCs w:val="21"/>
          <w14:textFill>
            <w14:solidFill>
              <w14:schemeClr w14:val="tx1"/>
            </w14:solidFill>
          </w14:textFill>
        </w:rPr>
        <w:t xml:space="preserve"> </w:t>
      </w:r>
    </w:p>
    <w:p>
      <w:pPr>
        <w:pStyle w:val="4"/>
        <w:rPr>
          <w:color w:val="000000" w:themeColor="text1"/>
          <w14:textFill>
            <w14:solidFill>
              <w14:schemeClr w14:val="tx1"/>
            </w14:solidFill>
          </w14:textFill>
        </w:rPr>
      </w:pPr>
      <w:bookmarkStart w:id="332" w:name="_Toc522635504"/>
      <w:bookmarkStart w:id="333" w:name="_Toc516399728"/>
      <w:bookmarkStart w:id="334" w:name="_Toc496299570"/>
      <w:bookmarkStart w:id="335" w:name="_Toc495845963"/>
      <w:bookmarkStart w:id="336" w:name="_Toc491857564"/>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甲方的声明</w:t>
      </w:r>
      <w:bookmarkEnd w:id="332"/>
      <w:bookmarkEnd w:id="333"/>
      <w:bookmarkEnd w:id="334"/>
      <w:bookmarkEnd w:id="335"/>
      <w:bookmarkEnd w:id="336"/>
      <w:r>
        <w:rPr>
          <w:color w:val="000000" w:themeColor="text1"/>
          <w14:textFill>
            <w14:solidFill>
              <w14:schemeClr w14:val="tx1"/>
            </w14:solidFill>
          </w14:textFill>
        </w:rPr>
        <w:t xml:space="preserve"> </w:t>
      </w:r>
    </w:p>
    <w:p>
      <w:pPr>
        <w:pStyle w:val="310"/>
        <w:spacing w:line="360" w:lineRule="auto"/>
        <w:ind w:firstLine="567" w:firstLineChars="27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甲方在此向乙方声明，在生效日：</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3.1.1 </w:t>
      </w:r>
      <w:r>
        <w:rPr>
          <w:rFonts w:hint="eastAsia"/>
          <w:color w:val="000000" w:themeColor="text1"/>
          <w14:textFill>
            <w14:solidFill>
              <w14:schemeClr w14:val="tx1"/>
            </w14:solidFill>
          </w14:textFill>
        </w:rPr>
        <w:t>本项目已经杭州市发展和改革委员会批准立项；</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3.1.2 </w:t>
      </w:r>
      <w:r>
        <w:rPr>
          <w:rFonts w:hint="eastAsia"/>
          <w:color w:val="000000" w:themeColor="text1"/>
          <w14:textFill>
            <w14:solidFill>
              <w14:schemeClr w14:val="tx1"/>
            </w14:solidFill>
          </w14:textFill>
        </w:rPr>
        <w:t>甲方具有签署和履行本合同的法人资格和权利；</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3.1.3 </w:t>
      </w:r>
      <w:r>
        <w:rPr>
          <w:rFonts w:hint="eastAsia"/>
          <w:color w:val="000000" w:themeColor="text1"/>
          <w14:textFill>
            <w14:solidFill>
              <w14:schemeClr w14:val="tx1"/>
            </w14:solidFill>
          </w14:textFill>
        </w:rPr>
        <w:t>甲方已获得杭州大江东产业集聚区管理委员会的授权和批准签署并履行本合同，本合同一经签订，即对甲方具有完全的法律约束力。签订和履行本合同的条款、条件、义务不会导致甲方违反法律法规规章、行政决定、生效判决和仲裁裁决的强制性规定，违反其与第三方合同的条款、条件和承诺；</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3.1.4 </w:t>
      </w:r>
      <w:r>
        <w:rPr>
          <w:rFonts w:hint="eastAsia"/>
          <w:color w:val="000000" w:themeColor="text1"/>
          <w14:textFill>
            <w14:solidFill>
              <w14:schemeClr w14:val="tx1"/>
            </w14:solidFill>
          </w14:textFill>
        </w:rPr>
        <w:t>如果甲方在上述第</w:t>
      </w:r>
      <w:r>
        <w:rPr>
          <w:color w:val="000000" w:themeColor="text1"/>
          <w14:textFill>
            <w14:solidFill>
              <w14:schemeClr w14:val="tx1"/>
            </w14:solidFill>
          </w14:textFill>
        </w:rPr>
        <w:t>3.1.1</w:t>
      </w:r>
      <w:r>
        <w:rPr>
          <w:rFonts w:hint="eastAsia"/>
          <w:color w:val="000000" w:themeColor="text1"/>
          <w14:textFill>
            <w14:solidFill>
              <w14:schemeClr w14:val="tx1"/>
            </w14:solidFill>
          </w14:textFill>
        </w:rPr>
        <w:t>条款、第</w:t>
      </w:r>
      <w:r>
        <w:rPr>
          <w:color w:val="000000" w:themeColor="text1"/>
          <w14:textFill>
            <w14:solidFill>
              <w14:schemeClr w14:val="tx1"/>
            </w14:solidFill>
          </w14:textFill>
        </w:rPr>
        <w:t>3.1.2</w:t>
      </w:r>
      <w:r>
        <w:rPr>
          <w:rFonts w:hint="eastAsia"/>
          <w:color w:val="000000" w:themeColor="text1"/>
          <w14:textFill>
            <w14:solidFill>
              <w14:schemeClr w14:val="tx1"/>
            </w14:solidFill>
          </w14:textFill>
        </w:rPr>
        <w:t>条款或第</w:t>
      </w:r>
      <w:r>
        <w:rPr>
          <w:color w:val="000000" w:themeColor="text1"/>
          <w14:textFill>
            <w14:solidFill>
              <w14:schemeClr w14:val="tx1"/>
            </w14:solidFill>
          </w14:textFill>
        </w:rPr>
        <w:t>3.1.3</w:t>
      </w:r>
      <w:r>
        <w:rPr>
          <w:rFonts w:hint="eastAsia"/>
          <w:color w:val="000000" w:themeColor="text1"/>
          <w14:textFill>
            <w14:solidFill>
              <w14:schemeClr w14:val="tx1"/>
            </w14:solidFill>
          </w14:textFill>
        </w:rPr>
        <w:t>条款下所作的声明被证明在作出之时在实质方面不属实，乙方有权根据</w:t>
      </w:r>
      <w:r>
        <w:fldChar w:fldCharType="begin"/>
      </w:r>
      <w:r>
        <w:instrText xml:space="preserve"> HYPERLINK \l "_14.2_由乙方/【中选社会资本】提出的提前终止" </w:instrText>
      </w:r>
      <w:r>
        <w:fldChar w:fldCharType="separate"/>
      </w:r>
      <w:r>
        <w:rPr>
          <w:rStyle w:val="54"/>
          <w:rFonts w:hint="eastAsia"/>
          <w:color w:val="000000" w:themeColor="text1"/>
          <w14:textFill>
            <w14:solidFill>
              <w14:schemeClr w14:val="tx1"/>
            </w14:solidFill>
          </w14:textFill>
        </w:rPr>
        <w:t>第</w:t>
      </w:r>
      <w:r>
        <w:rPr>
          <w:rStyle w:val="54"/>
          <w:color w:val="000000" w:themeColor="text1"/>
          <w14:textFill>
            <w14:solidFill>
              <w14:schemeClr w14:val="tx1"/>
            </w14:solidFill>
          </w14:textFill>
        </w:rPr>
        <w:t>14.2</w:t>
      </w:r>
      <w:r>
        <w:rPr>
          <w:rStyle w:val="54"/>
          <w:rFonts w:hint="eastAsia"/>
          <w:color w:val="000000" w:themeColor="text1"/>
          <w14:textFill>
            <w14:solidFill>
              <w14:schemeClr w14:val="tx1"/>
            </w14:solidFill>
          </w14:textFill>
        </w:rPr>
        <w:t>条款</w:t>
      </w:r>
      <w:r>
        <w:rPr>
          <w:rStyle w:val="54"/>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的规定终止本合同。</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3.1.5 </w:t>
      </w:r>
      <w:r>
        <w:rPr>
          <w:rFonts w:hint="eastAsia"/>
          <w:color w:val="000000" w:themeColor="text1"/>
          <w14:textFill>
            <w14:solidFill>
              <w14:schemeClr w14:val="tx1"/>
            </w14:solidFill>
          </w14:textFill>
        </w:rPr>
        <w:t>本项目可行性缺口补助支付计划将纳入财政中长期规划，将项目财政支出责任纳入预算统筹安排。</w:t>
      </w:r>
      <w:r>
        <w:rPr>
          <w:color w:val="000000" w:themeColor="text1"/>
          <w14:textFill>
            <w14:solidFill>
              <w14:schemeClr w14:val="tx1"/>
            </w14:solidFill>
          </w14:textFill>
        </w:rPr>
        <w:t xml:space="preserve"> </w:t>
      </w:r>
    </w:p>
    <w:p>
      <w:pPr>
        <w:pStyle w:val="4"/>
        <w:rPr>
          <w:color w:val="000000" w:themeColor="text1"/>
          <w14:textFill>
            <w14:solidFill>
              <w14:schemeClr w14:val="tx1"/>
            </w14:solidFill>
          </w14:textFill>
        </w:rPr>
      </w:pPr>
      <w:bookmarkStart w:id="337" w:name="_Toc491857565"/>
      <w:bookmarkStart w:id="338" w:name="_Toc495845964"/>
      <w:bookmarkStart w:id="339" w:name="_Toc496299571"/>
      <w:bookmarkStart w:id="340" w:name="_Toc516399729"/>
      <w:bookmarkStart w:id="341" w:name="_Toc522635505"/>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乙方的声明</w:t>
      </w:r>
      <w:bookmarkEnd w:id="337"/>
      <w:bookmarkEnd w:id="338"/>
      <w:bookmarkEnd w:id="339"/>
      <w:bookmarkEnd w:id="340"/>
      <w:bookmarkEnd w:id="341"/>
      <w:r>
        <w:rPr>
          <w:color w:val="000000" w:themeColor="text1"/>
          <w14:textFill>
            <w14:solidFill>
              <w14:schemeClr w14:val="tx1"/>
            </w14:solidFill>
          </w14:textFill>
        </w:rPr>
        <w:t xml:space="preserve"> </w:t>
      </w:r>
    </w:p>
    <w:p>
      <w:pPr>
        <w:pStyle w:val="310"/>
        <w:spacing w:line="360" w:lineRule="auto"/>
        <w:ind w:firstLine="567" w:firstLineChars="27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乙方在此向甲方声明，在生效日：</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3.2.1  </w:t>
      </w:r>
      <w:r>
        <w:rPr>
          <w:rFonts w:hint="eastAsia"/>
          <w:color w:val="000000" w:themeColor="text1"/>
          <w14:textFill>
            <w14:solidFill>
              <w14:schemeClr w14:val="tx1"/>
            </w14:solidFill>
          </w14:textFill>
        </w:rPr>
        <w:t>乙方依据中国法律正式成立并注册，具有签署和履行本合同的法人资格和能力；</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3.2.2  </w:t>
      </w:r>
      <w:r>
        <w:rPr>
          <w:rFonts w:hint="eastAsia"/>
          <w:color w:val="000000" w:themeColor="text1"/>
          <w14:textFill>
            <w14:solidFill>
              <w14:schemeClr w14:val="tx1"/>
            </w14:solidFill>
          </w14:textFill>
        </w:rPr>
        <w:t>项目公司在</w:t>
      </w:r>
      <w:r>
        <w:rPr>
          <w:color w:val="000000" w:themeColor="text1"/>
          <w14:textFill>
            <w14:solidFill>
              <w14:schemeClr w14:val="tx1"/>
            </w14:solidFill>
          </w14:textFill>
        </w:rPr>
        <w:t>2018</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】日前依据中国法律和采购文件要求由乙方在杭州大江东产业集聚区正式注册成立，具有承继乙方签署和履行</w:t>
      </w:r>
      <w:r>
        <w:rPr>
          <w:color w:val="000000" w:themeColor="text1"/>
          <w14:textFill>
            <w14:solidFill>
              <w14:schemeClr w14:val="tx1"/>
            </w14:solidFill>
          </w14:textFill>
        </w:rPr>
        <w:t>PPP</w:t>
      </w:r>
      <w:r>
        <w:rPr>
          <w:rFonts w:hint="eastAsia"/>
          <w:color w:val="000000" w:themeColor="text1"/>
          <w14:textFill>
            <w14:solidFill>
              <w14:schemeClr w14:val="tx1"/>
            </w14:solidFill>
          </w14:textFill>
        </w:rPr>
        <w:t>项目合同的法人资格和能力；</w:t>
      </w:r>
    </w:p>
    <w:p>
      <w:pPr>
        <w:pStyle w:val="5"/>
        <w:rPr>
          <w:b/>
          <w:color w:val="000000" w:themeColor="text1"/>
          <w14:textFill>
            <w14:solidFill>
              <w14:schemeClr w14:val="tx1"/>
            </w14:solidFill>
          </w14:textFill>
        </w:rPr>
      </w:pPr>
      <w:r>
        <w:rPr>
          <w:color w:val="000000" w:themeColor="text1"/>
          <w14:textFill>
            <w14:solidFill>
              <w14:schemeClr w14:val="tx1"/>
            </w14:solidFill>
          </w14:textFill>
        </w:rPr>
        <w:t xml:space="preserve">3.2.3  </w:t>
      </w:r>
      <w:r>
        <w:rPr>
          <w:rFonts w:hint="eastAsia"/>
          <w:color w:val="000000" w:themeColor="text1"/>
          <w14:textFill>
            <w14:solidFill>
              <w14:schemeClr w14:val="tx1"/>
            </w14:solidFill>
          </w14:textFill>
        </w:rPr>
        <w:t>项目公司的初始注册资本为</w:t>
      </w:r>
      <w:r>
        <w:rPr>
          <w:color w:val="000000" w:themeColor="text1"/>
          <w:u w:val="single"/>
          <w14:textFill>
            <w14:solidFill>
              <w14:schemeClr w14:val="tx1"/>
            </w14:solidFill>
          </w14:textFill>
        </w:rPr>
        <w:t xml:space="preserve"> </w:t>
      </w:r>
      <w:r>
        <w:rPr>
          <w:rFonts w:hint="eastAsia"/>
          <w:color w:val="000000" w:themeColor="text1"/>
          <w:u w:val="single"/>
          <w14:textFill>
            <w14:solidFill>
              <w14:schemeClr w14:val="tx1"/>
            </w14:solidFill>
          </w14:textFill>
        </w:rPr>
        <w:t>柒</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亿元（￥</w:t>
      </w:r>
      <w:r>
        <w:rPr>
          <w:color w:val="000000" w:themeColor="text1"/>
          <w:u w:val="single"/>
          <w14:textFill>
            <w14:solidFill>
              <w14:schemeClr w14:val="tx1"/>
            </w14:solidFill>
          </w14:textFill>
        </w:rPr>
        <w:t xml:space="preserve">  70000.00</w:t>
      </w:r>
      <w:r>
        <w:rPr>
          <w:rFonts w:hint="eastAsia"/>
          <w:color w:val="000000" w:themeColor="text1"/>
          <w:u w:val="single"/>
          <w14:textFill>
            <w14:solidFill>
              <w14:schemeClr w14:val="tx1"/>
            </w14:solidFill>
          </w14:textFill>
        </w:rPr>
        <w:t>万元</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）。股东为</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，股权比例分别为</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和</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；乙方注册资本由各股东以货币形式出资，并于</w:t>
      </w:r>
      <w:r>
        <w:rPr>
          <w:color w:val="000000" w:themeColor="text1"/>
          <w14:textFill>
            <w14:solidFill>
              <w14:schemeClr w14:val="tx1"/>
            </w14:solidFill>
          </w14:textFill>
        </w:rPr>
        <w:t>2018</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】日前（在项目公司成立之日起三十（</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）日内）实缴到位初始注册资本的</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，于在项目公司成立之日起一（</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）年内全部实缴到位。</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3.2.3  </w:t>
      </w:r>
      <w:r>
        <w:rPr>
          <w:rFonts w:hint="eastAsia"/>
          <w:color w:val="000000" w:themeColor="text1"/>
          <w14:textFill>
            <w14:solidFill>
              <w14:schemeClr w14:val="tx1"/>
            </w14:solidFill>
          </w14:textFill>
        </w:rPr>
        <w:t>乙方已经为本合同的履行准备了足够的资金、人员和设备，将从财务、设备和技术力量等一切可能与本合同的履行有关的方面确保本合同项下各项义务的履行；</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3.2.4  </w:t>
      </w:r>
      <w:r>
        <w:rPr>
          <w:rFonts w:hint="eastAsia"/>
          <w:color w:val="000000" w:themeColor="text1"/>
          <w14:textFill>
            <w14:solidFill>
              <w14:schemeClr w14:val="tx1"/>
            </w14:solidFill>
          </w14:textFill>
        </w:rPr>
        <w:t>乙方已经取得了与签署和履行本合同有关的一切内部、外部的授权和许可，本合同一经签署，即对乙方具有完全的法律约束力，签署和履行本合同的条款、条件、义务不会导致乙方违反法律法规、行政决定、生效判决和仲裁裁决的强制性规定，违反其与第三方合同的条款、条件和承诺，也不会引致任何利益冲突；</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3.2.4  </w:t>
      </w:r>
      <w:r>
        <w:rPr>
          <w:rFonts w:hint="eastAsia"/>
          <w:color w:val="000000" w:themeColor="text1"/>
          <w14:textFill>
            <w14:solidFill>
              <w14:schemeClr w14:val="tx1"/>
            </w14:solidFill>
          </w14:textFill>
        </w:rPr>
        <w:t>如果乙方在上述第</w:t>
      </w:r>
      <w:r>
        <w:rPr>
          <w:color w:val="000000" w:themeColor="text1"/>
          <w14:textFill>
            <w14:solidFill>
              <w14:schemeClr w14:val="tx1"/>
            </w14:solidFill>
          </w14:textFill>
        </w:rPr>
        <w:t>3.2.1</w:t>
      </w:r>
      <w:r>
        <w:rPr>
          <w:rFonts w:hint="eastAsia"/>
          <w:color w:val="000000" w:themeColor="text1"/>
          <w14:textFill>
            <w14:solidFill>
              <w14:schemeClr w14:val="tx1"/>
            </w14:solidFill>
          </w14:textFill>
        </w:rPr>
        <w:t>条款、第</w:t>
      </w:r>
      <w:r>
        <w:rPr>
          <w:color w:val="000000" w:themeColor="text1"/>
          <w14:textFill>
            <w14:solidFill>
              <w14:schemeClr w14:val="tx1"/>
            </w14:solidFill>
          </w14:textFill>
        </w:rPr>
        <w:t>3.2.2</w:t>
      </w:r>
      <w:r>
        <w:rPr>
          <w:rFonts w:hint="eastAsia"/>
          <w:color w:val="000000" w:themeColor="text1"/>
          <w14:textFill>
            <w14:solidFill>
              <w14:schemeClr w14:val="tx1"/>
            </w14:solidFill>
          </w14:textFill>
        </w:rPr>
        <w:t>条款、第</w:t>
      </w:r>
      <w:r>
        <w:rPr>
          <w:color w:val="000000" w:themeColor="text1"/>
          <w14:textFill>
            <w14:solidFill>
              <w14:schemeClr w14:val="tx1"/>
            </w14:solidFill>
          </w14:textFill>
        </w:rPr>
        <w:t>3.2.3</w:t>
      </w:r>
      <w:r>
        <w:rPr>
          <w:rFonts w:hint="eastAsia"/>
          <w:color w:val="000000" w:themeColor="text1"/>
          <w14:textFill>
            <w14:solidFill>
              <w14:schemeClr w14:val="tx1"/>
            </w14:solidFill>
          </w14:textFill>
        </w:rPr>
        <w:t>条款或第</w:t>
      </w:r>
      <w:r>
        <w:rPr>
          <w:color w:val="000000" w:themeColor="text1"/>
          <w14:textFill>
            <w14:solidFill>
              <w14:schemeClr w14:val="tx1"/>
            </w14:solidFill>
          </w14:textFill>
        </w:rPr>
        <w:t>3.2.4</w:t>
      </w:r>
      <w:r>
        <w:rPr>
          <w:rFonts w:hint="eastAsia"/>
          <w:color w:val="000000" w:themeColor="text1"/>
          <w14:textFill>
            <w14:solidFill>
              <w14:schemeClr w14:val="tx1"/>
            </w14:solidFill>
          </w14:textFill>
        </w:rPr>
        <w:t>条款下所作的声明被证明在作出之时在实质方面不属实，甲方有权根据</w:t>
      </w:r>
      <w:r>
        <w:fldChar w:fldCharType="begin"/>
      </w:r>
      <w:r>
        <w:instrText xml:space="preserve"> HYPERLINK \l "_14.1_由甲方提出的提前终止" </w:instrText>
      </w:r>
      <w:r>
        <w:fldChar w:fldCharType="separate"/>
      </w:r>
      <w:r>
        <w:rPr>
          <w:rStyle w:val="54"/>
          <w:rFonts w:hint="eastAsia"/>
          <w:color w:val="000000" w:themeColor="text1"/>
          <w14:textFill>
            <w14:solidFill>
              <w14:schemeClr w14:val="tx1"/>
            </w14:solidFill>
          </w14:textFill>
        </w:rPr>
        <w:t>第</w:t>
      </w:r>
      <w:r>
        <w:rPr>
          <w:rStyle w:val="54"/>
          <w:color w:val="000000" w:themeColor="text1"/>
          <w14:textFill>
            <w14:solidFill>
              <w14:schemeClr w14:val="tx1"/>
            </w14:solidFill>
          </w14:textFill>
        </w:rPr>
        <w:t>14.1</w:t>
      </w:r>
      <w:r>
        <w:rPr>
          <w:rStyle w:val="54"/>
          <w:rFonts w:hint="eastAsia"/>
          <w:color w:val="000000" w:themeColor="text1"/>
          <w14:textFill>
            <w14:solidFill>
              <w14:schemeClr w14:val="tx1"/>
            </w14:solidFill>
          </w14:textFill>
        </w:rPr>
        <w:t>条款</w:t>
      </w:r>
      <w:r>
        <w:rPr>
          <w:rStyle w:val="54"/>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的规定终止本合同。</w:t>
      </w:r>
    </w:p>
    <w:p>
      <w:pPr>
        <w:pStyle w:val="4"/>
        <w:rPr>
          <w:color w:val="000000" w:themeColor="text1"/>
          <w14:textFill>
            <w14:solidFill>
              <w14:schemeClr w14:val="tx1"/>
            </w14:solidFill>
          </w14:textFill>
        </w:rPr>
      </w:pPr>
      <w:bookmarkStart w:id="342" w:name="_Toc491857566"/>
      <w:bookmarkStart w:id="343" w:name="_Toc496299572"/>
      <w:bookmarkStart w:id="344" w:name="_Toc495845965"/>
      <w:bookmarkStart w:id="345" w:name="_Toc516399730"/>
      <w:bookmarkStart w:id="346" w:name="_Toc522635506"/>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不限制甲方的权利</w:t>
      </w:r>
      <w:bookmarkEnd w:id="342"/>
      <w:bookmarkEnd w:id="343"/>
      <w:bookmarkEnd w:id="344"/>
      <w:bookmarkEnd w:id="345"/>
      <w:bookmarkEnd w:id="346"/>
    </w:p>
    <w:p>
      <w:pPr>
        <w:pStyle w:val="310"/>
        <w:spacing w:line="360" w:lineRule="auto"/>
        <w:ind w:left="567" w:leftChars="27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本合同不限制甲方作为行政主管部门的法定权利，甲方有权根据适用法律对乙方进行监管。</w:t>
      </w:r>
    </w:p>
    <w:p>
      <w:pPr>
        <w:pStyle w:val="4"/>
        <w:rPr>
          <w:color w:val="000000" w:themeColor="text1"/>
          <w14:textFill>
            <w14:solidFill>
              <w14:schemeClr w14:val="tx1"/>
            </w14:solidFill>
          </w14:textFill>
        </w:rPr>
      </w:pPr>
      <w:bookmarkStart w:id="347" w:name="_Toc491857567"/>
      <w:bookmarkStart w:id="348" w:name="_Toc495845966"/>
      <w:bookmarkStart w:id="349" w:name="_Toc496299573"/>
      <w:bookmarkStart w:id="350" w:name="_Toc516399731"/>
      <w:bookmarkStart w:id="351" w:name="_Toc522635507"/>
      <w:r>
        <w:rPr>
          <w:color w:val="000000" w:themeColor="text1"/>
          <w14:textFill>
            <w14:solidFill>
              <w14:schemeClr w14:val="tx1"/>
            </w14:solidFill>
          </w14:textFill>
        </w:rPr>
        <w:t xml:space="preserve">3.4 </w:t>
      </w:r>
      <w:r>
        <w:rPr>
          <w:rFonts w:hint="eastAsia"/>
          <w:color w:val="000000" w:themeColor="text1"/>
          <w14:textFill>
            <w14:solidFill>
              <w14:schemeClr w14:val="tx1"/>
            </w14:solidFill>
          </w14:textFill>
        </w:rPr>
        <w:t>建设期履约保函</w:t>
      </w:r>
      <w:bookmarkEnd w:id="347"/>
      <w:bookmarkEnd w:id="348"/>
      <w:bookmarkEnd w:id="349"/>
      <w:bookmarkEnd w:id="350"/>
      <w:bookmarkEnd w:id="351"/>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3.4.1  </w:t>
      </w:r>
      <w:r>
        <w:rPr>
          <w:rFonts w:hint="eastAsia"/>
          <w:color w:val="000000" w:themeColor="text1"/>
          <w14:textFill>
            <w14:solidFill>
              <w14:schemeClr w14:val="tx1"/>
            </w14:solidFill>
          </w14:textFill>
        </w:rPr>
        <w:t>自本合同在乙方【中标社会资本方】与甲方签订之日起七（</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）个工作日内且投标保证金退还前，乙方应向甲方提交参照</w:t>
      </w:r>
      <w:r>
        <w:fldChar w:fldCharType="begin"/>
      </w:r>
      <w:r>
        <w:instrText xml:space="preserve"> HYPERLINK \l "_附件二_履约保函或维护保函格式" </w:instrText>
      </w:r>
      <w:r>
        <w:fldChar w:fldCharType="separate"/>
      </w:r>
      <w:r>
        <w:rPr>
          <w:rStyle w:val="54"/>
          <w:rFonts w:hint="eastAsia"/>
          <w:color w:val="000000" w:themeColor="text1"/>
          <w14:textFill>
            <w14:solidFill>
              <w14:schemeClr w14:val="tx1"/>
            </w14:solidFill>
          </w14:textFill>
        </w:rPr>
        <w:t>附件二</w:t>
      </w:r>
      <w:r>
        <w:rPr>
          <w:rStyle w:val="54"/>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的格式出具的甲方作为受益人的建设期履约保函，担保期至乙方（项目公司）向甲方提交建设期履约保函之日。项目公司应在与甲方签订本合同（正式合同）后十五（</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）日内向甲方参照</w:t>
      </w:r>
      <w:r>
        <w:fldChar w:fldCharType="begin"/>
      </w:r>
      <w:r>
        <w:instrText xml:space="preserve"> HYPERLINK \l "_附件二_履约保函或维护保函格式" </w:instrText>
      </w:r>
      <w:r>
        <w:fldChar w:fldCharType="separate"/>
      </w:r>
      <w:r>
        <w:rPr>
          <w:rStyle w:val="54"/>
          <w:rFonts w:hint="eastAsia"/>
          <w:color w:val="000000" w:themeColor="text1"/>
          <w14:textFill>
            <w14:solidFill>
              <w14:schemeClr w14:val="tx1"/>
            </w14:solidFill>
          </w14:textFill>
        </w:rPr>
        <w:t>附件二</w:t>
      </w:r>
      <w:r>
        <w:rPr>
          <w:rStyle w:val="54"/>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格式交提建设期履约保函进行替换或继续延用乙方递交的建设期履约保函，担保期至本项目整体建设工程竣工验收合格，以保证乙方按照本合同的条款和条件履行本合同项下有关项目工程建设事项的各项义务。建设期履约保函应由甲方认可的金融机构（县区级及以上国有或股份制商业银行的支行或分行）出具，金额为贰亿元（</w:t>
      </w:r>
      <w:r>
        <w:rPr>
          <w:color w:val="000000" w:themeColor="text1"/>
          <w14:textFill>
            <w14:solidFill>
              <w14:schemeClr w14:val="tx1"/>
            </w14:solidFill>
          </w14:textFill>
        </w:rPr>
        <w:t>RMB200,000,000</w:t>
      </w:r>
      <w:r>
        <w:rPr>
          <w:rFonts w:hint="eastAsia"/>
          <w:color w:val="000000" w:themeColor="text1"/>
          <w14:textFill>
            <w14:solidFill>
              <w14:schemeClr w14:val="tx1"/>
            </w14:solidFill>
          </w14:textFill>
        </w:rPr>
        <w:t>）。</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3.4.2  </w:t>
      </w:r>
      <w:r>
        <w:rPr>
          <w:rFonts w:hint="eastAsia"/>
          <w:color w:val="000000" w:themeColor="text1"/>
          <w14:textFill>
            <w14:solidFill>
              <w14:schemeClr w14:val="tx1"/>
            </w14:solidFill>
          </w14:textFill>
        </w:rPr>
        <w:t>建设期履约保函有效期</w:t>
      </w:r>
    </w:p>
    <w:p>
      <w:pPr>
        <w:pStyle w:val="310"/>
        <w:numPr>
          <w:ilvl w:val="0"/>
          <w:numId w:val="52"/>
        </w:numPr>
        <w:spacing w:line="360" w:lineRule="auto"/>
        <w:ind w:left="963" w:leftChars="202" w:hanging="539" w:hangingChars="25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项目公司应保证所提供的建设期履约保函在自保函开立日起至根据</w:t>
      </w:r>
      <w:r>
        <w:rPr>
          <w:rStyle w:val="54"/>
          <w:rFonts w:ascii="Times New Roman"/>
          <w:color w:val="000000" w:themeColor="text1"/>
          <w:sz w:val="21"/>
          <w:szCs w:val="21"/>
          <w14:textFill>
            <w14:solidFill>
              <w14:schemeClr w14:val="tx1"/>
            </w14:solidFill>
          </w14:textFill>
        </w:rPr>
        <w:fldChar w:fldCharType="begin"/>
      </w:r>
      <w:r>
        <w:rPr>
          <w:rStyle w:val="54"/>
          <w:rFonts w:ascii="Times New Roman"/>
          <w:color w:val="000000" w:themeColor="text1"/>
          <w:sz w:val="21"/>
          <w:szCs w:val="21"/>
          <w14:textFill>
            <w14:solidFill>
              <w14:schemeClr w14:val="tx1"/>
            </w14:solidFill>
          </w14:textFill>
        </w:rPr>
        <w:instrText xml:space="preserve"> HYPERLINK \l "_3.4.5_建设履约保函的解除" </w:instrText>
      </w:r>
      <w:r>
        <w:rPr>
          <w:rStyle w:val="54"/>
          <w:rFonts w:ascii="Times New Roman"/>
          <w:color w:val="000000" w:themeColor="text1"/>
          <w:sz w:val="21"/>
          <w:szCs w:val="21"/>
          <w14:textFill>
            <w14:solidFill>
              <w14:schemeClr w14:val="tx1"/>
            </w14:solidFill>
          </w14:textFill>
        </w:rPr>
        <w:fldChar w:fldCharType="separate"/>
      </w:r>
      <w:r>
        <w:rPr>
          <w:rStyle w:val="54"/>
          <w:rFonts w:hint="eastAsia" w:ascii="Times New Roman"/>
          <w:color w:val="000000" w:themeColor="text1"/>
          <w:sz w:val="21"/>
          <w:szCs w:val="21"/>
          <w14:textFill>
            <w14:solidFill>
              <w14:schemeClr w14:val="tx1"/>
            </w14:solidFill>
          </w14:textFill>
        </w:rPr>
        <w:t>第</w:t>
      </w:r>
      <w:r>
        <w:rPr>
          <w:rStyle w:val="54"/>
          <w:rFonts w:ascii="Times New Roman"/>
          <w:color w:val="000000" w:themeColor="text1"/>
          <w:sz w:val="21"/>
          <w:szCs w:val="21"/>
          <w14:textFill>
            <w14:solidFill>
              <w14:schemeClr w14:val="tx1"/>
            </w14:solidFill>
          </w14:textFill>
        </w:rPr>
        <w:t>3.4.5</w:t>
      </w:r>
      <w:r>
        <w:rPr>
          <w:rStyle w:val="54"/>
          <w:rFonts w:hint="eastAsia" w:ascii="Times New Roman"/>
          <w:color w:val="000000" w:themeColor="text1"/>
          <w:sz w:val="21"/>
          <w:szCs w:val="21"/>
          <w14:textFill>
            <w14:solidFill>
              <w14:schemeClr w14:val="tx1"/>
            </w14:solidFill>
          </w14:textFill>
        </w:rPr>
        <w:t>条</w:t>
      </w:r>
      <w:r>
        <w:rPr>
          <w:rStyle w:val="54"/>
          <w:rFonts w:ascii="Times New Roman"/>
          <w:color w:val="000000" w:themeColor="text1"/>
          <w:sz w:val="21"/>
          <w:szCs w:val="21"/>
          <w14:textFill>
            <w14:solidFill>
              <w14:schemeClr w14:val="tx1"/>
            </w14:solidFill>
          </w14:textFill>
        </w:rPr>
        <w:fldChar w:fldCharType="end"/>
      </w:r>
      <w:r>
        <w:rPr>
          <w:rFonts w:hint="eastAsia" w:ascii="Times New Roman" w:eastAsia="宋体" w:cs="Times New Roman"/>
          <w:color w:val="000000" w:themeColor="text1"/>
          <w:sz w:val="21"/>
          <w:szCs w:val="21"/>
          <w14:textFill>
            <w14:solidFill>
              <w14:schemeClr w14:val="tx1"/>
            </w14:solidFill>
          </w14:textFill>
        </w:rPr>
        <w:t>款的规定解除之日止的期间内持续有效。</w:t>
      </w:r>
    </w:p>
    <w:p>
      <w:pPr>
        <w:pStyle w:val="310"/>
        <w:numPr>
          <w:ilvl w:val="0"/>
          <w:numId w:val="52"/>
        </w:numPr>
        <w:spacing w:line="360" w:lineRule="auto"/>
        <w:ind w:left="963" w:leftChars="202" w:hanging="539" w:hangingChars="25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项目公司可以开立多份生效日首尾相连的建设期履约保函，但每份保函的有效期不得低于十二（</w:t>
      </w:r>
      <w:r>
        <w:rPr>
          <w:rFonts w:ascii="Times New Roman" w:eastAsia="宋体" w:cs="Times New Roman"/>
          <w:color w:val="000000" w:themeColor="text1"/>
          <w:sz w:val="21"/>
          <w:szCs w:val="21"/>
          <w14:textFill>
            <w14:solidFill>
              <w14:schemeClr w14:val="tx1"/>
            </w14:solidFill>
          </w14:textFill>
        </w:rPr>
        <w:t>12</w:t>
      </w:r>
      <w:r>
        <w:rPr>
          <w:rFonts w:hint="eastAsia" w:ascii="Times New Roman" w:eastAsia="宋体" w:cs="Times New Roman"/>
          <w:color w:val="000000" w:themeColor="text1"/>
          <w:sz w:val="21"/>
          <w:szCs w:val="21"/>
          <w14:textFill>
            <w14:solidFill>
              <w14:schemeClr w14:val="tx1"/>
            </w14:solidFill>
          </w14:textFill>
        </w:rPr>
        <w:t>）个月。每份建设期履约保函（下称</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旧履约保函</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）有效期届满前至少三十（</w:t>
      </w:r>
      <w:r>
        <w:rPr>
          <w:rFonts w:ascii="Times New Roman" w:eastAsia="宋体" w:cs="Times New Roman"/>
          <w:color w:val="000000" w:themeColor="text1"/>
          <w:sz w:val="21"/>
          <w:szCs w:val="21"/>
          <w14:textFill>
            <w14:solidFill>
              <w14:schemeClr w14:val="tx1"/>
            </w14:solidFill>
          </w14:textFill>
        </w:rPr>
        <w:t>30</w:t>
      </w:r>
      <w:r>
        <w:rPr>
          <w:rFonts w:hint="eastAsia" w:ascii="Times New Roman" w:eastAsia="宋体" w:cs="Times New Roman"/>
          <w:color w:val="000000" w:themeColor="text1"/>
          <w:sz w:val="21"/>
          <w:szCs w:val="21"/>
          <w14:textFill>
            <w14:solidFill>
              <w14:schemeClr w14:val="tx1"/>
            </w14:solidFill>
          </w14:textFill>
        </w:rPr>
        <w:t>）日乙方应向甲方提交一份金额符合</w:t>
      </w:r>
      <w:r>
        <w:fldChar w:fldCharType="begin"/>
      </w:r>
      <w:r>
        <w:instrText xml:space="preserve"> HYPERLINK \l "_3.4.1__自本合同在【中标社会资本】与甲方签订起七（7）个工作日内" </w:instrText>
      </w:r>
      <w:r>
        <w:fldChar w:fldCharType="separate"/>
      </w:r>
      <w:r>
        <w:rPr>
          <w:rStyle w:val="54"/>
          <w:rFonts w:hint="eastAsia" w:ascii="Times New Roman"/>
          <w:color w:val="000000" w:themeColor="text1"/>
          <w:sz w:val="21"/>
          <w:szCs w:val="21"/>
          <w14:textFill>
            <w14:solidFill>
              <w14:schemeClr w14:val="tx1"/>
            </w14:solidFill>
          </w14:textFill>
        </w:rPr>
        <w:t>第</w:t>
      </w:r>
      <w:r>
        <w:rPr>
          <w:rStyle w:val="54"/>
          <w:rFonts w:ascii="Times New Roman"/>
          <w:color w:val="000000" w:themeColor="text1"/>
          <w:sz w:val="21"/>
          <w:szCs w:val="21"/>
          <w14:textFill>
            <w14:solidFill>
              <w14:schemeClr w14:val="tx1"/>
            </w14:solidFill>
          </w14:textFill>
        </w:rPr>
        <w:t>3.4.1</w:t>
      </w:r>
      <w:r>
        <w:rPr>
          <w:rStyle w:val="54"/>
          <w:rFonts w:hint="eastAsia" w:ascii="Times New Roman"/>
          <w:color w:val="000000" w:themeColor="text1"/>
          <w:sz w:val="21"/>
          <w:szCs w:val="21"/>
          <w14:textFill>
            <w14:solidFill>
              <w14:schemeClr w14:val="tx1"/>
            </w14:solidFill>
          </w14:textFill>
        </w:rPr>
        <w:t>条</w:t>
      </w:r>
      <w:r>
        <w:rPr>
          <w:rStyle w:val="54"/>
          <w:rFonts w:hint="eastAsia" w:ascii="Times New Roman"/>
          <w:color w:val="000000" w:themeColor="text1"/>
          <w:sz w:val="21"/>
          <w:szCs w:val="21"/>
          <w14:textFill>
            <w14:solidFill>
              <w14:schemeClr w14:val="tx1"/>
            </w14:solidFill>
          </w14:textFill>
        </w:rPr>
        <w:fldChar w:fldCharType="end"/>
      </w:r>
      <w:r>
        <w:rPr>
          <w:rFonts w:hint="eastAsia" w:ascii="Times New Roman" w:eastAsia="宋体" w:cs="Times New Roman"/>
          <w:color w:val="000000" w:themeColor="text1"/>
          <w:sz w:val="21"/>
          <w:szCs w:val="21"/>
          <w14:textFill>
            <w14:solidFill>
              <w14:schemeClr w14:val="tx1"/>
            </w14:solidFill>
          </w14:textFill>
        </w:rPr>
        <w:t>款规定的用以替换旧履约保函的履约保函（下称</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新履约保函</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），新履约保函自旧履约保函有效期届满日次日起生效。</w:t>
      </w:r>
    </w:p>
    <w:p>
      <w:pPr>
        <w:pStyle w:val="310"/>
        <w:numPr>
          <w:ilvl w:val="0"/>
          <w:numId w:val="52"/>
        </w:numPr>
        <w:spacing w:line="360" w:lineRule="auto"/>
        <w:ind w:left="963" w:leftChars="202" w:hanging="539" w:hangingChars="25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最后一份建设期履约保函的有效期应至预计本合同规定的乙方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项目公司提交运营期履约保函之日。</w:t>
      </w:r>
    </w:p>
    <w:p>
      <w:pPr>
        <w:pStyle w:val="310"/>
        <w:numPr>
          <w:ilvl w:val="0"/>
          <w:numId w:val="52"/>
        </w:numPr>
        <w:spacing w:line="360" w:lineRule="auto"/>
        <w:ind w:left="963" w:leftChars="202" w:hanging="539" w:hangingChars="25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如果乙方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项目公司未按照上述规定及时更换保函或者延长最后一份履约保函的有效期，甲方有权全额兑取旧履约保函或最后一份履约保函的全部金额。</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3.4.3 </w:t>
      </w:r>
      <w:r>
        <w:rPr>
          <w:rFonts w:hint="eastAsia"/>
          <w:color w:val="000000" w:themeColor="text1"/>
          <w14:textFill>
            <w14:solidFill>
              <w14:schemeClr w14:val="tx1"/>
            </w14:solidFill>
          </w14:textFill>
        </w:rPr>
        <w:t>建设期履约保函的兑取</w:t>
      </w:r>
    </w:p>
    <w:p>
      <w:pPr>
        <w:pStyle w:val="310"/>
        <w:numPr>
          <w:ilvl w:val="0"/>
          <w:numId w:val="53"/>
        </w:numPr>
        <w:tabs>
          <w:tab w:val="left" w:pos="952"/>
        </w:tabs>
        <w:spacing w:line="360" w:lineRule="auto"/>
        <w:ind w:left="938" w:hanging="51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如果发生因乙方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项目公司未全部或部分履行其在本合同项下项目工程建设的义务，且在甲方要求的期限内未予补正，或未按本合同的约定承担违约责任，甲方有权兑取建设期履约保函的全部或部分金额。</w:t>
      </w:r>
    </w:p>
    <w:p>
      <w:pPr>
        <w:pStyle w:val="310"/>
        <w:numPr>
          <w:ilvl w:val="0"/>
          <w:numId w:val="53"/>
        </w:numPr>
        <w:tabs>
          <w:tab w:val="left" w:pos="952"/>
        </w:tabs>
        <w:spacing w:line="360" w:lineRule="auto"/>
        <w:ind w:left="938" w:hanging="51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如果乙方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项目公司未按照</w:t>
      </w:r>
      <w:r>
        <w:fldChar w:fldCharType="begin"/>
      </w:r>
      <w:r>
        <w:instrText xml:space="preserve"> HYPERLINK \l "_3.4.4_恢复建设履约保函的金额" </w:instrText>
      </w:r>
      <w:r>
        <w:fldChar w:fldCharType="separate"/>
      </w:r>
      <w:r>
        <w:rPr>
          <w:rStyle w:val="54"/>
          <w:rFonts w:hint="eastAsia" w:ascii="Times New Roman"/>
          <w:color w:val="000000" w:themeColor="text1"/>
          <w:sz w:val="21"/>
          <w:szCs w:val="21"/>
          <w14:textFill>
            <w14:solidFill>
              <w14:schemeClr w14:val="tx1"/>
            </w14:solidFill>
          </w14:textFill>
        </w:rPr>
        <w:t>第</w:t>
      </w:r>
      <w:r>
        <w:rPr>
          <w:rStyle w:val="54"/>
          <w:rFonts w:ascii="Times New Roman"/>
          <w:color w:val="000000" w:themeColor="text1"/>
          <w:sz w:val="21"/>
          <w:szCs w:val="21"/>
          <w14:textFill>
            <w14:solidFill>
              <w14:schemeClr w14:val="tx1"/>
            </w14:solidFill>
          </w14:textFill>
        </w:rPr>
        <w:t>3.4.4</w:t>
      </w:r>
      <w:r>
        <w:rPr>
          <w:rStyle w:val="54"/>
          <w:rFonts w:hint="eastAsia" w:ascii="Times New Roman"/>
          <w:color w:val="000000" w:themeColor="text1"/>
          <w:sz w:val="21"/>
          <w:szCs w:val="21"/>
          <w14:textFill>
            <w14:solidFill>
              <w14:schemeClr w14:val="tx1"/>
            </w14:solidFill>
          </w14:textFill>
        </w:rPr>
        <w:t>条</w:t>
      </w:r>
      <w:r>
        <w:rPr>
          <w:rStyle w:val="54"/>
          <w:rFonts w:hint="eastAsia" w:ascii="Times New Roman"/>
          <w:color w:val="000000" w:themeColor="text1"/>
          <w:sz w:val="21"/>
          <w:szCs w:val="21"/>
          <w14:textFill>
            <w14:solidFill>
              <w14:schemeClr w14:val="tx1"/>
            </w14:solidFill>
          </w14:textFill>
        </w:rPr>
        <w:fldChar w:fldCharType="end"/>
      </w:r>
      <w:r>
        <w:rPr>
          <w:rFonts w:hint="eastAsia" w:ascii="Times New Roman" w:eastAsia="宋体" w:cs="Times New Roman"/>
          <w:color w:val="000000" w:themeColor="text1"/>
          <w:sz w:val="21"/>
          <w:szCs w:val="21"/>
          <w14:textFill>
            <w14:solidFill>
              <w14:schemeClr w14:val="tx1"/>
            </w14:solidFill>
          </w14:textFill>
        </w:rPr>
        <w:t>款的规定按时补充建设期履约保函的金额，甲方有权兑取建设期履约保函届时所剩余的全部金额。</w:t>
      </w:r>
    </w:p>
    <w:p>
      <w:pPr>
        <w:pStyle w:val="310"/>
        <w:numPr>
          <w:ilvl w:val="0"/>
          <w:numId w:val="53"/>
        </w:numPr>
        <w:tabs>
          <w:tab w:val="left" w:pos="952"/>
        </w:tabs>
        <w:spacing w:line="360" w:lineRule="auto"/>
        <w:ind w:left="938" w:hanging="51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如果乙方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项目公司未按照</w:t>
      </w:r>
      <w:r>
        <w:fldChar w:fldCharType="begin"/>
      </w:r>
      <w:r>
        <w:instrText xml:space="preserve"> HYPERLINK \l "_3.4.2__建设履约保函有效期" </w:instrText>
      </w:r>
      <w:r>
        <w:fldChar w:fldCharType="separate"/>
      </w:r>
      <w:r>
        <w:rPr>
          <w:rStyle w:val="54"/>
          <w:rFonts w:hint="eastAsia" w:ascii="Times New Roman"/>
          <w:color w:val="000000" w:themeColor="text1"/>
          <w:sz w:val="21"/>
          <w:szCs w:val="21"/>
          <w14:textFill>
            <w14:solidFill>
              <w14:schemeClr w14:val="tx1"/>
            </w14:solidFill>
          </w14:textFill>
        </w:rPr>
        <w:t>第</w:t>
      </w:r>
      <w:r>
        <w:rPr>
          <w:rStyle w:val="54"/>
          <w:rFonts w:ascii="Times New Roman"/>
          <w:color w:val="000000" w:themeColor="text1"/>
          <w:sz w:val="21"/>
          <w:szCs w:val="21"/>
          <w14:textFill>
            <w14:solidFill>
              <w14:schemeClr w14:val="tx1"/>
            </w14:solidFill>
          </w14:textFill>
        </w:rPr>
        <w:t>3.4.2</w:t>
      </w:r>
      <w:r>
        <w:rPr>
          <w:rStyle w:val="54"/>
          <w:rFonts w:hint="eastAsia" w:ascii="Times New Roman"/>
          <w:color w:val="000000" w:themeColor="text1"/>
          <w:sz w:val="21"/>
          <w:szCs w:val="21"/>
          <w14:textFill>
            <w14:solidFill>
              <w14:schemeClr w14:val="tx1"/>
            </w14:solidFill>
          </w14:textFill>
        </w:rPr>
        <w:t>条</w:t>
      </w:r>
      <w:r>
        <w:rPr>
          <w:rStyle w:val="54"/>
          <w:rFonts w:hint="eastAsia" w:ascii="Times New Roman"/>
          <w:color w:val="000000" w:themeColor="text1"/>
          <w:sz w:val="21"/>
          <w:szCs w:val="21"/>
          <w14:textFill>
            <w14:solidFill>
              <w14:schemeClr w14:val="tx1"/>
            </w14:solidFill>
          </w14:textFill>
        </w:rPr>
        <w:fldChar w:fldCharType="end"/>
      </w:r>
      <w:r>
        <w:rPr>
          <w:rFonts w:hint="eastAsia" w:ascii="Times New Roman" w:eastAsia="宋体" w:cs="Times New Roman"/>
          <w:color w:val="000000" w:themeColor="text1"/>
          <w:sz w:val="21"/>
          <w:szCs w:val="21"/>
          <w14:textFill>
            <w14:solidFill>
              <w14:schemeClr w14:val="tx1"/>
            </w14:solidFill>
          </w14:textFill>
        </w:rPr>
        <w:t>款的规定在每份旧履约保函到期日至少三十（</w:t>
      </w:r>
      <w:r>
        <w:rPr>
          <w:rFonts w:ascii="Times New Roman" w:eastAsia="宋体" w:cs="Times New Roman"/>
          <w:color w:val="000000" w:themeColor="text1"/>
          <w:sz w:val="21"/>
          <w:szCs w:val="21"/>
          <w14:textFill>
            <w14:solidFill>
              <w14:schemeClr w14:val="tx1"/>
            </w14:solidFill>
          </w14:textFill>
        </w:rPr>
        <w:t>30</w:t>
      </w:r>
      <w:r>
        <w:rPr>
          <w:rFonts w:hint="eastAsia" w:ascii="Times New Roman" w:eastAsia="宋体" w:cs="Times New Roman"/>
          <w:color w:val="000000" w:themeColor="text1"/>
          <w:sz w:val="21"/>
          <w:szCs w:val="21"/>
          <w14:textFill>
            <w14:solidFill>
              <w14:schemeClr w14:val="tx1"/>
            </w14:solidFill>
          </w14:textFill>
        </w:rPr>
        <w:t>）日之前向甲方提交用以替换的新履约保函，甲方有权兑取旧履约保函的金额。</w:t>
      </w:r>
    </w:p>
    <w:p>
      <w:pPr>
        <w:pStyle w:val="310"/>
        <w:numPr>
          <w:ilvl w:val="0"/>
          <w:numId w:val="53"/>
        </w:numPr>
        <w:tabs>
          <w:tab w:val="left" w:pos="952"/>
        </w:tabs>
        <w:spacing w:line="360" w:lineRule="auto"/>
        <w:ind w:left="938" w:hanging="51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甲方在根据本条款兑取建设期履约保函任何金额之前，应向乙方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项目公司发出书面通知并告知甲方兑取的理由和拟兑取的建设期履约保函金额。除非乙方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项目公司在收到该等通知后七（</w:t>
      </w:r>
      <w:r>
        <w:rPr>
          <w:rFonts w:ascii="Times New Roman" w:eastAsia="宋体" w:cs="Times New Roman"/>
          <w:color w:val="000000" w:themeColor="text1"/>
          <w:sz w:val="21"/>
          <w:szCs w:val="21"/>
          <w14:textFill>
            <w14:solidFill>
              <w14:schemeClr w14:val="tx1"/>
            </w14:solidFill>
          </w14:textFill>
        </w:rPr>
        <w:t>7</w:t>
      </w:r>
      <w:r>
        <w:rPr>
          <w:rFonts w:hint="eastAsia" w:ascii="Times New Roman" w:eastAsia="宋体" w:cs="Times New Roman"/>
          <w:color w:val="000000" w:themeColor="text1"/>
          <w:sz w:val="21"/>
          <w:szCs w:val="21"/>
          <w14:textFill>
            <w14:solidFill>
              <w14:schemeClr w14:val="tx1"/>
            </w14:solidFill>
          </w14:textFill>
        </w:rPr>
        <w:t>）个工作日内向甲方全额支付上述拟兑取的建设期履约保函金额，或在收到该等通知后七（</w:t>
      </w:r>
      <w:r>
        <w:rPr>
          <w:rFonts w:ascii="Times New Roman" w:eastAsia="宋体" w:cs="Times New Roman"/>
          <w:color w:val="000000" w:themeColor="text1"/>
          <w:sz w:val="21"/>
          <w:szCs w:val="21"/>
          <w14:textFill>
            <w14:solidFill>
              <w14:schemeClr w14:val="tx1"/>
            </w14:solidFill>
          </w14:textFill>
        </w:rPr>
        <w:t>7</w:t>
      </w:r>
      <w:r>
        <w:rPr>
          <w:rFonts w:hint="eastAsia" w:ascii="Times New Roman" w:eastAsia="宋体" w:cs="Times New Roman"/>
          <w:color w:val="000000" w:themeColor="text1"/>
          <w:sz w:val="21"/>
          <w:szCs w:val="21"/>
          <w14:textFill>
            <w14:solidFill>
              <w14:schemeClr w14:val="tx1"/>
            </w14:solidFill>
          </w14:textFill>
        </w:rPr>
        <w:t>）个工作日内按</w:t>
      </w:r>
      <w:r>
        <w:fldChar w:fldCharType="begin"/>
      </w:r>
      <w:r>
        <w:instrText xml:space="preserve"> HYPERLINK \l "_3.4.2__建设履约保函有效期" </w:instrText>
      </w:r>
      <w:r>
        <w:fldChar w:fldCharType="separate"/>
      </w:r>
      <w:r>
        <w:rPr>
          <w:rStyle w:val="54"/>
          <w:rFonts w:hint="eastAsia" w:ascii="Times New Roman"/>
          <w:color w:val="000000" w:themeColor="text1"/>
          <w:sz w:val="21"/>
          <w:szCs w:val="21"/>
          <w14:textFill>
            <w14:solidFill>
              <w14:schemeClr w14:val="tx1"/>
            </w14:solidFill>
          </w14:textFill>
        </w:rPr>
        <w:t>第</w:t>
      </w:r>
      <w:r>
        <w:rPr>
          <w:rStyle w:val="54"/>
          <w:rFonts w:ascii="Times New Roman"/>
          <w:color w:val="000000" w:themeColor="text1"/>
          <w:sz w:val="21"/>
          <w:szCs w:val="21"/>
          <w14:textFill>
            <w14:solidFill>
              <w14:schemeClr w14:val="tx1"/>
            </w14:solidFill>
          </w14:textFill>
        </w:rPr>
        <w:t>3.4.2</w:t>
      </w:r>
      <w:r>
        <w:rPr>
          <w:rStyle w:val="54"/>
          <w:rFonts w:hint="eastAsia" w:ascii="Times New Roman"/>
          <w:color w:val="000000" w:themeColor="text1"/>
          <w:sz w:val="21"/>
          <w:szCs w:val="21"/>
          <w14:textFill>
            <w14:solidFill>
              <w14:schemeClr w14:val="tx1"/>
            </w14:solidFill>
          </w14:textFill>
        </w:rPr>
        <w:t>条</w:t>
      </w:r>
      <w:r>
        <w:rPr>
          <w:rStyle w:val="54"/>
          <w:rFonts w:hint="eastAsia" w:ascii="Times New Roman"/>
          <w:color w:val="000000" w:themeColor="text1"/>
          <w:sz w:val="21"/>
          <w:szCs w:val="21"/>
          <w14:textFill>
            <w14:solidFill>
              <w14:schemeClr w14:val="tx1"/>
            </w14:solidFill>
          </w14:textFill>
        </w:rPr>
        <w:fldChar w:fldCharType="end"/>
      </w:r>
      <w:r>
        <w:rPr>
          <w:rFonts w:hint="eastAsia" w:ascii="Times New Roman" w:eastAsia="宋体" w:cs="Times New Roman"/>
          <w:color w:val="000000" w:themeColor="text1"/>
          <w:sz w:val="21"/>
          <w:szCs w:val="21"/>
          <w14:textFill>
            <w14:solidFill>
              <w14:schemeClr w14:val="tx1"/>
            </w14:solidFill>
          </w14:textFill>
        </w:rPr>
        <w:t>款的规定提交替换旧履约保函的新履约保函，否则，甲方有权立即从履约保函中兑取该等金额。</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3.4.4 </w:t>
      </w:r>
      <w:r>
        <w:rPr>
          <w:rFonts w:hint="eastAsia"/>
          <w:color w:val="000000" w:themeColor="text1"/>
          <w14:textFill>
            <w14:solidFill>
              <w14:schemeClr w14:val="tx1"/>
            </w14:solidFill>
          </w14:textFill>
        </w:rPr>
        <w:t>恢复建设期履约保函的金额</w:t>
      </w:r>
    </w:p>
    <w:p>
      <w:pPr>
        <w:pStyle w:val="310"/>
        <w:spacing w:line="360" w:lineRule="auto"/>
        <w:ind w:left="516" w:leftChars="246"/>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若甲方在合作期内根据本合同的规定兑取建设期履约保函项下的金额，乙方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项目公司应在建设期履约保函被兑取之日起的三十（</w:t>
      </w:r>
      <w:r>
        <w:rPr>
          <w:rFonts w:ascii="Times New Roman" w:eastAsia="宋体" w:cs="Times New Roman"/>
          <w:color w:val="000000" w:themeColor="text1"/>
          <w:sz w:val="21"/>
          <w:szCs w:val="21"/>
          <w14:textFill>
            <w14:solidFill>
              <w14:schemeClr w14:val="tx1"/>
            </w14:solidFill>
          </w14:textFill>
        </w:rPr>
        <w:t>30</w:t>
      </w:r>
      <w:r>
        <w:rPr>
          <w:rFonts w:hint="eastAsia" w:ascii="Times New Roman" w:eastAsia="宋体" w:cs="Times New Roman"/>
          <w:color w:val="000000" w:themeColor="text1"/>
          <w:sz w:val="21"/>
          <w:szCs w:val="21"/>
          <w14:textFill>
            <w14:solidFill>
              <w14:schemeClr w14:val="tx1"/>
            </w14:solidFill>
          </w14:textFill>
        </w:rPr>
        <w:t>）日内将建设期履约保函补充至</w:t>
      </w:r>
      <w:r>
        <w:fldChar w:fldCharType="begin"/>
      </w:r>
      <w:r>
        <w:instrText xml:space="preserve"> HYPERLINK \l "_3.4.1__自本合同在【中标社会资本】与甲方签订起七（7）个工作日内" </w:instrText>
      </w:r>
      <w:r>
        <w:fldChar w:fldCharType="separate"/>
      </w:r>
      <w:r>
        <w:rPr>
          <w:rStyle w:val="54"/>
          <w:rFonts w:hint="eastAsia" w:ascii="Times New Roman"/>
          <w:color w:val="000000" w:themeColor="text1"/>
          <w:sz w:val="21"/>
          <w:szCs w:val="21"/>
          <w14:textFill>
            <w14:solidFill>
              <w14:schemeClr w14:val="tx1"/>
            </w14:solidFill>
          </w14:textFill>
        </w:rPr>
        <w:t>第</w:t>
      </w:r>
      <w:r>
        <w:rPr>
          <w:rStyle w:val="54"/>
          <w:rFonts w:ascii="Times New Roman"/>
          <w:color w:val="000000" w:themeColor="text1"/>
          <w:sz w:val="21"/>
          <w:szCs w:val="21"/>
          <w14:textFill>
            <w14:solidFill>
              <w14:schemeClr w14:val="tx1"/>
            </w14:solidFill>
          </w14:textFill>
        </w:rPr>
        <w:t>3.4.1</w:t>
      </w:r>
      <w:r>
        <w:rPr>
          <w:rStyle w:val="54"/>
          <w:rFonts w:hint="eastAsia" w:ascii="Times New Roman"/>
          <w:color w:val="000000" w:themeColor="text1"/>
          <w:sz w:val="21"/>
          <w:szCs w:val="21"/>
          <w14:textFill>
            <w14:solidFill>
              <w14:schemeClr w14:val="tx1"/>
            </w14:solidFill>
          </w14:textFill>
        </w:rPr>
        <w:t>条</w:t>
      </w:r>
      <w:r>
        <w:rPr>
          <w:rStyle w:val="54"/>
          <w:rFonts w:hint="eastAsia" w:ascii="Times New Roman"/>
          <w:color w:val="000000" w:themeColor="text1"/>
          <w:sz w:val="21"/>
          <w:szCs w:val="21"/>
          <w14:textFill>
            <w14:solidFill>
              <w14:schemeClr w14:val="tx1"/>
            </w14:solidFill>
          </w14:textFill>
        </w:rPr>
        <w:fldChar w:fldCharType="end"/>
      </w:r>
      <w:r>
        <w:rPr>
          <w:rFonts w:hint="eastAsia" w:ascii="Times New Roman" w:eastAsia="宋体" w:cs="Times New Roman"/>
          <w:color w:val="000000" w:themeColor="text1"/>
          <w:sz w:val="21"/>
          <w:szCs w:val="21"/>
          <w14:textFill>
            <w14:solidFill>
              <w14:schemeClr w14:val="tx1"/>
            </w14:solidFill>
          </w14:textFill>
        </w:rPr>
        <w:t>款中规定的金额，并向甲方出示其已经恢复建设期履约保函金额的证明。</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3.4.5 </w:t>
      </w:r>
      <w:r>
        <w:rPr>
          <w:rFonts w:hint="eastAsia"/>
          <w:color w:val="000000" w:themeColor="text1"/>
          <w14:textFill>
            <w14:solidFill>
              <w14:schemeClr w14:val="tx1"/>
            </w14:solidFill>
          </w14:textFill>
        </w:rPr>
        <w:t>建设期履约保函的解除</w:t>
      </w:r>
    </w:p>
    <w:p>
      <w:pPr>
        <w:pStyle w:val="310"/>
        <w:spacing w:line="360" w:lineRule="auto"/>
        <w:ind w:left="516" w:leftChars="246" w:firstLine="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建设期履约保函的解除时间为整体工程竣工验收合格且运营期履约保函递交后三十（</w:t>
      </w:r>
      <w:r>
        <w:rPr>
          <w:rFonts w:ascii="Times New Roman" w:eastAsia="宋体" w:cs="Times New Roman"/>
          <w:color w:val="000000" w:themeColor="text1"/>
          <w:sz w:val="21"/>
          <w:szCs w:val="21"/>
          <w14:textFill>
            <w14:solidFill>
              <w14:schemeClr w14:val="tx1"/>
            </w14:solidFill>
          </w14:textFill>
        </w:rPr>
        <w:t>30</w:t>
      </w:r>
      <w:r>
        <w:rPr>
          <w:rFonts w:hint="eastAsia" w:ascii="Times New Roman" w:eastAsia="宋体" w:cs="Times New Roman"/>
          <w:color w:val="000000" w:themeColor="text1"/>
          <w:sz w:val="21"/>
          <w:szCs w:val="21"/>
          <w14:textFill>
            <w14:solidFill>
              <w14:schemeClr w14:val="tx1"/>
            </w14:solidFill>
          </w14:textFill>
        </w:rPr>
        <w:t>）日内。在建设期履约保函解除日前，甲方应兑取完由该份建设期履约保函担保的所有款项，清偿完该份履约保函有效期届满之日前乙方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项目公司根据本合同的规定应支付的所有款项，并解除届时未兑取的建设期履约保函的余额。如果在解除建设期履约保函前，本合同提前终止，则建设期履约保函应在本合同提前终止后六（</w:t>
      </w:r>
      <w:r>
        <w:rPr>
          <w:rFonts w:ascii="Times New Roman" w:eastAsia="宋体" w:cs="Times New Roman"/>
          <w:color w:val="000000" w:themeColor="text1"/>
          <w:sz w:val="21"/>
          <w:szCs w:val="21"/>
          <w14:textFill>
            <w14:solidFill>
              <w14:schemeClr w14:val="tx1"/>
            </w14:solidFill>
          </w14:textFill>
        </w:rPr>
        <w:t>6</w:t>
      </w:r>
      <w:r>
        <w:rPr>
          <w:rFonts w:hint="eastAsia" w:ascii="Times New Roman" w:eastAsia="宋体" w:cs="Times New Roman"/>
          <w:color w:val="000000" w:themeColor="text1"/>
          <w:sz w:val="21"/>
          <w:szCs w:val="21"/>
          <w14:textFill>
            <w14:solidFill>
              <w14:schemeClr w14:val="tx1"/>
            </w14:solidFill>
          </w14:textFill>
        </w:rPr>
        <w:t>）个月内保持有效。</w:t>
      </w:r>
    </w:p>
    <w:p>
      <w:pPr>
        <w:pStyle w:val="5"/>
        <w:ind w:left="567" w:hanging="567"/>
        <w:rPr>
          <w:color w:val="000000" w:themeColor="text1"/>
          <w14:textFill>
            <w14:solidFill>
              <w14:schemeClr w14:val="tx1"/>
            </w14:solidFill>
          </w14:textFill>
        </w:rPr>
      </w:pPr>
      <w:r>
        <w:rPr>
          <w:color w:val="000000" w:themeColor="text1"/>
          <w14:textFill>
            <w14:solidFill>
              <w14:schemeClr w14:val="tx1"/>
            </w14:solidFill>
          </w14:textFill>
        </w:rPr>
        <w:t xml:space="preserve">3.4.6 </w:t>
      </w:r>
      <w:r>
        <w:rPr>
          <w:rFonts w:hint="eastAsia"/>
          <w:color w:val="000000" w:themeColor="text1"/>
          <w14:textFill>
            <w14:solidFill>
              <w14:schemeClr w14:val="tx1"/>
            </w14:solidFill>
          </w14:textFill>
        </w:rPr>
        <w:t>甲方行使兑取建设期履约保函的权利不影响甲方在本合同项下的其他权利，且不免除乙方</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项目公司</w:t>
      </w:r>
      <w:r>
        <w:rPr>
          <w:rFonts w:hint="eastAsia"/>
          <w:color w:val="000000" w:themeColor="text1"/>
          <w14:textFill>
            <w14:solidFill>
              <w14:schemeClr w14:val="tx1"/>
            </w14:solidFill>
          </w14:textFill>
        </w:rPr>
        <w:t>履行本合同项下义务的责任。</w:t>
      </w:r>
    </w:p>
    <w:p>
      <w:pPr>
        <w:spacing w:line="360" w:lineRule="auto"/>
        <w:ind w:left="630" w:hanging="630" w:hangingChars="300"/>
        <w:rPr>
          <w:color w:val="000000" w:themeColor="text1"/>
          <w14:textFill>
            <w14:solidFill>
              <w14:schemeClr w14:val="tx1"/>
            </w14:solidFill>
          </w14:textFill>
        </w:rPr>
      </w:pPr>
      <w:r>
        <w:rPr>
          <w:rFonts w:ascii="Times New Roman" w:hAnsi="Times New Roman"/>
          <w:color w:val="000000" w:themeColor="text1"/>
          <w:kern w:val="0"/>
          <w:szCs w:val="20"/>
          <w:lang w:val="zh-CN"/>
          <w14:textFill>
            <w14:solidFill>
              <w14:schemeClr w14:val="tx1"/>
            </w14:solidFill>
          </w14:textFill>
        </w:rPr>
        <w:t xml:space="preserve">3.4.7 </w:t>
      </w:r>
      <w:r>
        <w:rPr>
          <w:rFonts w:hint="eastAsia" w:ascii="Times New Roman" w:hAnsi="Times New Roman"/>
          <w:color w:val="000000" w:themeColor="text1"/>
          <w:kern w:val="0"/>
          <w:szCs w:val="20"/>
          <w:lang w:val="zh-CN"/>
          <w14:textFill>
            <w14:solidFill>
              <w14:schemeClr w14:val="tx1"/>
            </w14:solidFill>
          </w14:textFill>
        </w:rPr>
        <w:t>特别约定：若乙方原因，未在本合同生效之日起</w:t>
      </w:r>
      <w:r>
        <w:rPr>
          <w:rFonts w:ascii="Times New Roman" w:hAnsi="Times New Roman"/>
          <w:color w:val="000000" w:themeColor="text1"/>
          <w:kern w:val="0"/>
          <w:szCs w:val="20"/>
          <w:lang w:val="zh-CN"/>
          <w14:textFill>
            <w14:solidFill>
              <w14:schemeClr w14:val="tx1"/>
            </w14:solidFill>
          </w14:textFill>
        </w:rPr>
        <w:t>6</w:t>
      </w:r>
      <w:r>
        <w:rPr>
          <w:rFonts w:hint="eastAsia" w:ascii="Times New Roman" w:hAnsi="Times New Roman"/>
          <w:color w:val="000000" w:themeColor="text1"/>
          <w:kern w:val="0"/>
          <w:szCs w:val="20"/>
          <w:lang w:val="zh-CN"/>
          <w14:textFill>
            <w14:solidFill>
              <w14:schemeClr w14:val="tx1"/>
            </w14:solidFill>
          </w14:textFill>
        </w:rPr>
        <w:t>个月内完成盾构设备进场、组装，则甲方有权一次性兑取建设期履约保函，兑取金额为贰仟万元（</w:t>
      </w:r>
      <w:r>
        <w:rPr>
          <w:rFonts w:ascii="Times New Roman" w:hAnsi="Times New Roman"/>
          <w:color w:val="000000" w:themeColor="text1"/>
          <w:kern w:val="0"/>
          <w:szCs w:val="20"/>
          <w:lang w:val="zh-CN"/>
          <w14:textFill>
            <w14:solidFill>
              <w14:schemeClr w14:val="tx1"/>
            </w14:solidFill>
          </w14:textFill>
        </w:rPr>
        <w:t>RMB20,000,000</w:t>
      </w:r>
      <w:r>
        <w:rPr>
          <w:rFonts w:hint="eastAsia" w:ascii="Times New Roman" w:hAnsi="Times New Roman"/>
          <w:color w:val="000000" w:themeColor="text1"/>
          <w:kern w:val="0"/>
          <w:szCs w:val="20"/>
          <w:lang w:val="zh-CN"/>
          <w14:textFill>
            <w14:solidFill>
              <w14:schemeClr w14:val="tx1"/>
            </w14:solidFill>
          </w14:textFill>
        </w:rPr>
        <w:t>）。</w:t>
      </w:r>
    </w:p>
    <w:p>
      <w:pPr>
        <w:pStyle w:val="3"/>
        <w:jc w:val="center"/>
        <w:rPr>
          <w:rFonts w:ascii="Times New Roman" w:hAnsi="Times New Roman" w:eastAsia="黑体"/>
          <w:color w:val="000000" w:themeColor="text1"/>
          <w:sz w:val="21"/>
          <w:szCs w:val="21"/>
          <w14:textFill>
            <w14:solidFill>
              <w14:schemeClr w14:val="tx1"/>
            </w14:solidFill>
          </w14:textFill>
        </w:rPr>
      </w:pPr>
      <w:bookmarkStart w:id="352" w:name="_Toc516399732"/>
      <w:bookmarkStart w:id="353" w:name="_Toc495845967"/>
      <w:bookmarkStart w:id="354" w:name="_Toc522635508"/>
      <w:bookmarkStart w:id="355" w:name="_Toc491857568"/>
      <w:bookmarkStart w:id="356" w:name="_Toc496299574"/>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4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双方的一般权利和义务</w:t>
      </w:r>
      <w:bookmarkEnd w:id="352"/>
      <w:bookmarkEnd w:id="353"/>
      <w:bookmarkEnd w:id="354"/>
      <w:bookmarkEnd w:id="355"/>
      <w:bookmarkEnd w:id="356"/>
    </w:p>
    <w:p>
      <w:pPr>
        <w:pStyle w:val="4"/>
        <w:rPr>
          <w:color w:val="000000" w:themeColor="text1"/>
          <w14:textFill>
            <w14:solidFill>
              <w14:schemeClr w14:val="tx1"/>
            </w14:solidFill>
          </w14:textFill>
        </w:rPr>
      </w:pPr>
      <w:bookmarkStart w:id="357" w:name="_Toc491857569"/>
      <w:bookmarkStart w:id="358" w:name="_Toc495845968"/>
      <w:bookmarkStart w:id="359" w:name="_Toc496299575"/>
      <w:bookmarkStart w:id="360" w:name="_Toc516399733"/>
      <w:bookmarkStart w:id="361" w:name="_Toc522635509"/>
      <w:r>
        <w:rPr>
          <w:color w:val="000000" w:themeColor="text1"/>
          <w14:textFill>
            <w14:solidFill>
              <w14:schemeClr w14:val="tx1"/>
            </w14:solidFill>
          </w14:textFill>
        </w:rPr>
        <w:t xml:space="preserve">4.1 </w:t>
      </w:r>
      <w:r>
        <w:rPr>
          <w:rFonts w:hint="eastAsia"/>
          <w:color w:val="000000" w:themeColor="text1"/>
          <w14:textFill>
            <w14:solidFill>
              <w14:schemeClr w14:val="tx1"/>
            </w14:solidFill>
          </w14:textFill>
        </w:rPr>
        <w:t>甲方的一般权利</w:t>
      </w:r>
      <w:bookmarkEnd w:id="357"/>
      <w:bookmarkEnd w:id="358"/>
      <w:bookmarkEnd w:id="359"/>
      <w:bookmarkEnd w:id="360"/>
      <w:bookmarkEnd w:id="361"/>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4.1.1  </w:t>
      </w:r>
      <w:r>
        <w:rPr>
          <w:rFonts w:hint="eastAsia"/>
          <w:color w:val="000000" w:themeColor="text1"/>
          <w14:textFill>
            <w14:solidFill>
              <w14:schemeClr w14:val="tx1"/>
            </w14:solidFill>
          </w14:textFill>
        </w:rPr>
        <w:t>在遵守、符合适用法律要求的前提下，甲方有权对乙方履行本合同项下的义务进行监督和检查，但甲方并不因其开展有关监督、检查工作而承担任何责任，且并不免除或减轻乙方应承担的任何义务或责任。甲方对乙方及项目公司的监督及检查不视为侵害乙方及项目公司的经营自主权。</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4.1.2  </w:t>
      </w:r>
      <w:r>
        <w:rPr>
          <w:rFonts w:hint="eastAsia"/>
          <w:color w:val="000000" w:themeColor="text1"/>
          <w14:textFill>
            <w14:solidFill>
              <w14:schemeClr w14:val="tx1"/>
            </w14:solidFill>
          </w14:textFill>
        </w:rPr>
        <w:t>在建设期内，甲方有权对本合同中约定的工程进度、范围和标准进行变更。甲方的该种变更不视为违反合同约定，并根据《杭州大江东产业集聚区政府投资项目变更管理实施细则》（大江东财政〔</w:t>
      </w:r>
      <w:r>
        <w:rPr>
          <w:color w:val="000000" w:themeColor="text1"/>
          <w14:textFill>
            <w14:solidFill>
              <w14:schemeClr w14:val="tx1"/>
            </w14:solidFill>
          </w14:textFill>
        </w:rPr>
        <w:t>2016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178</w:t>
      </w:r>
      <w:r>
        <w:rPr>
          <w:rFonts w:hint="eastAsia"/>
          <w:color w:val="000000" w:themeColor="text1"/>
          <w14:textFill>
            <w14:solidFill>
              <w14:schemeClr w14:val="tx1"/>
            </w14:solidFill>
          </w14:textFill>
        </w:rPr>
        <w:t>号）及其更新替代文件相关规定办理相关手续，变更导致工期增加的，相应顺延。</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4.1.3  </w:t>
      </w:r>
      <w:r>
        <w:rPr>
          <w:rFonts w:hint="eastAsia"/>
          <w:color w:val="000000" w:themeColor="text1"/>
          <w14:textFill>
            <w14:solidFill>
              <w14:schemeClr w14:val="tx1"/>
            </w14:solidFill>
          </w14:textFill>
        </w:rPr>
        <w:t>甲方有权按照本合同的约定终止本合同并接管项目。</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4.1.4  </w:t>
      </w:r>
      <w:r>
        <w:rPr>
          <w:rFonts w:hint="eastAsia"/>
          <w:color w:val="000000" w:themeColor="text1"/>
          <w14:textFill>
            <w14:solidFill>
              <w14:schemeClr w14:val="tx1"/>
            </w14:solidFill>
          </w14:textFill>
        </w:rPr>
        <w:t>甲方有权定期对项目公司的财务状况、经营成果进行审计。</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4.1.5  </w:t>
      </w:r>
      <w:r>
        <w:rPr>
          <w:rFonts w:hint="eastAsia"/>
          <w:color w:val="000000" w:themeColor="text1"/>
          <w14:textFill>
            <w14:solidFill>
              <w14:schemeClr w14:val="tx1"/>
            </w14:solidFill>
          </w14:textFill>
        </w:rPr>
        <w:t>在乙方违反本合同有关规定的情况下，甲方有权根据本合同约定获得赔偿。</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4.1.6  </w:t>
      </w:r>
      <w:r>
        <w:rPr>
          <w:rFonts w:hint="eastAsia"/>
          <w:color w:val="000000" w:themeColor="text1"/>
          <w14:textFill>
            <w14:solidFill>
              <w14:schemeClr w14:val="tx1"/>
            </w14:solidFill>
          </w14:textFill>
        </w:rPr>
        <w:t>本项目建设期内投资建设形成的各项资产，以及运营期内因更新重置形成的资产，所有权归甲方。</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4.1.7  </w:t>
      </w:r>
      <w:r>
        <w:rPr>
          <w:rFonts w:hint="eastAsia"/>
          <w:color w:val="000000" w:themeColor="text1"/>
          <w14:textFill>
            <w14:solidFill>
              <w14:schemeClr w14:val="tx1"/>
            </w14:solidFill>
          </w14:textFill>
        </w:rPr>
        <w:t>乙方根据甲方安排的整体计划要求制定具体实施计划及关键节点。</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4.1.8  </w:t>
      </w:r>
      <w:r>
        <w:rPr>
          <w:rFonts w:hint="eastAsia"/>
          <w:color w:val="000000" w:themeColor="text1"/>
          <w14:textFill>
            <w14:solidFill>
              <w14:schemeClr w14:val="tx1"/>
            </w14:solidFill>
          </w14:textFill>
        </w:rPr>
        <w:t>甲方有权享有本合同和适用法律规定的其它权利。</w:t>
      </w:r>
    </w:p>
    <w:p>
      <w:pPr>
        <w:pStyle w:val="4"/>
        <w:rPr>
          <w:color w:val="000000" w:themeColor="text1"/>
          <w14:textFill>
            <w14:solidFill>
              <w14:schemeClr w14:val="tx1"/>
            </w14:solidFill>
          </w14:textFill>
        </w:rPr>
      </w:pPr>
      <w:bookmarkStart w:id="362" w:name="_Toc491857570"/>
      <w:bookmarkStart w:id="363" w:name="_Toc495845969"/>
      <w:bookmarkStart w:id="364" w:name="_Toc496299576"/>
      <w:bookmarkStart w:id="365" w:name="_Toc516399734"/>
      <w:bookmarkStart w:id="366" w:name="_Toc522635510"/>
      <w:r>
        <w:rPr>
          <w:color w:val="000000" w:themeColor="text1"/>
          <w14:textFill>
            <w14:solidFill>
              <w14:schemeClr w14:val="tx1"/>
            </w14:solidFill>
          </w14:textFill>
        </w:rPr>
        <w:t xml:space="preserve">4.2 </w:t>
      </w:r>
      <w:r>
        <w:rPr>
          <w:rFonts w:hint="eastAsia"/>
          <w:color w:val="000000" w:themeColor="text1"/>
          <w14:textFill>
            <w14:solidFill>
              <w14:schemeClr w14:val="tx1"/>
            </w14:solidFill>
          </w14:textFill>
        </w:rPr>
        <w:t>甲方的一般义务</w:t>
      </w:r>
      <w:bookmarkEnd w:id="362"/>
      <w:bookmarkEnd w:id="363"/>
      <w:bookmarkEnd w:id="364"/>
      <w:bookmarkEnd w:id="365"/>
      <w:bookmarkEnd w:id="366"/>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4.2.1  </w:t>
      </w:r>
      <w:r>
        <w:rPr>
          <w:rFonts w:hint="eastAsia"/>
          <w:color w:val="000000" w:themeColor="text1"/>
          <w14:textFill>
            <w14:solidFill>
              <w14:schemeClr w14:val="tx1"/>
            </w14:solidFill>
          </w14:textFill>
        </w:rPr>
        <w:t>甲方应始终遵守所有的适用法律和本合同的规定。</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4.2.2  </w:t>
      </w:r>
      <w:r>
        <w:rPr>
          <w:rFonts w:hint="eastAsia"/>
          <w:color w:val="000000" w:themeColor="text1"/>
          <w14:textFill>
            <w14:solidFill>
              <w14:schemeClr w14:val="tx1"/>
            </w14:solidFill>
          </w14:textFill>
        </w:rPr>
        <w:t>除本合同因乙方违约行为或者因为不可抗力或者本合同约定其他情形而导致合同提前终止外，甲方应保持乙方的经营权在整个合作期内始终有效。</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4.2.3  </w:t>
      </w:r>
      <w:r>
        <w:rPr>
          <w:rFonts w:hint="eastAsia"/>
          <w:color w:val="000000" w:themeColor="text1"/>
          <w14:textFill>
            <w14:solidFill>
              <w14:schemeClr w14:val="tx1"/>
            </w14:solidFill>
          </w14:textFill>
        </w:rPr>
        <w:t>甲方应确保项目前期工作（完成新建工程土地征迁、规划、初步设计、施工图设计、预算编制及监理单位委托。）并按照工程进度计划向乙方提供项目工程建设用地。</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4.2.4  </w:t>
      </w:r>
      <w:r>
        <w:rPr>
          <w:rFonts w:hint="eastAsia"/>
          <w:color w:val="000000" w:themeColor="text1"/>
          <w14:textFill>
            <w14:solidFill>
              <w14:schemeClr w14:val="tx1"/>
            </w14:solidFill>
          </w14:textFill>
        </w:rPr>
        <w:t>在乙方提出适当的要求的前提下，甲方应在法律法规允许的范围内，协助乙方从有关政府部门获得、保持和续延项目所需的应由乙方办理的一切许可、执照和批准。</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4.2.5  </w:t>
      </w:r>
      <w:r>
        <w:rPr>
          <w:rFonts w:hint="eastAsia"/>
          <w:color w:val="000000" w:themeColor="text1"/>
          <w14:textFill>
            <w14:solidFill>
              <w14:schemeClr w14:val="tx1"/>
            </w14:solidFill>
          </w14:textFill>
        </w:rPr>
        <w:t>甲方应按本合同</w:t>
      </w:r>
      <w:r>
        <w:fldChar w:fldCharType="begin"/>
      </w:r>
      <w:r>
        <w:instrText xml:space="preserve"> HYPERLINK \l "_第_10_条" </w:instrText>
      </w:r>
      <w:r>
        <w:fldChar w:fldCharType="separate"/>
      </w:r>
      <w:r>
        <w:rPr>
          <w:rStyle w:val="54"/>
          <w:rFonts w:hint="eastAsia"/>
          <w:color w:val="000000" w:themeColor="text1"/>
          <w14:textFill>
            <w14:solidFill>
              <w14:schemeClr w14:val="tx1"/>
            </w14:solidFill>
          </w14:textFill>
        </w:rPr>
        <w:t>第</w:t>
      </w:r>
      <w:r>
        <w:rPr>
          <w:rStyle w:val="54"/>
          <w:color w:val="000000" w:themeColor="text1"/>
          <w14:textFill>
            <w14:solidFill>
              <w14:schemeClr w14:val="tx1"/>
            </w14:solidFill>
          </w14:textFill>
        </w:rPr>
        <w:t>10</w:t>
      </w:r>
      <w:r>
        <w:rPr>
          <w:rStyle w:val="54"/>
          <w:rFonts w:hint="eastAsia"/>
          <w:color w:val="000000" w:themeColor="text1"/>
          <w14:textFill>
            <w14:solidFill>
              <w14:schemeClr w14:val="tx1"/>
            </w14:solidFill>
          </w14:textFill>
        </w:rPr>
        <w:t>条</w:t>
      </w:r>
      <w:r>
        <w:rPr>
          <w:rStyle w:val="54"/>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规定确认可行性缺口补助，并按期支付可行性缺口补助。</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4.2.6  </w:t>
      </w:r>
      <w:r>
        <w:rPr>
          <w:rFonts w:hint="eastAsia"/>
          <w:color w:val="000000" w:themeColor="text1"/>
          <w14:textFill>
            <w14:solidFill>
              <w14:schemeClr w14:val="tx1"/>
            </w14:solidFill>
          </w14:textFill>
        </w:rPr>
        <w:t>甲方应确保管委会财政局将本项目的可行性缺口补助纳入跨年度的公共财政预算。</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4.2.7  </w:t>
      </w:r>
      <w:r>
        <w:rPr>
          <w:rFonts w:hint="eastAsia"/>
          <w:color w:val="000000" w:themeColor="text1"/>
          <w14:textFill>
            <w14:solidFill>
              <w14:schemeClr w14:val="tx1"/>
            </w14:solidFill>
          </w14:textFill>
        </w:rPr>
        <w:t>在本合同约定的提前终止条件成立后，甲方应按</w:t>
      </w:r>
      <w:r>
        <w:fldChar w:fldCharType="begin"/>
      </w:r>
      <w:r>
        <w:instrText xml:space="preserve"> HYPERLINK \l "_14.7_提前终止后的补偿" </w:instrText>
      </w:r>
      <w:r>
        <w:fldChar w:fldCharType="separate"/>
      </w:r>
      <w:r>
        <w:rPr>
          <w:rStyle w:val="54"/>
          <w:rFonts w:hint="eastAsia"/>
          <w:color w:val="000000" w:themeColor="text1"/>
          <w14:textFill>
            <w14:solidFill>
              <w14:schemeClr w14:val="tx1"/>
            </w14:solidFill>
          </w14:textFill>
        </w:rPr>
        <w:t>第</w:t>
      </w:r>
      <w:r>
        <w:rPr>
          <w:rStyle w:val="54"/>
          <w:color w:val="000000" w:themeColor="text1"/>
          <w14:textFill>
            <w14:solidFill>
              <w14:schemeClr w14:val="tx1"/>
            </w14:solidFill>
          </w14:textFill>
        </w:rPr>
        <w:t>14.7</w:t>
      </w:r>
      <w:r>
        <w:rPr>
          <w:rStyle w:val="54"/>
          <w:rFonts w:hint="eastAsia"/>
          <w:color w:val="000000" w:themeColor="text1"/>
          <w14:textFill>
            <w14:solidFill>
              <w14:schemeClr w14:val="tx1"/>
            </w14:solidFill>
          </w14:textFill>
        </w:rPr>
        <w:t>条</w:t>
      </w:r>
      <w:r>
        <w:rPr>
          <w:rStyle w:val="54"/>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款的约定向乙方支付提前终止补偿金。</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4.2.8  </w:t>
      </w:r>
      <w:r>
        <w:rPr>
          <w:rFonts w:hint="eastAsia"/>
          <w:color w:val="000000" w:themeColor="text1"/>
          <w14:textFill>
            <w14:solidFill>
              <w14:schemeClr w14:val="tx1"/>
            </w14:solidFill>
          </w14:textFill>
        </w:rPr>
        <w:t>甲方主要负责政策处理，为工程建设创造良好的外部环境，乙方应积极配合。如甲方政策处理原因导致工程无法开工或无法继续施工的，不视为乙方违约。如建设期届满时仍无法开工或无法继续施工的，按本合同第</w:t>
      </w:r>
      <w:r>
        <w:rPr>
          <w:color w:val="000000" w:themeColor="text1"/>
          <w14:textFill>
            <w14:solidFill>
              <w14:schemeClr w14:val="tx1"/>
            </w14:solidFill>
          </w14:textFill>
        </w:rPr>
        <w:t>2.1.4</w:t>
      </w:r>
      <w:r>
        <w:rPr>
          <w:rFonts w:hint="eastAsia"/>
          <w:color w:val="000000" w:themeColor="text1"/>
          <w14:textFill>
            <w14:solidFill>
              <w14:schemeClr w14:val="tx1"/>
            </w14:solidFill>
          </w14:textFill>
        </w:rPr>
        <w:t>条执行。</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4.2.9  </w:t>
      </w:r>
      <w:r>
        <w:rPr>
          <w:rFonts w:hint="eastAsia"/>
          <w:color w:val="000000" w:themeColor="text1"/>
          <w14:textFill>
            <w14:solidFill>
              <w14:schemeClr w14:val="tx1"/>
            </w14:solidFill>
          </w14:textFill>
        </w:rPr>
        <w:t>甲方应根据本合同约定接收项目及相关资料。</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4.2.10 </w:t>
      </w:r>
      <w:r>
        <w:rPr>
          <w:rFonts w:hint="eastAsia"/>
          <w:color w:val="000000" w:themeColor="text1"/>
          <w14:textFill>
            <w14:solidFill>
              <w14:schemeClr w14:val="tx1"/>
            </w14:solidFill>
          </w14:textFill>
        </w:rPr>
        <w:t>对于根据本合同需要甲方批准、同意、认可、确认的事项，甲方应在合理期限内【</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个工作日内】予以回复，如不予批准、同意、确认的应在回复中说明理由。</w:t>
      </w:r>
    </w:p>
    <w:p>
      <w:pPr>
        <w:pStyle w:val="4"/>
        <w:rPr>
          <w:color w:val="000000" w:themeColor="text1"/>
          <w14:textFill>
            <w14:solidFill>
              <w14:schemeClr w14:val="tx1"/>
            </w14:solidFill>
          </w14:textFill>
        </w:rPr>
      </w:pPr>
      <w:bookmarkStart w:id="367" w:name="_Toc491857571"/>
      <w:bookmarkStart w:id="368" w:name="_Toc495845970"/>
      <w:bookmarkStart w:id="369" w:name="_Toc496299577"/>
      <w:bookmarkStart w:id="370" w:name="_Toc516399735"/>
      <w:bookmarkStart w:id="371" w:name="_Toc522635511"/>
      <w:r>
        <w:rPr>
          <w:color w:val="000000" w:themeColor="text1"/>
          <w14:textFill>
            <w14:solidFill>
              <w14:schemeClr w14:val="tx1"/>
            </w14:solidFill>
          </w14:textFill>
        </w:rPr>
        <w:t xml:space="preserve">4.3 </w:t>
      </w:r>
      <w:r>
        <w:rPr>
          <w:rFonts w:hint="eastAsia"/>
          <w:color w:val="000000" w:themeColor="text1"/>
          <w14:textFill>
            <w14:solidFill>
              <w14:schemeClr w14:val="tx1"/>
            </w14:solidFill>
          </w14:textFill>
        </w:rPr>
        <w:t>乙方的一般权利</w:t>
      </w:r>
      <w:bookmarkEnd w:id="367"/>
      <w:bookmarkEnd w:id="368"/>
      <w:bookmarkEnd w:id="369"/>
      <w:bookmarkEnd w:id="370"/>
      <w:bookmarkEnd w:id="371"/>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4.3.1  </w:t>
      </w:r>
      <w:r>
        <w:rPr>
          <w:rFonts w:hint="eastAsia"/>
          <w:color w:val="000000" w:themeColor="text1"/>
          <w14:textFill>
            <w14:solidFill>
              <w14:schemeClr w14:val="tx1"/>
            </w14:solidFill>
          </w14:textFill>
        </w:rPr>
        <w:t>乙方有权依照本合同的约定在运营期内向甲方收取可行性缺口补助。</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4.3.2  </w:t>
      </w:r>
      <w:r>
        <w:rPr>
          <w:rFonts w:hint="eastAsia"/>
          <w:color w:val="000000" w:themeColor="text1"/>
          <w14:textFill>
            <w14:solidFill>
              <w14:schemeClr w14:val="tx1"/>
            </w14:solidFill>
          </w14:textFill>
        </w:rPr>
        <w:t>在甲方违反本合同有关规定的情况下，乙方有权根据本合同约定获得赔偿。</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4.3.3  </w:t>
      </w:r>
      <w:r>
        <w:rPr>
          <w:rFonts w:hint="eastAsia"/>
          <w:color w:val="000000" w:themeColor="text1"/>
          <w14:textFill>
            <w14:solidFill>
              <w14:schemeClr w14:val="tx1"/>
            </w14:solidFill>
          </w14:textFill>
        </w:rPr>
        <w:t>乙方有权享受适用法律规定的可适用于乙方的各项减、免税和优惠政策。</w:t>
      </w:r>
    </w:p>
    <w:p>
      <w:pPr>
        <w:pStyle w:val="4"/>
        <w:rPr>
          <w:color w:val="000000" w:themeColor="text1"/>
          <w14:textFill>
            <w14:solidFill>
              <w14:schemeClr w14:val="tx1"/>
            </w14:solidFill>
          </w14:textFill>
        </w:rPr>
      </w:pPr>
      <w:bookmarkStart w:id="372" w:name="_Toc491857572"/>
      <w:bookmarkStart w:id="373" w:name="_Toc495845971"/>
      <w:bookmarkStart w:id="374" w:name="_Toc496299578"/>
      <w:bookmarkStart w:id="375" w:name="_Toc516399736"/>
      <w:bookmarkStart w:id="376" w:name="_Toc522635512"/>
      <w:r>
        <w:rPr>
          <w:color w:val="000000" w:themeColor="text1"/>
          <w14:textFill>
            <w14:solidFill>
              <w14:schemeClr w14:val="tx1"/>
            </w14:solidFill>
          </w14:textFill>
        </w:rPr>
        <w:t xml:space="preserve">4.4 </w:t>
      </w:r>
      <w:r>
        <w:rPr>
          <w:rFonts w:hint="eastAsia"/>
          <w:color w:val="000000" w:themeColor="text1"/>
          <w14:textFill>
            <w14:solidFill>
              <w14:schemeClr w14:val="tx1"/>
            </w14:solidFill>
          </w14:textFill>
        </w:rPr>
        <w:t>乙方的一般义务</w:t>
      </w:r>
      <w:bookmarkEnd w:id="372"/>
      <w:bookmarkEnd w:id="373"/>
      <w:bookmarkEnd w:id="374"/>
      <w:bookmarkEnd w:id="375"/>
      <w:bookmarkEnd w:id="376"/>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4.4.1  </w:t>
      </w:r>
      <w:r>
        <w:rPr>
          <w:rFonts w:hint="eastAsia"/>
          <w:color w:val="000000" w:themeColor="text1"/>
          <w14:textFill>
            <w14:solidFill>
              <w14:schemeClr w14:val="tx1"/>
            </w14:solidFill>
          </w14:textFill>
        </w:rPr>
        <w:t>乙方应承担施工现场场地的准备工作。</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4.4.2  </w:t>
      </w:r>
      <w:r>
        <w:rPr>
          <w:rFonts w:hint="eastAsia"/>
          <w:color w:val="000000" w:themeColor="text1"/>
          <w14:textFill>
            <w14:solidFill>
              <w14:schemeClr w14:val="tx1"/>
            </w14:solidFill>
          </w14:textFill>
        </w:rPr>
        <w:t>乙方应按适用法律的要求及时办理项目的工程报建手续，包括申请并获得项目的建设工程规划许可证和建设工程施工许可证，并承担相应费用。</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4.4.3  </w:t>
      </w:r>
      <w:r>
        <w:rPr>
          <w:rFonts w:hint="eastAsia"/>
          <w:color w:val="000000" w:themeColor="text1"/>
          <w14:textFill>
            <w14:solidFill>
              <w14:schemeClr w14:val="tx1"/>
            </w14:solidFill>
          </w14:textFill>
        </w:rPr>
        <w:t>乙方应从有关政府部门获得、保持和续延项目所必需的应由乙方办理的许可、执照和批准，相关费用由乙方支付，计入</w:t>
      </w:r>
      <w:r>
        <w:rPr>
          <w:color w:val="000000" w:themeColor="text1"/>
          <w14:textFill>
            <w14:solidFill>
              <w14:schemeClr w14:val="tx1"/>
            </w14:solidFill>
          </w14:textFill>
        </w:rPr>
        <w:t>PPP</w:t>
      </w:r>
      <w:r>
        <w:rPr>
          <w:rFonts w:hint="eastAsia"/>
          <w:color w:val="000000" w:themeColor="text1"/>
          <w14:textFill>
            <w14:solidFill>
              <w14:schemeClr w14:val="tx1"/>
            </w14:solidFill>
          </w14:textFill>
        </w:rPr>
        <w:t>总投资。</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4.4.4  </w:t>
      </w:r>
      <w:r>
        <w:rPr>
          <w:rFonts w:hint="eastAsia"/>
          <w:color w:val="000000" w:themeColor="text1"/>
          <w14:textFill>
            <w14:solidFill>
              <w14:schemeClr w14:val="tx1"/>
            </w14:solidFill>
          </w14:textFill>
        </w:rPr>
        <w:t>乙方应负责筹措项目工程建设投资资金，按工程进度计划投资建设，并确保投入资金满足本项目实施的需要。</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4.4.5  </w:t>
      </w:r>
      <w:r>
        <w:rPr>
          <w:rFonts w:hint="eastAsia"/>
          <w:color w:val="000000" w:themeColor="text1"/>
          <w14:textFill>
            <w14:solidFill>
              <w14:schemeClr w14:val="tx1"/>
            </w14:solidFill>
          </w14:textFill>
        </w:rPr>
        <w:t>由乙方完成的项目工程应完全符合本合同中规定的预期目标。工程应包括为满足甲方的要求或本合同隐含或由乙方的任何义务而产生的任何工作，以及本合同中虽未提及但推论对工程的稳定、完整或安全、可靠及有效运行所必须的全部工作。</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4.4.6  </w:t>
      </w:r>
      <w:r>
        <w:rPr>
          <w:rFonts w:hint="eastAsia"/>
          <w:color w:val="000000" w:themeColor="text1"/>
          <w14:textFill>
            <w14:solidFill>
              <w14:schemeClr w14:val="tx1"/>
            </w14:solidFill>
          </w14:textFill>
        </w:rPr>
        <w:t>乙方应按</w:t>
      </w:r>
      <w:r>
        <w:fldChar w:fldCharType="begin"/>
      </w:r>
      <w:r>
        <w:instrText xml:space="preserve"> HYPERLINK \l "_7.4.1_预计的进度计划" </w:instrText>
      </w:r>
      <w:r>
        <w:fldChar w:fldCharType="separate"/>
      </w:r>
      <w:r>
        <w:rPr>
          <w:rStyle w:val="54"/>
          <w:rFonts w:hint="eastAsia"/>
          <w:color w:val="000000" w:themeColor="text1"/>
          <w14:textFill>
            <w14:solidFill>
              <w14:schemeClr w14:val="tx1"/>
            </w14:solidFill>
          </w14:textFill>
        </w:rPr>
        <w:t>第</w:t>
      </w:r>
      <w:r>
        <w:rPr>
          <w:rStyle w:val="54"/>
          <w:color w:val="000000" w:themeColor="text1"/>
          <w14:textFill>
            <w14:solidFill>
              <w14:schemeClr w14:val="tx1"/>
            </w14:solidFill>
          </w14:textFill>
        </w:rPr>
        <w:t>7.4.1</w:t>
      </w:r>
      <w:r>
        <w:rPr>
          <w:rStyle w:val="54"/>
          <w:rFonts w:hint="eastAsia"/>
          <w:color w:val="000000" w:themeColor="text1"/>
          <w14:textFill>
            <w14:solidFill>
              <w14:schemeClr w14:val="tx1"/>
            </w14:solidFill>
          </w14:textFill>
        </w:rPr>
        <w:t>条</w:t>
      </w:r>
      <w:r>
        <w:rPr>
          <w:rStyle w:val="54"/>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款实施和完成项目工程，包括提供施工文件。乙方应为该工程的实施、竣工以及修补缺陷而提供所需要的工程管理、工程技术、监督、乙方的设备、劳务、工程设备和材料、临时工程以及所有其他内容。工程实施之前，乙方应完全理解甲方的需求和施工图纸的要求。如乙方发现甲方的要求或参照项中出现任何错误、失误或缺陷，应立即书面通知甲方。甲方在收到此类通知后应作出是否采用的决定并相应地通知乙方。</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4.4.7  </w:t>
      </w:r>
      <w:r>
        <w:rPr>
          <w:rFonts w:hint="eastAsia"/>
          <w:color w:val="000000" w:themeColor="text1"/>
          <w14:textFill>
            <w14:solidFill>
              <w14:schemeClr w14:val="tx1"/>
            </w14:solidFill>
          </w14:textFill>
        </w:rPr>
        <w:t>不管甲方是否给予了批准或同意，乙方应对全部现场作业、所有施工方法以及全部工程的完备性、稳定性和安全性承担全部责任。</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4.4.8  </w:t>
      </w:r>
      <w:r>
        <w:rPr>
          <w:rFonts w:hint="eastAsia"/>
          <w:color w:val="000000" w:themeColor="text1"/>
          <w14:textFill>
            <w14:solidFill>
              <w14:schemeClr w14:val="tx1"/>
            </w14:solidFill>
          </w14:textFill>
        </w:rPr>
        <w:t>乙方应遵守有关公共卫生和安全的适用法律，履行公共安全和保护环境的责任。</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4.4.9  </w:t>
      </w:r>
      <w:r>
        <w:rPr>
          <w:rFonts w:hint="eastAsia"/>
          <w:color w:val="000000" w:themeColor="text1"/>
          <w14:textFill>
            <w14:solidFill>
              <w14:schemeClr w14:val="tx1"/>
            </w14:solidFill>
          </w14:textFill>
        </w:rPr>
        <w:t>合作期内，乙方应按适用法律对工程、财产和人员进行保险。</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4.4.10 </w:t>
      </w:r>
      <w:r>
        <w:rPr>
          <w:rFonts w:hint="eastAsia"/>
          <w:color w:val="000000" w:themeColor="text1"/>
          <w14:textFill>
            <w14:solidFill>
              <w14:schemeClr w14:val="tx1"/>
            </w14:solidFill>
          </w14:textFill>
        </w:rPr>
        <w:t>乙方负责项目实施过程中一切质量、安全、进度的管理和整改工作。</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4.4.11 </w:t>
      </w:r>
      <w:r>
        <w:rPr>
          <w:rFonts w:hint="eastAsia"/>
          <w:color w:val="000000" w:themeColor="text1"/>
          <w14:textFill>
            <w14:solidFill>
              <w14:schemeClr w14:val="tx1"/>
            </w14:solidFill>
          </w14:textFill>
        </w:rPr>
        <w:t>乙方应保证为本工程签订的工程文件、融资文件符合适用法律，并与本合同不相抵触。</w:t>
      </w:r>
      <w:r>
        <w:rPr>
          <w:color w:val="000000" w:themeColor="text1"/>
          <w14:textFill>
            <w14:solidFill>
              <w14:schemeClr w14:val="tx1"/>
            </w14:solidFill>
          </w14:textFill>
        </w:rPr>
        <w:t xml:space="preserve"> </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4.4.12 </w:t>
      </w:r>
      <w:r>
        <w:rPr>
          <w:rFonts w:hint="eastAsia"/>
          <w:color w:val="000000" w:themeColor="text1"/>
          <w14:textFill>
            <w14:solidFill>
              <w14:schemeClr w14:val="tx1"/>
            </w14:solidFill>
          </w14:textFill>
        </w:rPr>
        <w:t>乙方应按杭州市有关工程档案管理的规定，负责编制项目档案，提供给甲方。</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4.4.13 </w:t>
      </w:r>
      <w:r>
        <w:rPr>
          <w:rFonts w:hint="eastAsia"/>
          <w:color w:val="000000" w:themeColor="text1"/>
          <w14:textFill>
            <w14:solidFill>
              <w14:schemeClr w14:val="tx1"/>
            </w14:solidFill>
          </w14:textFill>
        </w:rPr>
        <w:t>工程实施过程的重大问题或者工程必须变更设计的情形，应当在发现之日起三（</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）日内向甲方及有关政府部门书面报告。工程实施过程中发生安全事故的，应当在二十四（</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）小时内向甲方及有关政府部门提出书面报告。</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4.4.14 </w:t>
      </w:r>
      <w:r>
        <w:rPr>
          <w:rFonts w:hint="eastAsia"/>
          <w:color w:val="000000" w:themeColor="text1"/>
          <w14:textFill>
            <w14:solidFill>
              <w14:schemeClr w14:val="tx1"/>
            </w14:solidFill>
          </w14:textFill>
        </w:rPr>
        <w:t>乙方应接受甲方和相关政府部门根据适用法律和本合同的规定对乙方建设、管理和维护本项目的监督管理，并提供相应的工作条件，并应根据本合同以及甲方和相关政府部门的要求，及时向其报送有关资料。</w:t>
      </w:r>
    </w:p>
    <w:p>
      <w:pPr>
        <w:rPr>
          <w:rFonts w:ascii="Times New Roman" w:hAnsi="Times New Roman"/>
          <w:b/>
          <w:color w:val="000000" w:themeColor="text1"/>
          <w14:textFill>
            <w14:solidFill>
              <w14:schemeClr w14:val="tx1"/>
            </w14:solidFill>
          </w14:textFill>
        </w:rPr>
      </w:pPr>
      <w:r>
        <w:rPr>
          <w:rFonts w:ascii="Times New Roman" w:hAnsi="Times New Roman"/>
          <w:b/>
          <w:color w:val="000000" w:themeColor="text1"/>
          <w:lang w:val="zh-CN"/>
          <w14:textFill>
            <w14:solidFill>
              <w14:schemeClr w14:val="tx1"/>
            </w14:solidFill>
          </w14:textFill>
        </w:rPr>
        <w:t xml:space="preserve">4.4.15 </w:t>
      </w:r>
      <w:r>
        <w:rPr>
          <w:rFonts w:hint="eastAsia" w:ascii="Times New Roman" w:hAnsi="Times New Roman"/>
          <w:b/>
          <w:color w:val="000000" w:themeColor="text1"/>
          <w:lang w:val="zh-CN"/>
          <w14:textFill>
            <w14:solidFill>
              <w14:schemeClr w14:val="tx1"/>
            </w14:solidFill>
          </w14:textFill>
        </w:rPr>
        <w:t>乙方</w:t>
      </w:r>
      <w:r>
        <w:rPr>
          <w:rFonts w:hint="eastAsia" w:ascii="Times New Roman" w:hAnsi="Times New Roman"/>
          <w:b/>
          <w:color w:val="000000" w:themeColor="text1"/>
          <w14:textFill>
            <w14:solidFill>
              <w14:schemeClr w14:val="tx1"/>
            </w14:solidFill>
          </w14:textFill>
        </w:rPr>
        <w:t>不得利用本项目用地和建成资产开展抵押融资或设定担保。</w:t>
      </w:r>
    </w:p>
    <w:p>
      <w:pPr>
        <w:rPr>
          <w:rFonts w:ascii="Times New Roman" w:hAnsi="Times New Roman"/>
          <w:b/>
          <w:color w:val="000000" w:themeColor="text1"/>
          <w:lang w:val="zh-CN"/>
          <w14:textFill>
            <w14:solidFill>
              <w14:schemeClr w14:val="tx1"/>
            </w14:solidFill>
          </w14:textFill>
        </w:rPr>
      </w:pPr>
    </w:p>
    <w:p>
      <w:pPr>
        <w:pStyle w:val="3"/>
        <w:jc w:val="center"/>
        <w:rPr>
          <w:rFonts w:ascii="Times New Roman" w:hAnsi="Times New Roman" w:eastAsia="黑体"/>
          <w:color w:val="000000" w:themeColor="text1"/>
          <w:sz w:val="21"/>
          <w:szCs w:val="21"/>
          <w14:textFill>
            <w14:solidFill>
              <w14:schemeClr w14:val="tx1"/>
            </w14:solidFill>
          </w14:textFill>
        </w:rPr>
      </w:pPr>
      <w:bookmarkStart w:id="377" w:name="_Toc491857573"/>
      <w:bookmarkStart w:id="378" w:name="_Toc495845972"/>
      <w:bookmarkStart w:id="379" w:name="_Toc496299579"/>
      <w:bookmarkStart w:id="380" w:name="_Toc516399737"/>
      <w:bookmarkStart w:id="381" w:name="_Toc522635513"/>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5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项目前期工作</w:t>
      </w:r>
      <w:bookmarkEnd w:id="377"/>
      <w:r>
        <w:rPr>
          <w:rFonts w:hint="eastAsia" w:ascii="Times New Roman" w:hAnsi="Times New Roman" w:eastAsia="黑体"/>
          <w:color w:val="000000" w:themeColor="text1"/>
          <w:sz w:val="21"/>
          <w:szCs w:val="21"/>
          <w14:textFill>
            <w14:solidFill>
              <w14:schemeClr w14:val="tx1"/>
            </w14:solidFill>
          </w14:textFill>
        </w:rPr>
        <w:t>和融资交割</w:t>
      </w:r>
      <w:bookmarkEnd w:id="378"/>
      <w:bookmarkEnd w:id="379"/>
      <w:bookmarkEnd w:id="380"/>
      <w:bookmarkEnd w:id="381"/>
    </w:p>
    <w:p>
      <w:pPr>
        <w:pStyle w:val="4"/>
        <w:rPr>
          <w:color w:val="000000" w:themeColor="text1"/>
          <w14:textFill>
            <w14:solidFill>
              <w14:schemeClr w14:val="tx1"/>
            </w14:solidFill>
          </w14:textFill>
        </w:rPr>
      </w:pPr>
      <w:bookmarkStart w:id="382" w:name="_Toc491857574"/>
      <w:bookmarkStart w:id="383" w:name="_Toc495845973"/>
      <w:bookmarkStart w:id="384" w:name="_Toc496299580"/>
      <w:bookmarkStart w:id="385" w:name="_Toc516399738"/>
      <w:bookmarkStart w:id="386" w:name="_Toc522635514"/>
      <w:r>
        <w:rPr>
          <w:color w:val="000000" w:themeColor="text1"/>
          <w14:textFill>
            <w14:solidFill>
              <w14:schemeClr w14:val="tx1"/>
            </w14:solidFill>
          </w14:textFill>
        </w:rPr>
        <w:t xml:space="preserve">5.1 </w:t>
      </w:r>
      <w:r>
        <w:rPr>
          <w:rFonts w:hint="eastAsia"/>
          <w:color w:val="000000" w:themeColor="text1"/>
          <w14:textFill>
            <w14:solidFill>
              <w14:schemeClr w14:val="tx1"/>
            </w14:solidFill>
          </w14:textFill>
        </w:rPr>
        <w:t>前期工作</w:t>
      </w:r>
      <w:bookmarkEnd w:id="382"/>
      <w:bookmarkEnd w:id="383"/>
      <w:bookmarkEnd w:id="384"/>
      <w:bookmarkEnd w:id="385"/>
      <w:bookmarkEnd w:id="386"/>
    </w:p>
    <w:p>
      <w:pPr>
        <w:pStyle w:val="310"/>
        <w:spacing w:line="360" w:lineRule="auto"/>
        <w:ind w:firstLine="504" w:firstLineChars="24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为保证本合同项下项目工程建设的顺利开展，甲方委托相关单位完成本项目土地征迁、规划、初步设计、施工图设计、预算编制及监理单位委托等。</w:t>
      </w:r>
    </w:p>
    <w:p>
      <w:pPr>
        <w:pStyle w:val="4"/>
        <w:rPr>
          <w:color w:val="000000" w:themeColor="text1"/>
          <w14:textFill>
            <w14:solidFill>
              <w14:schemeClr w14:val="tx1"/>
            </w14:solidFill>
          </w14:textFill>
        </w:rPr>
      </w:pPr>
      <w:bookmarkStart w:id="387" w:name="_Toc491857575"/>
      <w:bookmarkStart w:id="388" w:name="_Toc516399739"/>
      <w:bookmarkStart w:id="389" w:name="_Toc495845974"/>
      <w:bookmarkStart w:id="390" w:name="_Toc496299581"/>
      <w:bookmarkStart w:id="391" w:name="_Toc522635515"/>
      <w:r>
        <w:rPr>
          <w:color w:val="000000" w:themeColor="text1"/>
          <w14:textFill>
            <w14:solidFill>
              <w14:schemeClr w14:val="tx1"/>
            </w14:solidFill>
          </w14:textFill>
        </w:rPr>
        <w:t xml:space="preserve">5.2 </w:t>
      </w:r>
      <w:bookmarkStart w:id="392" w:name="_Hlk496723416"/>
      <w:r>
        <w:rPr>
          <w:rFonts w:hint="eastAsia"/>
          <w:color w:val="000000" w:themeColor="text1"/>
          <w14:textFill>
            <w14:solidFill>
              <w14:schemeClr w14:val="tx1"/>
            </w14:solidFill>
          </w14:textFill>
        </w:rPr>
        <w:t>前期费用</w:t>
      </w:r>
      <w:bookmarkEnd w:id="387"/>
      <w:r>
        <w:rPr>
          <w:rFonts w:hint="eastAsia"/>
          <w:color w:val="000000" w:themeColor="text1"/>
          <w14:textFill>
            <w14:solidFill>
              <w14:schemeClr w14:val="tx1"/>
            </w14:solidFill>
          </w14:textFill>
        </w:rPr>
        <w:t>（工程建设其他费）</w:t>
      </w:r>
      <w:bookmarkEnd w:id="388"/>
      <w:bookmarkEnd w:id="389"/>
      <w:bookmarkEnd w:id="390"/>
      <w:bookmarkEnd w:id="391"/>
      <w:bookmarkEnd w:id="392"/>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5.2.1  </w:t>
      </w:r>
      <w:r>
        <w:rPr>
          <w:rFonts w:hint="eastAsia"/>
          <w:color w:val="000000" w:themeColor="text1"/>
          <w14:textFill>
            <w14:solidFill>
              <w14:schemeClr w14:val="tx1"/>
            </w14:solidFill>
          </w14:textFill>
        </w:rPr>
        <w:t>政府及甲方为完成第</w:t>
      </w:r>
      <w:r>
        <w:rPr>
          <w:color w:val="000000" w:themeColor="text1"/>
          <w14:textFill>
            <w14:solidFill>
              <w14:schemeClr w14:val="tx1"/>
            </w14:solidFill>
          </w14:textFill>
        </w:rPr>
        <w:t>5.1</w:t>
      </w:r>
      <w:r>
        <w:rPr>
          <w:rFonts w:hint="eastAsia"/>
          <w:color w:val="000000" w:themeColor="text1"/>
          <w14:textFill>
            <w14:solidFill>
              <w14:schemeClr w14:val="tx1"/>
            </w14:solidFill>
          </w14:textFill>
        </w:rPr>
        <w:t>条款规定的前期工作，前期费用（工程建设其他费）暂定</w:t>
      </w:r>
      <w:bookmarkStart w:id="393" w:name="OLE_LINK1"/>
      <w:bookmarkStart w:id="394" w:name="_Hlk495770679"/>
      <w:r>
        <w:rPr>
          <w:rFonts w:hint="eastAsia"/>
          <w:color w:val="000000" w:themeColor="text1"/>
          <w14:textFill>
            <w14:solidFill>
              <w14:schemeClr w14:val="tx1"/>
            </w14:solidFill>
          </w14:textFill>
        </w:rPr>
        <w:t>人民币</w:t>
      </w:r>
      <w:bookmarkEnd w:id="393"/>
      <w:r>
        <w:rPr>
          <w:color w:val="000000" w:themeColor="text1"/>
          <w:u w:val="single"/>
          <w14:textFill>
            <w14:solidFill>
              <w14:schemeClr w14:val="tx1"/>
            </w14:solidFill>
          </w14:textFill>
        </w:rPr>
        <w:t xml:space="preserve"> 42915.26 </w:t>
      </w:r>
      <w:r>
        <w:rPr>
          <w:rFonts w:hint="eastAsia"/>
          <w:color w:val="000000" w:themeColor="text1"/>
          <w14:textFill>
            <w14:solidFill>
              <w14:schemeClr w14:val="tx1"/>
            </w14:solidFill>
          </w14:textFill>
        </w:rPr>
        <w:t>万元</w:t>
      </w:r>
      <w:bookmarkEnd w:id="394"/>
      <w:r>
        <w:rPr>
          <w:rFonts w:hint="eastAsia"/>
          <w:color w:val="000000" w:themeColor="text1"/>
          <w14:textFill>
            <w14:solidFill>
              <w14:schemeClr w14:val="tx1"/>
            </w14:solidFill>
          </w14:textFill>
        </w:rPr>
        <w:t>。上述前期费用（工程建设其他费）由甲方与项目公司签订的</w:t>
      </w:r>
      <w:r>
        <w:rPr>
          <w:color w:val="000000" w:themeColor="text1"/>
          <w14:textFill>
            <w14:solidFill>
              <w14:schemeClr w14:val="tx1"/>
            </w14:solidFill>
          </w14:textFill>
        </w:rPr>
        <w:t>PPP</w:t>
      </w:r>
      <w:r>
        <w:rPr>
          <w:rFonts w:hint="eastAsia"/>
          <w:color w:val="000000" w:themeColor="text1"/>
          <w14:textFill>
            <w14:solidFill>
              <w14:schemeClr w14:val="tx1"/>
            </w14:solidFill>
          </w14:textFill>
        </w:rPr>
        <w:t>项目合同生效后向甲方或其指定机构分期支付，</w:t>
      </w:r>
      <w:r>
        <w:rPr>
          <w:rFonts w:hint="eastAsia"/>
          <w:color w:val="000000" w:themeColor="text1"/>
          <w:u w:val="single"/>
          <w14:textFill>
            <w14:solidFill>
              <w14:schemeClr w14:val="tx1"/>
            </w14:solidFill>
          </w14:textFill>
        </w:rPr>
        <w:t>其中征地拆迁费等前期费用暂定人民币</w:t>
      </w:r>
      <w:r>
        <w:rPr>
          <w:color w:val="000000" w:themeColor="text1"/>
          <w:u w:val="single"/>
          <w14:textFill>
            <w14:solidFill>
              <w14:schemeClr w14:val="tx1"/>
            </w14:solidFill>
          </w14:textFill>
        </w:rPr>
        <w:t>18200</w:t>
      </w:r>
      <w:r>
        <w:rPr>
          <w:rFonts w:hint="eastAsia"/>
          <w:color w:val="000000" w:themeColor="text1"/>
          <w:u w:val="single"/>
          <w14:textFill>
            <w14:solidFill>
              <w14:schemeClr w14:val="tx1"/>
            </w14:solidFill>
          </w14:textFill>
        </w:rPr>
        <w:t>万元，由项目公司在</w:t>
      </w:r>
      <w:r>
        <w:rPr>
          <w:color w:val="000000" w:themeColor="text1"/>
          <w:u w:val="single"/>
          <w14:textFill>
            <w14:solidFill>
              <w14:schemeClr w14:val="tx1"/>
            </w14:solidFill>
          </w14:textFill>
        </w:rPr>
        <w:t>PPP</w:t>
      </w:r>
      <w:r>
        <w:rPr>
          <w:rFonts w:hint="eastAsia"/>
          <w:color w:val="000000" w:themeColor="text1"/>
          <w:u w:val="single"/>
          <w14:textFill>
            <w14:solidFill>
              <w14:schemeClr w14:val="tx1"/>
            </w14:solidFill>
          </w14:textFill>
        </w:rPr>
        <w:t>项目合同生效后</w:t>
      </w:r>
      <w:r>
        <w:rPr>
          <w:color w:val="000000" w:themeColor="text1"/>
          <w:u w:val="single"/>
          <w14:textFill>
            <w14:solidFill>
              <w14:schemeClr w14:val="tx1"/>
            </w14:solidFill>
          </w14:textFill>
        </w:rPr>
        <w:t>3</w:t>
      </w:r>
      <w:r>
        <w:rPr>
          <w:rFonts w:hint="eastAsia"/>
          <w:color w:val="000000" w:themeColor="text1"/>
          <w:u w:val="single"/>
          <w14:textFill>
            <w14:solidFill>
              <w14:schemeClr w14:val="tx1"/>
            </w14:solidFill>
          </w14:textFill>
        </w:rPr>
        <w:t>个月内支付到位</w:t>
      </w:r>
      <w:r>
        <w:rPr>
          <w:rFonts w:hint="eastAsia"/>
          <w:color w:val="000000" w:themeColor="text1"/>
          <w14:textFill>
            <w14:solidFill>
              <w14:schemeClr w14:val="tx1"/>
            </w14:solidFill>
          </w14:textFill>
        </w:rPr>
        <w:t>。</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甲、乙双方按实际情况协商调整前期费用支付比例及时间，并按照实际到账时间及金额计算建设期投资收益，收益利率参照中标投资回报率。</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5.2.2  </w:t>
      </w:r>
      <w:r>
        <w:rPr>
          <w:rFonts w:hint="eastAsia"/>
          <w:color w:val="000000" w:themeColor="text1"/>
          <w14:textFill>
            <w14:solidFill>
              <w14:schemeClr w14:val="tx1"/>
            </w14:solidFill>
          </w14:textFill>
        </w:rPr>
        <w:t>第</w:t>
      </w:r>
      <w:r>
        <w:rPr>
          <w:color w:val="000000" w:themeColor="text1"/>
          <w14:textFill>
            <w14:solidFill>
              <w14:schemeClr w14:val="tx1"/>
            </w14:solidFill>
          </w14:textFill>
        </w:rPr>
        <w:t>5.2.1</w:t>
      </w:r>
      <w:r>
        <w:rPr>
          <w:rFonts w:hint="eastAsia"/>
          <w:color w:val="000000" w:themeColor="text1"/>
          <w14:textFill>
            <w14:solidFill>
              <w14:schemeClr w14:val="tx1"/>
            </w14:solidFill>
          </w14:textFill>
        </w:rPr>
        <w:t>条款下乙方任何逾期未付款项，应从到期应付之日起至甲方或其指定机构实际收到款项之日止，按违约利率计息。</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5.2.3  </w:t>
      </w:r>
      <w:r>
        <w:rPr>
          <w:rFonts w:hint="eastAsia"/>
          <w:color w:val="000000" w:themeColor="text1"/>
          <w14:textFill>
            <w14:solidFill>
              <w14:schemeClr w14:val="tx1"/>
            </w14:solidFill>
          </w14:textFill>
        </w:rPr>
        <w:t>若乙方未按照第</w:t>
      </w:r>
      <w:r>
        <w:rPr>
          <w:color w:val="000000" w:themeColor="text1"/>
          <w14:textFill>
            <w14:solidFill>
              <w14:schemeClr w14:val="tx1"/>
            </w14:solidFill>
          </w14:textFill>
        </w:rPr>
        <w:t>5.2.1</w:t>
      </w:r>
      <w:r>
        <w:rPr>
          <w:rFonts w:hint="eastAsia"/>
          <w:color w:val="000000" w:themeColor="text1"/>
          <w14:textFill>
            <w14:solidFill>
              <w14:schemeClr w14:val="tx1"/>
            </w14:solidFill>
          </w14:textFill>
        </w:rPr>
        <w:t>条款的规定支付，且在甲方提出要求后七（</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）日内仍未完成，则甲方有权全额兑取建设期履约保函或乙方的投标保证金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投标保函，在甲方提出要求后二十（</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）日内仍未履行支付责任的，甲方有权终止合同。</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5.2.4  </w:t>
      </w:r>
      <w:r>
        <w:rPr>
          <w:rFonts w:hint="eastAsia"/>
          <w:color w:val="000000" w:themeColor="text1"/>
          <w14:textFill>
            <w14:solidFill>
              <w14:schemeClr w14:val="tx1"/>
            </w14:solidFill>
          </w14:textFill>
        </w:rPr>
        <w:t>甲方应在收到第</w:t>
      </w:r>
      <w:r>
        <w:rPr>
          <w:color w:val="000000" w:themeColor="text1"/>
          <w14:textFill>
            <w14:solidFill>
              <w14:schemeClr w14:val="tx1"/>
            </w14:solidFill>
          </w14:textFill>
        </w:rPr>
        <w:t>5.2.1</w:t>
      </w:r>
      <w:r>
        <w:rPr>
          <w:rFonts w:hint="eastAsia"/>
          <w:color w:val="000000" w:themeColor="text1"/>
          <w14:textFill>
            <w14:solidFill>
              <w14:schemeClr w14:val="tx1"/>
            </w14:solidFill>
          </w14:textFill>
        </w:rPr>
        <w:t>条款规定的款项后三十（</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）日内向乙方提供相应的票据。甲方在向乙方支付可行性缺口补助时，前期费用本金部分乙方可提供对应票据。若遇政策调整，甲乙双方协商解决</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5.2.5  </w:t>
      </w:r>
      <w:r>
        <w:rPr>
          <w:rFonts w:hint="eastAsia"/>
          <w:color w:val="000000" w:themeColor="text1"/>
          <w14:textFill>
            <w14:solidFill>
              <w14:schemeClr w14:val="tx1"/>
            </w14:solidFill>
          </w14:textFill>
        </w:rPr>
        <w:t>第</w:t>
      </w:r>
      <w:r>
        <w:rPr>
          <w:color w:val="000000" w:themeColor="text1"/>
          <w14:textFill>
            <w14:solidFill>
              <w14:schemeClr w14:val="tx1"/>
            </w14:solidFill>
          </w14:textFill>
        </w:rPr>
        <w:t>5.1</w:t>
      </w:r>
      <w:r>
        <w:rPr>
          <w:rFonts w:hint="eastAsia"/>
          <w:color w:val="000000" w:themeColor="text1"/>
          <w14:textFill>
            <w14:solidFill>
              <w14:schemeClr w14:val="tx1"/>
            </w14:solidFill>
          </w14:textFill>
        </w:rPr>
        <w:t>条款规定之外的项目工作由乙方自行负责，并由乙方支付相应费用，甲方可提供必要的协助。</w:t>
      </w:r>
    </w:p>
    <w:p>
      <w:pPr>
        <w:pStyle w:val="4"/>
        <w:rPr>
          <w:color w:val="000000" w:themeColor="text1"/>
          <w14:textFill>
            <w14:solidFill>
              <w14:schemeClr w14:val="tx1"/>
            </w14:solidFill>
          </w14:textFill>
        </w:rPr>
      </w:pPr>
      <w:bookmarkStart w:id="395" w:name="_Toc495845975"/>
      <w:bookmarkStart w:id="396" w:name="_Toc496299582"/>
      <w:bookmarkStart w:id="397" w:name="_Toc516399740"/>
      <w:bookmarkStart w:id="398" w:name="_Toc522635516"/>
      <w:r>
        <w:rPr>
          <w:color w:val="000000" w:themeColor="text1"/>
          <w14:textFill>
            <w14:solidFill>
              <w14:schemeClr w14:val="tx1"/>
            </w14:solidFill>
          </w14:textFill>
        </w:rPr>
        <w:t>5.3</w:t>
      </w:r>
      <w:r>
        <w:rPr>
          <w:rFonts w:hint="eastAsia"/>
          <w:color w:val="000000" w:themeColor="text1"/>
          <w14:textFill>
            <w14:solidFill>
              <w14:schemeClr w14:val="tx1"/>
            </w14:solidFill>
          </w14:textFill>
        </w:rPr>
        <w:t>融资交割</w:t>
      </w:r>
      <w:bookmarkEnd w:id="395"/>
      <w:bookmarkEnd w:id="396"/>
      <w:bookmarkEnd w:id="397"/>
      <w:bookmarkEnd w:id="398"/>
    </w:p>
    <w:p>
      <w:pPr>
        <w:pStyle w:val="5"/>
        <w:rPr>
          <w:color w:val="000000" w:themeColor="text1"/>
          <w14:textFill>
            <w14:solidFill>
              <w14:schemeClr w14:val="tx1"/>
            </w14:solidFill>
          </w14:textFill>
        </w:rPr>
      </w:pPr>
      <w:r>
        <w:rPr>
          <w:color w:val="000000" w:themeColor="text1"/>
          <w14:textFill>
            <w14:solidFill>
              <w14:schemeClr w14:val="tx1"/>
            </w14:solidFill>
          </w14:textFill>
        </w:rPr>
        <w:t>5.3.1</w:t>
      </w:r>
      <w:r>
        <w:rPr>
          <w:rFonts w:hint="eastAsia"/>
          <w:color w:val="000000" w:themeColor="text1"/>
          <w14:textFill>
            <w14:solidFill>
              <w14:schemeClr w14:val="tx1"/>
            </w14:solidFill>
          </w14:textFill>
        </w:rPr>
        <w:t>本合同生效后九（</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）个月内，项目公司应完成融资交割（即获得银行贷款批复或贷款协议），宽限期三（</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）个月。</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5.3.2 </w:t>
      </w:r>
      <w:r>
        <w:rPr>
          <w:rFonts w:hint="eastAsia"/>
          <w:color w:val="000000" w:themeColor="text1"/>
          <w14:textFill>
            <w14:solidFill>
              <w14:schemeClr w14:val="tx1"/>
            </w14:solidFill>
          </w14:textFill>
        </w:rPr>
        <w:t>项目公司在完成融资交割后七（</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）个工作日内，应向甲方书面确认融资交割完成，并提交所有已签署的融资文件的复印件，以及甲方合理要求的证明融资交割已实现的任何其他文件。</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5.3.3 </w:t>
      </w:r>
      <w:r>
        <w:rPr>
          <w:rFonts w:hint="eastAsia"/>
          <w:color w:val="000000" w:themeColor="text1"/>
          <w14:textFill>
            <w14:solidFill>
              <w14:schemeClr w14:val="tx1"/>
            </w14:solidFill>
          </w14:textFill>
        </w:rPr>
        <w:t>若项目公司未能按</w:t>
      </w:r>
      <w:r>
        <w:rPr>
          <w:color w:val="000000" w:themeColor="text1"/>
          <w14:textFill>
            <w14:solidFill>
              <w14:schemeClr w14:val="tx1"/>
            </w14:solidFill>
          </w14:textFill>
        </w:rPr>
        <w:t>5.3.1</w:t>
      </w:r>
      <w:r>
        <w:rPr>
          <w:rFonts w:hint="eastAsia"/>
          <w:color w:val="000000" w:themeColor="text1"/>
          <w14:textFill>
            <w14:solidFill>
              <w14:schemeClr w14:val="tx1"/>
            </w14:solidFill>
          </w14:textFill>
        </w:rPr>
        <w:t>条的规定完成融资交割，或在完成融资交割后七（</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）个工作日内不能向甲方证明其融资交割完成，且在甲方提出要求后三十（</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）日内仍未完成，则甲方有权兑取全额建设期履约保函。</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5.3.4 </w:t>
      </w:r>
      <w:r>
        <w:rPr>
          <w:rFonts w:hint="eastAsia"/>
          <w:color w:val="000000" w:themeColor="text1"/>
          <w14:textFill>
            <w14:solidFill>
              <w14:schemeClr w14:val="tx1"/>
            </w14:solidFill>
          </w14:textFill>
        </w:rPr>
        <w:t>若乙方未能履行</w:t>
      </w:r>
      <w:r>
        <w:rPr>
          <w:color w:val="000000" w:themeColor="text1"/>
          <w14:textFill>
            <w14:solidFill>
              <w14:schemeClr w14:val="tx1"/>
            </w14:solidFill>
          </w14:textFill>
        </w:rPr>
        <w:t>3.2.3</w:t>
      </w:r>
      <w:r>
        <w:rPr>
          <w:rFonts w:hint="eastAsia"/>
          <w:color w:val="000000" w:themeColor="text1"/>
          <w14:textFill>
            <w14:solidFill>
              <w14:schemeClr w14:val="tx1"/>
            </w14:solidFill>
          </w14:textFill>
        </w:rPr>
        <w:t>条款的声明与承诺，且在甲方提出要求后三十（</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）日内仍未完成，则甲方有权全额兑取建设期履约保函。</w:t>
      </w:r>
    </w:p>
    <w:p>
      <w:pPr>
        <w:pStyle w:val="3"/>
        <w:jc w:val="center"/>
        <w:rPr>
          <w:rFonts w:ascii="Times New Roman" w:hAnsi="Times New Roman" w:eastAsia="黑体"/>
          <w:color w:val="000000" w:themeColor="text1"/>
          <w:sz w:val="21"/>
          <w:szCs w:val="21"/>
          <w14:textFill>
            <w14:solidFill>
              <w14:schemeClr w14:val="tx1"/>
            </w14:solidFill>
          </w14:textFill>
        </w:rPr>
      </w:pPr>
      <w:bookmarkStart w:id="399" w:name="_Toc491857576"/>
      <w:bookmarkStart w:id="400" w:name="_Toc495845976"/>
      <w:bookmarkStart w:id="401" w:name="_Toc496299583"/>
      <w:bookmarkStart w:id="402" w:name="_Toc516399741"/>
      <w:bookmarkStart w:id="403" w:name="_Toc522635517"/>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6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项目工程用地</w:t>
      </w:r>
      <w:bookmarkEnd w:id="399"/>
      <w:bookmarkEnd w:id="400"/>
      <w:bookmarkEnd w:id="401"/>
      <w:bookmarkEnd w:id="402"/>
      <w:bookmarkEnd w:id="403"/>
    </w:p>
    <w:p>
      <w:pPr>
        <w:pStyle w:val="4"/>
        <w:rPr>
          <w:color w:val="000000" w:themeColor="text1"/>
          <w14:textFill>
            <w14:solidFill>
              <w14:schemeClr w14:val="tx1"/>
            </w14:solidFill>
          </w14:textFill>
        </w:rPr>
      </w:pPr>
      <w:bookmarkStart w:id="404" w:name="_Toc491857577"/>
      <w:bookmarkStart w:id="405" w:name="_Toc495845977"/>
      <w:bookmarkStart w:id="406" w:name="_Toc496299584"/>
      <w:bookmarkStart w:id="407" w:name="_Toc516399742"/>
      <w:bookmarkStart w:id="408" w:name="_Toc522635518"/>
      <w:r>
        <w:rPr>
          <w:color w:val="000000" w:themeColor="text1"/>
          <w14:textFill>
            <w14:solidFill>
              <w14:schemeClr w14:val="tx1"/>
            </w14:solidFill>
          </w14:textFill>
        </w:rPr>
        <w:t xml:space="preserve">6.1 </w:t>
      </w:r>
      <w:r>
        <w:rPr>
          <w:rFonts w:hint="eastAsia"/>
          <w:color w:val="000000" w:themeColor="text1"/>
          <w14:textFill>
            <w14:solidFill>
              <w14:schemeClr w14:val="tx1"/>
            </w14:solidFill>
          </w14:textFill>
        </w:rPr>
        <w:t>征地拆迁</w:t>
      </w:r>
      <w:bookmarkEnd w:id="404"/>
      <w:bookmarkEnd w:id="405"/>
      <w:bookmarkEnd w:id="406"/>
      <w:bookmarkEnd w:id="407"/>
      <w:bookmarkEnd w:id="408"/>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6.1.1 </w:t>
      </w:r>
      <w:r>
        <w:rPr>
          <w:rFonts w:hint="eastAsia"/>
          <w:color w:val="000000" w:themeColor="text1"/>
          <w14:textFill>
            <w14:solidFill>
              <w14:schemeClr w14:val="tx1"/>
            </w14:solidFill>
          </w14:textFill>
        </w:rPr>
        <w:t>政府及甲方已完成本项目征地拆迁工作。</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6.1.2 </w:t>
      </w:r>
      <w:r>
        <w:rPr>
          <w:rFonts w:hint="eastAsia"/>
          <w:color w:val="000000" w:themeColor="text1"/>
          <w14:textFill>
            <w14:solidFill>
              <w14:schemeClr w14:val="tx1"/>
            </w14:solidFill>
          </w14:textFill>
        </w:rPr>
        <w:t>政府及甲方应为乙方协调提供本项目建设所须的合理临时用地。</w:t>
      </w:r>
    </w:p>
    <w:p>
      <w:pPr>
        <w:pStyle w:val="4"/>
        <w:rPr>
          <w:color w:val="000000" w:themeColor="text1"/>
          <w14:textFill>
            <w14:solidFill>
              <w14:schemeClr w14:val="tx1"/>
            </w14:solidFill>
          </w14:textFill>
        </w:rPr>
      </w:pPr>
      <w:bookmarkStart w:id="409" w:name="_Toc491857578"/>
      <w:bookmarkStart w:id="410" w:name="_Toc495845978"/>
      <w:bookmarkStart w:id="411" w:name="_Toc496299585"/>
      <w:bookmarkStart w:id="412" w:name="_Toc516399743"/>
      <w:bookmarkStart w:id="413" w:name="_Toc522635519"/>
      <w:r>
        <w:rPr>
          <w:color w:val="000000" w:themeColor="text1"/>
          <w14:textFill>
            <w14:solidFill>
              <w14:schemeClr w14:val="tx1"/>
            </w14:solidFill>
          </w14:textFill>
        </w:rPr>
        <w:t xml:space="preserve">6.2 </w:t>
      </w:r>
      <w:r>
        <w:rPr>
          <w:rFonts w:hint="eastAsia"/>
          <w:color w:val="000000" w:themeColor="text1"/>
          <w14:textFill>
            <w14:solidFill>
              <w14:schemeClr w14:val="tx1"/>
            </w14:solidFill>
          </w14:textFill>
        </w:rPr>
        <w:t>土地使用权</w:t>
      </w:r>
      <w:bookmarkEnd w:id="409"/>
      <w:bookmarkEnd w:id="410"/>
      <w:bookmarkEnd w:id="411"/>
      <w:bookmarkEnd w:id="412"/>
      <w:bookmarkEnd w:id="413"/>
    </w:p>
    <w:p>
      <w:pPr>
        <w:pStyle w:val="5"/>
        <w:ind w:left="546" w:hanging="546"/>
        <w:rPr>
          <w:color w:val="000000" w:themeColor="text1"/>
          <w14:textFill>
            <w14:solidFill>
              <w14:schemeClr w14:val="tx1"/>
            </w14:solidFill>
          </w14:textFill>
        </w:rPr>
      </w:pPr>
      <w:r>
        <w:rPr>
          <w:color w:val="000000" w:themeColor="text1"/>
          <w14:textFill>
            <w14:solidFill>
              <w14:schemeClr w14:val="tx1"/>
            </w14:solidFill>
          </w14:textFill>
        </w:rPr>
        <w:t xml:space="preserve">6.2.1 </w:t>
      </w:r>
      <w:r>
        <w:rPr>
          <w:rFonts w:hint="eastAsia"/>
        </w:rPr>
        <w:t>本项目的土地使用权由政府获得，并无偿提供给乙方使用</w:t>
      </w:r>
      <w:r>
        <w:rPr>
          <w:rFonts w:hint="eastAsia"/>
          <w:color w:val="000000" w:themeColor="text1"/>
          <w14:textFill>
            <w14:solidFill>
              <w14:schemeClr w14:val="tx1"/>
            </w14:solidFill>
          </w14:textFill>
        </w:rPr>
        <w:t>。</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6.2.2 </w:t>
      </w:r>
      <w:r>
        <w:rPr>
          <w:rFonts w:hint="eastAsia"/>
          <w:color w:val="000000" w:themeColor="text1"/>
          <w14:textFill>
            <w14:solidFill>
              <w14:schemeClr w14:val="tx1"/>
            </w14:solidFill>
          </w14:textFill>
        </w:rPr>
        <w:t>合作期期满后，乙方对项目相关土地的使用自然终止，政府及甲方无偿收回项目土地使用权利。</w:t>
      </w:r>
    </w:p>
    <w:p>
      <w:pPr>
        <w:pStyle w:val="4"/>
        <w:rPr>
          <w:color w:val="000000" w:themeColor="text1"/>
          <w14:textFill>
            <w14:solidFill>
              <w14:schemeClr w14:val="tx1"/>
            </w14:solidFill>
          </w14:textFill>
        </w:rPr>
      </w:pPr>
      <w:bookmarkStart w:id="414" w:name="_Toc491857579"/>
      <w:bookmarkStart w:id="415" w:name="_Toc495845979"/>
      <w:bookmarkStart w:id="416" w:name="_Toc496299586"/>
      <w:bookmarkStart w:id="417" w:name="_Toc516399744"/>
      <w:bookmarkStart w:id="418" w:name="_Toc522635520"/>
      <w:r>
        <w:rPr>
          <w:color w:val="000000" w:themeColor="text1"/>
          <w14:textFill>
            <w14:solidFill>
              <w14:schemeClr w14:val="tx1"/>
            </w14:solidFill>
          </w14:textFill>
        </w:rPr>
        <w:t xml:space="preserve">6.3 </w:t>
      </w:r>
      <w:r>
        <w:rPr>
          <w:rFonts w:hint="eastAsia"/>
          <w:color w:val="000000" w:themeColor="text1"/>
          <w14:textFill>
            <w14:solidFill>
              <w14:schemeClr w14:val="tx1"/>
            </w14:solidFill>
          </w14:textFill>
        </w:rPr>
        <w:t>对土地使用权的限制</w:t>
      </w:r>
      <w:bookmarkEnd w:id="414"/>
      <w:bookmarkEnd w:id="415"/>
      <w:bookmarkEnd w:id="416"/>
      <w:bookmarkEnd w:id="417"/>
      <w:bookmarkEnd w:id="418"/>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6.3.1  </w:t>
      </w:r>
      <w:r>
        <w:rPr>
          <w:rFonts w:hint="eastAsia"/>
          <w:color w:val="000000" w:themeColor="text1"/>
          <w14:textFill>
            <w14:solidFill>
              <w14:schemeClr w14:val="tx1"/>
            </w14:solidFill>
          </w14:textFill>
        </w:rPr>
        <w:t>乙方仅能将第</w:t>
      </w:r>
      <w:r>
        <w:rPr>
          <w:color w:val="000000" w:themeColor="text1"/>
          <w14:textFill>
            <w14:solidFill>
              <w14:schemeClr w14:val="tx1"/>
            </w14:solidFill>
          </w14:textFill>
        </w:rPr>
        <w:t>6.2</w:t>
      </w:r>
      <w:r>
        <w:rPr>
          <w:rFonts w:hint="eastAsia"/>
          <w:color w:val="000000" w:themeColor="text1"/>
          <w14:textFill>
            <w14:solidFill>
              <w14:schemeClr w14:val="tx1"/>
            </w14:solidFill>
          </w14:textFill>
        </w:rPr>
        <w:t>条款项下的土地实际使用权用于本合同项下的项目建设和运营，不得将该等土地使用权的全部或部分用于本合同项下的项目建设、经营之外的其他任何目的和用途。</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6.3.2  </w:t>
      </w:r>
      <w:r>
        <w:rPr>
          <w:rFonts w:hint="eastAsia"/>
          <w:color w:val="000000" w:themeColor="text1"/>
          <w14:textFill>
            <w14:solidFill>
              <w14:schemeClr w14:val="tx1"/>
            </w14:solidFill>
          </w14:textFill>
        </w:rPr>
        <w:t>未经政府及甲方书面同意，乙方不得将本项目范围内所有工程用地变更土地用途、对外转让、出租、出借、抵押及在其上设置任何他方权利，也不得用于工程建设之外的任何目的。</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6.3.3  </w:t>
      </w:r>
      <w:r>
        <w:rPr>
          <w:rFonts w:hint="eastAsia"/>
          <w:color w:val="000000" w:themeColor="text1"/>
          <w14:textFill>
            <w14:solidFill>
              <w14:schemeClr w14:val="tx1"/>
            </w14:solidFill>
          </w14:textFill>
        </w:rPr>
        <w:t>乙方应当根据适用法律的要求合理使用本合同项下的土地。如因乙方违反适用法律、本合同和其他有关法律文件的要求使用土地给第三人造成损失的，乙方应对第三人所遭受的损失进行赔偿，并承担本合同项下的违约责任。</w:t>
      </w:r>
    </w:p>
    <w:p>
      <w:pPr>
        <w:pStyle w:val="3"/>
        <w:jc w:val="center"/>
        <w:rPr>
          <w:rFonts w:ascii="Times New Roman" w:hAnsi="Times New Roman" w:eastAsia="黑体"/>
          <w:color w:val="000000" w:themeColor="text1"/>
          <w:sz w:val="21"/>
          <w:szCs w:val="21"/>
          <w14:textFill>
            <w14:solidFill>
              <w14:schemeClr w14:val="tx1"/>
            </w14:solidFill>
          </w14:textFill>
        </w:rPr>
      </w:pPr>
      <w:bookmarkStart w:id="419" w:name="_Toc491857580"/>
      <w:bookmarkStart w:id="420" w:name="_Toc495845980"/>
      <w:bookmarkStart w:id="421" w:name="_Toc496299587"/>
      <w:bookmarkStart w:id="422" w:name="_Toc516399745"/>
      <w:bookmarkStart w:id="423" w:name="_Toc522635521"/>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7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项目建设</w:t>
      </w:r>
      <w:bookmarkEnd w:id="419"/>
      <w:bookmarkEnd w:id="420"/>
      <w:bookmarkEnd w:id="421"/>
      <w:bookmarkEnd w:id="422"/>
      <w:bookmarkEnd w:id="423"/>
    </w:p>
    <w:p>
      <w:pPr>
        <w:pStyle w:val="4"/>
        <w:rPr>
          <w:color w:val="000000" w:themeColor="text1"/>
          <w14:textFill>
            <w14:solidFill>
              <w14:schemeClr w14:val="tx1"/>
            </w14:solidFill>
          </w14:textFill>
        </w:rPr>
      </w:pPr>
      <w:bookmarkStart w:id="424" w:name="_Toc491857581"/>
      <w:bookmarkStart w:id="425" w:name="_Toc495845981"/>
      <w:bookmarkStart w:id="426" w:name="_Toc496299588"/>
      <w:bookmarkStart w:id="427" w:name="_Toc516399746"/>
      <w:bookmarkStart w:id="428" w:name="_Toc522635522"/>
      <w:r>
        <w:rPr>
          <w:color w:val="000000" w:themeColor="text1"/>
          <w14:textFill>
            <w14:solidFill>
              <w14:schemeClr w14:val="tx1"/>
            </w14:solidFill>
          </w14:textFill>
        </w:rPr>
        <w:t xml:space="preserve">7.1 </w:t>
      </w:r>
      <w:r>
        <w:rPr>
          <w:rFonts w:hint="eastAsia"/>
          <w:color w:val="000000" w:themeColor="text1"/>
          <w14:textFill>
            <w14:solidFill>
              <w14:schemeClr w14:val="tx1"/>
            </w14:solidFill>
          </w14:textFill>
        </w:rPr>
        <w:t>设计</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监理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审计（价）单位</w:t>
      </w:r>
      <w:bookmarkEnd w:id="424"/>
      <w:bookmarkEnd w:id="425"/>
      <w:bookmarkEnd w:id="426"/>
      <w:bookmarkEnd w:id="427"/>
      <w:bookmarkEnd w:id="428"/>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7.1.1  </w:t>
      </w:r>
      <w:r>
        <w:rPr>
          <w:rFonts w:hint="eastAsia"/>
          <w:color w:val="000000" w:themeColor="text1"/>
          <w14:textFill>
            <w14:solidFill>
              <w14:schemeClr w14:val="tx1"/>
            </w14:solidFill>
          </w14:textFill>
        </w:rPr>
        <w:t>甲方或其指定机构已根据适用法律的规定选择了具有相应资质的设计单位进行本项目初步设计和施工图设计，设计费用由乙方承担，并计入</w:t>
      </w:r>
      <w:r>
        <w:rPr>
          <w:color w:val="000000" w:themeColor="text1"/>
          <w14:textFill>
            <w14:solidFill>
              <w14:schemeClr w14:val="tx1"/>
            </w14:solidFill>
          </w14:textFill>
        </w:rPr>
        <w:t>PPP</w:t>
      </w:r>
      <w:r>
        <w:rPr>
          <w:rFonts w:hint="eastAsia"/>
          <w:color w:val="000000" w:themeColor="text1"/>
          <w14:textFill>
            <w14:solidFill>
              <w14:schemeClr w14:val="tx1"/>
            </w14:solidFill>
          </w14:textFill>
        </w:rPr>
        <w:t>总投资。</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7.1.2  </w:t>
      </w:r>
      <w:r>
        <w:rPr>
          <w:rFonts w:hint="eastAsia"/>
          <w:color w:val="000000" w:themeColor="text1"/>
          <w14:textFill>
            <w14:solidFill>
              <w14:schemeClr w14:val="tx1"/>
            </w14:solidFill>
          </w14:textFill>
        </w:rPr>
        <w:t>乙方应按照甲方提供的施工图设计文件和适用法律组织实施项目工程建设。但允许乙方为缩减工期和提高项目运营服务质量进行适当优化。优化设计方案不得低于原设计标准和装修标准，并符合国家强制性规范要求且必须取得甲方及原设计单位的书面认可。</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7.1.3  </w:t>
      </w:r>
      <w:r>
        <w:rPr>
          <w:rFonts w:hint="eastAsia"/>
          <w:color w:val="000000" w:themeColor="text1"/>
          <w14:textFill>
            <w14:solidFill>
              <w14:schemeClr w14:val="tx1"/>
            </w14:solidFill>
          </w14:textFill>
        </w:rPr>
        <w:t>甲方或其指定机构应根据适用法律的规定，选择有相应资质的工程监理单位，监理费用由乙方承担，并计入</w:t>
      </w:r>
      <w:r>
        <w:rPr>
          <w:color w:val="000000" w:themeColor="text1"/>
          <w14:textFill>
            <w14:solidFill>
              <w14:schemeClr w14:val="tx1"/>
            </w14:solidFill>
          </w14:textFill>
        </w:rPr>
        <w:t>PPP</w:t>
      </w:r>
      <w:r>
        <w:rPr>
          <w:rFonts w:hint="eastAsia"/>
          <w:color w:val="000000" w:themeColor="text1"/>
          <w14:textFill>
            <w14:solidFill>
              <w14:schemeClr w14:val="tx1"/>
            </w14:solidFill>
          </w14:textFill>
        </w:rPr>
        <w:t>总投资。监理单位须按照适用法律对工程的进度、质量、安全、文明施工、变更等方面进行监理，依据监理合同开展授权工作。</w:t>
      </w:r>
    </w:p>
    <w:p>
      <w:pPr>
        <w:pStyle w:val="5"/>
        <w:rPr>
          <w:color w:val="000000" w:themeColor="text1"/>
          <w14:textFill>
            <w14:solidFill>
              <w14:schemeClr w14:val="tx1"/>
            </w14:solidFill>
          </w14:textFill>
        </w:rPr>
      </w:pPr>
      <w:r>
        <w:t xml:space="preserve">7.1.4  </w:t>
      </w:r>
      <w:r>
        <w:rPr>
          <w:rFonts w:hint="eastAsia"/>
        </w:rPr>
        <w:t>甲方或其指定机构应根据适用法律的规定，选择有相应资质的审计（价）单位（在杭州大江东产业集聚区已招标产生的跟踪审价年度单位库中选择跟踪审计（价）单位。经甲方或其指定机构同意，乙方可参与共同选择），审计（价）费用由乙方承担，并计入</w:t>
      </w:r>
      <w:r>
        <w:t>PPP</w:t>
      </w:r>
      <w:r>
        <w:rPr>
          <w:rFonts w:hint="eastAsia"/>
        </w:rPr>
        <w:t>总投资。</w:t>
      </w:r>
    </w:p>
    <w:p>
      <w:pPr>
        <w:pStyle w:val="4"/>
        <w:rPr>
          <w:color w:val="000000" w:themeColor="text1"/>
          <w14:textFill>
            <w14:solidFill>
              <w14:schemeClr w14:val="tx1"/>
            </w14:solidFill>
          </w14:textFill>
        </w:rPr>
      </w:pPr>
      <w:bookmarkStart w:id="429" w:name="_Toc522635523"/>
      <w:bookmarkStart w:id="430" w:name="_Toc496299589"/>
      <w:bookmarkStart w:id="431" w:name="_Toc516399747"/>
      <w:bookmarkStart w:id="432" w:name="_Toc495845982"/>
      <w:bookmarkStart w:id="433" w:name="_Toc491857582"/>
      <w:r>
        <w:rPr>
          <w:color w:val="000000" w:themeColor="text1"/>
          <w14:textFill>
            <w14:solidFill>
              <w14:schemeClr w14:val="tx1"/>
            </w14:solidFill>
          </w14:textFill>
        </w:rPr>
        <w:t xml:space="preserve">7.2 </w:t>
      </w:r>
      <w:r>
        <w:rPr>
          <w:rFonts w:hint="eastAsia"/>
          <w:color w:val="000000" w:themeColor="text1"/>
          <w14:textFill>
            <w14:solidFill>
              <w14:schemeClr w14:val="tx1"/>
            </w14:solidFill>
          </w14:textFill>
        </w:rPr>
        <w:t>工程协调和管理</w:t>
      </w:r>
      <w:bookmarkEnd w:id="429"/>
      <w:bookmarkEnd w:id="430"/>
      <w:bookmarkEnd w:id="431"/>
      <w:bookmarkEnd w:id="432"/>
      <w:bookmarkEnd w:id="433"/>
    </w:p>
    <w:p>
      <w:pPr>
        <w:pStyle w:val="310"/>
        <w:spacing w:line="360" w:lineRule="auto"/>
        <w:ind w:left="504" w:leftChars="24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全面负责本工程的协调和管理工作，包括协调为项目工程服务的、甲方已确定的设计、勘察、监理及关联合同单位等。同时乙方应与项目工程范围内各有关单位及有关政府部门进行协调，必要时应提请甲方协助，以保证项目工程顺利实施。</w:t>
      </w:r>
    </w:p>
    <w:p>
      <w:pPr>
        <w:pStyle w:val="310"/>
        <w:spacing w:line="360" w:lineRule="auto"/>
        <w:ind w:left="504" w:leftChars="24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现场管理团队应符合本项目建设管理相关专业的配套要求，各人员具备专业执业上岗证。对不符合上岗能力和职业素质的人员，甲方有权撤换。乙方需在项目开工前将管理团队人员名单提交甲方备案，所有现场管理人员的更换均需向甲方通报。</w:t>
      </w:r>
    </w:p>
    <w:p>
      <w:pPr>
        <w:pStyle w:val="4"/>
        <w:rPr>
          <w:color w:val="000000" w:themeColor="text1"/>
          <w14:textFill>
            <w14:solidFill>
              <w14:schemeClr w14:val="tx1"/>
            </w14:solidFill>
          </w14:textFill>
        </w:rPr>
      </w:pPr>
      <w:bookmarkStart w:id="434" w:name="_Toc491857583"/>
      <w:bookmarkStart w:id="435" w:name="_Toc495845983"/>
      <w:bookmarkStart w:id="436" w:name="_Toc496299590"/>
      <w:bookmarkStart w:id="437" w:name="_Toc516399748"/>
      <w:bookmarkStart w:id="438" w:name="_Toc522635524"/>
      <w:r>
        <w:rPr>
          <w:color w:val="000000" w:themeColor="text1"/>
          <w14:textFill>
            <w14:solidFill>
              <w14:schemeClr w14:val="tx1"/>
            </w14:solidFill>
          </w14:textFill>
        </w:rPr>
        <w:t xml:space="preserve">7.3 </w:t>
      </w:r>
      <w:r>
        <w:rPr>
          <w:rFonts w:hint="eastAsia"/>
          <w:color w:val="000000" w:themeColor="text1"/>
          <w14:textFill>
            <w14:solidFill>
              <w14:schemeClr w14:val="tx1"/>
            </w14:solidFill>
          </w14:textFill>
        </w:rPr>
        <w:t>关联合同</w:t>
      </w:r>
      <w:bookmarkEnd w:id="434"/>
      <w:bookmarkEnd w:id="435"/>
      <w:bookmarkEnd w:id="436"/>
      <w:bookmarkEnd w:id="437"/>
      <w:bookmarkEnd w:id="438"/>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7.3.1  </w:t>
      </w:r>
      <w:r>
        <w:rPr>
          <w:rFonts w:hint="eastAsia"/>
          <w:color w:val="000000" w:themeColor="text1"/>
          <w14:textFill>
            <w14:solidFill>
              <w14:schemeClr w14:val="tx1"/>
            </w14:solidFill>
          </w14:textFill>
        </w:rPr>
        <w:t>任何其它合同，其履行与本合同有关者，或本合同之履行与该合同有关者，均应由甲方明确该合同为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关联合同</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。乙方应按合同相关规定及甲方的要求进行相关工作积极配合并为关联合同提供服务。关联合同的承包商名称在生效日可能仍未确定，乙方不得以此为理由而对以后指定的关联合同承包商或供应商有异议。</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7.3.2  </w:t>
      </w:r>
      <w:r>
        <w:rPr>
          <w:rFonts w:hint="eastAsia"/>
          <w:color w:val="000000" w:themeColor="text1"/>
          <w14:textFill>
            <w14:solidFill>
              <w14:schemeClr w14:val="tx1"/>
            </w14:solidFill>
          </w14:textFill>
        </w:rPr>
        <w:t>乙方应于合同规定的时间，或甲方要求的其他时间，协调其与关联合同承包商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供应商的工作。乙方应向关联合同承包商提供一切合理机会并参与协调管理，使其能开展工作。</w:t>
      </w:r>
    </w:p>
    <w:p>
      <w:pPr>
        <w:pStyle w:val="4"/>
        <w:rPr>
          <w:color w:val="000000" w:themeColor="text1"/>
          <w14:textFill>
            <w14:solidFill>
              <w14:schemeClr w14:val="tx1"/>
            </w14:solidFill>
          </w14:textFill>
        </w:rPr>
      </w:pPr>
      <w:bookmarkStart w:id="439" w:name="_Toc491857584"/>
      <w:bookmarkStart w:id="440" w:name="_Toc495845984"/>
      <w:bookmarkStart w:id="441" w:name="_Toc496299591"/>
      <w:bookmarkStart w:id="442" w:name="_Toc516399749"/>
      <w:bookmarkStart w:id="443" w:name="_Toc522635525"/>
      <w:r>
        <w:rPr>
          <w:color w:val="000000" w:themeColor="text1"/>
          <w14:textFill>
            <w14:solidFill>
              <w14:schemeClr w14:val="tx1"/>
            </w14:solidFill>
          </w14:textFill>
        </w:rPr>
        <w:t xml:space="preserve">7.4 </w:t>
      </w:r>
      <w:r>
        <w:rPr>
          <w:rFonts w:hint="eastAsia"/>
          <w:color w:val="000000" w:themeColor="text1"/>
          <w14:textFill>
            <w14:solidFill>
              <w14:schemeClr w14:val="tx1"/>
            </w14:solidFill>
          </w14:textFill>
        </w:rPr>
        <w:t>工程进度</w:t>
      </w:r>
      <w:bookmarkEnd w:id="439"/>
      <w:bookmarkEnd w:id="440"/>
      <w:bookmarkEnd w:id="441"/>
      <w:bookmarkEnd w:id="442"/>
      <w:bookmarkEnd w:id="443"/>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7.4.1 </w:t>
      </w:r>
      <w:r>
        <w:rPr>
          <w:rFonts w:hint="eastAsia"/>
          <w:color w:val="000000" w:themeColor="text1"/>
          <w14:textFill>
            <w14:solidFill>
              <w14:schemeClr w14:val="tx1"/>
            </w14:solidFill>
          </w14:textFill>
        </w:rPr>
        <w:t>预计的进度计划</w:t>
      </w:r>
    </w:p>
    <w:p>
      <w:pPr>
        <w:pStyle w:val="310"/>
        <w:spacing w:line="360" w:lineRule="auto"/>
        <w:ind w:left="546" w:leftChars="260" w:firstLine="12" w:firstLineChars="6"/>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除非双方另有约定，双方应在下列有关进度日期当日或之前履行其在本合同项下的义务：</w:t>
      </w:r>
      <w:r>
        <w:rPr>
          <w:rFonts w:ascii="Times New Roman" w:eastAsia="宋体" w:cs="Times New Roman"/>
          <w:color w:val="000000" w:themeColor="text1"/>
          <w:sz w:val="21"/>
          <w:szCs w:val="21"/>
          <w14:textFill>
            <w14:solidFill>
              <w14:schemeClr w14:val="tx1"/>
            </w14:solidFill>
          </w14:textFill>
        </w:rPr>
        <w:t xml:space="preserve"> </w:t>
      </w:r>
    </w:p>
    <w:p>
      <w:pPr>
        <w:pStyle w:val="310"/>
        <w:numPr>
          <w:ilvl w:val="0"/>
          <w:numId w:val="54"/>
        </w:numPr>
        <w:spacing w:line="360" w:lineRule="auto"/>
        <w:ind w:left="1064"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生效日：甲方和乙方（项目公司）正式签署本合同之日期，如果双方签署日期不一致以较晚日期为生效日</w:t>
      </w:r>
    </w:p>
    <w:p>
      <w:pPr>
        <w:pStyle w:val="310"/>
        <w:numPr>
          <w:ilvl w:val="0"/>
          <w:numId w:val="54"/>
        </w:numPr>
        <w:spacing w:line="360" w:lineRule="auto"/>
        <w:ind w:left="1064"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开工日：监理单位下发开工报告中载明时间；</w:t>
      </w:r>
    </w:p>
    <w:p>
      <w:pPr>
        <w:pStyle w:val="310"/>
        <w:numPr>
          <w:ilvl w:val="0"/>
          <w:numId w:val="54"/>
        </w:numPr>
        <w:spacing w:line="360" w:lineRule="auto"/>
        <w:ind w:left="1064"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完工日：项目整体工程竣工验收合格当日；</w:t>
      </w:r>
    </w:p>
    <w:p>
      <w:pPr>
        <w:pStyle w:val="310"/>
        <w:numPr>
          <w:ilvl w:val="0"/>
          <w:numId w:val="54"/>
        </w:numPr>
        <w:spacing w:line="360" w:lineRule="auto"/>
        <w:ind w:left="1064"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通车日：指项目竣工验收合格以及交警部门的验收合格之后，具体通车日期暂定</w:t>
      </w:r>
      <w:r>
        <w:rPr>
          <w:rFonts w:ascii="Times New Roman" w:eastAsia="宋体" w:cs="Times New Roman"/>
          <w:color w:val="000000" w:themeColor="text1"/>
          <w:sz w:val="21"/>
          <w:szCs w:val="21"/>
          <w:u w:val="single"/>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w:t>
      </w:r>
    </w:p>
    <w:p>
      <w:pPr>
        <w:pStyle w:val="310"/>
        <w:numPr>
          <w:ilvl w:val="0"/>
          <w:numId w:val="54"/>
        </w:numPr>
        <w:spacing w:line="360" w:lineRule="auto"/>
        <w:ind w:left="1064"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运营日：即通车日次日。</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7.4.2 </w:t>
      </w:r>
      <w:r>
        <w:rPr>
          <w:rFonts w:hint="eastAsia"/>
          <w:color w:val="000000" w:themeColor="text1"/>
          <w14:textFill>
            <w14:solidFill>
              <w14:schemeClr w14:val="tx1"/>
            </w14:solidFill>
          </w14:textFill>
        </w:rPr>
        <w:t>预计进度延误的通知</w:t>
      </w:r>
      <w:r>
        <w:rPr>
          <w:color w:val="000000" w:themeColor="text1"/>
          <w14:textFill>
            <w14:solidFill>
              <w14:schemeClr w14:val="tx1"/>
            </w14:solidFill>
          </w14:textFill>
        </w:rPr>
        <w:t xml:space="preserve"> </w:t>
      </w:r>
    </w:p>
    <w:p>
      <w:pPr>
        <w:pStyle w:val="310"/>
        <w:spacing w:line="360" w:lineRule="auto"/>
        <w:ind w:left="546" w:leftChars="26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在任何时候，如果一方合理地预计由该方负责完成的任何事项将导致第</w:t>
      </w:r>
      <w:r>
        <w:rPr>
          <w:rFonts w:ascii="Times New Roman" w:eastAsia="宋体" w:cs="Times New Roman"/>
          <w:color w:val="000000" w:themeColor="text1"/>
          <w:sz w:val="21"/>
          <w:szCs w:val="21"/>
          <w14:textFill>
            <w14:solidFill>
              <w14:schemeClr w14:val="tx1"/>
            </w14:solidFill>
          </w14:textFill>
        </w:rPr>
        <w:t>7.4.1</w:t>
      </w:r>
      <w:r>
        <w:rPr>
          <w:rFonts w:hint="eastAsia" w:ascii="Times New Roman" w:eastAsia="宋体" w:cs="Times New Roman"/>
          <w:color w:val="000000" w:themeColor="text1"/>
          <w:sz w:val="21"/>
          <w:szCs w:val="21"/>
          <w14:textFill>
            <w14:solidFill>
              <w14:schemeClr w14:val="tx1"/>
            </w14:solidFill>
          </w14:textFill>
        </w:rPr>
        <w:t>所规定的某一项目进度不能如期完成，该方应及时通知另一方并合理地详细描述以下情况：</w:t>
      </w:r>
    </w:p>
    <w:p>
      <w:pPr>
        <w:pStyle w:val="310"/>
        <w:numPr>
          <w:ilvl w:val="0"/>
          <w:numId w:val="55"/>
        </w:numPr>
        <w:spacing w:line="360" w:lineRule="auto"/>
        <w:ind w:left="1008"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明确何种事项将导致项目进度无法如期完成；</w:t>
      </w:r>
    </w:p>
    <w:p>
      <w:pPr>
        <w:pStyle w:val="310"/>
        <w:numPr>
          <w:ilvl w:val="0"/>
          <w:numId w:val="55"/>
        </w:numPr>
        <w:spacing w:line="360" w:lineRule="auto"/>
        <w:ind w:left="1008"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预计进度延误的原因，包括对任何声明为不可抗力的情况的描述；</w:t>
      </w:r>
    </w:p>
    <w:p>
      <w:pPr>
        <w:pStyle w:val="310"/>
        <w:numPr>
          <w:ilvl w:val="0"/>
          <w:numId w:val="55"/>
        </w:numPr>
        <w:spacing w:line="360" w:lineRule="auto"/>
        <w:ind w:left="1008"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所预计的可能超出进度日期的日数和其他可合理预见的对项目不利的影响；</w:t>
      </w:r>
    </w:p>
    <w:p>
      <w:pPr>
        <w:pStyle w:val="310"/>
        <w:numPr>
          <w:ilvl w:val="0"/>
          <w:numId w:val="55"/>
        </w:numPr>
        <w:spacing w:line="360" w:lineRule="auto"/>
        <w:ind w:left="1008"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该方已经采取或建议采取的解决或减少延误及其影响的措施。</w:t>
      </w:r>
    </w:p>
    <w:p>
      <w:pPr>
        <w:pStyle w:val="310"/>
        <w:spacing w:line="360" w:lineRule="auto"/>
        <w:ind w:left="546" w:leftChars="26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如果一方未向另一方发出上述通知，该方应承担另一方因其未发出此通知而可能遭致的任何直接损失和费用。</w:t>
      </w:r>
    </w:p>
    <w:p>
      <w:pPr>
        <w:pStyle w:val="310"/>
        <w:spacing w:line="360" w:lineRule="auto"/>
        <w:ind w:left="546" w:leftChars="26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发出上述通知不应解除各方在本合同项下的任何义务，包括该方根据本合同应当承担的违约责任。</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7.4.3 </w:t>
      </w:r>
      <w:r>
        <w:rPr>
          <w:rFonts w:hint="eastAsia"/>
          <w:color w:val="000000" w:themeColor="text1"/>
          <w14:textFill>
            <w14:solidFill>
              <w14:schemeClr w14:val="tx1"/>
            </w14:solidFill>
          </w14:textFill>
        </w:rPr>
        <w:t>乙方应向甲方提交详细的施工进度计划，其中应列出计划实施工程的程序、关键性时间节点、工期目标、工期保障措施等。施工进度计划经甲方同意后执行。若工程实际进度与进度计划不符，甲方可要求乙方以实现如期完工为前提合理安排施工计划并修改进度计划。</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7.4.4 </w:t>
      </w:r>
      <w:r>
        <w:rPr>
          <w:rFonts w:hint="eastAsia"/>
          <w:color w:val="000000" w:themeColor="text1"/>
          <w14:textFill>
            <w14:solidFill>
              <w14:schemeClr w14:val="tx1"/>
            </w14:solidFill>
          </w14:textFill>
        </w:rPr>
        <w:t>进度报告</w:t>
      </w:r>
    </w:p>
    <w:p>
      <w:pPr>
        <w:pStyle w:val="310"/>
        <w:spacing w:line="360" w:lineRule="auto"/>
        <w:ind w:left="517" w:leftChars="246" w:hanging="1"/>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负责编制和上报进度报告（包括月、季、年），并提交一式三份书面报告给甲方。第一份报告所包含的期间应自开工日起至开工日所在月、季、年的最后一天止，此后每月、季、年均应在该月、季、年最后一天之后的十（</w:t>
      </w:r>
      <w:r>
        <w:rPr>
          <w:rFonts w:ascii="Times New Roman" w:eastAsia="宋体" w:cs="Times New Roman"/>
          <w:color w:val="000000" w:themeColor="text1"/>
          <w:sz w:val="21"/>
          <w:szCs w:val="21"/>
          <w14:textFill>
            <w14:solidFill>
              <w14:schemeClr w14:val="tx1"/>
            </w14:solidFill>
          </w14:textFill>
        </w:rPr>
        <w:t>10</w:t>
      </w:r>
      <w:r>
        <w:rPr>
          <w:rFonts w:hint="eastAsia" w:ascii="Times New Roman" w:eastAsia="宋体" w:cs="Times New Roman"/>
          <w:color w:val="000000" w:themeColor="text1"/>
          <w:sz w:val="21"/>
          <w:szCs w:val="21"/>
          <w14:textFill>
            <w14:solidFill>
              <w14:schemeClr w14:val="tx1"/>
            </w14:solidFill>
          </w14:textFill>
        </w:rPr>
        <w:t>）日内提交月、季、年度进度报告。进度报告应持续至完工日止。</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7.4.5 </w:t>
      </w:r>
      <w:r>
        <w:rPr>
          <w:rFonts w:hint="eastAsia"/>
          <w:color w:val="000000" w:themeColor="text1"/>
          <w14:textFill>
            <w14:solidFill>
              <w14:schemeClr w14:val="tx1"/>
            </w14:solidFill>
          </w14:textFill>
        </w:rPr>
        <w:t>如果出现下述情况，有关建设进度将被顺延或修改：</w:t>
      </w:r>
    </w:p>
    <w:p>
      <w:pPr>
        <w:pStyle w:val="310"/>
        <w:numPr>
          <w:ilvl w:val="0"/>
          <w:numId w:val="56"/>
        </w:numPr>
        <w:spacing w:line="360" w:lineRule="auto"/>
        <w:ind w:left="1078"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不可抗力事件；</w:t>
      </w:r>
    </w:p>
    <w:p>
      <w:pPr>
        <w:pStyle w:val="310"/>
        <w:numPr>
          <w:ilvl w:val="0"/>
          <w:numId w:val="56"/>
        </w:numPr>
        <w:spacing w:line="360" w:lineRule="auto"/>
        <w:ind w:left="1078"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项目建设过程中，在建设场地范围内发现有古墓、古建筑或化石等具有考古、地质研究价值的物品；</w:t>
      </w:r>
    </w:p>
    <w:p>
      <w:pPr>
        <w:pStyle w:val="310"/>
        <w:numPr>
          <w:ilvl w:val="0"/>
          <w:numId w:val="56"/>
        </w:numPr>
        <w:spacing w:line="360" w:lineRule="auto"/>
        <w:ind w:left="1078"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由于政府部门在受理乙方或甲方报批申请后违反适用法律的规定审批迟延而造成延误；</w:t>
      </w:r>
    </w:p>
    <w:p>
      <w:pPr>
        <w:pStyle w:val="310"/>
        <w:numPr>
          <w:ilvl w:val="0"/>
          <w:numId w:val="56"/>
        </w:numPr>
        <w:spacing w:line="360" w:lineRule="auto"/>
        <w:ind w:left="1078"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由于任何一方违约而造成延误。</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7.4.6 </w:t>
      </w:r>
      <w:r>
        <w:rPr>
          <w:rFonts w:hint="eastAsia"/>
          <w:color w:val="000000" w:themeColor="text1"/>
          <w14:textFill>
            <w14:solidFill>
              <w14:schemeClr w14:val="tx1"/>
            </w14:solidFill>
          </w14:textFill>
        </w:rPr>
        <w:t>如同时满足了以下前提，一方可以在第</w:t>
      </w:r>
      <w:r>
        <w:rPr>
          <w:color w:val="000000" w:themeColor="text1"/>
          <w14:textFill>
            <w14:solidFill>
              <w14:schemeClr w14:val="tx1"/>
            </w14:solidFill>
          </w14:textFill>
        </w:rPr>
        <w:t>7.4.5</w:t>
      </w:r>
      <w:r>
        <w:rPr>
          <w:rFonts w:hint="eastAsia"/>
          <w:color w:val="000000" w:themeColor="text1"/>
          <w14:textFill>
            <w14:solidFill>
              <w14:schemeClr w14:val="tx1"/>
            </w14:solidFill>
          </w14:textFill>
        </w:rPr>
        <w:t>条款的事件发生后，要求延长进度日期：</w:t>
      </w:r>
    </w:p>
    <w:p>
      <w:pPr>
        <w:pStyle w:val="310"/>
        <w:numPr>
          <w:ilvl w:val="0"/>
          <w:numId w:val="57"/>
        </w:numPr>
        <w:spacing w:line="360" w:lineRule="auto"/>
        <w:ind w:left="1092"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该方（下称</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第一方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）在实际发生延误的七（</w:t>
      </w:r>
      <w:r>
        <w:rPr>
          <w:rFonts w:ascii="Times New Roman" w:eastAsia="宋体" w:cs="Times New Roman"/>
          <w:color w:val="000000" w:themeColor="text1"/>
          <w:sz w:val="21"/>
          <w:szCs w:val="21"/>
          <w14:textFill>
            <w14:solidFill>
              <w14:schemeClr w14:val="tx1"/>
            </w14:solidFill>
          </w14:textFill>
        </w:rPr>
        <w:t>7</w:t>
      </w:r>
      <w:r>
        <w:rPr>
          <w:rFonts w:hint="eastAsia" w:ascii="Times New Roman" w:eastAsia="宋体" w:cs="Times New Roman"/>
          <w:color w:val="000000" w:themeColor="text1"/>
          <w:sz w:val="21"/>
          <w:szCs w:val="21"/>
          <w14:textFill>
            <w14:solidFill>
              <w14:schemeClr w14:val="tx1"/>
            </w14:solidFill>
          </w14:textFill>
        </w:rPr>
        <w:t>）个工作日内向另一方（下称</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第二方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）提出书面的延期要求，说明对相应的进度日期可能造成的影响；</w:t>
      </w:r>
    </w:p>
    <w:p>
      <w:pPr>
        <w:pStyle w:val="310"/>
        <w:numPr>
          <w:ilvl w:val="0"/>
          <w:numId w:val="57"/>
        </w:numPr>
        <w:spacing w:line="360" w:lineRule="auto"/>
        <w:ind w:left="1092"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进度日期实际已经被延误；</w:t>
      </w:r>
    </w:p>
    <w:p>
      <w:pPr>
        <w:pStyle w:val="310"/>
        <w:numPr>
          <w:ilvl w:val="0"/>
          <w:numId w:val="57"/>
        </w:numPr>
        <w:spacing w:line="360" w:lineRule="auto"/>
        <w:ind w:left="1092"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第一方已采取所有合理的措施减少延误。</w:t>
      </w:r>
    </w:p>
    <w:p>
      <w:pPr>
        <w:pStyle w:val="310"/>
        <w:spacing w:line="360" w:lineRule="auto"/>
        <w:ind w:left="517" w:leftChars="246" w:hanging="1"/>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如果第二方在收到书面要求后七（</w:t>
      </w:r>
      <w:r>
        <w:rPr>
          <w:rFonts w:ascii="Times New Roman" w:eastAsia="宋体" w:cs="Times New Roman"/>
          <w:color w:val="000000" w:themeColor="text1"/>
          <w:sz w:val="21"/>
          <w:szCs w:val="21"/>
          <w14:textFill>
            <w14:solidFill>
              <w14:schemeClr w14:val="tx1"/>
            </w14:solidFill>
          </w14:textFill>
        </w:rPr>
        <w:t>7</w:t>
      </w:r>
      <w:r>
        <w:rPr>
          <w:rFonts w:hint="eastAsia" w:ascii="Times New Roman" w:eastAsia="宋体" w:cs="Times New Roman"/>
          <w:color w:val="000000" w:themeColor="text1"/>
          <w:sz w:val="21"/>
          <w:szCs w:val="21"/>
          <w14:textFill>
            <w14:solidFill>
              <w14:schemeClr w14:val="tx1"/>
            </w14:solidFill>
          </w14:textFill>
        </w:rPr>
        <w:t>）个工作日内对要求的延期未书面表示异议，则第二方将被视为对要求的延期已表示同意。第二方对延期要求的同意不解除第一方违约情况下其根据本合同第（</w:t>
      </w:r>
      <w:r>
        <w:rPr>
          <w:rFonts w:ascii="Times New Roman" w:eastAsia="宋体" w:cs="Times New Roman"/>
          <w:color w:val="000000" w:themeColor="text1"/>
          <w:sz w:val="21"/>
          <w:szCs w:val="21"/>
          <w14:textFill>
            <w14:solidFill>
              <w14:schemeClr w14:val="tx1"/>
            </w14:solidFill>
          </w14:textFill>
        </w:rPr>
        <w:t>a</w:t>
      </w:r>
      <w:r>
        <w:rPr>
          <w:rFonts w:hint="eastAsia" w:ascii="Times New Roman" w:eastAsia="宋体" w:cs="Times New Roman"/>
          <w:color w:val="000000" w:themeColor="text1"/>
          <w:sz w:val="21"/>
          <w:szCs w:val="21"/>
          <w14:textFill>
            <w14:solidFill>
              <w14:schemeClr w14:val="tx1"/>
            </w14:solidFill>
          </w14:textFill>
        </w:rPr>
        <w:t>）条款应当承担的违约责任。</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7.4.7 </w:t>
      </w:r>
      <w:r>
        <w:rPr>
          <w:rFonts w:hint="eastAsia"/>
          <w:color w:val="000000" w:themeColor="text1"/>
          <w14:textFill>
            <w14:solidFill>
              <w14:schemeClr w14:val="tx1"/>
            </w14:solidFill>
          </w14:textFill>
        </w:rPr>
        <w:t>如果建设进度因第</w:t>
      </w:r>
      <w:r>
        <w:rPr>
          <w:color w:val="000000" w:themeColor="text1"/>
          <w14:textFill>
            <w14:solidFill>
              <w14:schemeClr w14:val="tx1"/>
            </w14:solidFill>
          </w14:textFill>
        </w:rPr>
        <w:t>7.4.6</w:t>
      </w:r>
      <w:r>
        <w:rPr>
          <w:rFonts w:hint="eastAsia"/>
          <w:color w:val="000000" w:themeColor="text1"/>
          <w14:textFill>
            <w14:solidFill>
              <w14:schemeClr w14:val="tx1"/>
            </w14:solidFill>
          </w14:textFill>
        </w:rPr>
        <w:t>条款延长，则第</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条款约定的合作期应顺延或运营期修改。</w:t>
      </w:r>
    </w:p>
    <w:p>
      <w:pPr>
        <w:pStyle w:val="4"/>
        <w:rPr>
          <w:color w:val="000000" w:themeColor="text1"/>
          <w14:textFill>
            <w14:solidFill>
              <w14:schemeClr w14:val="tx1"/>
            </w14:solidFill>
          </w14:textFill>
        </w:rPr>
      </w:pPr>
      <w:bookmarkStart w:id="444" w:name="_Toc491857585"/>
      <w:bookmarkStart w:id="445" w:name="_Toc495845985"/>
      <w:bookmarkStart w:id="446" w:name="_Toc496299592"/>
      <w:bookmarkStart w:id="447" w:name="_Toc516399750"/>
      <w:bookmarkStart w:id="448" w:name="_Toc522635526"/>
      <w:r>
        <w:rPr>
          <w:color w:val="000000" w:themeColor="text1"/>
          <w14:textFill>
            <w14:solidFill>
              <w14:schemeClr w14:val="tx1"/>
            </w14:solidFill>
          </w14:textFill>
        </w:rPr>
        <w:t xml:space="preserve">7.5 </w:t>
      </w:r>
      <w:r>
        <w:rPr>
          <w:rFonts w:hint="eastAsia"/>
          <w:color w:val="000000" w:themeColor="text1"/>
          <w14:textFill>
            <w14:solidFill>
              <w14:schemeClr w14:val="tx1"/>
            </w14:solidFill>
          </w14:textFill>
        </w:rPr>
        <w:t>工程招标</w:t>
      </w:r>
      <w:bookmarkEnd w:id="444"/>
      <w:bookmarkEnd w:id="445"/>
      <w:bookmarkEnd w:id="446"/>
      <w:bookmarkEnd w:id="447"/>
      <w:bookmarkEnd w:id="448"/>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7.5.1 </w:t>
      </w:r>
      <w:r>
        <w:rPr>
          <w:rFonts w:hint="eastAsia"/>
          <w:color w:val="000000" w:themeColor="text1"/>
          <w14:textFill>
            <w14:solidFill>
              <w14:schemeClr w14:val="tx1"/>
            </w14:solidFill>
          </w14:textFill>
        </w:rPr>
        <w:t>项目工程的建设采用施工总承包的形式进行。根据《关于在公共服务领域深入推进政府和社会资本合作工作的通知》（财金﹝</w:t>
      </w:r>
      <w:r>
        <w:rPr>
          <w:color w:val="000000" w:themeColor="text1"/>
          <w14:textFill>
            <w14:solidFill>
              <w14:schemeClr w14:val="tx1"/>
            </w14:solidFill>
          </w14:textFill>
        </w:rPr>
        <w:t>2016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90</w:t>
      </w:r>
      <w:r>
        <w:rPr>
          <w:rFonts w:hint="eastAsia"/>
          <w:color w:val="000000" w:themeColor="text1"/>
          <w14:textFill>
            <w14:solidFill>
              <w14:schemeClr w14:val="tx1"/>
            </w14:solidFill>
          </w14:textFill>
        </w:rPr>
        <w:t>号），“对于涉及工程建设、设备采购或服务外包的</w:t>
      </w:r>
      <w:r>
        <w:rPr>
          <w:color w:val="000000" w:themeColor="text1"/>
          <w14:textFill>
            <w14:solidFill>
              <w14:schemeClr w14:val="tx1"/>
            </w14:solidFill>
          </w14:textFill>
        </w:rPr>
        <w:t>PPP</w:t>
      </w:r>
      <w:r>
        <w:rPr>
          <w:rFonts w:hint="eastAsia"/>
          <w:color w:val="000000" w:themeColor="text1"/>
          <w14:textFill>
            <w14:solidFill>
              <w14:schemeClr w14:val="tx1"/>
            </w14:solidFill>
          </w14:textFill>
        </w:rPr>
        <w:t>项目，已经依据政府采购法选定社会资本合作方的，合作方依法能够自行建设、生产或者提供服务的，按照《招标投标法实施条例》第九条规定，合作方可以不再进行招标。”</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7.5.2 </w:t>
      </w:r>
      <w:r>
        <w:rPr>
          <w:rFonts w:hint="eastAsia"/>
          <w:color w:val="000000" w:themeColor="text1"/>
          <w14:textFill>
            <w14:solidFill>
              <w14:schemeClr w14:val="tx1"/>
            </w14:solidFill>
          </w14:textFill>
        </w:rPr>
        <w:t>项目工程的总承包商不得将项目工程的主体部分对外分包、转包，部分专项工程经甲方书面同意的情况下可分包。乙方须向甲方提交有关专项工程分包的详细报告并附有分包商的详细资质能力证明或拟定的分包商招标采购资格能力要求以获得甲方的批准。</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7.5.3 </w:t>
      </w:r>
      <w:r>
        <w:rPr>
          <w:rFonts w:hint="eastAsia"/>
          <w:color w:val="000000" w:themeColor="text1"/>
          <w14:textFill>
            <w14:solidFill>
              <w14:schemeClr w14:val="tx1"/>
            </w14:solidFill>
          </w14:textFill>
        </w:rPr>
        <w:t>材料和设备采购</w:t>
      </w:r>
    </w:p>
    <w:p>
      <w:pPr>
        <w:pStyle w:val="310"/>
        <w:numPr>
          <w:ilvl w:val="0"/>
          <w:numId w:val="58"/>
        </w:numPr>
        <w:spacing w:line="360" w:lineRule="auto"/>
        <w:ind w:hanging="559"/>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依据合同约定须通过招标采购的材料和设备，乙方必须在政府公共资源交易平台开展招标采购，采购需求（技术参数、规格、品牌等）及采购文件需经甲方认可；</w:t>
      </w:r>
    </w:p>
    <w:p>
      <w:pPr>
        <w:pStyle w:val="310"/>
        <w:numPr>
          <w:ilvl w:val="0"/>
          <w:numId w:val="58"/>
        </w:numPr>
        <w:spacing w:line="360" w:lineRule="auto"/>
        <w:ind w:hanging="559"/>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施工图预算涉及装饰材料存在颜色、规格等表观要求不明确的情况下，材料采购前乙方须送样并经甲方确认；</w:t>
      </w:r>
    </w:p>
    <w:p>
      <w:pPr>
        <w:pStyle w:val="310"/>
        <w:numPr>
          <w:ilvl w:val="0"/>
          <w:numId w:val="58"/>
        </w:numPr>
        <w:spacing w:line="360" w:lineRule="auto"/>
        <w:ind w:hanging="559"/>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乙方可以根据适用法律的规定，通过招标程序选择有资质或能力的机构为本项目的其他专项设备供应商。</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7.5.4  </w:t>
      </w:r>
      <w:r>
        <w:rPr>
          <w:rFonts w:hint="eastAsia"/>
          <w:color w:val="000000" w:themeColor="text1"/>
          <w14:textFill>
            <w14:solidFill>
              <w14:schemeClr w14:val="tx1"/>
            </w14:solidFill>
          </w14:textFill>
        </w:rPr>
        <w:t>乙方为实施本项目工程建设所对外签署的施工合同、材料和设备采购应自相关合同签订生效之日起十（</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）日内向甲方报备。乙方履行该项义务不免除其在该合同项下应该承担的责任和义务。甲方接受报备合同不代表其对该些合同项下的权利义务完全的知晓，也不承担其在本合同约定义务、责任外的任何责任。</w:t>
      </w:r>
    </w:p>
    <w:p/>
    <w:p>
      <w:pPr>
        <w:pStyle w:val="4"/>
        <w:rPr>
          <w:color w:val="000000" w:themeColor="text1"/>
          <w14:textFill>
            <w14:solidFill>
              <w14:schemeClr w14:val="tx1"/>
            </w14:solidFill>
          </w14:textFill>
        </w:rPr>
      </w:pPr>
      <w:bookmarkStart w:id="449" w:name="_Toc491857586"/>
      <w:bookmarkStart w:id="450" w:name="_Toc495845986"/>
      <w:bookmarkStart w:id="451" w:name="_Toc496299593"/>
      <w:bookmarkStart w:id="452" w:name="_Toc516399751"/>
      <w:bookmarkStart w:id="453" w:name="_Toc522635527"/>
      <w:r>
        <w:rPr>
          <w:color w:val="000000" w:themeColor="text1"/>
          <w14:textFill>
            <w14:solidFill>
              <w14:schemeClr w14:val="tx1"/>
            </w14:solidFill>
          </w14:textFill>
        </w:rPr>
        <w:t xml:space="preserve">7.6 </w:t>
      </w:r>
      <w:r>
        <w:rPr>
          <w:rFonts w:hint="eastAsia"/>
          <w:color w:val="000000" w:themeColor="text1"/>
          <w14:textFill>
            <w14:solidFill>
              <w14:schemeClr w14:val="tx1"/>
            </w14:solidFill>
          </w14:textFill>
        </w:rPr>
        <w:t>质量控制</w:t>
      </w:r>
      <w:bookmarkEnd w:id="449"/>
      <w:bookmarkEnd w:id="450"/>
      <w:bookmarkEnd w:id="451"/>
      <w:bookmarkEnd w:id="452"/>
      <w:bookmarkEnd w:id="453"/>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7.6.1 </w:t>
      </w:r>
      <w:r>
        <w:rPr>
          <w:rFonts w:hint="eastAsia"/>
          <w:color w:val="000000" w:themeColor="text1"/>
          <w14:textFill>
            <w14:solidFill>
              <w14:schemeClr w14:val="tx1"/>
            </w14:solidFill>
          </w14:textFill>
        </w:rPr>
        <w:t>质量保证和质量控制</w:t>
      </w:r>
    </w:p>
    <w:p>
      <w:pPr>
        <w:pStyle w:val="310"/>
        <w:spacing w:line="360" w:lineRule="auto"/>
        <w:ind w:left="517" w:leftChars="246" w:hanging="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在开工日之前，乙方及其承包商应制定工程建设质量保证措施和质量控制计划，并将其报甲方备案。乙方应在整个建设期执行质量保证措施和质量控制计划。</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7.6.2 </w:t>
      </w:r>
      <w:r>
        <w:rPr>
          <w:rFonts w:hint="eastAsia"/>
          <w:color w:val="000000" w:themeColor="text1"/>
          <w14:textFill>
            <w14:solidFill>
              <w14:schemeClr w14:val="tx1"/>
            </w14:solidFill>
          </w14:textFill>
        </w:rPr>
        <w:t>甲方对质量控制的监督和检查</w:t>
      </w:r>
      <w:r>
        <w:rPr>
          <w:color w:val="000000" w:themeColor="text1"/>
          <w14:textFill>
            <w14:solidFill>
              <w14:schemeClr w14:val="tx1"/>
            </w14:solidFill>
          </w14:textFill>
        </w:rPr>
        <w:t xml:space="preserve"> </w:t>
      </w:r>
    </w:p>
    <w:p>
      <w:pPr>
        <w:pStyle w:val="310"/>
        <w:numPr>
          <w:ilvl w:val="0"/>
          <w:numId w:val="59"/>
        </w:numPr>
        <w:spacing w:line="360" w:lineRule="auto"/>
        <w:ind w:left="1036" w:hanging="56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甲方或其指定机构有权对项目工程的建设情况进行监督和检查；</w:t>
      </w:r>
    </w:p>
    <w:p>
      <w:pPr>
        <w:pStyle w:val="310"/>
        <w:numPr>
          <w:ilvl w:val="0"/>
          <w:numId w:val="59"/>
        </w:numPr>
        <w:spacing w:line="360" w:lineRule="auto"/>
        <w:ind w:left="1036" w:hanging="56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乙方应当提供或责成总承包商</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施工单位提供甲方或其指定机构进入工程建设场地的便利条件，并对甲方或其指定机构与实施本合同项下监督和检查有关的合理要求予以必要协助；</w:t>
      </w:r>
    </w:p>
    <w:p>
      <w:pPr>
        <w:pStyle w:val="310"/>
        <w:numPr>
          <w:ilvl w:val="0"/>
          <w:numId w:val="59"/>
        </w:numPr>
        <w:spacing w:line="360" w:lineRule="auto"/>
        <w:ind w:left="1036" w:hanging="56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甲方或其指定机构对工程建设的监督和检查不影响也不能替代其他政府部门依法对工程建设的监督和检查；</w:t>
      </w:r>
    </w:p>
    <w:p>
      <w:pPr>
        <w:pStyle w:val="310"/>
        <w:numPr>
          <w:ilvl w:val="0"/>
          <w:numId w:val="59"/>
        </w:numPr>
        <w:spacing w:line="360" w:lineRule="auto"/>
        <w:ind w:left="1036" w:hanging="56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甲方或其指定机构应当自行承担进入工程建设场地进行监督和检查的全部费用。</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7.6.3 </w:t>
      </w:r>
      <w:r>
        <w:rPr>
          <w:rFonts w:hint="eastAsia"/>
          <w:color w:val="000000" w:themeColor="text1"/>
          <w14:textFill>
            <w14:solidFill>
              <w14:schemeClr w14:val="tx1"/>
            </w14:solidFill>
          </w14:textFill>
        </w:rPr>
        <w:t>有关检查的资料</w:t>
      </w:r>
    </w:p>
    <w:p>
      <w:pPr>
        <w:pStyle w:val="310"/>
        <w:numPr>
          <w:ilvl w:val="0"/>
          <w:numId w:val="60"/>
        </w:numPr>
        <w:spacing w:line="360" w:lineRule="auto"/>
        <w:ind w:left="1036" w:hanging="559"/>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乙方应当提供或责成建设承包商（总承包商）提供甲方或其指定机构进行检查所需的、与特定的检查目的相关的所有方案、设计、文件和资料的复印件；</w:t>
      </w:r>
    </w:p>
    <w:p>
      <w:pPr>
        <w:pStyle w:val="310"/>
        <w:numPr>
          <w:ilvl w:val="0"/>
          <w:numId w:val="60"/>
        </w:numPr>
        <w:spacing w:line="360" w:lineRule="auto"/>
        <w:ind w:left="1036" w:hanging="559"/>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对保密或专有资料的任何检查应遵照</w:t>
      </w:r>
      <w:r>
        <w:fldChar w:fldCharType="begin"/>
      </w:r>
      <w:r>
        <w:instrText xml:space="preserve"> HYPERLINK \l "_19.2.1_各方对本合同及相关文件均负有保密责任，但甲方为充分满足公" </w:instrText>
      </w:r>
      <w:r>
        <w:fldChar w:fldCharType="separate"/>
      </w:r>
      <w:r>
        <w:rPr>
          <w:rStyle w:val="54"/>
          <w:rFonts w:hint="eastAsia" w:ascii="Times New Roman"/>
          <w:color w:val="000000" w:themeColor="text1"/>
          <w:sz w:val="21"/>
          <w:szCs w:val="21"/>
          <w14:textFill>
            <w14:solidFill>
              <w14:schemeClr w14:val="tx1"/>
            </w14:solidFill>
          </w14:textFill>
        </w:rPr>
        <w:t>第</w:t>
      </w:r>
      <w:r>
        <w:rPr>
          <w:rStyle w:val="54"/>
          <w:rFonts w:ascii="Times New Roman"/>
          <w:color w:val="000000" w:themeColor="text1"/>
          <w:sz w:val="21"/>
          <w:szCs w:val="21"/>
          <w14:textFill>
            <w14:solidFill>
              <w14:schemeClr w14:val="tx1"/>
            </w14:solidFill>
          </w14:textFill>
        </w:rPr>
        <w:t>19.2.1</w:t>
      </w:r>
      <w:r>
        <w:rPr>
          <w:rStyle w:val="54"/>
          <w:rFonts w:hint="eastAsia" w:ascii="Times New Roman"/>
          <w:color w:val="000000" w:themeColor="text1"/>
          <w:sz w:val="21"/>
          <w:szCs w:val="21"/>
          <w14:textFill>
            <w14:solidFill>
              <w14:schemeClr w14:val="tx1"/>
            </w14:solidFill>
          </w14:textFill>
        </w:rPr>
        <w:t>条</w:t>
      </w:r>
      <w:r>
        <w:rPr>
          <w:rStyle w:val="54"/>
          <w:rFonts w:hint="eastAsia" w:ascii="Times New Roman"/>
          <w:color w:val="000000" w:themeColor="text1"/>
          <w:sz w:val="21"/>
          <w:szCs w:val="21"/>
          <w14:textFill>
            <w14:solidFill>
              <w14:schemeClr w14:val="tx1"/>
            </w14:solidFill>
          </w14:textFill>
        </w:rPr>
        <w:fldChar w:fldCharType="end"/>
      </w:r>
      <w:r>
        <w:rPr>
          <w:rFonts w:hint="eastAsia" w:ascii="Times New Roman" w:eastAsia="宋体" w:cs="Times New Roman"/>
          <w:color w:val="000000" w:themeColor="text1"/>
          <w:sz w:val="21"/>
          <w:szCs w:val="21"/>
          <w14:textFill>
            <w14:solidFill>
              <w14:schemeClr w14:val="tx1"/>
            </w14:solidFill>
          </w14:textFill>
        </w:rPr>
        <w:t>款的保密规定。</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7.6.4 </w:t>
      </w:r>
      <w:r>
        <w:rPr>
          <w:rFonts w:hint="eastAsia"/>
          <w:color w:val="000000" w:themeColor="text1"/>
          <w14:textFill>
            <w14:solidFill>
              <w14:schemeClr w14:val="tx1"/>
            </w14:solidFill>
          </w14:textFill>
        </w:rPr>
        <w:t>不符合质量和</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或安全要求</w:t>
      </w:r>
    </w:p>
    <w:p>
      <w:pPr>
        <w:pStyle w:val="310"/>
        <w:numPr>
          <w:ilvl w:val="0"/>
          <w:numId w:val="61"/>
        </w:numPr>
        <w:spacing w:line="360" w:lineRule="auto"/>
        <w:ind w:left="1092" w:hanging="56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如果项目工程或其任何部分严重不符合有关的质量和</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或安全要求，甲方可以就此书面通知乙方，要求其在合理时间纠正缺陷；乙方应遵照执行，尽快采取补救措施，并对由此引起的任何费用的增加和延误负责；</w:t>
      </w:r>
    </w:p>
    <w:p>
      <w:pPr>
        <w:pStyle w:val="310"/>
        <w:numPr>
          <w:ilvl w:val="0"/>
          <w:numId w:val="61"/>
        </w:numPr>
        <w:spacing w:line="360" w:lineRule="auto"/>
        <w:ind w:left="1092" w:hanging="56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如果乙方在收到甲方上述通知后十（</w:t>
      </w:r>
      <w:r>
        <w:rPr>
          <w:rFonts w:ascii="Times New Roman" w:eastAsia="宋体" w:cs="Times New Roman"/>
          <w:color w:val="000000" w:themeColor="text1"/>
          <w:sz w:val="21"/>
          <w:szCs w:val="21"/>
          <w14:textFill>
            <w14:solidFill>
              <w14:schemeClr w14:val="tx1"/>
            </w14:solidFill>
          </w14:textFill>
        </w:rPr>
        <w:t>10</w:t>
      </w:r>
      <w:r>
        <w:rPr>
          <w:rFonts w:hint="eastAsia" w:ascii="Times New Roman" w:eastAsia="宋体" w:cs="Times New Roman"/>
          <w:color w:val="000000" w:themeColor="text1"/>
          <w:sz w:val="21"/>
          <w:szCs w:val="21"/>
          <w14:textFill>
            <w14:solidFill>
              <w14:schemeClr w14:val="tx1"/>
            </w14:solidFill>
          </w14:textFill>
        </w:rPr>
        <w:t>）日内不能或拒绝纠正缺陷，甲方有权自行或聘请第三方纠正上述缺陷。在这种情况下，乙方应为此向甲方支付合理且必要的修理费用。如乙方拒绝甲方或其委托的第三方进入项目场地进行纠正工作，或者未能按照甲方的要求支付相应的修理费用，甲方有权兑取建设期履约保函相应款项，并有权单方解除合同，由乙方承担违约责任。</w:t>
      </w:r>
    </w:p>
    <w:p>
      <w:pPr>
        <w:pStyle w:val="4"/>
        <w:rPr>
          <w:color w:val="000000" w:themeColor="text1"/>
          <w14:textFill>
            <w14:solidFill>
              <w14:schemeClr w14:val="tx1"/>
            </w14:solidFill>
          </w14:textFill>
        </w:rPr>
      </w:pPr>
      <w:bookmarkStart w:id="454" w:name="_Toc491857587"/>
      <w:bookmarkStart w:id="455" w:name="_Toc495845987"/>
      <w:bookmarkStart w:id="456" w:name="_Toc496299594"/>
      <w:bookmarkStart w:id="457" w:name="_Toc516399752"/>
      <w:bookmarkStart w:id="458" w:name="_Toc522635528"/>
      <w:r>
        <w:rPr>
          <w:color w:val="000000" w:themeColor="text1"/>
          <w14:textFill>
            <w14:solidFill>
              <w14:schemeClr w14:val="tx1"/>
            </w14:solidFill>
          </w14:textFill>
        </w:rPr>
        <w:t xml:space="preserve">7.7 </w:t>
      </w:r>
      <w:r>
        <w:rPr>
          <w:rFonts w:hint="eastAsia"/>
          <w:color w:val="000000" w:themeColor="text1"/>
          <w14:textFill>
            <w14:solidFill>
              <w14:schemeClr w14:val="tx1"/>
            </w14:solidFill>
          </w14:textFill>
        </w:rPr>
        <w:t>现场数据</w:t>
      </w:r>
      <w:bookmarkEnd w:id="454"/>
      <w:bookmarkEnd w:id="455"/>
      <w:bookmarkEnd w:id="456"/>
      <w:bookmarkEnd w:id="457"/>
      <w:bookmarkEnd w:id="458"/>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7.7.1 </w:t>
      </w:r>
      <w:r>
        <w:rPr>
          <w:rFonts w:hint="eastAsia"/>
          <w:color w:val="000000" w:themeColor="text1"/>
          <w14:textFill>
            <w14:solidFill>
              <w14:schemeClr w14:val="tx1"/>
            </w14:solidFill>
          </w14:textFill>
        </w:rPr>
        <w:t>甲方提供数据</w:t>
      </w:r>
    </w:p>
    <w:p>
      <w:pPr>
        <w:pStyle w:val="310"/>
        <w:numPr>
          <w:ilvl w:val="0"/>
          <w:numId w:val="62"/>
        </w:numPr>
        <w:spacing w:line="360" w:lineRule="auto"/>
        <w:ind w:left="1036"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甲方应将其已取得的现场地质和水文条件及环境方面的所有有关资料，提交给乙方。此外，甲方在生效日后得到的所有此类资料，也应及时提交给乙方；</w:t>
      </w:r>
    </w:p>
    <w:p>
      <w:pPr>
        <w:pStyle w:val="310"/>
        <w:numPr>
          <w:ilvl w:val="0"/>
          <w:numId w:val="62"/>
        </w:numPr>
        <w:spacing w:line="360" w:lineRule="auto"/>
        <w:ind w:left="1036" w:hanging="53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乙方应负责核实所有此类资料，乙方在收到该文件资料二十八（</w:t>
      </w:r>
      <w:r>
        <w:rPr>
          <w:rFonts w:ascii="Times New Roman" w:eastAsia="宋体" w:cs="Times New Roman"/>
          <w:color w:val="000000" w:themeColor="text1"/>
          <w:sz w:val="21"/>
          <w:szCs w:val="21"/>
          <w14:textFill>
            <w14:solidFill>
              <w14:schemeClr w14:val="tx1"/>
            </w14:solidFill>
          </w14:textFill>
        </w:rPr>
        <w:t>28</w:t>
      </w:r>
      <w:r>
        <w:rPr>
          <w:rFonts w:hint="eastAsia" w:ascii="Times New Roman" w:eastAsia="宋体" w:cs="Times New Roman"/>
          <w:color w:val="000000" w:themeColor="text1"/>
          <w:sz w:val="21"/>
          <w:szCs w:val="21"/>
          <w14:textFill>
            <w14:solidFill>
              <w14:schemeClr w14:val="tx1"/>
            </w14:solidFill>
          </w14:textFill>
        </w:rPr>
        <w:t>）日内，针对该文件资料的完整性进行核实。</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7.7.2 </w:t>
      </w:r>
      <w:r>
        <w:rPr>
          <w:rFonts w:hint="eastAsia"/>
          <w:color w:val="000000" w:themeColor="text1"/>
          <w14:textFill>
            <w14:solidFill>
              <w14:schemeClr w14:val="tx1"/>
            </w14:solidFill>
          </w14:textFill>
        </w:rPr>
        <w:t>不可预见的地表以下条件</w:t>
      </w:r>
    </w:p>
    <w:p>
      <w:pPr>
        <w:pStyle w:val="310"/>
        <w:spacing w:line="360" w:lineRule="auto"/>
        <w:ind w:left="504" w:leftChars="240" w:firstLine="12" w:firstLineChars="6"/>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除依照第</w:t>
      </w:r>
      <w:r>
        <w:rPr>
          <w:rFonts w:ascii="Times New Roman" w:eastAsia="宋体" w:cs="Times New Roman"/>
          <w:color w:val="000000" w:themeColor="text1"/>
          <w:sz w:val="21"/>
          <w:szCs w:val="21"/>
          <w14:textFill>
            <w14:solidFill>
              <w14:schemeClr w14:val="tx1"/>
            </w14:solidFill>
          </w14:textFill>
        </w:rPr>
        <w:t>7.7.1</w:t>
      </w:r>
      <w:r>
        <w:rPr>
          <w:rFonts w:hint="eastAsia" w:ascii="Times New Roman" w:eastAsia="宋体" w:cs="Times New Roman"/>
          <w:color w:val="000000" w:themeColor="text1"/>
          <w:sz w:val="21"/>
          <w:szCs w:val="21"/>
          <w14:textFill>
            <w14:solidFill>
              <w14:schemeClr w14:val="tx1"/>
            </w14:solidFill>
          </w14:textFill>
        </w:rPr>
        <w:t>条款规定外，乙方应认真分析地勘报告，制定可行的施工方案。</w:t>
      </w:r>
    </w:p>
    <w:p>
      <w:pPr>
        <w:pStyle w:val="4"/>
        <w:rPr>
          <w:color w:val="000000" w:themeColor="text1"/>
          <w14:textFill>
            <w14:solidFill>
              <w14:schemeClr w14:val="tx1"/>
            </w14:solidFill>
          </w14:textFill>
        </w:rPr>
      </w:pPr>
      <w:bookmarkStart w:id="459" w:name="_Toc491857588"/>
      <w:bookmarkStart w:id="460" w:name="_Toc495845988"/>
      <w:bookmarkStart w:id="461" w:name="_Toc496299595"/>
      <w:bookmarkStart w:id="462" w:name="_Toc516399753"/>
      <w:bookmarkStart w:id="463" w:name="_Toc522635529"/>
      <w:r>
        <w:rPr>
          <w:color w:val="000000" w:themeColor="text1"/>
          <w14:textFill>
            <w14:solidFill>
              <w14:schemeClr w14:val="tx1"/>
            </w14:solidFill>
          </w14:textFill>
        </w:rPr>
        <w:t xml:space="preserve">7.8 </w:t>
      </w:r>
      <w:r>
        <w:rPr>
          <w:rFonts w:hint="eastAsia"/>
          <w:color w:val="000000" w:themeColor="text1"/>
          <w14:textFill>
            <w14:solidFill>
              <w14:schemeClr w14:val="tx1"/>
            </w14:solidFill>
          </w14:textFill>
        </w:rPr>
        <w:t>进场路线</w:t>
      </w:r>
      <w:bookmarkEnd w:id="459"/>
      <w:bookmarkEnd w:id="460"/>
      <w:bookmarkEnd w:id="461"/>
      <w:bookmarkEnd w:id="462"/>
      <w:bookmarkEnd w:id="463"/>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7.8.1 </w:t>
      </w:r>
      <w:r>
        <w:rPr>
          <w:rFonts w:hint="eastAsia"/>
          <w:color w:val="000000" w:themeColor="text1"/>
          <w14:textFill>
            <w14:solidFill>
              <w14:schemeClr w14:val="tx1"/>
            </w14:solidFill>
          </w14:textFill>
        </w:rPr>
        <w:t>进场路线</w:t>
      </w:r>
    </w:p>
    <w:p>
      <w:pPr>
        <w:pStyle w:val="310"/>
        <w:numPr>
          <w:ilvl w:val="0"/>
          <w:numId w:val="63"/>
        </w:numPr>
        <w:spacing w:line="360" w:lineRule="auto"/>
        <w:ind w:left="1036" w:hanging="546"/>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及其承包商应被认为已知悉其选用的进场路线的适宜性与可用性，乙方及其承包商应负责进场路线的维护。乙方及其承包商应提供其认为对引导其职员、劳工及其他人员进场所必需的任何标志或方向指示。乙方及其承包商应为使用此类进场路线、标志和方向指示取得有关政府部门的批准；</w:t>
      </w:r>
    </w:p>
    <w:p>
      <w:pPr>
        <w:pStyle w:val="310"/>
        <w:numPr>
          <w:ilvl w:val="0"/>
          <w:numId w:val="63"/>
        </w:numPr>
        <w:spacing w:line="360" w:lineRule="auto"/>
        <w:ind w:left="1036" w:hanging="546"/>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甲方应协助乙方及其承包商取得政府部门的此类批准；</w:t>
      </w:r>
    </w:p>
    <w:p>
      <w:pPr>
        <w:pStyle w:val="310"/>
        <w:numPr>
          <w:ilvl w:val="0"/>
          <w:numId w:val="63"/>
        </w:numPr>
        <w:spacing w:line="360" w:lineRule="auto"/>
        <w:ind w:left="1036" w:hanging="546"/>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在修筑此类路线期间不宜或不能持续使用进场路线时，甲方应协助解决；</w:t>
      </w:r>
    </w:p>
    <w:p>
      <w:pPr>
        <w:pStyle w:val="310"/>
        <w:numPr>
          <w:ilvl w:val="0"/>
          <w:numId w:val="63"/>
        </w:numPr>
        <w:spacing w:line="360" w:lineRule="auto"/>
        <w:ind w:left="1036" w:hanging="546"/>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甲方不对由于任何进场路线的采用或其他原因引起的索赔承担责任，但本协议另有约定的除外；</w:t>
      </w:r>
    </w:p>
    <w:p>
      <w:pPr>
        <w:pStyle w:val="310"/>
        <w:numPr>
          <w:ilvl w:val="0"/>
          <w:numId w:val="63"/>
        </w:numPr>
        <w:spacing w:line="360" w:lineRule="auto"/>
        <w:ind w:left="1036" w:hanging="546"/>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甲方不对在修筑此类路线期间不宜或不能持续使用进场路线而引起的任何索赔承担责任，但本协议另有约定的除外。</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7.8.2 </w:t>
      </w:r>
      <w:r>
        <w:rPr>
          <w:rFonts w:hint="eastAsia"/>
          <w:color w:val="000000" w:themeColor="text1"/>
          <w14:textFill>
            <w14:solidFill>
              <w14:schemeClr w14:val="tx1"/>
            </w14:solidFill>
          </w14:textFill>
        </w:rPr>
        <w:t>道路通行权与设施</w:t>
      </w:r>
    </w:p>
    <w:p>
      <w:pPr>
        <w:pStyle w:val="310"/>
        <w:spacing w:line="360" w:lineRule="auto"/>
        <w:ind w:left="503" w:leftChars="239" w:hanging="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甲方负责协调乙方的道路通行问题，如政府方介入也无法解决道路通行问题，导致工程无法开工或无法继续施工的，不视为乙方违约。如建设期届满时仍无法开工或无法继续施工的，按本合同第</w:t>
      </w:r>
      <w:r>
        <w:rPr>
          <w:rFonts w:ascii="Times New Roman" w:eastAsia="宋体" w:cs="Times New Roman"/>
          <w:color w:val="000000" w:themeColor="text1"/>
          <w:sz w:val="21"/>
          <w:szCs w:val="21"/>
          <w14:textFill>
            <w14:solidFill>
              <w14:schemeClr w14:val="tx1"/>
            </w14:solidFill>
          </w14:textFill>
        </w:rPr>
        <w:t>2.1.4</w:t>
      </w:r>
      <w:r>
        <w:rPr>
          <w:rFonts w:hint="eastAsia" w:ascii="Times New Roman" w:eastAsia="宋体" w:cs="Times New Roman"/>
          <w:color w:val="000000" w:themeColor="text1"/>
          <w:sz w:val="21"/>
          <w:szCs w:val="21"/>
          <w14:textFill>
            <w14:solidFill>
              <w14:schemeClr w14:val="tx1"/>
            </w14:solidFill>
          </w14:textFill>
        </w:rPr>
        <w:t>条执行。</w:t>
      </w:r>
    </w:p>
    <w:p>
      <w:pPr>
        <w:pStyle w:val="4"/>
        <w:rPr>
          <w:color w:val="000000" w:themeColor="text1"/>
          <w14:textFill>
            <w14:solidFill>
              <w14:schemeClr w14:val="tx1"/>
            </w14:solidFill>
          </w14:textFill>
        </w:rPr>
      </w:pPr>
      <w:bookmarkStart w:id="464" w:name="_Toc491857589"/>
      <w:bookmarkStart w:id="465" w:name="_Toc495845989"/>
      <w:bookmarkStart w:id="466" w:name="_Toc496299596"/>
      <w:bookmarkStart w:id="467" w:name="_Toc516399754"/>
      <w:bookmarkStart w:id="468" w:name="_Toc522635530"/>
      <w:r>
        <w:rPr>
          <w:color w:val="000000" w:themeColor="text1"/>
          <w14:textFill>
            <w14:solidFill>
              <w14:schemeClr w14:val="tx1"/>
            </w14:solidFill>
          </w14:textFill>
        </w:rPr>
        <w:t xml:space="preserve">7.9 </w:t>
      </w:r>
      <w:r>
        <w:rPr>
          <w:rFonts w:hint="eastAsia"/>
          <w:color w:val="000000" w:themeColor="text1"/>
          <w14:textFill>
            <w14:solidFill>
              <w14:schemeClr w14:val="tx1"/>
            </w14:solidFill>
          </w14:textFill>
        </w:rPr>
        <w:t>文明施工和环境保护</w:t>
      </w:r>
      <w:bookmarkEnd w:id="464"/>
      <w:bookmarkEnd w:id="465"/>
      <w:bookmarkEnd w:id="466"/>
      <w:bookmarkEnd w:id="467"/>
      <w:bookmarkEnd w:id="468"/>
      <w:r>
        <w:rPr>
          <w:color w:val="000000" w:themeColor="text1"/>
          <w14:textFill>
            <w14:solidFill>
              <w14:schemeClr w14:val="tx1"/>
            </w14:solidFill>
          </w14:textFill>
        </w:rPr>
        <w:t xml:space="preserve"> </w:t>
      </w:r>
    </w:p>
    <w:p>
      <w:pPr>
        <w:pStyle w:val="5"/>
        <w:rPr>
          <w:color w:val="000000" w:themeColor="text1"/>
          <w:szCs w:val="21"/>
          <w14:textFill>
            <w14:solidFill>
              <w14:schemeClr w14:val="tx1"/>
            </w14:solidFill>
          </w14:textFill>
        </w:rPr>
      </w:pPr>
      <w:r>
        <w:rPr>
          <w:rStyle w:val="62"/>
          <w:color w:val="000000" w:themeColor="text1"/>
          <w14:textFill>
            <w14:solidFill>
              <w14:schemeClr w14:val="tx1"/>
            </w14:solidFill>
          </w14:textFill>
        </w:rPr>
        <w:t xml:space="preserve">7.9.1 </w:t>
      </w:r>
      <w:r>
        <w:rPr>
          <w:rStyle w:val="62"/>
          <w:rFonts w:hint="eastAsia"/>
          <w:color w:val="000000" w:themeColor="text1"/>
          <w14:textFill>
            <w14:solidFill>
              <w14:schemeClr w14:val="tx1"/>
            </w14:solidFill>
          </w14:textFill>
        </w:rPr>
        <w:t>乙方及其承包商应遵守现场作业过程中所涉及的所有适用法律并按照地方规定</w:t>
      </w:r>
      <w:r>
        <w:rPr>
          <w:rStyle w:val="62"/>
          <w:rFonts w:hint="eastAsia"/>
          <w:color w:val="000000" w:themeColor="text1"/>
          <w:lang w:val="en-US"/>
          <w14:textFill>
            <w14:solidFill>
              <w14:schemeClr w14:val="tx1"/>
            </w14:solidFill>
          </w14:textFill>
        </w:rPr>
        <w:t>实施</w:t>
      </w:r>
      <w:r>
        <w:rPr>
          <w:rStyle w:val="62"/>
          <w:rFonts w:hint="eastAsia"/>
          <w:color w:val="000000" w:themeColor="text1"/>
          <w14:textFill>
            <w14:solidFill>
              <w14:schemeClr w14:val="tx1"/>
            </w14:solidFill>
          </w14:textFill>
        </w:rPr>
        <w:t>。从开工日起至完工日止，</w:t>
      </w:r>
      <w:r>
        <w:rPr>
          <w:rFonts w:hint="eastAsia"/>
          <w:color w:val="000000" w:themeColor="text1"/>
          <w:szCs w:val="21"/>
          <w14:textFill>
            <w14:solidFill>
              <w14:schemeClr w14:val="tx1"/>
            </w14:solidFill>
          </w14:textFill>
        </w:rPr>
        <w:t>乙方及其承包商应提供：</w:t>
      </w:r>
    </w:p>
    <w:p>
      <w:pPr>
        <w:pStyle w:val="310"/>
        <w:numPr>
          <w:ilvl w:val="0"/>
          <w:numId w:val="64"/>
        </w:numPr>
        <w:spacing w:line="360" w:lineRule="auto"/>
        <w:ind w:left="993"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工程的围栏、照明、防护及看守；</w:t>
      </w:r>
    </w:p>
    <w:p>
      <w:pPr>
        <w:pStyle w:val="310"/>
        <w:numPr>
          <w:ilvl w:val="0"/>
          <w:numId w:val="64"/>
        </w:numPr>
        <w:spacing w:line="360" w:lineRule="auto"/>
        <w:ind w:left="993"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为邻近地区的所有者和占有者、公众和其他人员，提供便利和保护所必须的临时道路、人行道、防护及围栏。</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7.9.2 </w:t>
      </w:r>
      <w:r>
        <w:rPr>
          <w:rFonts w:hint="eastAsia"/>
          <w:color w:val="000000" w:themeColor="text1"/>
          <w14:textFill>
            <w14:solidFill>
              <w14:schemeClr w14:val="tx1"/>
            </w14:solidFill>
          </w14:textFill>
        </w:rPr>
        <w:t>乙方及其承包商应负责项目工程现场内的治安工作，负责阻止与项目工程无关的人员进入现场。</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7.9.3 </w:t>
      </w:r>
      <w:r>
        <w:rPr>
          <w:rFonts w:hint="eastAsia"/>
          <w:color w:val="000000" w:themeColor="text1"/>
          <w14:textFill>
            <w14:solidFill>
              <w14:schemeClr w14:val="tx1"/>
            </w14:solidFill>
          </w14:textFill>
        </w:rPr>
        <w:t>乙方及其承包商应将其作业限制在工程用地范围内，应采取一切必要的预防措施以保证施工人员与设备处在现场和此类附加区域之内。</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7.9.4 </w:t>
      </w:r>
      <w:r>
        <w:rPr>
          <w:rFonts w:hint="eastAsia"/>
          <w:color w:val="000000" w:themeColor="text1"/>
          <w14:textFill>
            <w14:solidFill>
              <w14:schemeClr w14:val="tx1"/>
            </w14:solidFill>
          </w14:textFill>
        </w:rPr>
        <w:t>在建设期内，乙方及其承包商应使现场避免出现一切不必要的障碍物，存放并妥善处置乙方的任何设备、材料等。乙方及其承包商应及时从现场清除、运走任何残物、垃圾或不再需要的临时工程。</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7.9.5 </w:t>
      </w:r>
      <w:r>
        <w:rPr>
          <w:rFonts w:hint="eastAsia"/>
          <w:color w:val="000000" w:themeColor="text1"/>
          <w14:textFill>
            <w14:solidFill>
              <w14:schemeClr w14:val="tx1"/>
            </w14:solidFill>
          </w14:textFill>
        </w:rPr>
        <w:t>在签发完工证书前，乙方及其承包商应立即从现场与工程中清除并运走乙方及其承包商的所有设备、剩余材料、残物、垃圾和临时工程。乙方及其承包商应保证现场与工程处于甲方满意的清洁和安全状态。</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7.9.6 </w:t>
      </w:r>
      <w:r>
        <w:rPr>
          <w:rFonts w:hint="eastAsia"/>
          <w:color w:val="000000" w:themeColor="text1"/>
          <w14:textFill>
            <w14:solidFill>
              <w14:schemeClr w14:val="tx1"/>
            </w14:solidFill>
          </w14:textFill>
        </w:rPr>
        <w:t>乙方及其承包商应采取一切合理步骤，保护现场内外的环境，并避免由其施工作业引起的污染、噪音以及其他后果对公众和财产造成的损害和妨碍。乙方及其承包商应保证在施工期间，现场的气体散发、地面排水及排污不能超过适用法律规定的标准，现场清洁符合环境卫生管理的有关规定。</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7.9.7 </w:t>
      </w:r>
      <w:r>
        <w:rPr>
          <w:rFonts w:hint="eastAsia"/>
          <w:color w:val="000000" w:themeColor="text1"/>
          <w14:textFill>
            <w14:solidFill>
              <w14:schemeClr w14:val="tx1"/>
            </w14:solidFill>
          </w14:textFill>
        </w:rPr>
        <w:t>甲方或其指定机构将对乙方及其承包商施工过程中的安全生产管理和文明施工进行不定期检查，若发现乙方及其承包商不符合要求，乙方及其承包商应及时进行整改。</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7.9.8 </w:t>
      </w:r>
      <w:r>
        <w:rPr>
          <w:rFonts w:hint="eastAsia"/>
          <w:color w:val="000000" w:themeColor="text1"/>
          <w14:textFill>
            <w14:solidFill>
              <w14:schemeClr w14:val="tx1"/>
            </w14:solidFill>
          </w14:textFill>
        </w:rPr>
        <w:t>乙方及其承包商应采取必要措施保障社会车辆和人员经过施工现场的交通疏解。</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7.9.9 </w:t>
      </w:r>
      <w:r>
        <w:rPr>
          <w:rFonts w:hint="eastAsia"/>
          <w:color w:val="000000" w:themeColor="text1"/>
          <w14:textFill>
            <w14:solidFill>
              <w14:schemeClr w14:val="tx1"/>
            </w14:solidFill>
          </w14:textFill>
        </w:rPr>
        <w:t>在建设期内，在工程现场发现所有化石、硬币、有价值的物品或文物、建筑结构以及具有地质或考古价值的其他遗迹或物品，乙方及其承包商应采取合理的预防措施，防止其职员、劳工或其他人员移动或损坏任何此类物品，并及时通知甲方及其他相关单位，由此发生的费用由甲方按照第</w:t>
      </w:r>
      <w:r>
        <w:rPr>
          <w:color w:val="000000" w:themeColor="text1"/>
          <w14:textFill>
            <w14:solidFill>
              <w14:schemeClr w14:val="tx1"/>
            </w14:solidFill>
          </w14:textFill>
        </w:rPr>
        <w:t>16.1</w:t>
      </w:r>
      <w:r>
        <w:rPr>
          <w:rFonts w:hint="eastAsia"/>
          <w:color w:val="000000" w:themeColor="text1"/>
          <w14:textFill>
            <w14:solidFill>
              <w14:schemeClr w14:val="tx1"/>
            </w14:solidFill>
          </w14:textFill>
        </w:rPr>
        <w:t>条款规定进行补偿。</w:t>
      </w:r>
    </w:p>
    <w:p>
      <w:pPr>
        <w:pStyle w:val="4"/>
        <w:rPr>
          <w:color w:val="000000" w:themeColor="text1"/>
          <w14:textFill>
            <w14:solidFill>
              <w14:schemeClr w14:val="tx1"/>
            </w14:solidFill>
          </w14:textFill>
        </w:rPr>
      </w:pPr>
      <w:bookmarkStart w:id="469" w:name="_Toc491857590"/>
      <w:bookmarkStart w:id="470" w:name="_Toc495845990"/>
      <w:bookmarkStart w:id="471" w:name="_Toc496299597"/>
      <w:bookmarkStart w:id="472" w:name="_Toc516399755"/>
      <w:bookmarkStart w:id="473" w:name="_Toc522635531"/>
      <w:r>
        <w:rPr>
          <w:color w:val="000000" w:themeColor="text1"/>
          <w14:textFill>
            <w14:solidFill>
              <w14:schemeClr w14:val="tx1"/>
            </w14:solidFill>
          </w14:textFill>
        </w:rPr>
        <w:t xml:space="preserve">7.10 </w:t>
      </w:r>
      <w:r>
        <w:rPr>
          <w:rFonts w:hint="eastAsia"/>
          <w:color w:val="000000" w:themeColor="text1"/>
          <w14:textFill>
            <w14:solidFill>
              <w14:schemeClr w14:val="tx1"/>
            </w14:solidFill>
          </w14:textFill>
        </w:rPr>
        <w:t>资金管理</w:t>
      </w:r>
      <w:bookmarkEnd w:id="469"/>
      <w:bookmarkEnd w:id="470"/>
      <w:bookmarkEnd w:id="471"/>
      <w:bookmarkEnd w:id="472"/>
      <w:bookmarkEnd w:id="473"/>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7.10.1 </w:t>
      </w:r>
      <w:r>
        <w:rPr>
          <w:rFonts w:hint="eastAsia"/>
          <w:color w:val="000000" w:themeColor="text1"/>
          <w14:textFill>
            <w14:solidFill>
              <w14:schemeClr w14:val="tx1"/>
            </w14:solidFill>
          </w14:textFill>
        </w:rPr>
        <w:t>乙方独立进行建设期和运营期的资金使用和财务核算，乙方为工程建设所投入的建设资金财务账目应依法进行账目管理要求。</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7.10.2 </w:t>
      </w:r>
      <w:r>
        <w:rPr>
          <w:rFonts w:hint="eastAsia"/>
          <w:color w:val="000000" w:themeColor="text1"/>
          <w14:textFill>
            <w14:solidFill>
              <w14:schemeClr w14:val="tx1"/>
            </w14:solidFill>
          </w14:textFill>
        </w:rPr>
        <w:t>乙方的注册资本和融资所得资金专门用于本项目的投资、建设及维护等。</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7.10.3 </w:t>
      </w:r>
      <w:r>
        <w:rPr>
          <w:rFonts w:hint="eastAsia"/>
          <w:color w:val="000000" w:themeColor="text1"/>
          <w14:textFill>
            <w14:solidFill>
              <w14:schemeClr w14:val="tx1"/>
            </w14:solidFill>
          </w14:textFill>
        </w:rPr>
        <w:t>生效日后七（</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）日内，乙方应在杭州大江东产业集聚区的银行设立工程建设资金专户，甲方有权查看账户资金金额及使用情况，乙方应给予配合。</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7.10.4 </w:t>
      </w:r>
      <w:r>
        <w:rPr>
          <w:rFonts w:hint="eastAsia"/>
          <w:color w:val="000000" w:themeColor="text1"/>
          <w14:textFill>
            <w14:solidFill>
              <w14:schemeClr w14:val="tx1"/>
            </w14:solidFill>
          </w14:textFill>
        </w:rPr>
        <w:t>乙方应根据本合同规定的工程进度计划按时向工程建设资金专户拨付项目建设资金，该资金不得用于与本项目无关的支出。</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7.10.5 </w:t>
      </w:r>
      <w:r>
        <w:rPr>
          <w:rFonts w:hint="eastAsia"/>
          <w:color w:val="000000" w:themeColor="text1"/>
          <w14:textFill>
            <w14:solidFill>
              <w14:schemeClr w14:val="tx1"/>
            </w14:solidFill>
          </w14:textFill>
        </w:rPr>
        <w:t>乙方对工程相关单位的工程进度款支付，须按相关工程合同的约定执行，不得违约拖欠。对支付情况，甲方有权核实；对不按时支付的，甲方有权按拖欠金额兑取建设期履约保函代为支付。</w:t>
      </w:r>
    </w:p>
    <w:p>
      <w:pPr>
        <w:pStyle w:val="4"/>
        <w:rPr>
          <w:color w:val="000000" w:themeColor="text1"/>
          <w14:textFill>
            <w14:solidFill>
              <w14:schemeClr w14:val="tx1"/>
            </w14:solidFill>
          </w14:textFill>
        </w:rPr>
      </w:pPr>
      <w:bookmarkStart w:id="474" w:name="_Toc491857591"/>
      <w:bookmarkStart w:id="475" w:name="_Toc495845991"/>
      <w:bookmarkStart w:id="476" w:name="_Toc496299598"/>
      <w:bookmarkStart w:id="477" w:name="_Toc516399756"/>
      <w:bookmarkStart w:id="478" w:name="_Toc522635532"/>
      <w:r>
        <w:rPr>
          <w:color w:val="000000" w:themeColor="text1"/>
          <w14:textFill>
            <w14:solidFill>
              <w14:schemeClr w14:val="tx1"/>
            </w14:solidFill>
          </w14:textFill>
        </w:rPr>
        <w:t xml:space="preserve">7.11 </w:t>
      </w:r>
      <w:r>
        <w:rPr>
          <w:rFonts w:hint="eastAsia"/>
          <w:color w:val="000000" w:themeColor="text1"/>
          <w14:textFill>
            <w14:solidFill>
              <w14:schemeClr w14:val="tx1"/>
            </w14:solidFill>
          </w14:textFill>
        </w:rPr>
        <w:t>工程变更</w:t>
      </w:r>
      <w:bookmarkEnd w:id="474"/>
      <w:bookmarkEnd w:id="475"/>
      <w:bookmarkEnd w:id="476"/>
      <w:bookmarkEnd w:id="477"/>
      <w:bookmarkEnd w:id="478"/>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7.11.1 </w:t>
      </w:r>
      <w:r>
        <w:rPr>
          <w:rFonts w:hint="eastAsia"/>
          <w:color w:val="000000" w:themeColor="text1"/>
          <w14:textFill>
            <w14:solidFill>
              <w14:schemeClr w14:val="tx1"/>
            </w14:solidFill>
          </w14:textFill>
        </w:rPr>
        <w:t>变更条件</w:t>
      </w:r>
    </w:p>
    <w:p>
      <w:pPr>
        <w:pStyle w:val="310"/>
        <w:numPr>
          <w:ilvl w:val="0"/>
          <w:numId w:val="65"/>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工程变更是指设计变更和在建设过程中对本合同中约定的工程进度、范围和标准的变更；</w:t>
      </w:r>
    </w:p>
    <w:p>
      <w:pPr>
        <w:pStyle w:val="310"/>
        <w:numPr>
          <w:ilvl w:val="0"/>
          <w:numId w:val="65"/>
        </w:numPr>
        <w:spacing w:line="360" w:lineRule="auto"/>
        <w:ind w:left="993" w:hanging="426"/>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甲方可以发布工程变更令的方式要求乙方进行工程变更，变更导致的工期增加的应相应顺延；</w:t>
      </w:r>
    </w:p>
    <w:p>
      <w:pPr>
        <w:pStyle w:val="310"/>
        <w:numPr>
          <w:ilvl w:val="0"/>
          <w:numId w:val="65"/>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在建设期内，以下列条件之一为前提，乙方可以向甲方和监理机构提出工程变更申请或建议，并应同时提供相应的证明材料：</w:t>
      </w:r>
    </w:p>
    <w:p>
      <w:pPr>
        <w:pStyle w:val="310"/>
        <w:numPr>
          <w:ilvl w:val="0"/>
          <w:numId w:val="66"/>
        </w:numPr>
        <w:spacing w:line="360" w:lineRule="auto"/>
        <w:ind w:left="1593" w:leftChars="742" w:hanging="35" w:hangingChars="1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缩短工程进度；</w:t>
      </w:r>
    </w:p>
    <w:p>
      <w:pPr>
        <w:pStyle w:val="310"/>
        <w:numPr>
          <w:ilvl w:val="0"/>
          <w:numId w:val="66"/>
        </w:numPr>
        <w:spacing w:line="360" w:lineRule="auto"/>
        <w:ind w:left="1593" w:leftChars="742" w:hanging="35" w:hangingChars="1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提高工程标准；</w:t>
      </w:r>
    </w:p>
    <w:p>
      <w:pPr>
        <w:pStyle w:val="310"/>
        <w:numPr>
          <w:ilvl w:val="0"/>
          <w:numId w:val="66"/>
        </w:numPr>
        <w:spacing w:line="360" w:lineRule="auto"/>
        <w:ind w:left="1593" w:leftChars="742" w:hanging="35" w:hangingChars="1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节约建设工程费用。</w:t>
      </w:r>
    </w:p>
    <w:p>
      <w:pPr>
        <w:pStyle w:val="310"/>
        <w:numPr>
          <w:ilvl w:val="0"/>
          <w:numId w:val="65"/>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在建设期内，若发生法律法规、政策性文件、计价文件等变更需要对项目工程进行工程变更，则乙方应在得知变更事项后二十八（</w:t>
      </w:r>
      <w:r>
        <w:rPr>
          <w:rFonts w:ascii="Times New Roman" w:eastAsia="宋体" w:cs="Times New Roman"/>
          <w:color w:val="000000" w:themeColor="text1"/>
          <w:sz w:val="21"/>
          <w:szCs w:val="21"/>
          <w14:textFill>
            <w14:solidFill>
              <w14:schemeClr w14:val="tx1"/>
            </w14:solidFill>
          </w14:textFill>
        </w:rPr>
        <w:t>28</w:t>
      </w:r>
      <w:r>
        <w:rPr>
          <w:rFonts w:hint="eastAsia" w:ascii="Times New Roman" w:eastAsia="宋体" w:cs="Times New Roman"/>
          <w:color w:val="000000" w:themeColor="text1"/>
          <w:sz w:val="21"/>
          <w:szCs w:val="21"/>
          <w14:textFill>
            <w14:solidFill>
              <w14:schemeClr w14:val="tx1"/>
            </w14:solidFill>
          </w14:textFill>
        </w:rPr>
        <w:t>）日内向甲方和监理机构提出工程变更申请；</w:t>
      </w:r>
    </w:p>
    <w:p>
      <w:pPr>
        <w:pStyle w:val="310"/>
        <w:numPr>
          <w:ilvl w:val="0"/>
          <w:numId w:val="65"/>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如果施工组织方案和施工设计方案不符合本合同规定的设计文件，乙方对此进行的矫正不应构成工程变更。</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7.11.2 </w:t>
      </w:r>
      <w:r>
        <w:rPr>
          <w:rFonts w:hint="eastAsia"/>
          <w:color w:val="000000" w:themeColor="text1"/>
          <w14:textFill>
            <w14:solidFill>
              <w14:schemeClr w14:val="tx1"/>
            </w14:solidFill>
          </w14:textFill>
        </w:rPr>
        <w:t>变更程序</w:t>
      </w:r>
    </w:p>
    <w:p>
      <w:pPr>
        <w:pStyle w:val="310"/>
        <w:spacing w:line="360" w:lineRule="auto"/>
        <w:ind w:left="1106"/>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工程变更根据《杭州大江东产业集聚区政府投资项目资金管理暂行办法》（大江东管办发〔</w:t>
      </w:r>
      <w:r>
        <w:rPr>
          <w:rFonts w:ascii="Times New Roman" w:eastAsia="宋体" w:cs="Times New Roman"/>
          <w:color w:val="000000" w:themeColor="text1"/>
          <w:sz w:val="21"/>
          <w:szCs w:val="21"/>
          <w14:textFill>
            <w14:solidFill>
              <w14:schemeClr w14:val="tx1"/>
            </w14:solidFill>
          </w14:textFill>
        </w:rPr>
        <w:t>2015</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96</w:t>
      </w:r>
      <w:r>
        <w:rPr>
          <w:rFonts w:hint="eastAsia" w:ascii="Times New Roman" w:eastAsia="宋体" w:cs="Times New Roman"/>
          <w:color w:val="000000" w:themeColor="text1"/>
          <w:sz w:val="21"/>
          <w:szCs w:val="21"/>
          <w14:textFill>
            <w14:solidFill>
              <w14:schemeClr w14:val="tx1"/>
            </w14:solidFill>
          </w14:textFill>
        </w:rPr>
        <w:t>号）及《杭州大江东产业集聚区政府投资项目变更管理实施细则》（大江东财政〔</w:t>
      </w:r>
      <w:r>
        <w:rPr>
          <w:rFonts w:ascii="Times New Roman" w:eastAsia="宋体" w:cs="Times New Roman"/>
          <w:color w:val="000000" w:themeColor="text1"/>
          <w:sz w:val="21"/>
          <w:szCs w:val="21"/>
          <w14:textFill>
            <w14:solidFill>
              <w14:schemeClr w14:val="tx1"/>
            </w14:solidFill>
          </w14:textFill>
        </w:rPr>
        <w:t>2016</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178</w:t>
      </w:r>
      <w:r>
        <w:rPr>
          <w:rFonts w:hint="eastAsia" w:ascii="Times New Roman" w:eastAsia="宋体" w:cs="Times New Roman"/>
          <w:color w:val="000000" w:themeColor="text1"/>
          <w:sz w:val="21"/>
          <w:szCs w:val="21"/>
          <w14:textFill>
            <w14:solidFill>
              <w14:schemeClr w14:val="tx1"/>
            </w14:solidFill>
          </w14:textFill>
        </w:rPr>
        <w:t>号）执行。</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7.11.3  </w:t>
      </w:r>
      <w:r>
        <w:rPr>
          <w:rFonts w:hint="eastAsia"/>
          <w:color w:val="000000" w:themeColor="text1"/>
          <w14:textFill>
            <w14:solidFill>
              <w14:schemeClr w14:val="tx1"/>
            </w14:solidFill>
          </w14:textFill>
        </w:rPr>
        <w:t>变更估价</w:t>
      </w:r>
    </w:p>
    <w:p>
      <w:pPr>
        <w:pStyle w:val="310"/>
        <w:spacing w:line="360" w:lineRule="auto"/>
        <w:ind w:left="630" w:hanging="630" w:hangingChars="300"/>
        <w:jc w:val="both"/>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a</w:t>
      </w:r>
      <w:r>
        <w:rPr>
          <w:rFonts w:hint="eastAsia" w:ascii="Times New Roman" w:eastAsia="宋体" w:cs="Times New Roman"/>
          <w:color w:val="000000" w:themeColor="text1"/>
          <w:sz w:val="21"/>
          <w:szCs w:val="21"/>
          <w14:textFill>
            <w14:solidFill>
              <w14:schemeClr w14:val="tx1"/>
            </w14:solidFill>
          </w14:textFill>
        </w:rPr>
        <w:t>）经财政部门审定的施工图预算中已有适用于变更工程的价格，参照已有的价格认定；</w:t>
      </w:r>
    </w:p>
    <w:p>
      <w:pPr>
        <w:pStyle w:val="310"/>
        <w:spacing w:line="360" w:lineRule="auto"/>
        <w:ind w:left="630" w:hanging="630" w:hangingChars="300"/>
        <w:jc w:val="both"/>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b</w:t>
      </w:r>
      <w:r>
        <w:rPr>
          <w:rFonts w:hint="eastAsia" w:ascii="Times New Roman" w:eastAsia="宋体" w:cs="Times New Roman"/>
          <w:color w:val="000000" w:themeColor="text1"/>
          <w:sz w:val="21"/>
          <w:szCs w:val="21"/>
          <w14:textFill>
            <w14:solidFill>
              <w14:schemeClr w14:val="tx1"/>
            </w14:solidFill>
          </w14:textFill>
        </w:rPr>
        <w:t>）经财政部门审定的施工图预算中已有适用于变更工程的价格，参照类似价格认定；</w:t>
      </w:r>
    </w:p>
    <w:p>
      <w:pPr>
        <w:pStyle w:val="310"/>
        <w:spacing w:line="360" w:lineRule="auto"/>
        <w:ind w:left="630" w:hanging="630" w:hangingChars="300"/>
        <w:jc w:val="both"/>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c</w:t>
      </w:r>
      <w:r>
        <w:rPr>
          <w:rFonts w:hint="eastAsia" w:ascii="Times New Roman" w:eastAsia="宋体" w:cs="Times New Roman"/>
          <w:color w:val="000000" w:themeColor="text1"/>
          <w:sz w:val="21"/>
          <w:szCs w:val="21"/>
          <w14:textFill>
            <w14:solidFill>
              <w14:schemeClr w14:val="tx1"/>
            </w14:solidFill>
          </w14:textFill>
        </w:rPr>
        <w:t>）经财政部门审定的施工图预算中没有使用或类似变更工程的价格，由甲乙双方协商确定。</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7.11.4 </w:t>
      </w:r>
      <w:r>
        <w:rPr>
          <w:rFonts w:hint="eastAsia"/>
          <w:color w:val="000000" w:themeColor="text1"/>
          <w14:textFill>
            <w14:solidFill>
              <w14:schemeClr w14:val="tx1"/>
            </w14:solidFill>
          </w14:textFill>
        </w:rPr>
        <w:t>设计优化</w:t>
      </w:r>
    </w:p>
    <w:p>
      <w:pPr>
        <w:pStyle w:val="310"/>
        <w:numPr>
          <w:ilvl w:val="0"/>
          <w:numId w:val="67"/>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乙方应本着审慎的原则对甲方提供的设计文件进行审查。在不改变设计主要内容、功能、建设标准及装修标准的情况下，以第</w:t>
      </w:r>
      <w:r>
        <w:rPr>
          <w:rFonts w:ascii="Times New Roman" w:eastAsia="宋体" w:cs="Times New Roman"/>
          <w:color w:val="000000" w:themeColor="text1"/>
          <w:sz w:val="21"/>
          <w:szCs w:val="21"/>
          <w14:textFill>
            <w14:solidFill>
              <w14:schemeClr w14:val="tx1"/>
            </w14:solidFill>
          </w14:textFill>
        </w:rPr>
        <w:t>7.11.1</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c</w:t>
      </w:r>
      <w:r>
        <w:rPr>
          <w:rFonts w:hint="eastAsia" w:ascii="Times New Roman" w:eastAsia="宋体" w:cs="Times New Roman"/>
          <w:color w:val="000000" w:themeColor="text1"/>
          <w:sz w:val="21"/>
          <w:szCs w:val="21"/>
          <w14:textFill>
            <w14:solidFill>
              <w14:schemeClr w14:val="tx1"/>
            </w14:solidFill>
          </w14:textFill>
        </w:rPr>
        <w:t>）条款为前提，乙方可以对设计提出优化建议。由乙方提出的设计优化方案构成重大变更时，应按第</w:t>
      </w:r>
      <w:r>
        <w:rPr>
          <w:rFonts w:ascii="Times New Roman" w:eastAsia="宋体" w:cs="Times New Roman"/>
          <w:color w:val="000000" w:themeColor="text1"/>
          <w:sz w:val="21"/>
          <w:szCs w:val="21"/>
          <w14:textFill>
            <w14:solidFill>
              <w14:schemeClr w14:val="tx1"/>
            </w14:solidFill>
          </w14:textFill>
        </w:rPr>
        <w:t>7.11.2</w:t>
      </w:r>
      <w:r>
        <w:rPr>
          <w:rFonts w:hint="eastAsia" w:ascii="Times New Roman" w:eastAsia="宋体" w:cs="Times New Roman"/>
          <w:color w:val="000000" w:themeColor="text1"/>
          <w:sz w:val="21"/>
          <w:szCs w:val="21"/>
          <w14:textFill>
            <w14:solidFill>
              <w14:schemeClr w14:val="tx1"/>
            </w14:solidFill>
          </w14:textFill>
        </w:rPr>
        <w:t>条款执行；</w:t>
      </w:r>
    </w:p>
    <w:p>
      <w:pPr>
        <w:pStyle w:val="310"/>
        <w:numPr>
          <w:ilvl w:val="0"/>
          <w:numId w:val="67"/>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乙方应对本项目优化设计中出现的任何缺陷负全部责任。甲方未对优化设计文件提出异议不应视为甲方放弃其本协议项下的权利。甲方不因进行审批而对本项目的工程建设质量或工程进度承担任何责任。</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7.11.5 </w:t>
      </w:r>
      <w:r>
        <w:rPr>
          <w:rFonts w:hint="eastAsia"/>
          <w:color w:val="000000" w:themeColor="text1"/>
          <w14:textFill>
            <w14:solidFill>
              <w14:schemeClr w14:val="tx1"/>
            </w14:solidFill>
          </w14:textFill>
        </w:rPr>
        <w:t>工期顺延或提前</w:t>
      </w:r>
      <w:r>
        <w:rPr>
          <w:color w:val="000000" w:themeColor="text1"/>
          <w14:textFill>
            <w14:solidFill>
              <w14:schemeClr w14:val="tx1"/>
            </w14:solidFill>
          </w14:textFill>
        </w:rPr>
        <w:t xml:space="preserve"> </w:t>
      </w:r>
    </w:p>
    <w:p>
      <w:pPr>
        <w:pStyle w:val="310"/>
        <w:spacing w:line="360" w:lineRule="auto"/>
        <w:ind w:left="643" w:leftChars="306" w:hanging="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因第</w:t>
      </w:r>
      <w:r>
        <w:rPr>
          <w:rFonts w:ascii="Times New Roman" w:eastAsia="宋体" w:cs="Times New Roman"/>
          <w:color w:val="000000" w:themeColor="text1"/>
          <w:sz w:val="21"/>
          <w:szCs w:val="21"/>
          <w14:textFill>
            <w14:solidFill>
              <w14:schemeClr w14:val="tx1"/>
            </w14:solidFill>
          </w14:textFill>
        </w:rPr>
        <w:t>7.11.1</w:t>
      </w:r>
      <w:r>
        <w:rPr>
          <w:rFonts w:hint="eastAsia" w:ascii="Times New Roman" w:eastAsia="宋体" w:cs="Times New Roman"/>
          <w:color w:val="000000" w:themeColor="text1"/>
          <w:sz w:val="21"/>
          <w:szCs w:val="21"/>
          <w14:textFill>
            <w14:solidFill>
              <w14:schemeClr w14:val="tx1"/>
            </w14:solidFill>
          </w14:textFill>
        </w:rPr>
        <w:t>条款的工程变更致使项目完工日延迟或提前，则工期相应顺延或提前。</w:t>
      </w:r>
    </w:p>
    <w:p>
      <w:pPr>
        <w:pStyle w:val="4"/>
        <w:rPr>
          <w:color w:val="000000" w:themeColor="text1"/>
          <w14:textFill>
            <w14:solidFill>
              <w14:schemeClr w14:val="tx1"/>
            </w14:solidFill>
          </w14:textFill>
        </w:rPr>
      </w:pPr>
      <w:bookmarkStart w:id="479" w:name="_Toc491857592"/>
      <w:bookmarkStart w:id="480" w:name="_Toc495845992"/>
      <w:bookmarkStart w:id="481" w:name="_Toc496299599"/>
      <w:bookmarkStart w:id="482" w:name="_Toc516399757"/>
      <w:bookmarkStart w:id="483" w:name="_Toc522635533"/>
      <w:r>
        <w:rPr>
          <w:color w:val="000000" w:themeColor="text1"/>
          <w14:textFill>
            <w14:solidFill>
              <w14:schemeClr w14:val="tx1"/>
            </w14:solidFill>
          </w14:textFill>
        </w:rPr>
        <w:t xml:space="preserve">7.12 </w:t>
      </w:r>
      <w:r>
        <w:rPr>
          <w:rFonts w:hint="eastAsia"/>
          <w:color w:val="000000" w:themeColor="text1"/>
          <w14:textFill>
            <w14:solidFill>
              <w14:schemeClr w14:val="tx1"/>
            </w14:solidFill>
          </w14:textFill>
        </w:rPr>
        <w:t>项目文件</w:t>
      </w:r>
      <w:bookmarkEnd w:id="479"/>
      <w:bookmarkEnd w:id="480"/>
      <w:bookmarkEnd w:id="481"/>
      <w:bookmarkEnd w:id="482"/>
      <w:bookmarkEnd w:id="483"/>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7.12.1 </w:t>
      </w:r>
      <w:r>
        <w:rPr>
          <w:rFonts w:hint="eastAsia"/>
          <w:color w:val="000000" w:themeColor="text1"/>
          <w14:textFill>
            <w14:solidFill>
              <w14:schemeClr w14:val="tx1"/>
            </w14:solidFill>
          </w14:textFill>
        </w:rPr>
        <w:t>施工文件</w:t>
      </w:r>
    </w:p>
    <w:p>
      <w:pPr>
        <w:pStyle w:val="310"/>
        <w:spacing w:line="360" w:lineRule="auto"/>
        <w:ind w:left="643" w:leftChars="306" w:hanging="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及其承包商应编制足够详细的施工文件，以满足所有适用法律的要求，为供应商和施工人员实施项目工程提供足够的指导，并对已竣工的工程运行进行描述。如果施工文件中存在任何错误、遗漏、模糊、矛盾、欠缺及其他缺陷，乙方应自费进行修正。</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7.12.2 </w:t>
      </w:r>
      <w:r>
        <w:rPr>
          <w:rFonts w:hint="eastAsia"/>
          <w:color w:val="000000" w:themeColor="text1"/>
          <w14:textFill>
            <w14:solidFill>
              <w14:schemeClr w14:val="tx1"/>
            </w14:solidFill>
          </w14:textFill>
        </w:rPr>
        <w:t>投资及财务统计报表</w:t>
      </w:r>
    </w:p>
    <w:p>
      <w:pPr>
        <w:pStyle w:val="310"/>
        <w:spacing w:line="360" w:lineRule="auto"/>
        <w:ind w:left="643" w:leftChars="306" w:hanging="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乙方负责投资计划执行情况、统计报表的编制工作及项目汇报材料的编写工作，按规定负责上报相关部门，并抄报甲方。如需甲方上报的报表，由乙方报甲方汇总并表后一并上报。</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7.12.3 </w:t>
      </w:r>
      <w:r>
        <w:rPr>
          <w:rFonts w:hint="eastAsia"/>
          <w:color w:val="000000" w:themeColor="text1"/>
          <w14:textFill>
            <w14:solidFill>
              <w14:schemeClr w14:val="tx1"/>
            </w14:solidFill>
          </w14:textFill>
        </w:rPr>
        <w:t>竣工图纸</w:t>
      </w:r>
    </w:p>
    <w:p>
      <w:pPr>
        <w:pStyle w:val="310"/>
        <w:numPr>
          <w:ilvl w:val="0"/>
          <w:numId w:val="68"/>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对照有关规范和数据表制定一整套工程实施的竣工记录。该记录应表明所实施工作的确切的竣工位置、尺寸及设备的参数、技术指标、功能的详细说明。这些记录应保存在现场并完全用于本款之目的，在竣工验收之前应提交至少两套副本给甲方；</w:t>
      </w:r>
    </w:p>
    <w:p>
      <w:pPr>
        <w:pStyle w:val="310"/>
        <w:numPr>
          <w:ilvl w:val="0"/>
          <w:numId w:val="68"/>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整个工程已实施完毕后，乙方应按适用法律要求绘制该工程的</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竣工图纸</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。该图纸应取得勘察设计单位和监理机构的认可；</w:t>
      </w:r>
    </w:p>
    <w:p>
      <w:pPr>
        <w:pStyle w:val="310"/>
        <w:numPr>
          <w:ilvl w:val="0"/>
          <w:numId w:val="68"/>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在完工日后七（</w:t>
      </w:r>
      <w:r>
        <w:rPr>
          <w:rFonts w:ascii="Times New Roman" w:eastAsia="宋体" w:cs="Times New Roman"/>
          <w:color w:val="000000" w:themeColor="text1"/>
          <w:sz w:val="21"/>
          <w:szCs w:val="21"/>
          <w14:textFill>
            <w14:solidFill>
              <w14:schemeClr w14:val="tx1"/>
            </w14:solidFill>
          </w14:textFill>
        </w:rPr>
        <w:t>7</w:t>
      </w:r>
      <w:r>
        <w:rPr>
          <w:rFonts w:hint="eastAsia" w:ascii="Times New Roman" w:eastAsia="宋体" w:cs="Times New Roman"/>
          <w:color w:val="000000" w:themeColor="text1"/>
          <w:sz w:val="21"/>
          <w:szCs w:val="21"/>
          <w14:textFill>
            <w14:solidFill>
              <w14:schemeClr w14:val="tx1"/>
            </w14:solidFill>
          </w14:textFill>
        </w:rPr>
        <w:t>）日内，乙方应按适用法律要求向甲方提交至少三套</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竣工图纸</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及相关的影像文件、电子文档资料。</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7.12.4 </w:t>
      </w:r>
      <w:r>
        <w:rPr>
          <w:rFonts w:hint="eastAsia"/>
          <w:color w:val="000000" w:themeColor="text1"/>
          <w14:textFill>
            <w14:solidFill>
              <w14:schemeClr w14:val="tx1"/>
            </w14:solidFill>
          </w14:textFill>
        </w:rPr>
        <w:t>知识产权</w:t>
      </w:r>
    </w:p>
    <w:p>
      <w:pPr>
        <w:pStyle w:val="310"/>
        <w:numPr>
          <w:ilvl w:val="0"/>
          <w:numId w:val="69"/>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乙方应保证建设工程的必要知识和经验均不会侵犯任何第三方的权利。</w:t>
      </w:r>
    </w:p>
    <w:p>
      <w:pPr>
        <w:pStyle w:val="310"/>
        <w:numPr>
          <w:ilvl w:val="0"/>
          <w:numId w:val="69"/>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在工程建设过程中，乙方用到某一专利时而乙方不是此知识产权的所有人时，乙方应保证甲方有权使用该专利。</w:t>
      </w:r>
    </w:p>
    <w:p>
      <w:pPr>
        <w:pStyle w:val="310"/>
        <w:numPr>
          <w:ilvl w:val="0"/>
          <w:numId w:val="69"/>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乙方应保障并保持甲方免受由于乙方的工程施工或实施、设备的使用以及工程的正确使用时产生与之有关的任何索赔引起的损害。</w:t>
      </w:r>
    </w:p>
    <w:p>
      <w:pPr>
        <w:pStyle w:val="4"/>
        <w:rPr>
          <w:color w:val="000000" w:themeColor="text1"/>
          <w14:textFill>
            <w14:solidFill>
              <w14:schemeClr w14:val="tx1"/>
            </w14:solidFill>
          </w14:textFill>
        </w:rPr>
      </w:pPr>
      <w:bookmarkStart w:id="484" w:name="_Toc491857593"/>
      <w:bookmarkStart w:id="485" w:name="_Toc495845993"/>
      <w:bookmarkStart w:id="486" w:name="_Toc496299600"/>
      <w:bookmarkStart w:id="487" w:name="_Toc516399758"/>
      <w:bookmarkStart w:id="488" w:name="_Toc522635534"/>
      <w:r>
        <w:rPr>
          <w:color w:val="000000" w:themeColor="text1"/>
          <w14:textFill>
            <w14:solidFill>
              <w14:schemeClr w14:val="tx1"/>
            </w14:solidFill>
          </w14:textFill>
        </w:rPr>
        <w:t xml:space="preserve">7.13 </w:t>
      </w:r>
      <w:r>
        <w:rPr>
          <w:rFonts w:hint="eastAsia"/>
          <w:color w:val="000000" w:themeColor="text1"/>
          <w14:textFill>
            <w14:solidFill>
              <w14:schemeClr w14:val="tx1"/>
            </w14:solidFill>
          </w14:textFill>
        </w:rPr>
        <w:t>职员与劳工</w:t>
      </w:r>
      <w:bookmarkEnd w:id="484"/>
      <w:bookmarkEnd w:id="485"/>
      <w:bookmarkEnd w:id="486"/>
      <w:bookmarkEnd w:id="487"/>
      <w:bookmarkEnd w:id="488"/>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7.13.1 </w:t>
      </w:r>
      <w:r>
        <w:rPr>
          <w:rFonts w:hint="eastAsia"/>
          <w:color w:val="000000" w:themeColor="text1"/>
          <w14:textFill>
            <w14:solidFill>
              <w14:schemeClr w14:val="tx1"/>
            </w14:solidFill>
          </w14:textFill>
        </w:rPr>
        <w:t>乙方人员的变动</w:t>
      </w:r>
    </w:p>
    <w:p>
      <w:pPr>
        <w:pStyle w:val="310"/>
        <w:numPr>
          <w:ilvl w:val="1"/>
          <w:numId w:val="68"/>
        </w:numPr>
        <w:spacing w:line="360" w:lineRule="auto"/>
        <w:ind w:hanging="573"/>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乙方的主要管理人员应按本合同签订时所报人员到位，原则上不得变动；特殊情况下需变动时，应提前七（</w:t>
      </w:r>
      <w:r>
        <w:rPr>
          <w:rFonts w:ascii="Times New Roman" w:eastAsia="宋体" w:cs="Times New Roman"/>
          <w:color w:val="000000" w:themeColor="text1"/>
          <w:sz w:val="21"/>
          <w:szCs w:val="21"/>
          <w14:textFill>
            <w14:solidFill>
              <w14:schemeClr w14:val="tx1"/>
            </w14:solidFill>
          </w14:textFill>
        </w:rPr>
        <w:t>7</w:t>
      </w:r>
      <w:r>
        <w:rPr>
          <w:rFonts w:hint="eastAsia" w:ascii="Times New Roman" w:eastAsia="宋体" w:cs="Times New Roman"/>
          <w:color w:val="000000" w:themeColor="text1"/>
          <w:sz w:val="21"/>
          <w:szCs w:val="21"/>
          <w14:textFill>
            <w14:solidFill>
              <w14:schemeClr w14:val="tx1"/>
            </w14:solidFill>
          </w14:textFill>
        </w:rPr>
        <w:t>）日事先获得甲方的批准和对替代人员的认可；</w:t>
      </w:r>
    </w:p>
    <w:p>
      <w:pPr>
        <w:pStyle w:val="310"/>
        <w:numPr>
          <w:ilvl w:val="1"/>
          <w:numId w:val="68"/>
        </w:numPr>
        <w:spacing w:line="360" w:lineRule="auto"/>
        <w:ind w:hanging="573"/>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在项目进行过程中，若乙方的主要管理人员不能满足履行本合同条件的要求，乙方应及时更换或增加人员。</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7.13.2 </w:t>
      </w:r>
      <w:r>
        <w:rPr>
          <w:rFonts w:hint="eastAsia"/>
          <w:color w:val="000000" w:themeColor="text1"/>
          <w14:textFill>
            <w14:solidFill>
              <w14:schemeClr w14:val="tx1"/>
            </w14:solidFill>
          </w14:textFill>
        </w:rPr>
        <w:t>工资标准与劳动条件</w:t>
      </w:r>
    </w:p>
    <w:p>
      <w:pPr>
        <w:pStyle w:val="310"/>
        <w:spacing w:line="360" w:lineRule="auto"/>
        <w:ind w:left="640" w:leftChars="305" w:firstLine="4" w:firstLineChars="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乙方及其承包商应按照适用法律要求雇佣职员和劳工，所付的工资标准及遵守的劳动条件应不低于其从事工作的地区同行业标准和条件。</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7.13.3 </w:t>
      </w:r>
      <w:r>
        <w:rPr>
          <w:rFonts w:hint="eastAsia"/>
          <w:color w:val="000000" w:themeColor="text1"/>
          <w14:textFill>
            <w14:solidFill>
              <w14:schemeClr w14:val="tx1"/>
            </w14:solidFill>
          </w14:textFill>
        </w:rPr>
        <w:t>劳动法</w:t>
      </w:r>
    </w:p>
    <w:p>
      <w:pPr>
        <w:pStyle w:val="310"/>
        <w:spacing w:line="360" w:lineRule="auto"/>
        <w:ind w:left="640" w:leftChars="305" w:firstLine="4" w:firstLineChars="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乙方及其承包商应遵守适用法律规定，按时向职员和劳工支付合理报酬，以及保障他们享有适用法律规定的所有权利，并应要求其全体雇员遵守与安全工作有关的所有适用法律。</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7.13.4 </w:t>
      </w:r>
      <w:r>
        <w:rPr>
          <w:rFonts w:hint="eastAsia"/>
          <w:color w:val="000000" w:themeColor="text1"/>
          <w14:textFill>
            <w14:solidFill>
              <w14:schemeClr w14:val="tx1"/>
            </w14:solidFill>
          </w14:textFill>
        </w:rPr>
        <w:t>为员工提供必要的设施</w:t>
      </w:r>
    </w:p>
    <w:p>
      <w:pPr>
        <w:pStyle w:val="310"/>
        <w:spacing w:line="360" w:lineRule="auto"/>
        <w:ind w:left="640" w:leftChars="305" w:firstLine="4" w:firstLineChars="2"/>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乙方及其承包商应为其职员和劳工提供并维护所有必须的食宿及福利设施，乙方不得允许其任何职员和劳工在构成工程部分的建筑物、构筑物内保留任何临时或永久的居住场所。</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7.13.5 </w:t>
      </w:r>
      <w:r>
        <w:rPr>
          <w:rFonts w:hint="eastAsia"/>
          <w:color w:val="000000" w:themeColor="text1"/>
          <w14:textFill>
            <w14:solidFill>
              <w14:schemeClr w14:val="tx1"/>
            </w14:solidFill>
          </w14:textFill>
        </w:rPr>
        <w:t>健康与安全</w:t>
      </w:r>
    </w:p>
    <w:p>
      <w:pPr>
        <w:pStyle w:val="310"/>
        <w:spacing w:line="360" w:lineRule="auto"/>
        <w:ind w:left="640" w:leftChars="305" w:firstLine="4" w:firstLineChars="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及其承包商应采取预防措施以保证其职员和劳工的健康与安全，与卫生部门合作并按其要求，自始至终在住地和现场确保配备医务人员、急救设施以及救护服务。还应作出适当安排，提供所有必要的福利及卫生条件，并防止传染病的发生，并应在现场指派不少于两名职员负责现场上所有人员的安全并防止事故的发生。安全管理人员应能胜任此项工作，并有权发布指示及采取预防事故发生的保护措施。</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7.13.6 </w:t>
      </w:r>
      <w:r>
        <w:rPr>
          <w:rFonts w:hint="eastAsia"/>
          <w:color w:val="000000" w:themeColor="text1"/>
          <w14:textFill>
            <w14:solidFill>
              <w14:schemeClr w14:val="tx1"/>
            </w14:solidFill>
          </w14:textFill>
        </w:rPr>
        <w:t>工作时间</w:t>
      </w:r>
    </w:p>
    <w:p>
      <w:pPr>
        <w:pStyle w:val="310"/>
        <w:spacing w:line="360" w:lineRule="auto"/>
        <w:ind w:left="640" w:leftChars="305" w:firstLine="4" w:firstLineChars="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乙方及其承包商应遵守劳动法有关职工工作时间的规定。</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7.13.7 </w:t>
      </w:r>
      <w:r>
        <w:rPr>
          <w:rFonts w:hint="eastAsia"/>
          <w:color w:val="000000" w:themeColor="text1"/>
          <w14:textFill>
            <w14:solidFill>
              <w14:schemeClr w14:val="tx1"/>
            </w14:solidFill>
          </w14:textFill>
        </w:rPr>
        <w:t>拖欠农民工工资</w:t>
      </w:r>
    </w:p>
    <w:p>
      <w:pPr>
        <w:pStyle w:val="310"/>
        <w:spacing w:line="360" w:lineRule="auto"/>
        <w:ind w:left="640" w:leftChars="305" w:firstLine="4" w:firstLineChars="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及其承包商应确保自身以及其管理的关联合同项下按照中华人民共和国劳动和社会保障部和中华人民共和国建设部联合发布的关于《建设领域农民工工资支付管理暂行办法》的通知及杭州市建设部门发布的关于工程建设领域农民工工资支付管理办法的有关规定及时足额支付农民工工资，若未按时支付的，甲方有权按拖欠金额兑取建设期履约保函直接支付农民工工资。</w:t>
      </w:r>
    </w:p>
    <w:p>
      <w:pPr>
        <w:pStyle w:val="4"/>
        <w:rPr>
          <w:color w:val="000000" w:themeColor="text1"/>
          <w14:textFill>
            <w14:solidFill>
              <w14:schemeClr w14:val="tx1"/>
            </w14:solidFill>
          </w14:textFill>
        </w:rPr>
      </w:pPr>
      <w:bookmarkStart w:id="489" w:name="_Toc516399759"/>
      <w:bookmarkStart w:id="490" w:name="_Toc495845994"/>
      <w:bookmarkStart w:id="491" w:name="_Toc496299601"/>
      <w:bookmarkStart w:id="492" w:name="_Toc491857594"/>
      <w:bookmarkStart w:id="493" w:name="_Toc522635535"/>
      <w:r>
        <w:rPr>
          <w:color w:val="000000" w:themeColor="text1"/>
          <w14:textFill>
            <w14:solidFill>
              <w14:schemeClr w14:val="tx1"/>
            </w14:solidFill>
          </w14:textFill>
        </w:rPr>
        <w:t xml:space="preserve">7.14 </w:t>
      </w:r>
      <w:r>
        <w:rPr>
          <w:rFonts w:hint="eastAsia"/>
          <w:color w:val="000000" w:themeColor="text1"/>
          <w14:textFill>
            <w14:solidFill>
              <w14:schemeClr w14:val="tx1"/>
            </w14:solidFill>
          </w14:textFill>
        </w:rPr>
        <w:t>工程设备、材料和工艺</w:t>
      </w:r>
      <w:bookmarkEnd w:id="489"/>
      <w:bookmarkEnd w:id="490"/>
      <w:bookmarkEnd w:id="491"/>
      <w:bookmarkEnd w:id="492"/>
      <w:bookmarkEnd w:id="493"/>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7.14.1 </w:t>
      </w:r>
      <w:r>
        <w:rPr>
          <w:rFonts w:hint="eastAsia"/>
          <w:color w:val="000000" w:themeColor="text1"/>
          <w14:textFill>
            <w14:solidFill>
              <w14:schemeClr w14:val="tx1"/>
            </w14:solidFill>
          </w14:textFill>
        </w:rPr>
        <w:t>乙方及其承包商拟提供的全部工程设备和材料，以及准备进行的所有工作，均应按照本合同规定的方法制造、加工与实施。如果本合同中未规定制造与实施的方法，则该项工作应按照相关规范以及公认的良好行业惯例，使用适当装备的设施以及安全的材料，以恰当、熟练和谨慎的方式实施。乙方及其承包商应负责采购、运输、接收、支付、装卸以及安全储存为完成项目工程所需的全部工程设备、材料及其他物品。乙方及其承包商应在制造、加工、安装、实施期间，对按本合同规定所提供的全部工程设备和材料的原料与工艺，进行检查、审核与检验，并对制造进度进行审查。</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7.14.2 </w:t>
      </w:r>
      <w:r>
        <w:rPr>
          <w:rFonts w:hint="eastAsia"/>
          <w:color w:val="000000" w:themeColor="text1"/>
          <w14:textFill>
            <w14:solidFill>
              <w14:schemeClr w14:val="tx1"/>
            </w14:solidFill>
          </w14:textFill>
        </w:rPr>
        <w:t>如果从检查、审核或检验的结果看，任何工程设备、材料或工艺存在缺陷或不符合本合同的其他规定，乙方及其承包商应立即修复上述缺陷并保证使该工程设备、材料或工艺符合本合同规定。</w:t>
      </w:r>
    </w:p>
    <w:p>
      <w:pPr>
        <w:pStyle w:val="4"/>
        <w:rPr>
          <w:color w:val="000000" w:themeColor="text1"/>
          <w14:textFill>
            <w14:solidFill>
              <w14:schemeClr w14:val="tx1"/>
            </w14:solidFill>
          </w14:textFill>
        </w:rPr>
      </w:pPr>
      <w:bookmarkStart w:id="494" w:name="_Toc491857595"/>
      <w:bookmarkStart w:id="495" w:name="_Toc495845995"/>
      <w:bookmarkStart w:id="496" w:name="_Toc496299602"/>
      <w:bookmarkStart w:id="497" w:name="_Toc516399760"/>
      <w:bookmarkStart w:id="498" w:name="_Toc522635536"/>
      <w:r>
        <w:rPr>
          <w:color w:val="000000" w:themeColor="text1"/>
          <w14:textFill>
            <w14:solidFill>
              <w14:schemeClr w14:val="tx1"/>
            </w14:solidFill>
          </w14:textFill>
        </w:rPr>
        <w:t xml:space="preserve">7.15 </w:t>
      </w:r>
      <w:r>
        <w:rPr>
          <w:rFonts w:hint="eastAsia"/>
          <w:color w:val="000000" w:themeColor="text1"/>
          <w14:textFill>
            <w14:solidFill>
              <w14:schemeClr w14:val="tx1"/>
            </w14:solidFill>
          </w14:textFill>
        </w:rPr>
        <w:t>开工、延误、暂停和复工</w:t>
      </w:r>
      <w:bookmarkEnd w:id="494"/>
      <w:bookmarkEnd w:id="495"/>
      <w:bookmarkEnd w:id="496"/>
      <w:bookmarkEnd w:id="497"/>
      <w:bookmarkEnd w:id="498"/>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7.15.1 </w:t>
      </w:r>
      <w:r>
        <w:rPr>
          <w:rFonts w:hint="eastAsia"/>
          <w:color w:val="000000" w:themeColor="text1"/>
          <w14:textFill>
            <w14:solidFill>
              <w14:schemeClr w14:val="tx1"/>
            </w14:solidFill>
          </w14:textFill>
        </w:rPr>
        <w:t>开工</w:t>
      </w:r>
    </w:p>
    <w:p>
      <w:pPr>
        <w:pStyle w:val="310"/>
        <w:spacing w:line="360" w:lineRule="auto"/>
        <w:ind w:left="640" w:leftChars="305" w:firstLine="4" w:firstLineChars="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乙方应在工程具备开工进场条件后及时进场开工，并按经甲方审定的工程进度计划的要求不拖延地开始实施工程直至竣工。</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7.15.2 </w:t>
      </w:r>
      <w:r>
        <w:rPr>
          <w:rFonts w:hint="eastAsia"/>
          <w:color w:val="000000" w:themeColor="text1"/>
          <w14:textFill>
            <w14:solidFill>
              <w14:schemeClr w14:val="tx1"/>
            </w14:solidFill>
          </w14:textFill>
        </w:rPr>
        <w:t>延误</w:t>
      </w:r>
    </w:p>
    <w:p>
      <w:pPr>
        <w:pStyle w:val="310"/>
        <w:numPr>
          <w:ilvl w:val="0"/>
          <w:numId w:val="70"/>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若在任何时候，由于非乙方原因或不可抗力原因造成工程实际进度落后于经甲方认可的进度计划时，则不视为乙方工程延误，工期予以顺延。如为甲方原因，由此增加的相关费用经双方确认后计入</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总投资。如为不可抗力原因造成工程延误参照本合同第</w:t>
      </w:r>
      <w:r>
        <w:rPr>
          <w:rFonts w:ascii="Times New Roman" w:eastAsia="宋体" w:cs="Times New Roman"/>
          <w:color w:val="000000" w:themeColor="text1"/>
          <w:sz w:val="21"/>
          <w:szCs w:val="21"/>
          <w14:textFill>
            <w14:solidFill>
              <w14:schemeClr w14:val="tx1"/>
            </w14:solidFill>
          </w14:textFill>
        </w:rPr>
        <w:t>13</w:t>
      </w:r>
      <w:r>
        <w:rPr>
          <w:rFonts w:hint="eastAsia" w:ascii="Times New Roman" w:eastAsia="宋体" w:cs="Times New Roman"/>
          <w:color w:val="000000" w:themeColor="text1"/>
          <w:sz w:val="21"/>
          <w:szCs w:val="21"/>
          <w14:textFill>
            <w14:solidFill>
              <w14:schemeClr w14:val="tx1"/>
            </w14:solidFill>
          </w14:textFill>
        </w:rPr>
        <w:t>条执行。</w:t>
      </w:r>
    </w:p>
    <w:p>
      <w:pPr>
        <w:pStyle w:val="310"/>
        <w:numPr>
          <w:ilvl w:val="0"/>
          <w:numId w:val="70"/>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若在任何时候，由于乙方及其承包商原因造成工程实际进度落后于经甲方认可的进度计划时，则视为乙方工程延误。乙方应及时修订施工进度计划，并采取措施加快施工进度，以确保实际进度同工作进度计划相一致。当出现乙方工程延误导致完工日迟于约定完工日时，每延误一（</w:t>
      </w:r>
      <w:r>
        <w:rPr>
          <w:rFonts w:ascii="Times New Roman" w:eastAsia="宋体" w:cs="Times New Roman"/>
          <w:color w:val="000000" w:themeColor="text1"/>
          <w:sz w:val="21"/>
          <w:szCs w:val="21"/>
          <w14:textFill>
            <w14:solidFill>
              <w14:schemeClr w14:val="tx1"/>
            </w14:solidFill>
          </w14:textFill>
        </w:rPr>
        <w:t>1</w:t>
      </w:r>
      <w:r>
        <w:rPr>
          <w:rFonts w:hint="eastAsia" w:ascii="Times New Roman" w:eastAsia="宋体" w:cs="Times New Roman"/>
          <w:color w:val="000000" w:themeColor="text1"/>
          <w:sz w:val="21"/>
          <w:szCs w:val="21"/>
          <w14:textFill>
            <w14:solidFill>
              <w14:schemeClr w14:val="tx1"/>
            </w14:solidFill>
          </w14:textFill>
        </w:rPr>
        <w:t>）日，乙方应向甲方支付伍万元（</w:t>
      </w:r>
      <w:bookmarkStart w:id="499" w:name="_Hlk497386304"/>
      <w:r>
        <w:rPr>
          <w:rFonts w:ascii="Times New Roman" w:eastAsia="宋体" w:cs="Times New Roman"/>
          <w:color w:val="000000" w:themeColor="text1"/>
          <w:sz w:val="21"/>
          <w:szCs w:val="21"/>
          <w14:textFill>
            <w14:solidFill>
              <w14:schemeClr w14:val="tx1"/>
            </w14:solidFill>
          </w14:textFill>
        </w:rPr>
        <w:t>RMB</w:t>
      </w:r>
      <w:bookmarkEnd w:id="499"/>
      <w:r>
        <w:rPr>
          <w:rFonts w:ascii="Times New Roman" w:eastAsia="宋体" w:cs="Times New Roman"/>
          <w:color w:val="000000" w:themeColor="text1"/>
          <w:sz w:val="21"/>
          <w:szCs w:val="21"/>
          <w14:textFill>
            <w14:solidFill>
              <w14:schemeClr w14:val="tx1"/>
            </w14:solidFill>
          </w14:textFill>
        </w:rPr>
        <w:t>50,000.00</w:t>
      </w:r>
      <w:r>
        <w:rPr>
          <w:rFonts w:hint="eastAsia" w:ascii="Times New Roman" w:eastAsia="宋体" w:cs="Times New Roman"/>
          <w:color w:val="000000" w:themeColor="text1"/>
          <w:sz w:val="21"/>
          <w:szCs w:val="21"/>
          <w14:textFill>
            <w14:solidFill>
              <w14:schemeClr w14:val="tx1"/>
            </w14:solidFill>
          </w14:textFill>
        </w:rPr>
        <w:t>）违约赔偿金。以上延误违约赔偿金总金额累计不超过本项目建筑安装工程费用总价的百分之三（</w:t>
      </w:r>
      <w:r>
        <w:rPr>
          <w:rFonts w:ascii="Times New Roman" w:eastAsia="宋体" w:cs="Times New Roman"/>
          <w:color w:val="000000" w:themeColor="text1"/>
          <w:sz w:val="21"/>
          <w:szCs w:val="21"/>
          <w14:textFill>
            <w14:solidFill>
              <w14:schemeClr w14:val="tx1"/>
            </w14:solidFill>
          </w14:textFill>
        </w:rPr>
        <w:t>3%</w:t>
      </w:r>
      <w:r>
        <w:rPr>
          <w:rFonts w:hint="eastAsia" w:ascii="Times New Roman" w:eastAsia="宋体" w:cs="Times New Roman"/>
          <w:color w:val="000000" w:themeColor="text1"/>
          <w:sz w:val="21"/>
          <w:szCs w:val="21"/>
          <w14:textFill>
            <w14:solidFill>
              <w14:schemeClr w14:val="tx1"/>
            </w14:solidFill>
          </w14:textFill>
        </w:rPr>
        <w:t>）。总延误时间超出三（</w:t>
      </w:r>
      <w:r>
        <w:rPr>
          <w:rFonts w:ascii="Times New Roman" w:eastAsia="宋体" w:cs="Times New Roman"/>
          <w:color w:val="000000" w:themeColor="text1"/>
          <w:sz w:val="21"/>
          <w:szCs w:val="21"/>
          <w14:textFill>
            <w14:solidFill>
              <w14:schemeClr w14:val="tx1"/>
            </w14:solidFill>
          </w14:textFill>
        </w:rPr>
        <w:t>3</w:t>
      </w:r>
      <w:r>
        <w:rPr>
          <w:rFonts w:hint="eastAsia" w:ascii="Times New Roman" w:eastAsia="宋体" w:cs="Times New Roman"/>
          <w:color w:val="000000" w:themeColor="text1"/>
          <w:sz w:val="21"/>
          <w:szCs w:val="21"/>
          <w14:textFill>
            <w14:solidFill>
              <w14:schemeClr w14:val="tx1"/>
            </w14:solidFill>
          </w14:textFill>
        </w:rPr>
        <w:t>）个月时，甲方有权提前终止本合同。</w:t>
      </w:r>
    </w:p>
    <w:p>
      <w:pPr>
        <w:pStyle w:val="310"/>
        <w:numPr>
          <w:ilvl w:val="0"/>
          <w:numId w:val="70"/>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经书面通知后，乙方若对上述违约赔偿金的数额和支付方式没有异议的，应在通知中明确的期间内向甲方的指定账户支付上述违约赔偿金。若乙方未按时支付违约赔偿金，甲方可以从建设期履约保函中兑取相应金额；若建设期履约保函被全部兑取，甲方有权提前终止本合同。</w:t>
      </w:r>
    </w:p>
    <w:p>
      <w:pPr>
        <w:pStyle w:val="310"/>
        <w:numPr>
          <w:ilvl w:val="0"/>
          <w:numId w:val="70"/>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乙方对违约赔偿金的数额及支付方式有异议的，应按照本合同</w:t>
      </w:r>
      <w:r>
        <w:fldChar w:fldCharType="begin"/>
      </w:r>
      <w:r>
        <w:instrText xml:space="preserve"> HYPERLINK \l "_第_18_条" </w:instrText>
      </w:r>
      <w:r>
        <w:fldChar w:fldCharType="separate"/>
      </w:r>
      <w:r>
        <w:rPr>
          <w:rStyle w:val="54"/>
          <w:rFonts w:hint="eastAsia" w:ascii="Times New Roman"/>
          <w:color w:val="000000" w:themeColor="text1"/>
          <w:sz w:val="21"/>
          <w:szCs w:val="21"/>
          <w14:textFill>
            <w14:solidFill>
              <w14:schemeClr w14:val="tx1"/>
            </w14:solidFill>
          </w14:textFill>
        </w:rPr>
        <w:t>第</w:t>
      </w:r>
      <w:r>
        <w:rPr>
          <w:rStyle w:val="54"/>
          <w:rFonts w:ascii="Times New Roman"/>
          <w:color w:val="000000" w:themeColor="text1"/>
          <w:sz w:val="21"/>
          <w:szCs w:val="21"/>
          <w14:textFill>
            <w14:solidFill>
              <w14:schemeClr w14:val="tx1"/>
            </w14:solidFill>
          </w14:textFill>
        </w:rPr>
        <w:t>18</w:t>
      </w:r>
      <w:r>
        <w:rPr>
          <w:rStyle w:val="54"/>
          <w:rFonts w:hint="eastAsia" w:ascii="Times New Roman"/>
          <w:color w:val="000000" w:themeColor="text1"/>
          <w:sz w:val="21"/>
          <w:szCs w:val="21"/>
          <w14:textFill>
            <w14:solidFill>
              <w14:schemeClr w14:val="tx1"/>
            </w14:solidFill>
          </w14:textFill>
        </w:rPr>
        <w:t>条</w:t>
      </w:r>
      <w:r>
        <w:rPr>
          <w:rStyle w:val="54"/>
          <w:rFonts w:hint="eastAsia" w:ascii="Times New Roman"/>
          <w:color w:val="000000" w:themeColor="text1"/>
          <w:sz w:val="21"/>
          <w:szCs w:val="21"/>
          <w14:textFill>
            <w14:solidFill>
              <w14:schemeClr w14:val="tx1"/>
            </w14:solidFill>
          </w14:textFill>
        </w:rPr>
        <w:fldChar w:fldCharType="end"/>
      </w:r>
      <w:r>
        <w:rPr>
          <w:rFonts w:hint="eastAsia" w:ascii="Times New Roman" w:eastAsia="宋体" w:cs="Times New Roman"/>
          <w:color w:val="000000" w:themeColor="text1"/>
          <w:sz w:val="21"/>
          <w:szCs w:val="21"/>
          <w14:textFill>
            <w14:solidFill>
              <w14:schemeClr w14:val="tx1"/>
            </w14:solidFill>
          </w14:textFill>
        </w:rPr>
        <w:t>的规定解决争议。</w:t>
      </w:r>
    </w:p>
    <w:p>
      <w:pPr>
        <w:pStyle w:val="310"/>
        <w:numPr>
          <w:ilvl w:val="0"/>
          <w:numId w:val="70"/>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甲方获得第（</w:t>
      </w:r>
      <w:r>
        <w:rPr>
          <w:rFonts w:ascii="Times New Roman" w:eastAsia="宋体" w:cs="Times New Roman"/>
          <w:color w:val="000000" w:themeColor="text1"/>
          <w:sz w:val="21"/>
          <w:szCs w:val="21"/>
          <w14:textFill>
            <w14:solidFill>
              <w14:schemeClr w14:val="tx1"/>
            </w14:solidFill>
          </w14:textFill>
        </w:rPr>
        <w:t>a</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b</w:t>
      </w:r>
      <w:r>
        <w:rPr>
          <w:rFonts w:hint="eastAsia" w:ascii="Times New Roman" w:eastAsia="宋体" w:cs="Times New Roman"/>
          <w:color w:val="000000" w:themeColor="text1"/>
          <w:sz w:val="21"/>
          <w:szCs w:val="21"/>
          <w14:textFill>
            <w14:solidFill>
              <w14:schemeClr w14:val="tx1"/>
            </w14:solidFill>
          </w14:textFill>
        </w:rPr>
        <w:t>）条款规定的违约赔偿金的权利不应影响其在</w:t>
      </w:r>
      <w:r>
        <w:fldChar w:fldCharType="begin"/>
      </w:r>
      <w:r>
        <w:instrText xml:space="preserve"> HYPERLINK \l "_14.1_由甲方提出的提前终止" </w:instrText>
      </w:r>
      <w:r>
        <w:fldChar w:fldCharType="separate"/>
      </w:r>
      <w:r>
        <w:rPr>
          <w:rStyle w:val="54"/>
          <w:rFonts w:hint="eastAsia" w:ascii="Times New Roman"/>
          <w:color w:val="000000" w:themeColor="text1"/>
          <w:sz w:val="21"/>
          <w:szCs w:val="21"/>
          <w14:textFill>
            <w14:solidFill>
              <w14:schemeClr w14:val="tx1"/>
            </w14:solidFill>
          </w14:textFill>
        </w:rPr>
        <w:t>第</w:t>
      </w:r>
      <w:r>
        <w:rPr>
          <w:rStyle w:val="54"/>
          <w:rFonts w:ascii="Times New Roman"/>
          <w:color w:val="000000" w:themeColor="text1"/>
          <w:sz w:val="21"/>
          <w:szCs w:val="21"/>
          <w14:textFill>
            <w14:solidFill>
              <w14:schemeClr w14:val="tx1"/>
            </w14:solidFill>
          </w14:textFill>
        </w:rPr>
        <w:t>14.1</w:t>
      </w:r>
      <w:r>
        <w:rPr>
          <w:rStyle w:val="54"/>
          <w:rFonts w:hint="eastAsia" w:ascii="Times New Roman"/>
          <w:color w:val="000000" w:themeColor="text1"/>
          <w:sz w:val="21"/>
          <w:szCs w:val="21"/>
          <w14:textFill>
            <w14:solidFill>
              <w14:schemeClr w14:val="tx1"/>
            </w14:solidFill>
          </w14:textFill>
        </w:rPr>
        <w:t>条</w:t>
      </w:r>
      <w:r>
        <w:rPr>
          <w:rStyle w:val="54"/>
          <w:rFonts w:hint="eastAsia" w:ascii="Times New Roman"/>
          <w:color w:val="000000" w:themeColor="text1"/>
          <w:sz w:val="21"/>
          <w:szCs w:val="21"/>
          <w14:textFill>
            <w14:solidFill>
              <w14:schemeClr w14:val="tx1"/>
            </w14:solidFill>
          </w14:textFill>
        </w:rPr>
        <w:fldChar w:fldCharType="end"/>
      </w:r>
      <w:r>
        <w:rPr>
          <w:rFonts w:hint="eastAsia" w:ascii="Times New Roman" w:eastAsia="宋体" w:cs="Times New Roman"/>
          <w:color w:val="000000" w:themeColor="text1"/>
          <w:sz w:val="21"/>
          <w:szCs w:val="21"/>
          <w14:textFill>
            <w14:solidFill>
              <w14:schemeClr w14:val="tx1"/>
            </w14:solidFill>
          </w14:textFill>
        </w:rPr>
        <w:t>款下终止本合同的权利。</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7.15.3 </w:t>
      </w:r>
      <w:r>
        <w:rPr>
          <w:rFonts w:hint="eastAsia"/>
          <w:color w:val="000000" w:themeColor="text1"/>
          <w14:textFill>
            <w14:solidFill>
              <w14:schemeClr w14:val="tx1"/>
            </w14:solidFill>
          </w14:textFill>
        </w:rPr>
        <w:t>暂停</w:t>
      </w:r>
    </w:p>
    <w:p>
      <w:pPr>
        <w:pStyle w:val="310"/>
        <w:spacing w:line="360" w:lineRule="auto"/>
        <w:ind w:left="640" w:leftChars="305" w:firstLine="4" w:firstLineChars="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可随时指示乙方暂停进行部分或全部工程。在暂停期间，乙方及承包商应保护、保管以及保障该部分或全部工程免遭任何损蚀、损失或损害。若此类暂时停工是由于非乙方及其承包商原因造成的，则工期予以顺延。若暂时停工是由于乙方及其承包商原因造成的，则工期不予顺延，由此造成工程延误的，乙方应向甲方支付相应的违约赔偿金。</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7.15.4 </w:t>
      </w:r>
      <w:r>
        <w:rPr>
          <w:rFonts w:hint="eastAsia"/>
          <w:color w:val="000000" w:themeColor="text1"/>
          <w14:textFill>
            <w14:solidFill>
              <w14:schemeClr w14:val="tx1"/>
            </w14:solidFill>
          </w14:textFill>
        </w:rPr>
        <w:t>复工</w:t>
      </w:r>
    </w:p>
    <w:p>
      <w:pPr>
        <w:pStyle w:val="310"/>
        <w:spacing w:line="360" w:lineRule="auto"/>
        <w:ind w:left="640" w:leftChars="305" w:firstLine="4" w:firstLineChars="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收到甲方继续工程建设的许可或指示后，乙方及其承包商应修复在暂停期间发生在工程或工程设备或材料中的任何损蚀、损失或损害。若此类暂时停工是由于非乙方及其承包商原因造成的，此种修复的费用由甲方承担。若暂时停工是由于乙方及其承包商原因造成的，此种修复的费用由乙方及其承包商承担。</w:t>
      </w:r>
    </w:p>
    <w:p>
      <w:pPr>
        <w:pStyle w:val="4"/>
        <w:rPr>
          <w:color w:val="000000" w:themeColor="text1"/>
          <w14:textFill>
            <w14:solidFill>
              <w14:schemeClr w14:val="tx1"/>
            </w14:solidFill>
          </w14:textFill>
        </w:rPr>
      </w:pPr>
      <w:bookmarkStart w:id="500" w:name="_Toc491857596"/>
      <w:bookmarkStart w:id="501" w:name="_Toc495845996"/>
      <w:bookmarkStart w:id="502" w:name="_Toc496299603"/>
      <w:bookmarkStart w:id="503" w:name="_Toc516399761"/>
      <w:bookmarkStart w:id="504" w:name="_Toc522635537"/>
      <w:r>
        <w:rPr>
          <w:color w:val="000000" w:themeColor="text1"/>
          <w14:textFill>
            <w14:solidFill>
              <w14:schemeClr w14:val="tx1"/>
            </w14:solidFill>
          </w14:textFill>
        </w:rPr>
        <w:t xml:space="preserve">7.16 </w:t>
      </w:r>
      <w:r>
        <w:rPr>
          <w:rFonts w:hint="eastAsia"/>
          <w:color w:val="000000" w:themeColor="text1"/>
          <w14:textFill>
            <w14:solidFill>
              <w14:schemeClr w14:val="tx1"/>
            </w14:solidFill>
          </w14:textFill>
        </w:rPr>
        <w:t>验收和运营</w:t>
      </w:r>
      <w:bookmarkEnd w:id="500"/>
      <w:bookmarkEnd w:id="501"/>
      <w:bookmarkEnd w:id="502"/>
      <w:bookmarkEnd w:id="503"/>
      <w:bookmarkEnd w:id="504"/>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7.16.1 </w:t>
      </w:r>
      <w:r>
        <w:rPr>
          <w:rFonts w:hint="eastAsia"/>
          <w:color w:val="000000" w:themeColor="text1"/>
          <w14:textFill>
            <w14:solidFill>
              <w14:schemeClr w14:val="tx1"/>
            </w14:solidFill>
          </w14:textFill>
        </w:rPr>
        <w:t>验收</w:t>
      </w:r>
    </w:p>
    <w:p>
      <w:pPr>
        <w:pStyle w:val="310"/>
        <w:numPr>
          <w:ilvl w:val="0"/>
          <w:numId w:val="71"/>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验收标准：按照国家和省市颁布的有关相应的工程验收规范进行验收，并保证工程符合本合同要求的验收质量。</w:t>
      </w:r>
    </w:p>
    <w:p>
      <w:pPr>
        <w:pStyle w:val="310"/>
        <w:numPr>
          <w:ilvl w:val="0"/>
          <w:numId w:val="71"/>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乙方应在约定完工日前实现项目工程完工，并应按照本合同和适用法律的规定通过竣工验收。</w:t>
      </w:r>
    </w:p>
    <w:p>
      <w:pPr>
        <w:pStyle w:val="310"/>
        <w:numPr>
          <w:ilvl w:val="0"/>
          <w:numId w:val="71"/>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乙方应在工程建设完成且具备验收条件时，组织工程竣工验收。竣工验收应在工程建设项目全部完成并满足适用法律规定进行</w:t>
      </w:r>
      <w:r>
        <w:rPr>
          <w:rFonts w:hint="eastAsia" w:ascii="Times New Roman" w:eastAsia="宋体" w:cs="Times New Roman"/>
          <w:color w:val="auto"/>
          <w:sz w:val="21"/>
          <w:szCs w:val="21"/>
        </w:rPr>
        <w:t>【本项目按市政工程适用】</w:t>
      </w:r>
      <w:r>
        <w:rPr>
          <w:rFonts w:hint="eastAsia" w:ascii="Times New Roman" w:eastAsia="宋体" w:cs="Times New Roman"/>
          <w:color w:val="000000" w:themeColor="text1"/>
          <w:sz w:val="21"/>
          <w:szCs w:val="21"/>
          <w14:textFill>
            <w14:solidFill>
              <w14:schemeClr w14:val="tx1"/>
            </w14:solidFill>
          </w14:textFill>
        </w:rPr>
        <w:t>。</w:t>
      </w:r>
    </w:p>
    <w:p>
      <w:pPr>
        <w:pStyle w:val="310"/>
        <w:numPr>
          <w:ilvl w:val="0"/>
          <w:numId w:val="71"/>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隐蔽工程验收：按照相关规定完成隐蔽验收。</w:t>
      </w:r>
      <w:r>
        <w:rPr>
          <w:rFonts w:ascii="Times New Roman" w:eastAsia="宋体" w:cs="Times New Roman"/>
          <w:color w:val="000000" w:themeColor="text1"/>
          <w:sz w:val="21"/>
          <w:szCs w:val="21"/>
          <w14:textFill>
            <w14:solidFill>
              <w14:schemeClr w14:val="tx1"/>
            </w14:solidFill>
          </w14:textFill>
        </w:rPr>
        <w:t xml:space="preserve"> </w:t>
      </w:r>
    </w:p>
    <w:p>
      <w:pPr>
        <w:pStyle w:val="310"/>
        <w:numPr>
          <w:ilvl w:val="0"/>
          <w:numId w:val="71"/>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乙方应在工程建设完成，且具备竣工验收条件时，向甲方提出竣工验收申请，甲方应在收到申请之日起三十（</w:t>
      </w:r>
      <w:r>
        <w:rPr>
          <w:rFonts w:ascii="Times New Roman" w:eastAsia="宋体" w:cs="Times New Roman"/>
          <w:color w:val="000000" w:themeColor="text1"/>
          <w:sz w:val="21"/>
          <w:szCs w:val="21"/>
          <w14:textFill>
            <w14:solidFill>
              <w14:schemeClr w14:val="tx1"/>
            </w14:solidFill>
          </w14:textFill>
        </w:rPr>
        <w:t>30</w:t>
      </w:r>
      <w:r>
        <w:rPr>
          <w:rFonts w:hint="eastAsia" w:ascii="Times New Roman" w:eastAsia="宋体" w:cs="Times New Roman"/>
          <w:color w:val="000000" w:themeColor="text1"/>
          <w:sz w:val="21"/>
          <w:szCs w:val="21"/>
          <w14:textFill>
            <w14:solidFill>
              <w14:schemeClr w14:val="tx1"/>
            </w14:solidFill>
          </w14:textFill>
        </w:rPr>
        <w:t>）个工作日内组织完成工程竣工验收，并向乙方签发竣工验收是否合格的书面文件。甲方在收到乙方书面竣工验收申请之日起</w:t>
      </w:r>
      <w:bookmarkStart w:id="505" w:name="OLE_LINK2"/>
      <w:bookmarkStart w:id="506" w:name="OLE_LINK3"/>
      <w:r>
        <w:rPr>
          <w:rFonts w:hint="eastAsia" w:ascii="Times New Roman" w:eastAsia="宋体" w:cs="Times New Roman"/>
          <w:color w:val="000000" w:themeColor="text1"/>
          <w:sz w:val="21"/>
          <w:szCs w:val="21"/>
          <w14:textFill>
            <w14:solidFill>
              <w14:schemeClr w14:val="tx1"/>
            </w14:solidFill>
          </w14:textFill>
        </w:rPr>
        <w:t>三十（</w:t>
      </w:r>
      <w:r>
        <w:rPr>
          <w:rFonts w:ascii="Times New Roman" w:eastAsia="宋体" w:cs="Times New Roman"/>
          <w:color w:val="000000" w:themeColor="text1"/>
          <w:sz w:val="21"/>
          <w:szCs w:val="21"/>
          <w14:textFill>
            <w14:solidFill>
              <w14:schemeClr w14:val="tx1"/>
            </w14:solidFill>
          </w14:textFill>
        </w:rPr>
        <w:t>30</w:t>
      </w:r>
      <w:r>
        <w:rPr>
          <w:rFonts w:hint="eastAsia" w:ascii="Times New Roman" w:eastAsia="宋体" w:cs="Times New Roman"/>
          <w:color w:val="000000" w:themeColor="text1"/>
          <w:sz w:val="21"/>
          <w:szCs w:val="21"/>
          <w14:textFill>
            <w14:solidFill>
              <w14:schemeClr w14:val="tx1"/>
            </w14:solidFill>
          </w14:textFill>
        </w:rPr>
        <w:t>）</w:t>
      </w:r>
      <w:bookmarkEnd w:id="505"/>
      <w:bookmarkEnd w:id="506"/>
      <w:r>
        <w:rPr>
          <w:rFonts w:hint="eastAsia" w:ascii="Times New Roman" w:eastAsia="宋体" w:cs="Times New Roman"/>
          <w:color w:val="000000" w:themeColor="text1"/>
          <w:sz w:val="21"/>
          <w:szCs w:val="21"/>
          <w14:textFill>
            <w14:solidFill>
              <w14:schemeClr w14:val="tx1"/>
            </w14:solidFill>
          </w14:textFill>
        </w:rPr>
        <w:t>个工作日内，未完成竣工验收或未出具竣工验收是否合格的书面文件的，自甲方在收到乙方书面竣工验收申请之日起满三十（</w:t>
      </w:r>
      <w:r>
        <w:rPr>
          <w:rFonts w:ascii="Times New Roman" w:eastAsia="宋体" w:cs="Times New Roman"/>
          <w:color w:val="000000" w:themeColor="text1"/>
          <w:sz w:val="21"/>
          <w:szCs w:val="21"/>
          <w14:textFill>
            <w14:solidFill>
              <w14:schemeClr w14:val="tx1"/>
            </w14:solidFill>
          </w14:textFill>
        </w:rPr>
        <w:t>30</w:t>
      </w:r>
      <w:r>
        <w:rPr>
          <w:rFonts w:hint="eastAsia" w:ascii="Times New Roman" w:eastAsia="宋体" w:cs="Times New Roman"/>
          <w:color w:val="000000" w:themeColor="text1"/>
          <w:sz w:val="21"/>
          <w:szCs w:val="21"/>
          <w14:textFill>
            <w14:solidFill>
              <w14:schemeClr w14:val="tx1"/>
            </w14:solidFill>
          </w14:textFill>
        </w:rPr>
        <w:t>）个工作日之日视为竣工验收合格。</w:t>
      </w:r>
    </w:p>
    <w:p>
      <w:pPr>
        <w:pStyle w:val="310"/>
        <w:numPr>
          <w:ilvl w:val="0"/>
          <w:numId w:val="71"/>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如因乙方原因导致工程存在某一方面的瑕疵致使工程未通过竣工验收，乙方应当根据有关验收部门和甲方的意见及时采取措施予以整改或完善，并再次申请进行相关验收，直到通过该等验收为止，相关费用由乙方自行承担，不得计入</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总投资。</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7.16.2 </w:t>
      </w:r>
      <w:r>
        <w:rPr>
          <w:rFonts w:hint="eastAsia"/>
          <w:color w:val="000000" w:themeColor="text1"/>
          <w14:textFill>
            <w14:solidFill>
              <w14:schemeClr w14:val="tx1"/>
            </w14:solidFill>
          </w14:textFill>
        </w:rPr>
        <w:t>投入运营</w:t>
      </w:r>
    </w:p>
    <w:p>
      <w:pPr>
        <w:pStyle w:val="310"/>
        <w:numPr>
          <w:ilvl w:val="0"/>
          <w:numId w:val="72"/>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本项目工程通车日次日，即自动进入运营期。</w:t>
      </w:r>
    </w:p>
    <w:p>
      <w:pPr>
        <w:pStyle w:val="310"/>
        <w:numPr>
          <w:ilvl w:val="0"/>
          <w:numId w:val="72"/>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自运营开始日或视为同意运营开始日（含当日）起，乙方有义务提供运营服务，并根据</w:t>
      </w:r>
      <w:r>
        <w:fldChar w:fldCharType="begin"/>
      </w:r>
      <w:r>
        <w:instrText xml:space="preserve"> HYPERLINK \l "_第_10_条" </w:instrText>
      </w:r>
      <w:r>
        <w:fldChar w:fldCharType="separate"/>
      </w:r>
      <w:r>
        <w:rPr>
          <w:rStyle w:val="54"/>
          <w:rFonts w:hint="eastAsia" w:ascii="Times New Roman"/>
          <w:color w:val="000000" w:themeColor="text1"/>
          <w:sz w:val="21"/>
          <w:szCs w:val="21"/>
          <w14:textFill>
            <w14:solidFill>
              <w14:schemeClr w14:val="tx1"/>
            </w14:solidFill>
          </w14:textFill>
        </w:rPr>
        <w:t>第</w:t>
      </w:r>
      <w:r>
        <w:rPr>
          <w:rStyle w:val="54"/>
          <w:rFonts w:ascii="Times New Roman"/>
          <w:color w:val="000000" w:themeColor="text1"/>
          <w:sz w:val="21"/>
          <w:szCs w:val="21"/>
          <w14:textFill>
            <w14:solidFill>
              <w14:schemeClr w14:val="tx1"/>
            </w14:solidFill>
          </w14:textFill>
        </w:rPr>
        <w:t>10</w:t>
      </w:r>
      <w:r>
        <w:rPr>
          <w:rStyle w:val="54"/>
          <w:rFonts w:hint="eastAsia" w:ascii="Times New Roman"/>
          <w:color w:val="000000" w:themeColor="text1"/>
          <w:sz w:val="21"/>
          <w:szCs w:val="21"/>
          <w14:textFill>
            <w14:solidFill>
              <w14:schemeClr w14:val="tx1"/>
            </w14:solidFill>
          </w14:textFill>
        </w:rPr>
        <w:t>条</w:t>
      </w:r>
      <w:r>
        <w:rPr>
          <w:rStyle w:val="54"/>
          <w:rFonts w:hint="eastAsia" w:ascii="Times New Roman"/>
          <w:color w:val="000000" w:themeColor="text1"/>
          <w:sz w:val="21"/>
          <w:szCs w:val="21"/>
          <w14:textFill>
            <w14:solidFill>
              <w14:schemeClr w14:val="tx1"/>
            </w14:solidFill>
          </w14:textFill>
        </w:rPr>
        <w:fldChar w:fldCharType="end"/>
      </w:r>
      <w:r>
        <w:rPr>
          <w:rFonts w:hint="eastAsia" w:ascii="Times New Roman" w:eastAsia="宋体" w:cs="Times New Roman"/>
          <w:color w:val="000000" w:themeColor="text1"/>
          <w:sz w:val="21"/>
          <w:szCs w:val="21"/>
          <w14:textFill>
            <w14:solidFill>
              <w14:schemeClr w14:val="tx1"/>
            </w14:solidFill>
          </w14:textFill>
        </w:rPr>
        <w:t>向甲方收取可行性缺口补助。</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7.16.3 </w:t>
      </w:r>
      <w:r>
        <w:rPr>
          <w:rFonts w:hint="eastAsia"/>
          <w:color w:val="000000" w:themeColor="text1"/>
          <w14:textFill>
            <w14:solidFill>
              <w14:schemeClr w14:val="tx1"/>
            </w14:solidFill>
          </w14:textFill>
        </w:rPr>
        <w:t>工程造价审计（价）</w:t>
      </w:r>
    </w:p>
    <w:p>
      <w:pPr>
        <w:pStyle w:val="310"/>
        <w:numPr>
          <w:ilvl w:val="0"/>
          <w:numId w:val="73"/>
        </w:numPr>
        <w:spacing w:line="360" w:lineRule="auto"/>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本项目建设期内，由审计（价）机构对本项目进行全过程跟踪审计（价）；</w:t>
      </w:r>
    </w:p>
    <w:p>
      <w:pPr>
        <w:pStyle w:val="310"/>
        <w:numPr>
          <w:ilvl w:val="0"/>
          <w:numId w:val="73"/>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项目工程竣工验收后，乙方应按照《杭州市房屋建筑工程和市政基础工程竣工验收备案管理实施细则》规定及时向甲方和审计（价）机构提供完整的竣工财务决算及相关档案。在乙方提交资料齐全的情况下，审计（价）机构应按照适用法律及时完成竣工审计，并出具竣工审计报告。</w:t>
      </w:r>
    </w:p>
    <w:p>
      <w:pPr>
        <w:pStyle w:val="310"/>
        <w:numPr>
          <w:ilvl w:val="0"/>
          <w:numId w:val="73"/>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乙方对审核报告结果有异议的，双方应充分听取设计单位和监理单位的意见，必要时甲方及乙方可共同委托有资质的审计（价）机构对项目的全部投资进行造价审核；</w:t>
      </w:r>
    </w:p>
    <w:p>
      <w:pPr>
        <w:pStyle w:val="310"/>
        <w:numPr>
          <w:ilvl w:val="0"/>
          <w:numId w:val="73"/>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审计（价）机构核减乙方提交的工程结算额在</w:t>
      </w:r>
      <w:r>
        <w:rPr>
          <w:rFonts w:ascii="Times New Roman" w:eastAsia="宋体" w:cs="Times New Roman"/>
          <w:color w:val="000000" w:themeColor="text1"/>
          <w:sz w:val="21"/>
          <w:szCs w:val="21"/>
          <w14:textFill>
            <w14:solidFill>
              <w14:schemeClr w14:val="tx1"/>
            </w14:solidFill>
          </w14:textFill>
        </w:rPr>
        <w:t>5%</w:t>
      </w:r>
      <w:r>
        <w:rPr>
          <w:rFonts w:hint="eastAsia" w:ascii="Times New Roman" w:eastAsia="宋体" w:cs="Times New Roman"/>
          <w:color w:val="000000" w:themeColor="text1"/>
          <w:sz w:val="21"/>
          <w:szCs w:val="21"/>
          <w14:textFill>
            <w14:solidFill>
              <w14:schemeClr w14:val="tx1"/>
            </w14:solidFill>
          </w14:textFill>
        </w:rPr>
        <w:t>以上的造价审核费用由乙方承担。</w:t>
      </w:r>
    </w:p>
    <w:p>
      <w:pPr>
        <w:pStyle w:val="4"/>
        <w:rPr>
          <w:color w:val="000000" w:themeColor="text1"/>
          <w14:textFill>
            <w14:solidFill>
              <w14:schemeClr w14:val="tx1"/>
            </w14:solidFill>
          </w14:textFill>
        </w:rPr>
      </w:pPr>
      <w:bookmarkStart w:id="507" w:name="_Toc440797833"/>
      <w:bookmarkStart w:id="508" w:name="_Toc491857597"/>
      <w:bookmarkStart w:id="509" w:name="_Toc495845997"/>
      <w:bookmarkStart w:id="510" w:name="_Toc496299604"/>
      <w:bookmarkStart w:id="511" w:name="_Toc516399762"/>
      <w:bookmarkStart w:id="512" w:name="_Toc522635538"/>
      <w:r>
        <w:rPr>
          <w:color w:val="000000" w:themeColor="text1"/>
          <w14:textFill>
            <w14:solidFill>
              <w14:schemeClr w14:val="tx1"/>
            </w14:solidFill>
          </w14:textFill>
        </w:rPr>
        <w:t>7.17</w:t>
      </w:r>
      <w:bookmarkEnd w:id="507"/>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建设的放弃</w:t>
      </w:r>
      <w:bookmarkEnd w:id="508"/>
      <w:bookmarkEnd w:id="509"/>
      <w:bookmarkEnd w:id="510"/>
      <w:bookmarkEnd w:id="511"/>
      <w:bookmarkEnd w:id="512"/>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7.17.1 </w:t>
      </w:r>
      <w:r>
        <w:rPr>
          <w:rFonts w:hint="eastAsia"/>
          <w:color w:val="000000" w:themeColor="text1"/>
          <w14:textFill>
            <w14:solidFill>
              <w14:schemeClr w14:val="tx1"/>
            </w14:solidFill>
          </w14:textFill>
        </w:rPr>
        <w:t>放弃</w:t>
      </w:r>
    </w:p>
    <w:p>
      <w:pPr>
        <w:pStyle w:val="310"/>
        <w:spacing w:line="360" w:lineRule="auto"/>
        <w:ind w:left="642" w:leftChars="306" w:firstLine="4"/>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乙方以书面形式表示放弃本项目建设。</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7.17.2 </w:t>
      </w:r>
      <w:r>
        <w:rPr>
          <w:rFonts w:hint="eastAsia"/>
          <w:color w:val="000000" w:themeColor="text1"/>
          <w14:textFill>
            <w14:solidFill>
              <w14:schemeClr w14:val="tx1"/>
            </w14:solidFill>
          </w14:textFill>
        </w:rPr>
        <w:t>视为放弃</w:t>
      </w:r>
    </w:p>
    <w:p>
      <w:pPr>
        <w:pStyle w:val="310"/>
        <w:spacing w:line="360" w:lineRule="auto"/>
        <w:ind w:left="642" w:leftChars="305" w:hanging="2"/>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除第</w:t>
      </w:r>
      <w:r>
        <w:rPr>
          <w:rFonts w:ascii="Times New Roman" w:eastAsia="宋体" w:cs="Times New Roman"/>
          <w:color w:val="000000" w:themeColor="text1"/>
          <w:sz w:val="21"/>
          <w:szCs w:val="21"/>
          <w14:textFill>
            <w14:solidFill>
              <w14:schemeClr w14:val="tx1"/>
            </w14:solidFill>
          </w14:textFill>
        </w:rPr>
        <w:t>7.4.5</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a</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b</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c</w:t>
      </w:r>
      <w:r>
        <w:rPr>
          <w:rFonts w:hint="eastAsia" w:ascii="Times New Roman" w:eastAsia="宋体" w:cs="Times New Roman"/>
          <w:color w:val="000000" w:themeColor="text1"/>
          <w:sz w:val="21"/>
          <w:szCs w:val="21"/>
          <w14:textFill>
            <w14:solidFill>
              <w14:schemeClr w14:val="tx1"/>
            </w14:solidFill>
          </w14:textFill>
        </w:rPr>
        <w:t>）条款或甲方违约事件以外的任何原因，如果乙方出现下列情况，则建设期提前终止，项目应视为已被放弃：</w:t>
      </w:r>
    </w:p>
    <w:p>
      <w:pPr>
        <w:pStyle w:val="310"/>
        <w:numPr>
          <w:ilvl w:val="0"/>
          <w:numId w:val="74"/>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书面通知甲方其已终止任一部分项目工程，且不打算重新开始施工；</w:t>
      </w:r>
    </w:p>
    <w:p>
      <w:pPr>
        <w:pStyle w:val="310"/>
        <w:numPr>
          <w:ilvl w:val="0"/>
          <w:numId w:val="74"/>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由于乙方原因未能在第</w:t>
      </w:r>
      <w:r>
        <w:rPr>
          <w:rFonts w:ascii="Times New Roman" w:eastAsia="宋体" w:cs="Times New Roman"/>
          <w:color w:val="000000" w:themeColor="text1"/>
          <w:sz w:val="21"/>
          <w:szCs w:val="21"/>
          <w14:textFill>
            <w14:solidFill>
              <w14:schemeClr w14:val="tx1"/>
            </w14:solidFill>
          </w14:textFill>
        </w:rPr>
        <w:t>7.4.1</w:t>
      </w:r>
      <w:r>
        <w:rPr>
          <w:rFonts w:hint="eastAsia" w:ascii="Times New Roman" w:eastAsia="宋体" w:cs="Times New Roman"/>
          <w:color w:val="000000" w:themeColor="text1"/>
          <w:sz w:val="21"/>
          <w:szCs w:val="21"/>
          <w14:textFill>
            <w14:solidFill>
              <w14:schemeClr w14:val="tx1"/>
            </w14:solidFill>
          </w14:textFill>
        </w:rPr>
        <w:t>条款规定的开始建设工程日期（根据第</w:t>
      </w:r>
      <w:r>
        <w:rPr>
          <w:rFonts w:ascii="Times New Roman" w:eastAsia="宋体" w:cs="Times New Roman"/>
          <w:color w:val="000000" w:themeColor="text1"/>
          <w:sz w:val="21"/>
          <w:szCs w:val="21"/>
          <w14:textFill>
            <w14:solidFill>
              <w14:schemeClr w14:val="tx1"/>
            </w14:solidFill>
          </w14:textFill>
        </w:rPr>
        <w:t>7.4.7</w:t>
      </w:r>
      <w:r>
        <w:rPr>
          <w:rFonts w:hint="eastAsia" w:ascii="Times New Roman" w:eastAsia="宋体" w:cs="Times New Roman"/>
          <w:color w:val="000000" w:themeColor="text1"/>
          <w:sz w:val="21"/>
          <w:szCs w:val="21"/>
          <w14:textFill>
            <w14:solidFill>
              <w14:schemeClr w14:val="tx1"/>
            </w14:solidFill>
          </w14:textFill>
        </w:rPr>
        <w:t>条款规定可予以延长）后三十（</w:t>
      </w:r>
      <w:r>
        <w:rPr>
          <w:rFonts w:ascii="Times New Roman" w:eastAsia="宋体" w:cs="Times New Roman"/>
          <w:color w:val="000000" w:themeColor="text1"/>
          <w:sz w:val="21"/>
          <w:szCs w:val="21"/>
          <w14:textFill>
            <w14:solidFill>
              <w14:schemeClr w14:val="tx1"/>
            </w14:solidFill>
          </w14:textFill>
        </w:rPr>
        <w:t>30</w:t>
      </w:r>
      <w:r>
        <w:rPr>
          <w:rFonts w:hint="eastAsia" w:ascii="Times New Roman" w:eastAsia="宋体" w:cs="Times New Roman"/>
          <w:color w:val="000000" w:themeColor="text1"/>
          <w:sz w:val="21"/>
          <w:szCs w:val="21"/>
          <w14:textFill>
            <w14:solidFill>
              <w14:schemeClr w14:val="tx1"/>
            </w14:solidFill>
          </w14:textFill>
        </w:rPr>
        <w:t>）日内开始建设工程；</w:t>
      </w:r>
    </w:p>
    <w:p>
      <w:pPr>
        <w:pStyle w:val="310"/>
        <w:numPr>
          <w:ilvl w:val="0"/>
          <w:numId w:val="74"/>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尽管有第</w:t>
      </w:r>
      <w:r>
        <w:rPr>
          <w:rFonts w:ascii="Times New Roman" w:eastAsia="宋体" w:cs="Times New Roman"/>
          <w:color w:val="000000" w:themeColor="text1"/>
          <w:sz w:val="21"/>
          <w:szCs w:val="21"/>
          <w14:textFill>
            <w14:solidFill>
              <w14:schemeClr w14:val="tx1"/>
            </w14:solidFill>
          </w14:textFill>
        </w:rPr>
        <w:t>7.4.5</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a</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b</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c</w:t>
      </w:r>
      <w:r>
        <w:rPr>
          <w:rFonts w:hint="eastAsia" w:ascii="Times New Roman" w:eastAsia="宋体" w:cs="Times New Roman"/>
          <w:color w:val="000000" w:themeColor="text1"/>
          <w:sz w:val="21"/>
          <w:szCs w:val="21"/>
          <w14:textFill>
            <w14:solidFill>
              <w14:schemeClr w14:val="tx1"/>
            </w14:solidFill>
          </w14:textFill>
        </w:rPr>
        <w:t>）条款或甲方违约事件规定的情况发生并导致项目建设暂停，但在该等情况结束后，如本项目仍然具备继续施工的条件，乙方未能在此后三十（</w:t>
      </w:r>
      <w:r>
        <w:rPr>
          <w:rFonts w:ascii="Times New Roman" w:eastAsia="宋体" w:cs="Times New Roman"/>
          <w:color w:val="000000" w:themeColor="text1"/>
          <w:sz w:val="21"/>
          <w:szCs w:val="21"/>
          <w14:textFill>
            <w14:solidFill>
              <w14:schemeClr w14:val="tx1"/>
            </w14:solidFill>
          </w14:textFill>
        </w:rPr>
        <w:t>30</w:t>
      </w:r>
      <w:r>
        <w:rPr>
          <w:rFonts w:hint="eastAsia" w:ascii="Times New Roman" w:eastAsia="宋体" w:cs="Times New Roman"/>
          <w:color w:val="000000" w:themeColor="text1"/>
          <w:sz w:val="21"/>
          <w:szCs w:val="21"/>
          <w14:textFill>
            <w14:solidFill>
              <w14:schemeClr w14:val="tx1"/>
            </w14:solidFill>
          </w14:textFill>
        </w:rPr>
        <w:t>）日内恢复建设工程施工；</w:t>
      </w:r>
      <w:r>
        <w:rPr>
          <w:rFonts w:ascii="Times New Roman" w:eastAsia="宋体" w:cs="Times New Roman"/>
          <w:color w:val="000000" w:themeColor="text1"/>
          <w:sz w:val="21"/>
          <w:szCs w:val="21"/>
          <w14:textFill>
            <w14:solidFill>
              <w14:schemeClr w14:val="tx1"/>
            </w14:solidFill>
          </w14:textFill>
        </w:rPr>
        <w:t xml:space="preserve"> </w:t>
      </w:r>
    </w:p>
    <w:p>
      <w:pPr>
        <w:pStyle w:val="310"/>
        <w:numPr>
          <w:ilvl w:val="0"/>
          <w:numId w:val="74"/>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出于任何其他原因在运营开始日前停止工程建设或直接或通过施工承包商撤走场地全部或大部分的工作人员，因更换施工承包商导致撤走全部或大部分工作人员的除外，但该等更换应当自建设工程停工之日起七（</w:t>
      </w:r>
      <w:r>
        <w:rPr>
          <w:rFonts w:ascii="Times New Roman" w:eastAsia="宋体" w:cs="Times New Roman"/>
          <w:color w:val="000000" w:themeColor="text1"/>
          <w:sz w:val="21"/>
          <w:szCs w:val="21"/>
          <w14:textFill>
            <w14:solidFill>
              <w14:schemeClr w14:val="tx1"/>
            </w14:solidFill>
          </w14:textFill>
        </w:rPr>
        <w:t>7</w:t>
      </w:r>
      <w:r>
        <w:rPr>
          <w:rFonts w:hint="eastAsia" w:ascii="Times New Roman" w:eastAsia="宋体" w:cs="Times New Roman"/>
          <w:color w:val="000000" w:themeColor="text1"/>
          <w:sz w:val="21"/>
          <w:szCs w:val="21"/>
          <w14:textFill>
            <w14:solidFill>
              <w14:schemeClr w14:val="tx1"/>
            </w14:solidFill>
          </w14:textFill>
        </w:rPr>
        <w:t>）日内完成；</w:t>
      </w:r>
      <w:r>
        <w:rPr>
          <w:rFonts w:ascii="Times New Roman" w:eastAsia="宋体" w:cs="Times New Roman"/>
          <w:color w:val="000000" w:themeColor="text1"/>
          <w:sz w:val="21"/>
          <w:szCs w:val="21"/>
          <w14:textFill>
            <w14:solidFill>
              <w14:schemeClr w14:val="tx1"/>
            </w14:solidFill>
          </w14:textFill>
        </w:rPr>
        <w:t xml:space="preserve"> </w:t>
      </w:r>
    </w:p>
    <w:p>
      <w:pPr>
        <w:pStyle w:val="310"/>
        <w:numPr>
          <w:ilvl w:val="0"/>
          <w:numId w:val="74"/>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未能在获得甲方书面确认的运营开始日（根据第</w:t>
      </w:r>
      <w:r>
        <w:rPr>
          <w:rFonts w:ascii="Times New Roman" w:eastAsia="宋体" w:cs="Times New Roman"/>
          <w:color w:val="000000" w:themeColor="text1"/>
          <w:sz w:val="21"/>
          <w:szCs w:val="21"/>
          <w14:textFill>
            <w14:solidFill>
              <w14:schemeClr w14:val="tx1"/>
            </w14:solidFill>
          </w14:textFill>
        </w:rPr>
        <w:t>7.4.6</w:t>
      </w:r>
      <w:r>
        <w:rPr>
          <w:rFonts w:hint="eastAsia" w:ascii="Times New Roman" w:eastAsia="宋体" w:cs="Times New Roman"/>
          <w:color w:val="000000" w:themeColor="text1"/>
          <w:sz w:val="21"/>
          <w:szCs w:val="21"/>
          <w14:textFill>
            <w14:solidFill>
              <w14:schemeClr w14:val="tx1"/>
            </w14:solidFill>
          </w14:textFill>
        </w:rPr>
        <w:t>条款规定可予以延长）后九十（</w:t>
      </w:r>
      <w:r>
        <w:rPr>
          <w:rFonts w:ascii="Times New Roman" w:eastAsia="宋体" w:cs="Times New Roman"/>
          <w:color w:val="000000" w:themeColor="text1"/>
          <w:sz w:val="21"/>
          <w:szCs w:val="21"/>
          <w14:textFill>
            <w14:solidFill>
              <w14:schemeClr w14:val="tx1"/>
            </w14:solidFill>
          </w14:textFill>
        </w:rPr>
        <w:t>90</w:t>
      </w:r>
      <w:r>
        <w:rPr>
          <w:rFonts w:hint="eastAsia" w:ascii="Times New Roman" w:eastAsia="宋体" w:cs="Times New Roman"/>
          <w:color w:val="000000" w:themeColor="text1"/>
          <w:sz w:val="21"/>
          <w:szCs w:val="21"/>
          <w14:textFill>
            <w14:solidFill>
              <w14:schemeClr w14:val="tx1"/>
            </w14:solidFill>
          </w14:textFill>
        </w:rPr>
        <w:t>）日内开始运营。</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7.17.3 </w:t>
      </w:r>
      <w:r>
        <w:rPr>
          <w:rFonts w:hint="eastAsia"/>
          <w:color w:val="000000" w:themeColor="text1"/>
          <w14:textFill>
            <w14:solidFill>
              <w14:schemeClr w14:val="tx1"/>
            </w14:solidFill>
          </w14:textFill>
        </w:rPr>
        <w:t>如果发生第</w:t>
      </w:r>
      <w:r>
        <w:rPr>
          <w:color w:val="000000" w:themeColor="text1"/>
          <w14:textFill>
            <w14:solidFill>
              <w14:schemeClr w14:val="tx1"/>
            </w14:solidFill>
          </w14:textFill>
        </w:rPr>
        <w:t>7.4.5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c</w:t>
      </w:r>
      <w:r>
        <w:rPr>
          <w:rFonts w:hint="eastAsia"/>
          <w:color w:val="000000" w:themeColor="text1"/>
          <w14:textFill>
            <w14:solidFill>
              <w14:schemeClr w14:val="tx1"/>
            </w14:solidFill>
          </w14:textFill>
        </w:rPr>
        <w:t>）条款规定的任何情形，而双方未能就有关进度日期的最后期限达成一致，乙方可以提出放弃。</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7.17.4 </w:t>
      </w:r>
      <w:r>
        <w:rPr>
          <w:rFonts w:hint="eastAsia"/>
          <w:color w:val="000000" w:themeColor="text1"/>
          <w14:textFill>
            <w14:solidFill>
              <w14:schemeClr w14:val="tx1"/>
            </w14:solidFill>
          </w14:textFill>
        </w:rPr>
        <w:t>除第</w:t>
      </w:r>
      <w:r>
        <w:rPr>
          <w:color w:val="000000" w:themeColor="text1"/>
          <w14:textFill>
            <w14:solidFill>
              <w14:schemeClr w14:val="tx1"/>
            </w14:solidFill>
          </w14:textFill>
        </w:rPr>
        <w:t>7.17.2</w:t>
      </w:r>
      <w:r>
        <w:rPr>
          <w:rFonts w:hint="eastAsia"/>
          <w:color w:val="000000" w:themeColor="text1"/>
          <w14:textFill>
            <w14:solidFill>
              <w14:schemeClr w14:val="tx1"/>
            </w14:solidFill>
          </w14:textFill>
        </w:rPr>
        <w:t>条款提及的情形，下述情况亦视为乙方放弃本项目：</w:t>
      </w:r>
    </w:p>
    <w:p>
      <w:pPr>
        <w:pStyle w:val="310"/>
        <w:numPr>
          <w:ilvl w:val="0"/>
          <w:numId w:val="75"/>
        </w:numPr>
        <w:spacing w:line="360" w:lineRule="auto"/>
        <w:ind w:left="1134" w:hanging="57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乙方未能根据本合同完成融资交割，且在甲方提出要求后三十（</w:t>
      </w:r>
      <w:r>
        <w:rPr>
          <w:rFonts w:ascii="Times New Roman" w:eastAsia="宋体" w:cs="Times New Roman"/>
          <w:color w:val="000000" w:themeColor="text1"/>
          <w:sz w:val="21"/>
          <w:szCs w:val="21"/>
          <w14:textFill>
            <w14:solidFill>
              <w14:schemeClr w14:val="tx1"/>
            </w14:solidFill>
          </w14:textFill>
        </w:rPr>
        <w:t>30</w:t>
      </w:r>
      <w:r>
        <w:rPr>
          <w:rFonts w:hint="eastAsia" w:ascii="Times New Roman" w:eastAsia="宋体" w:cs="Times New Roman"/>
          <w:color w:val="000000" w:themeColor="text1"/>
          <w:sz w:val="21"/>
          <w:szCs w:val="21"/>
          <w14:textFill>
            <w14:solidFill>
              <w14:schemeClr w14:val="tx1"/>
            </w14:solidFill>
          </w14:textFill>
        </w:rPr>
        <w:t>）日内仍未完成融资交割；</w:t>
      </w:r>
    </w:p>
    <w:p>
      <w:pPr>
        <w:pStyle w:val="310"/>
        <w:numPr>
          <w:ilvl w:val="0"/>
          <w:numId w:val="75"/>
        </w:numPr>
        <w:spacing w:line="360" w:lineRule="auto"/>
        <w:ind w:left="1134" w:hanging="57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乙方未能根据本合同支付前期费用，且在甲方提出要求后七（</w:t>
      </w:r>
      <w:r>
        <w:rPr>
          <w:rFonts w:ascii="Times New Roman" w:eastAsia="宋体" w:cs="Times New Roman"/>
          <w:color w:val="000000" w:themeColor="text1"/>
          <w:sz w:val="21"/>
          <w:szCs w:val="21"/>
          <w14:textFill>
            <w14:solidFill>
              <w14:schemeClr w14:val="tx1"/>
            </w14:solidFill>
          </w14:textFill>
        </w:rPr>
        <w:t>7</w:t>
      </w:r>
      <w:r>
        <w:rPr>
          <w:rFonts w:hint="eastAsia" w:ascii="Times New Roman" w:eastAsia="宋体" w:cs="Times New Roman"/>
          <w:color w:val="000000" w:themeColor="text1"/>
          <w:sz w:val="21"/>
          <w:szCs w:val="21"/>
          <w14:textFill>
            <w14:solidFill>
              <w14:schemeClr w14:val="tx1"/>
            </w14:solidFill>
          </w14:textFill>
        </w:rPr>
        <w:t>）日内仍未支付前期费用。</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7.17.5 </w:t>
      </w:r>
      <w:r>
        <w:rPr>
          <w:rFonts w:hint="eastAsia"/>
          <w:color w:val="000000" w:themeColor="text1"/>
          <w14:textFill>
            <w14:solidFill>
              <w14:schemeClr w14:val="tx1"/>
            </w14:solidFill>
          </w14:textFill>
        </w:rPr>
        <w:t>如果乙方放弃或视为放弃项目的建设，甲方有权从乙方提交的建设期履约保函中兑取全部款项并无偿拥有已建成的在建工程，且甲方无须向乙方作出任何补偿，本合同自动终止。</w:t>
      </w:r>
    </w:p>
    <w:p>
      <w:pPr>
        <w:pStyle w:val="4"/>
        <w:rPr>
          <w:color w:val="000000" w:themeColor="text1"/>
          <w:lang w:val="en-US"/>
          <w14:textFill>
            <w14:solidFill>
              <w14:schemeClr w14:val="tx1"/>
            </w14:solidFill>
          </w14:textFill>
        </w:rPr>
      </w:pPr>
      <w:bookmarkStart w:id="513" w:name="_Toc495845998"/>
      <w:bookmarkStart w:id="514" w:name="_Toc496299605"/>
      <w:bookmarkStart w:id="515" w:name="_Toc516399763"/>
      <w:bookmarkStart w:id="516" w:name="_Toc522635539"/>
      <w:r>
        <w:rPr>
          <w:color w:val="000000" w:themeColor="text1"/>
          <w:lang w:val="en-US"/>
          <w14:textFill>
            <w14:solidFill>
              <w14:schemeClr w14:val="tx1"/>
            </w14:solidFill>
          </w14:textFill>
        </w:rPr>
        <w:t xml:space="preserve">7.18  </w:t>
      </w:r>
      <w:r>
        <w:rPr>
          <w:rFonts w:hint="eastAsia"/>
          <w:color w:val="000000" w:themeColor="text1"/>
          <w:lang w:val="en-US"/>
          <w14:textFill>
            <w14:solidFill>
              <w14:schemeClr w14:val="tx1"/>
            </w14:solidFill>
          </w14:textFill>
        </w:rPr>
        <w:t>工程建设其他要求及相关约定</w:t>
      </w:r>
      <w:bookmarkEnd w:id="513"/>
      <w:bookmarkEnd w:id="514"/>
      <w:bookmarkEnd w:id="515"/>
      <w:bookmarkEnd w:id="516"/>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消防检测、防雷检测、热工检测等所有检测，费用列入工程建设其它费中，按实签证结算。</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监理单位由甲方通过法定程序确定监理单位。甲乙双方和中标监理单位签订三方协议，监理费用由甲方按照工程进度支付。监理费纳入投标前期费用，不纳入总价下浮。</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因不确定因素导致停工所造成的人、材、机二次进场、二次搬运及湿土排水等可能额外产生的费用，作为投标风险，由乙方在报价中综合考虑，实际发生不另行计费；</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在采购工程所用材料前，应报拟购材料的品牌、型号，经监理和甲方确认，方可成批采购，否则由此引起的损失由乙方自行承担（对本工程中所用材料，在施工过程中，甲方可根据实际情况再作调整）；</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需充分考虑工程车出入可能造成的影响，特别注重做好环境保护、安全围护等工作，相关费用由乙方在技术措施费中予以考虑。乙方还需在报价中充分考虑现场交通运输、交叉施工、施工干扰、夜间施工、用水、用电、装安全标志、建施工便道、现场已建设施及地下管线保护等费用，还需在报价中综合考虑施工期间交通标志、标识、夜间警示灯识、指示牌、保洁、吸尘、洒水、冲水装置，安全围护等工作所需的费用；</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乙方应认真踏勘现场，确立合理的施工方案并充分考虑相应的措施项目及费用。</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须仔细踏勘现场，根据省、市质监站、安监站相关规范规定对文明施工安全生产的要求，充分评估，在确保安全的前提下，考虑对现场围墙的新建、改造、粉刷、利用、拆除等费用，并充分考虑现场施工便道、场地硬化、水冲轮胎等措施，以及完工后所有临时建筑物、构筑物、建筑垃圾的拆除、清理及外运等，所需费用在技术措施费中充分考虑，甲方不再支付与此相关的任何费用；</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本工程设暂列金不作为支付工程款的取费基数，暂列金不纳入</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建安费中下浮，不优惠。</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本工程施工期间人工、材料调差：</w:t>
      </w:r>
      <w:r>
        <w:rPr>
          <w:rFonts w:ascii="Times New Roman" w:eastAsia="宋体" w:cs="Times New Roman"/>
          <w:color w:val="000000" w:themeColor="text1"/>
          <w:sz w:val="21"/>
          <w:szCs w:val="21"/>
          <w14:textFill>
            <w14:solidFill>
              <w14:schemeClr w14:val="tx1"/>
            </w14:solidFill>
          </w14:textFill>
        </w:rPr>
        <w:t>1</w:t>
      </w:r>
      <w:r>
        <w:rPr>
          <w:rFonts w:hint="eastAsia" w:ascii="Times New Roman" w:eastAsia="宋体" w:cs="Times New Roman"/>
          <w:color w:val="000000" w:themeColor="text1"/>
          <w:sz w:val="21"/>
          <w:szCs w:val="21"/>
          <w14:textFill>
            <w14:solidFill>
              <w14:schemeClr w14:val="tx1"/>
            </w14:solidFill>
          </w14:textFill>
        </w:rPr>
        <w:t>、人工：按工程开工当月（包括开工日当月）至竣工月份（包括验收日当月）《杭州市建设工程造价信息》（正刊）发布的杭州市建设工程人工市场信息价的算术平均值与</w:t>
      </w:r>
      <w:bookmarkStart w:id="517" w:name="_Hlk495771789"/>
      <w:r>
        <w:rPr>
          <w:rFonts w:hint="eastAsia" w:ascii="Times New Roman" w:eastAsia="宋体" w:cs="Times New Roman"/>
          <w:color w:val="000000" w:themeColor="text1"/>
          <w:sz w:val="21"/>
          <w:szCs w:val="21"/>
          <w14:textFill>
            <w14:solidFill>
              <w14:schemeClr w14:val="tx1"/>
            </w14:solidFill>
          </w14:textFill>
        </w:rPr>
        <w:t>投标当月对应当期</w:t>
      </w:r>
      <w:bookmarkEnd w:id="517"/>
      <w:r>
        <w:rPr>
          <w:rFonts w:hint="eastAsia" w:ascii="Times New Roman" w:eastAsia="宋体" w:cs="Times New Roman"/>
          <w:color w:val="000000" w:themeColor="text1"/>
          <w:sz w:val="21"/>
          <w:szCs w:val="21"/>
          <w14:textFill>
            <w14:solidFill>
              <w14:schemeClr w14:val="tx1"/>
            </w14:solidFill>
          </w14:textFill>
        </w:rPr>
        <w:t>的人工信息价之比上涨或者下跌时。</w:t>
      </w:r>
      <w:r>
        <w:rPr>
          <w:rFonts w:ascii="Times New Roman" w:eastAsia="宋体" w:cs="Times New Roman"/>
          <w:color w:val="000000" w:themeColor="text1"/>
          <w:sz w:val="21"/>
          <w:szCs w:val="21"/>
          <w14:textFill>
            <w14:solidFill>
              <w14:schemeClr w14:val="tx1"/>
            </w14:solidFill>
          </w14:textFill>
        </w:rPr>
        <w:t>2</w:t>
      </w:r>
      <w:r>
        <w:rPr>
          <w:rFonts w:hint="eastAsia" w:ascii="Times New Roman" w:eastAsia="宋体" w:cs="Times New Roman"/>
          <w:color w:val="000000" w:themeColor="text1"/>
          <w:sz w:val="21"/>
          <w:szCs w:val="21"/>
          <w14:textFill>
            <w14:solidFill>
              <w14:schemeClr w14:val="tx1"/>
            </w14:solidFill>
          </w14:textFill>
        </w:rPr>
        <w:t>、主要材料按照实际工期（以工程竣工验收报告为准）前</w:t>
      </w:r>
      <w:r>
        <w:rPr>
          <w:rFonts w:ascii="Times New Roman" w:eastAsia="宋体" w:cs="Times New Roman"/>
          <w:color w:val="000000" w:themeColor="text1"/>
          <w:sz w:val="21"/>
          <w:szCs w:val="21"/>
          <w14:textFill>
            <w14:solidFill>
              <w14:schemeClr w14:val="tx1"/>
            </w14:solidFill>
          </w14:textFill>
        </w:rPr>
        <w:t>80%</w:t>
      </w:r>
      <w:r>
        <w:rPr>
          <w:rFonts w:hint="eastAsia" w:ascii="Times New Roman" w:eastAsia="宋体" w:cs="Times New Roman"/>
          <w:color w:val="000000" w:themeColor="text1"/>
          <w:sz w:val="21"/>
          <w:szCs w:val="21"/>
          <w14:textFill>
            <w14:solidFill>
              <w14:schemeClr w14:val="tx1"/>
            </w14:solidFill>
          </w14:textFill>
        </w:rPr>
        <w:t>月份的信息价平均值与投标当月对应当期的信息价之比上涨或者下跌幅度在</w:t>
      </w:r>
      <w:r>
        <w:rPr>
          <w:rFonts w:ascii="Times New Roman" w:eastAsia="宋体" w:cs="Times New Roman"/>
          <w:color w:val="000000" w:themeColor="text1"/>
          <w:sz w:val="21"/>
          <w:szCs w:val="21"/>
          <w14:textFill>
            <w14:solidFill>
              <w14:schemeClr w14:val="tx1"/>
            </w14:solidFill>
          </w14:textFill>
        </w:rPr>
        <w:t>5%</w:t>
      </w:r>
      <w:r>
        <w:rPr>
          <w:rFonts w:hint="eastAsia" w:ascii="Times New Roman" w:eastAsia="宋体" w:cs="Times New Roman"/>
          <w:color w:val="000000" w:themeColor="text1"/>
          <w:sz w:val="21"/>
          <w:szCs w:val="21"/>
          <w14:textFill>
            <w14:solidFill>
              <w14:schemeClr w14:val="tx1"/>
            </w14:solidFill>
          </w14:textFill>
        </w:rPr>
        <w:t>以上时。调整的内容为风险幅度范围外的人工及材料的差价，调整部分计税不计费并下浮。</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因拆迁、政策处理、工程变更及其他非承包人原因导致工期延期而造成包括但不仅限于人工、材料、机械费等价格上涨或窝工、机械材料闲置或履约保证金延迟退还的，由甲方承担风险，在工程结算时调整。</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除合同另有规定外，乙方为了出入现场和施工运输，应自费养护维修由他人修建和使用的所有道路，恢复原貌的费用由乙方负责。并承担因上述道路的使用所引起的补偿费、诉讼费、损害赔偿、指控费及其他开支。甲乙双方对由于自身原因导致的风险自行承担。</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工程的施工与现有的道路发生冲突和干扰之处，乙方都要在本工程施工之前完成改道施工或修建临时道路。临时道路应满足现有交通量的要求，路面宽度应不小于现有道路的宽度，且符合当地通行要求。工程施工期间，乙方应配备人员对临时道路进行养护，以保证临时道路和结构物的正常通行。相应费用列入技术措施费中，包干使用，纳入乙方实际完成建设投资。</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专业项目：供水、供电、燃气、通信等由专业部门实施的，按照实际结算价纳入乙方实际完成建设投资，不做总价下浮；其他专业项目，如通过公开招投标选定的，按照实际结算价纳入乙方实际完成建设投资，不做总价下浮；除此之外的专业项目按照本项目中标工程下浮率，纳入乙方实际完成建设投资。</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节能、环保、稳评、水保的编制和审批，以及其他如土地报送程序和部门审批等所有的报批手续全部由甲方完成。</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设施维护内容主要包括本项目工程范围内连接线道路路面维（养）护、建构筑物及附属设施的日常维护，包括路面、建筑及地面、亮化、照明设施、给排水设施、标识标牌等的维护。各种电器、设备、路灯光源等保修期</w:t>
      </w:r>
      <w:r>
        <w:rPr>
          <w:rFonts w:ascii="Times New Roman" w:eastAsia="宋体" w:cs="Times New Roman"/>
          <w:color w:val="000000" w:themeColor="text1"/>
          <w:sz w:val="21"/>
          <w:szCs w:val="21"/>
          <w14:textFill>
            <w14:solidFill>
              <w14:schemeClr w14:val="tx1"/>
            </w14:solidFill>
          </w14:textFill>
        </w:rPr>
        <w:t>2</w:t>
      </w:r>
      <w:r>
        <w:rPr>
          <w:rFonts w:hint="eastAsia" w:ascii="Times New Roman" w:eastAsia="宋体" w:cs="Times New Roman"/>
          <w:color w:val="000000" w:themeColor="text1"/>
          <w:sz w:val="21"/>
          <w:szCs w:val="21"/>
          <w14:textFill>
            <w14:solidFill>
              <w14:schemeClr w14:val="tx1"/>
            </w14:solidFill>
          </w14:textFill>
        </w:rPr>
        <w:t>年。</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给水管网及消防管网防冻保温措施所产生的费用综合考虑在投标报价中，结算时不作调整。</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整个合作期内，乙方应根据适用法律和运营要求，购买和维持法定保险以及承诺的保险事项。在建设期，乙方所投保险种包括但不限于建筑安装工程一切险、第三者责任险、农民工工伤保险等，其中建筑安装工程一切险必须足额投保。乙方未按合同约定办理保险，导致未能得到保险或足额赔偿的，由乙方自行承担责任和全部费用。</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安全事故责任：贯彻</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安全第一</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预防为主</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的安全生产方针</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确保单位、社会及人民生命财产的安全</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预防重大环保事故发生</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并能在事故发生后迅速有效控制处理，根据事故等级，实行逐级申报制度，按职责权限承担相应的责任。在建设期阶段，乙方承担全部安全事故责任。</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凡建设施工过程中发生的一切工伤亡意外事故、安全生产事故，包括与承包人发生的第三方，全部为乙方的责任。施工方主要负责人、合同主要负责人第一时间到场，主动、及时、全力以赴处理好善后事宜，不得让事态扩大、矛盾激化、闹事，积极稳妥处理好一切事宜，不得以任务理由推脱责任和拒绝承担全额赔偿费用，乙方内部责任和赔偿分摊事后另行解决，不得影响安全生产责任制考核、维稳考核，造成负面影响。如有发生按该项目总概算的万分之</w:t>
      </w:r>
      <w:r>
        <w:rPr>
          <w:rFonts w:ascii="Times New Roman" w:eastAsia="宋体" w:cs="Times New Roman"/>
          <w:color w:val="000000" w:themeColor="text1"/>
          <w:sz w:val="21"/>
          <w:szCs w:val="21"/>
          <w14:textFill>
            <w14:solidFill>
              <w14:schemeClr w14:val="tx1"/>
            </w14:solidFill>
          </w14:textFill>
        </w:rPr>
        <w:t>5~10%</w:t>
      </w:r>
      <w:r>
        <w:rPr>
          <w:rFonts w:hint="eastAsia" w:ascii="Times New Roman" w:eastAsia="宋体" w:cs="Times New Roman"/>
          <w:color w:val="000000" w:themeColor="text1"/>
          <w:sz w:val="21"/>
          <w:szCs w:val="21"/>
          <w14:textFill>
            <w14:solidFill>
              <w14:schemeClr w14:val="tx1"/>
            </w14:solidFill>
          </w14:textFill>
        </w:rPr>
        <w:t>计付违约金，具体视情况而定。</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乙方应遵守杭州市工程建设的一切管理办法和制度。</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因乙方或乙方的该项目关联方【施工方或承揽方】未及时兑付农民工工资造成群体性事件或影响该项目进度的，乙方应当在收到政府部门要求或甲方通知后</w:t>
      </w:r>
      <w:r>
        <w:rPr>
          <w:rFonts w:ascii="Times New Roman" w:eastAsia="宋体" w:cs="Times New Roman"/>
          <w:color w:val="000000" w:themeColor="text1"/>
          <w:sz w:val="21"/>
          <w:szCs w:val="21"/>
          <w14:textFill>
            <w14:solidFill>
              <w14:schemeClr w14:val="tx1"/>
            </w14:solidFill>
          </w14:textFill>
        </w:rPr>
        <w:t>3</w:t>
      </w:r>
      <w:r>
        <w:rPr>
          <w:rFonts w:hint="eastAsia" w:ascii="Times New Roman" w:eastAsia="宋体" w:cs="Times New Roman"/>
          <w:color w:val="000000" w:themeColor="text1"/>
          <w:sz w:val="21"/>
          <w:szCs w:val="21"/>
          <w14:textFill>
            <w14:solidFill>
              <w14:schemeClr w14:val="tx1"/>
            </w14:solidFill>
          </w14:textFill>
        </w:rPr>
        <w:t>日内立即提供欠薪清单并于</w:t>
      </w:r>
      <w:r>
        <w:rPr>
          <w:rFonts w:ascii="Times New Roman" w:eastAsia="宋体" w:cs="Times New Roman"/>
          <w:color w:val="000000" w:themeColor="text1"/>
          <w:sz w:val="21"/>
          <w:szCs w:val="21"/>
          <w14:textFill>
            <w14:solidFill>
              <w14:schemeClr w14:val="tx1"/>
            </w14:solidFill>
          </w14:textFill>
        </w:rPr>
        <w:t>5</w:t>
      </w:r>
      <w:r>
        <w:rPr>
          <w:rFonts w:hint="eastAsia" w:ascii="Times New Roman" w:eastAsia="宋体" w:cs="Times New Roman"/>
          <w:color w:val="000000" w:themeColor="text1"/>
          <w:sz w:val="21"/>
          <w:szCs w:val="21"/>
          <w14:textFill>
            <w14:solidFill>
              <w14:schemeClr w14:val="tx1"/>
            </w14:solidFill>
          </w14:textFill>
        </w:rPr>
        <w:t>日内解决欠薪问题。</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乙方应确保自身以及其管理的关联合同项下及时足额支付农民工工资，若未按时支付造成群体上访，甲方有权直接支付农民工工资，并从建设期履约保函中兑取。</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有关工程计价、计量的规范和文件，详见预算编制说明及预算文件。</w:t>
      </w:r>
    </w:p>
    <w:p>
      <w:pPr>
        <w:pStyle w:val="310"/>
        <w:numPr>
          <w:ilvl w:val="1"/>
          <w:numId w:val="76"/>
        </w:numPr>
        <w:spacing w:line="360" w:lineRule="auto"/>
        <w:ind w:left="812" w:hanging="52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针对施工总承包方及施工总承包合同的要求，本项目施工总承包合同文本采用《建设工程施工合同（示范文本）》（</w:t>
      </w:r>
      <w:r>
        <w:rPr>
          <w:rFonts w:ascii="Times New Roman" w:eastAsia="宋体" w:cs="Times New Roman"/>
          <w:color w:val="000000" w:themeColor="text1"/>
          <w:sz w:val="21"/>
          <w:szCs w:val="21"/>
          <w14:textFill>
            <w14:solidFill>
              <w14:schemeClr w14:val="tx1"/>
            </w14:solidFill>
          </w14:textFill>
        </w:rPr>
        <w:t>GF-2013-0201</w:t>
      </w:r>
      <w:r>
        <w:rPr>
          <w:rFonts w:hint="eastAsia" w:ascii="Times New Roman" w:eastAsia="宋体" w:cs="Times New Roman"/>
          <w:color w:val="000000" w:themeColor="text1"/>
          <w:sz w:val="21"/>
          <w:szCs w:val="21"/>
          <w14:textFill>
            <w14:solidFill>
              <w14:schemeClr w14:val="tx1"/>
            </w14:solidFill>
          </w14:textFill>
        </w:rPr>
        <w:t>）签订，主体工程不得转包分包；原则上，施工结算调价有关规则应与</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项目合同保持一致。</w:t>
      </w:r>
    </w:p>
    <w:p>
      <w:pPr>
        <w:pStyle w:val="3"/>
        <w:jc w:val="center"/>
        <w:rPr>
          <w:rFonts w:ascii="Times New Roman" w:hAnsi="Times New Roman" w:eastAsia="黑体"/>
          <w:color w:val="000000" w:themeColor="text1"/>
          <w:sz w:val="21"/>
          <w:szCs w:val="21"/>
          <w14:textFill>
            <w14:solidFill>
              <w14:schemeClr w14:val="tx1"/>
            </w14:solidFill>
          </w14:textFill>
        </w:rPr>
      </w:pPr>
      <w:bookmarkStart w:id="518" w:name="_Toc491857598"/>
      <w:bookmarkStart w:id="519" w:name="_Toc495845999"/>
      <w:bookmarkStart w:id="520" w:name="_Toc496299606"/>
      <w:bookmarkStart w:id="521" w:name="_Toc516399764"/>
      <w:bookmarkStart w:id="522" w:name="_Toc522635540"/>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8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运营和维护</w:t>
      </w:r>
      <w:bookmarkEnd w:id="518"/>
      <w:bookmarkEnd w:id="519"/>
      <w:bookmarkEnd w:id="520"/>
      <w:bookmarkEnd w:id="521"/>
      <w:bookmarkEnd w:id="522"/>
    </w:p>
    <w:p>
      <w:pPr>
        <w:pStyle w:val="4"/>
        <w:rPr>
          <w:color w:val="000000" w:themeColor="text1"/>
          <w14:textFill>
            <w14:solidFill>
              <w14:schemeClr w14:val="tx1"/>
            </w14:solidFill>
          </w14:textFill>
        </w:rPr>
      </w:pPr>
      <w:bookmarkStart w:id="523" w:name="_Toc491857599"/>
      <w:bookmarkStart w:id="524" w:name="_Toc495846000"/>
      <w:bookmarkStart w:id="525" w:name="_Toc496299607"/>
      <w:bookmarkStart w:id="526" w:name="_Toc516399765"/>
      <w:bookmarkStart w:id="527" w:name="_Toc522635541"/>
      <w:r>
        <w:rPr>
          <w:color w:val="000000" w:themeColor="text1"/>
          <w14:textFill>
            <w14:solidFill>
              <w14:schemeClr w14:val="tx1"/>
            </w14:solidFill>
          </w14:textFill>
        </w:rPr>
        <w:t xml:space="preserve">8.1 </w:t>
      </w:r>
      <w:r>
        <w:rPr>
          <w:rFonts w:hint="eastAsia"/>
          <w:color w:val="000000" w:themeColor="text1"/>
          <w14:textFill>
            <w14:solidFill>
              <w14:schemeClr w14:val="tx1"/>
            </w14:solidFill>
          </w14:textFill>
        </w:rPr>
        <w:t>运营和维护服务范围</w:t>
      </w:r>
      <w:bookmarkEnd w:id="523"/>
      <w:bookmarkEnd w:id="524"/>
      <w:bookmarkEnd w:id="525"/>
      <w:bookmarkEnd w:id="526"/>
      <w:bookmarkEnd w:id="527"/>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8.1.1  </w:t>
      </w:r>
      <w:r>
        <w:rPr>
          <w:rFonts w:hint="eastAsia"/>
          <w:color w:val="000000" w:themeColor="text1"/>
          <w14:textFill>
            <w14:solidFill>
              <w14:schemeClr w14:val="tx1"/>
            </w14:solidFill>
          </w14:textFill>
        </w:rPr>
        <w:t>乙方提供的运营和维护服务范围为隧道（含设施设备）及配套、综合管廊运营维护等。运营和维护服务内容具体如下：</w:t>
      </w:r>
    </w:p>
    <w:p>
      <w:pPr>
        <w:pStyle w:val="310"/>
        <w:numPr>
          <w:ilvl w:val="0"/>
          <w:numId w:val="77"/>
        </w:numPr>
        <w:spacing w:line="360" w:lineRule="auto"/>
        <w:ind w:left="831" w:leftChars="246" w:hanging="315"/>
        <w:jc w:val="both"/>
        <w:rPr>
          <w:color w:val="000000" w:themeColor="text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隧道（含设施设备）及配套运营</w:t>
      </w:r>
    </w:p>
    <w:p>
      <w:pPr>
        <w:pStyle w:val="310"/>
        <w:spacing w:line="360" w:lineRule="auto"/>
        <w:ind w:left="424" w:leftChars="202" w:firstLine="140" w:firstLineChars="67"/>
        <w:jc w:val="both"/>
        <w:rPr>
          <w:color w:val="000000" w:themeColor="text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包括日常保洁、日常养护（隧道）（车、人行道设施、路面养护、交通智能与交安设施、排水系统、通风系统、供配电系统、照明系统、监控系统、消防系统）、日常养护（管廊）（消防系统、通风系统、排水系统、供配电系统、照明系统、监控系统）、配套道路及绿化养护（路面养护、路灯、景观绿化）。</w:t>
      </w:r>
    </w:p>
    <w:p>
      <w:pPr>
        <w:pStyle w:val="310"/>
        <w:numPr>
          <w:ilvl w:val="0"/>
          <w:numId w:val="77"/>
        </w:numPr>
        <w:spacing w:line="360" w:lineRule="auto"/>
        <w:ind w:left="831" w:leftChars="246" w:hanging="315"/>
        <w:jc w:val="both"/>
        <w:rPr>
          <w:rFonts w:ascii="Times New Roman"/>
          <w:color w:val="000000" w:themeColor="text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综合管廊运营维护</w:t>
      </w:r>
    </w:p>
    <w:p>
      <w:pPr>
        <w:spacing w:line="360" w:lineRule="auto"/>
        <w:ind w:left="424" w:leftChars="202"/>
        <w:rPr>
          <w:lang w:val="zh-CN"/>
        </w:rPr>
      </w:pPr>
      <w:r>
        <w:rPr>
          <w:rFonts w:hint="eastAsia"/>
          <w:lang w:val="zh-CN"/>
        </w:rPr>
        <w:t>根据《杭州市人民政府办公厅关于加快推进城市地下综合管廊建设的实施意见》（杭政办函〔</w:t>
      </w:r>
      <w:r>
        <w:rPr>
          <w:lang w:val="zh-CN"/>
        </w:rPr>
        <w:t>2016</w:t>
      </w:r>
      <w:r>
        <w:rPr>
          <w:rFonts w:hint="eastAsia"/>
          <w:lang w:val="zh-CN"/>
        </w:rPr>
        <w:t>〕</w:t>
      </w:r>
      <w:r>
        <w:rPr>
          <w:lang w:val="zh-CN"/>
        </w:rPr>
        <w:t>85</w:t>
      </w:r>
      <w:r>
        <w:rPr>
          <w:rFonts w:hint="eastAsia"/>
          <w:lang w:val="zh-CN"/>
        </w:rPr>
        <w:t>号）规定，“地下综合管廊本体及附属设施管理由地下综合管廊建设运营单位负责，入廊管线及其设施维护、日常管理由各管线单位负责。”，乙方负责合作期内本项目地下综合管廊本体及附属设施的运营维护（包括日常小修保养、大中修等）。具体综合管廊运营维护工作根据杭州市制定的综合管理养护和维护办法执行。</w:t>
      </w:r>
    </w:p>
    <w:p>
      <w:pPr>
        <w:pStyle w:val="310"/>
        <w:numPr>
          <w:ilvl w:val="0"/>
          <w:numId w:val="77"/>
        </w:numPr>
        <w:spacing w:line="360" w:lineRule="auto"/>
        <w:ind w:left="831" w:leftChars="246" w:hanging="315"/>
        <w:jc w:val="both"/>
        <w:rPr>
          <w:rFonts w:ascii="Times New Roman"/>
          <w:color w:val="000000" w:themeColor="text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项目公司管理</w:t>
      </w:r>
    </w:p>
    <w:p>
      <w:pPr>
        <w:spacing w:line="360" w:lineRule="auto"/>
        <w:ind w:left="424" w:leftChars="202"/>
        <w:rPr>
          <w:lang w:val="zh-CN"/>
        </w:rPr>
      </w:pPr>
      <w:r>
        <w:rPr>
          <w:rFonts w:hint="eastAsia"/>
          <w:lang w:val="zh-CN"/>
        </w:rPr>
        <w:t>乙方应建立健全的管理制度，包括但不限于巡查制度、安全生产制度、养护制度、档案管理制度；合理利用场地，做好机械管理及物资管理；定期做好巡查及检测工作，定期对作业人员进行培训；建立管理资料库，包括工作台帐、月度计划、日常养护巡查记录、维修保养作业记录、检查记录、隧道经常、定期、特殊检查记录、管理制度等；养护作业计划完成、检查情况；合同管理资料；监控台账、监控管理制度等。管理资料要做到客观、真实、及时、准确、相互对应、上下一致。</w:t>
      </w:r>
    </w:p>
    <w:p>
      <w:pPr>
        <w:pStyle w:val="310"/>
        <w:numPr>
          <w:ilvl w:val="0"/>
          <w:numId w:val="77"/>
        </w:numPr>
        <w:spacing w:line="360" w:lineRule="auto"/>
        <w:ind w:left="831" w:leftChars="246" w:hanging="315"/>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应急处理</w:t>
      </w:r>
    </w:p>
    <w:p>
      <w:pPr>
        <w:pStyle w:val="310"/>
        <w:spacing w:line="360" w:lineRule="auto"/>
        <w:ind w:left="516" w:leftChars="246"/>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乙方应加强建筑的日常管理和安全防范，制订环境风险应急预案。如遇洪水、台风、暴雨、地震等紧急情况，乙方应配合政府部门做好应急处理工作。</w:t>
      </w:r>
    </w:p>
    <w:p>
      <w:pPr>
        <w:pStyle w:val="310"/>
        <w:numPr>
          <w:ilvl w:val="0"/>
          <w:numId w:val="77"/>
        </w:numPr>
        <w:spacing w:line="360" w:lineRule="auto"/>
        <w:ind w:left="831" w:leftChars="246" w:hanging="315"/>
        <w:jc w:val="both"/>
        <w:rPr>
          <w:rFonts w:ascii="Times New Roman"/>
          <w:color w:val="000000" w:themeColor="text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大中修及移交前恢复性维修</w:t>
      </w:r>
    </w:p>
    <w:p>
      <w:pPr>
        <w:spacing w:line="360" w:lineRule="auto"/>
        <w:ind w:left="424" w:leftChars="202"/>
      </w:pPr>
      <w:r>
        <w:rPr>
          <w:rFonts w:hint="eastAsia"/>
          <w:lang w:val="zh-CN"/>
        </w:rPr>
        <w:t>本项目至少完成两次中修、一次大修，移交前确保满足项目移交要求及正常使用。若项目通行流量超过设计通行流量导致的中大修次数增加，乙方有权向甲方申请补偿。合作期内由乙方制定中大修计划和方案，报政府及甲方同意，由乙方实施。移交前当年政府及甲方提出恢复性维修要求及标准，乙方制定恢复性维修计划和方案，报政府及甲方同意，由乙方实施，恢复性维修费用经双方确认由政府及甲方承担。乙方应承担大中修及移交前恢复性维修后的保修责任。</w:t>
      </w:r>
    </w:p>
    <w:p>
      <w:pPr>
        <w:pStyle w:val="5"/>
        <w:rPr>
          <w:color w:val="000000" w:themeColor="text1"/>
          <w:lang w:val="en-US"/>
          <w14:textFill>
            <w14:solidFill>
              <w14:schemeClr w14:val="tx1"/>
            </w14:solidFill>
          </w14:textFill>
        </w:rPr>
      </w:pPr>
      <w:bookmarkStart w:id="528" w:name="_Hlk495832020"/>
      <w:r>
        <w:rPr>
          <w:color w:val="000000" w:themeColor="text1"/>
          <w:lang w:val="en-US"/>
          <w14:textFill>
            <w14:solidFill>
              <w14:schemeClr w14:val="tx1"/>
            </w14:solidFill>
          </w14:textFill>
        </w:rPr>
        <w:t xml:space="preserve">8.1.3  </w:t>
      </w:r>
      <w:bookmarkStart w:id="529" w:name="_Hlk522113039"/>
      <w:r>
        <w:rPr>
          <w:rFonts w:hint="eastAsia"/>
          <w:color w:val="000000" w:themeColor="text1"/>
          <w:lang w:val="en-US"/>
          <w14:textFill>
            <w14:solidFill>
              <w14:schemeClr w14:val="tx1"/>
            </w14:solidFill>
          </w14:textFill>
        </w:rPr>
        <w:t>乙方建设但不在本项目运营及维护范围内的工程，需按以下约定承担质量保修责任</w:t>
      </w:r>
      <w:bookmarkEnd w:id="529"/>
      <w:r>
        <w:rPr>
          <w:rFonts w:hint="eastAsia"/>
          <w:color w:val="000000" w:themeColor="text1"/>
          <w:lang w:val="en-US"/>
          <w14:textFill>
            <w14:solidFill>
              <w14:schemeClr w14:val="tx1"/>
            </w14:solidFill>
          </w14:textFill>
        </w:rPr>
        <w:t>。</w:t>
      </w:r>
    </w:p>
    <w:bookmarkEnd w:id="528"/>
    <w:p>
      <w:pPr>
        <w:spacing w:line="360" w:lineRule="auto"/>
        <w:ind w:left="1134" w:leftChars="270" w:hanging="567" w:hangingChars="27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）在项目工程质量保修期内，乙方承担新建工程质量保修责任，并承担相关费用；</w:t>
      </w:r>
    </w:p>
    <w:p>
      <w:pPr>
        <w:spacing w:line="360" w:lineRule="auto"/>
        <w:ind w:left="1092" w:leftChars="270" w:hanging="525" w:hangingChars="25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）保修质量须符合相关工程建设的法律、法规、规章、技术标准、规范和设计文件、合同文件的要求；</w:t>
      </w:r>
    </w:p>
    <w:p>
      <w:pPr>
        <w:spacing w:line="360" w:lineRule="auto"/>
        <w:ind w:left="1092" w:leftChars="270" w:hanging="525" w:hangingChars="25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）质量保修期执行</w:t>
      </w:r>
      <w:bookmarkStart w:id="530" w:name="OLE_LINK6"/>
      <w:r>
        <w:rPr>
          <w:rFonts w:hint="eastAsia" w:ascii="Times New Roman" w:hAnsi="Times New Roman"/>
          <w:color w:val="000000" w:themeColor="text1"/>
          <w14:textFill>
            <w14:solidFill>
              <w14:schemeClr w14:val="tx1"/>
            </w14:solidFill>
          </w14:textFill>
        </w:rPr>
        <w:t>《建设工程质量管理条例》</w:t>
      </w:r>
      <w:bookmarkEnd w:id="530"/>
      <w:r>
        <w:rPr>
          <w:rFonts w:hint="eastAsia" w:ascii="Times New Roman" w:hAnsi="Times New Roman"/>
          <w:color w:val="000000" w:themeColor="text1"/>
          <w14:textFill>
            <w14:solidFill>
              <w14:schemeClr w14:val="tx1"/>
            </w14:solidFill>
          </w14:textFill>
        </w:rPr>
        <w:t>规定，自工程竣工验收合格之日起计算：</w:t>
      </w:r>
    </w:p>
    <w:p>
      <w:pPr>
        <w:pStyle w:val="188"/>
        <w:numPr>
          <w:ilvl w:val="1"/>
          <w:numId w:val="78"/>
        </w:numPr>
        <w:tabs>
          <w:tab w:val="left" w:pos="1316"/>
        </w:tabs>
        <w:spacing w:line="360" w:lineRule="auto"/>
        <w:ind w:left="1418" w:hanging="425"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地基基础工程和主体结构工程为设计文件规定的工程合理使用年限；</w:t>
      </w:r>
    </w:p>
    <w:p>
      <w:pPr>
        <w:pStyle w:val="188"/>
        <w:numPr>
          <w:ilvl w:val="1"/>
          <w:numId w:val="78"/>
        </w:numPr>
        <w:tabs>
          <w:tab w:val="left" w:pos="1316"/>
        </w:tabs>
        <w:spacing w:line="360" w:lineRule="auto"/>
        <w:ind w:left="1418" w:hanging="425"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屋面防水工程、有防水要求的卫生间、房间和外墙面的防渗为</w:t>
      </w:r>
      <w:r>
        <w:rPr>
          <w:color w:val="000000" w:themeColor="text1"/>
          <w:szCs w:val="21"/>
          <w14:textFill>
            <w14:solidFill>
              <w14:schemeClr w14:val="tx1"/>
            </w14:solidFill>
          </w14:textFill>
        </w:rPr>
        <w:t>8</w:t>
      </w:r>
      <w:r>
        <w:rPr>
          <w:rFonts w:hint="eastAsia"/>
          <w:color w:val="000000" w:themeColor="text1"/>
          <w:szCs w:val="21"/>
          <w14:textFill>
            <w14:solidFill>
              <w14:schemeClr w14:val="tx1"/>
            </w14:solidFill>
          </w14:textFill>
        </w:rPr>
        <w:t>年；</w:t>
      </w:r>
    </w:p>
    <w:p>
      <w:pPr>
        <w:pStyle w:val="188"/>
        <w:numPr>
          <w:ilvl w:val="1"/>
          <w:numId w:val="78"/>
        </w:numPr>
        <w:tabs>
          <w:tab w:val="left" w:pos="1316"/>
        </w:tabs>
        <w:spacing w:line="360" w:lineRule="auto"/>
        <w:ind w:left="1418" w:hanging="425"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装修工程为</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年；</w:t>
      </w:r>
    </w:p>
    <w:p>
      <w:pPr>
        <w:pStyle w:val="188"/>
        <w:numPr>
          <w:ilvl w:val="1"/>
          <w:numId w:val="78"/>
        </w:numPr>
        <w:tabs>
          <w:tab w:val="left" w:pos="1316"/>
        </w:tabs>
        <w:spacing w:line="360" w:lineRule="auto"/>
        <w:ind w:left="1418" w:hanging="425"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电气管线、给排水管道、设备安装工程为</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年；</w:t>
      </w:r>
    </w:p>
    <w:p>
      <w:pPr>
        <w:pStyle w:val="188"/>
        <w:numPr>
          <w:ilvl w:val="1"/>
          <w:numId w:val="78"/>
        </w:numPr>
        <w:tabs>
          <w:tab w:val="left" w:pos="1316"/>
        </w:tabs>
        <w:spacing w:line="360" w:lineRule="auto"/>
        <w:ind w:left="1418" w:hanging="425"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供热与供冷系统为一个采暖期、供冷期；</w:t>
      </w:r>
    </w:p>
    <w:p>
      <w:pPr>
        <w:pStyle w:val="188"/>
        <w:numPr>
          <w:ilvl w:val="1"/>
          <w:numId w:val="78"/>
        </w:numPr>
        <w:tabs>
          <w:tab w:val="left" w:pos="1316"/>
        </w:tabs>
        <w:spacing w:line="360" w:lineRule="auto"/>
        <w:ind w:left="1418" w:hanging="425"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给排水设施、道路等配套工程为</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年；</w:t>
      </w:r>
    </w:p>
    <w:p>
      <w:pPr>
        <w:pStyle w:val="188"/>
        <w:numPr>
          <w:ilvl w:val="1"/>
          <w:numId w:val="78"/>
        </w:numPr>
        <w:tabs>
          <w:tab w:val="left" w:pos="1316"/>
        </w:tabs>
        <w:spacing w:line="360" w:lineRule="auto"/>
        <w:ind w:left="1418" w:hanging="425"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绿化景观工程、照明工程为</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年；</w:t>
      </w:r>
    </w:p>
    <w:p>
      <w:pPr>
        <w:pStyle w:val="188"/>
        <w:numPr>
          <w:ilvl w:val="1"/>
          <w:numId w:val="78"/>
        </w:numPr>
        <w:tabs>
          <w:tab w:val="left" w:pos="1316"/>
        </w:tabs>
        <w:spacing w:line="360" w:lineRule="auto"/>
        <w:ind w:left="1418" w:hanging="425"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其他项目保修期限按规范要求执行。</w:t>
      </w:r>
    </w:p>
    <w:p>
      <w:pPr>
        <w:pStyle w:val="4"/>
        <w:rPr>
          <w:color w:val="000000" w:themeColor="text1"/>
          <w14:textFill>
            <w14:solidFill>
              <w14:schemeClr w14:val="tx1"/>
            </w14:solidFill>
          </w14:textFill>
        </w:rPr>
      </w:pPr>
      <w:bookmarkStart w:id="531" w:name="_Toc491857600"/>
      <w:bookmarkStart w:id="532" w:name="_Toc495846001"/>
      <w:bookmarkStart w:id="533" w:name="_Toc496299608"/>
      <w:bookmarkStart w:id="534" w:name="_Toc516399766"/>
      <w:bookmarkStart w:id="535" w:name="_Toc522635542"/>
      <w:r>
        <w:rPr>
          <w:color w:val="000000" w:themeColor="text1"/>
          <w14:textFill>
            <w14:solidFill>
              <w14:schemeClr w14:val="tx1"/>
            </w14:solidFill>
          </w14:textFill>
        </w:rPr>
        <w:t xml:space="preserve">8.2 </w:t>
      </w:r>
      <w:r>
        <w:rPr>
          <w:rFonts w:hint="eastAsia"/>
          <w:color w:val="000000" w:themeColor="text1"/>
          <w14:textFill>
            <w14:solidFill>
              <w14:schemeClr w14:val="tx1"/>
            </w14:solidFill>
          </w14:textFill>
        </w:rPr>
        <w:t>运营和维护服务基本要求</w:t>
      </w:r>
      <w:bookmarkEnd w:id="531"/>
      <w:bookmarkEnd w:id="532"/>
      <w:bookmarkEnd w:id="533"/>
      <w:bookmarkEnd w:id="534"/>
      <w:bookmarkEnd w:id="535"/>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8.2.1  </w:t>
      </w:r>
      <w:r>
        <w:rPr>
          <w:rFonts w:hint="eastAsia"/>
          <w:color w:val="000000" w:themeColor="text1"/>
          <w14:textFill>
            <w14:solidFill>
              <w14:schemeClr w14:val="tx1"/>
            </w14:solidFill>
          </w14:textFill>
        </w:rPr>
        <w:t>在整个运营期内，乙方应自行承担费用、责任和风险，管理、运营和维护项目设施，使项目设施处于良好的使用状态。</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8.2.2  </w:t>
      </w:r>
      <w:r>
        <w:rPr>
          <w:rFonts w:hint="eastAsia"/>
          <w:color w:val="000000" w:themeColor="text1"/>
          <w14:textFill>
            <w14:solidFill>
              <w14:schemeClr w14:val="tx1"/>
            </w14:solidFill>
          </w14:textFill>
        </w:rPr>
        <w:t>乙方应建立健全流程制度管理体系，从制度体系上保障运营和维（养）护质量。</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8.2.3  </w:t>
      </w:r>
      <w:r>
        <w:rPr>
          <w:rFonts w:hint="eastAsia"/>
          <w:color w:val="000000" w:themeColor="text1"/>
          <w14:textFill>
            <w14:solidFill>
              <w14:schemeClr w14:val="tx1"/>
            </w14:solidFill>
          </w14:textFill>
        </w:rPr>
        <w:t>乙方应确保在整个运营期内，始终根据下列规定和要求运营并维（养）护项目设施：</w:t>
      </w:r>
    </w:p>
    <w:p>
      <w:pPr>
        <w:pStyle w:val="310"/>
        <w:numPr>
          <w:ilvl w:val="0"/>
          <w:numId w:val="79"/>
        </w:numPr>
        <w:spacing w:line="360" w:lineRule="auto"/>
        <w:ind w:left="993" w:hanging="57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适用法律；</w:t>
      </w:r>
    </w:p>
    <w:p>
      <w:pPr>
        <w:pStyle w:val="310"/>
        <w:numPr>
          <w:ilvl w:val="0"/>
          <w:numId w:val="79"/>
        </w:numPr>
        <w:spacing w:line="360" w:lineRule="auto"/>
        <w:ind w:left="993" w:hanging="57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运营维（养）护手册以及与项目设施有关的设备制造商提供的一切有关手册、指导和建议；</w:t>
      </w:r>
    </w:p>
    <w:p>
      <w:pPr>
        <w:pStyle w:val="310"/>
        <w:numPr>
          <w:ilvl w:val="0"/>
          <w:numId w:val="79"/>
        </w:numPr>
        <w:spacing w:line="360" w:lineRule="auto"/>
        <w:ind w:left="993" w:hanging="57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本合同的约定；</w:t>
      </w:r>
    </w:p>
    <w:p>
      <w:pPr>
        <w:pStyle w:val="310"/>
        <w:numPr>
          <w:ilvl w:val="0"/>
          <w:numId w:val="79"/>
        </w:numPr>
        <w:spacing w:line="360" w:lineRule="auto"/>
        <w:ind w:left="993" w:hanging="57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谨慎运营惯例。</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8.2.4  </w:t>
      </w:r>
      <w:r>
        <w:rPr>
          <w:rFonts w:hint="eastAsia"/>
          <w:color w:val="000000" w:themeColor="text1"/>
          <w14:textFill>
            <w14:solidFill>
              <w14:schemeClr w14:val="tx1"/>
            </w14:solidFill>
          </w14:textFill>
        </w:rPr>
        <w:t>乙方应按照下述规定的时间和要求向甲方提交相应的资料：</w:t>
      </w:r>
    </w:p>
    <w:p>
      <w:pPr>
        <w:pStyle w:val="310"/>
        <w:numPr>
          <w:ilvl w:val="0"/>
          <w:numId w:val="80"/>
        </w:numPr>
        <w:spacing w:line="360" w:lineRule="auto"/>
        <w:ind w:left="993" w:hanging="573"/>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乙方应于每月十（</w:t>
      </w:r>
      <w:r>
        <w:rPr>
          <w:rFonts w:ascii="Times New Roman" w:eastAsia="宋体" w:cs="Times New Roman"/>
          <w:color w:val="000000" w:themeColor="text1"/>
          <w:sz w:val="21"/>
          <w:szCs w:val="21"/>
          <w14:textFill>
            <w14:solidFill>
              <w14:schemeClr w14:val="tx1"/>
            </w14:solidFill>
          </w14:textFill>
        </w:rPr>
        <w:t>10</w:t>
      </w:r>
      <w:r>
        <w:rPr>
          <w:rFonts w:hint="eastAsia" w:ascii="Times New Roman" w:eastAsia="宋体" w:cs="Times New Roman"/>
          <w:color w:val="000000" w:themeColor="text1"/>
          <w:sz w:val="21"/>
          <w:szCs w:val="21"/>
          <w14:textFill>
            <w14:solidFill>
              <w14:schemeClr w14:val="tx1"/>
            </w14:solidFill>
          </w14:textFill>
        </w:rPr>
        <w:t>）日前向甲方提交上月的维（养）护记录。</w:t>
      </w:r>
    </w:p>
    <w:p>
      <w:pPr>
        <w:pStyle w:val="310"/>
        <w:numPr>
          <w:ilvl w:val="0"/>
          <w:numId w:val="80"/>
        </w:numPr>
        <w:spacing w:line="360" w:lineRule="auto"/>
        <w:ind w:left="993" w:hanging="573"/>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提交全面反映其经营情况各个方面的下列财务报表和其他报表：</w:t>
      </w:r>
    </w:p>
    <w:p>
      <w:pPr>
        <w:pStyle w:val="310"/>
        <w:numPr>
          <w:ilvl w:val="0"/>
          <w:numId w:val="81"/>
        </w:numPr>
        <w:spacing w:line="360" w:lineRule="auto"/>
        <w:ind w:left="1275" w:leftChars="607" w:hanging="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每年</w:t>
      </w:r>
      <w:r>
        <w:rPr>
          <w:rFonts w:ascii="Times New Roman" w:eastAsia="宋体" w:cs="Times New Roman"/>
          <w:color w:val="000000" w:themeColor="text1"/>
          <w:sz w:val="21"/>
          <w:szCs w:val="21"/>
          <w14:textFill>
            <w14:solidFill>
              <w14:schemeClr w14:val="tx1"/>
            </w14:solidFill>
          </w14:textFill>
        </w:rPr>
        <w:t>3</w:t>
      </w:r>
      <w:r>
        <w:rPr>
          <w:rFonts w:hint="eastAsia" w:ascii="Times New Roman" w:eastAsia="宋体" w:cs="Times New Roman"/>
          <w:color w:val="000000" w:themeColor="text1"/>
          <w:sz w:val="21"/>
          <w:szCs w:val="21"/>
          <w14:textFill>
            <w14:solidFill>
              <w14:schemeClr w14:val="tx1"/>
            </w14:solidFill>
          </w14:textFill>
        </w:rPr>
        <w:t>月</w:t>
      </w:r>
      <w:r>
        <w:rPr>
          <w:rFonts w:ascii="Times New Roman" w:eastAsia="宋体" w:cs="Times New Roman"/>
          <w:color w:val="000000" w:themeColor="text1"/>
          <w:sz w:val="21"/>
          <w:szCs w:val="21"/>
          <w14:textFill>
            <w14:solidFill>
              <w14:schemeClr w14:val="tx1"/>
            </w14:solidFill>
          </w14:textFill>
        </w:rPr>
        <w:t>31</w:t>
      </w:r>
      <w:r>
        <w:rPr>
          <w:rFonts w:hint="eastAsia" w:ascii="Times New Roman" w:eastAsia="宋体" w:cs="Times New Roman"/>
          <w:color w:val="000000" w:themeColor="text1"/>
          <w:sz w:val="21"/>
          <w:szCs w:val="21"/>
          <w14:textFill>
            <w14:solidFill>
              <w14:schemeClr w14:val="tx1"/>
            </w14:solidFill>
          </w14:textFill>
        </w:rPr>
        <w:t>日之前，提交上一年度按适用法律和普遍认可的中国会计准则、制度和惯例编制的经审计的年度财务报表，包括但不限于资产负债表、利润表和现金流量表；</w:t>
      </w:r>
    </w:p>
    <w:p>
      <w:pPr>
        <w:pStyle w:val="310"/>
        <w:numPr>
          <w:ilvl w:val="0"/>
          <w:numId w:val="81"/>
        </w:numPr>
        <w:spacing w:line="360" w:lineRule="auto"/>
        <w:ind w:left="1275" w:leftChars="607" w:hanging="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每月结束后的十（</w:t>
      </w:r>
      <w:r>
        <w:rPr>
          <w:rFonts w:ascii="Times New Roman" w:eastAsia="宋体" w:cs="Times New Roman"/>
          <w:color w:val="000000" w:themeColor="text1"/>
          <w:sz w:val="21"/>
          <w:szCs w:val="21"/>
          <w14:textFill>
            <w14:solidFill>
              <w14:schemeClr w14:val="tx1"/>
            </w14:solidFill>
          </w14:textFill>
        </w:rPr>
        <w:t>10</w:t>
      </w:r>
      <w:r>
        <w:rPr>
          <w:rFonts w:hint="eastAsia" w:ascii="Times New Roman" w:eastAsia="宋体" w:cs="Times New Roman"/>
          <w:color w:val="000000" w:themeColor="text1"/>
          <w:sz w:val="21"/>
          <w:szCs w:val="21"/>
          <w14:textFill>
            <w14:solidFill>
              <w14:schemeClr w14:val="tx1"/>
            </w14:solidFill>
          </w14:textFill>
        </w:rPr>
        <w:t>）日内，提交上月本项目的运营成本表；以及</w:t>
      </w:r>
    </w:p>
    <w:p>
      <w:pPr>
        <w:pStyle w:val="310"/>
        <w:numPr>
          <w:ilvl w:val="0"/>
          <w:numId w:val="81"/>
        </w:numPr>
        <w:spacing w:line="360" w:lineRule="auto"/>
        <w:ind w:left="1275" w:leftChars="607" w:hanging="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甲方为监督乙方遵守适用法律和本合同而合理要求的有关乙方财务状况的其它资料。</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8.2.5  </w:t>
      </w:r>
      <w:r>
        <w:rPr>
          <w:rFonts w:hint="eastAsia"/>
          <w:color w:val="000000" w:themeColor="text1"/>
          <w14:textFill>
            <w14:solidFill>
              <w14:schemeClr w14:val="tx1"/>
            </w14:solidFill>
          </w14:textFill>
        </w:rPr>
        <w:t>乙方应于每个运营周年末前提交下一运营年维（养）护计划，将其下一运营年度的重大维（养）护计划书面通知甲方。</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8.2.6  </w:t>
      </w:r>
      <w:r>
        <w:rPr>
          <w:rFonts w:hint="eastAsia"/>
          <w:color w:val="000000" w:themeColor="text1"/>
          <w14:textFill>
            <w14:solidFill>
              <w14:schemeClr w14:val="tx1"/>
            </w14:solidFill>
          </w14:textFill>
        </w:rPr>
        <w:t>甲方有权指定任何代表在任何时候进入项目设施，以检查项目设施的维（养）护情况，但甲方应尽量减少该等检查对项目设施维（养）护可能产生的干扰。甲方指定的代表有权检查乙方的维（养）护记录和项目设施检测记录。乙方应对甲方指定的代表提出的问题作出合理解答。</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8.2.7  </w:t>
      </w:r>
      <w:r>
        <w:rPr>
          <w:rFonts w:hint="eastAsia"/>
          <w:color w:val="000000" w:themeColor="text1"/>
          <w14:textFill>
            <w14:solidFill>
              <w14:schemeClr w14:val="tx1"/>
            </w14:solidFill>
          </w14:textFill>
        </w:rPr>
        <w:t>本项目建成投入使用后，为切实保障项目设施的正常使用和为社会提供持续稳定的服务，乙方可委托专业的运营管理、维（养）护队伍提供运营、维（养）护服务。</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8.2.8  </w:t>
      </w:r>
      <w:r>
        <w:rPr>
          <w:rFonts w:hint="eastAsia"/>
          <w:color w:val="000000" w:themeColor="text1"/>
          <w14:textFill>
            <w14:solidFill>
              <w14:schemeClr w14:val="tx1"/>
            </w14:solidFill>
          </w14:textFill>
        </w:rPr>
        <w:t>本项目部分可对外经营收费的建筑和设施，乙方对外签署的经营性合同（租赁合同）期限未经甲方同意不得超出项目合作期限。若在项目合作期满移交时，由于权利瑕疵或乙方签署的合同造成甲方的经济损失或赔偿均由乙方承担，甲方有权从此后最近一期的可行性缺口补助费用中扣减（扣减额度可包括按违约利率计息的利息）。</w:t>
      </w:r>
    </w:p>
    <w:p>
      <w:pPr>
        <w:pStyle w:val="4"/>
        <w:rPr>
          <w:color w:val="000000" w:themeColor="text1"/>
          <w14:textFill>
            <w14:solidFill>
              <w14:schemeClr w14:val="tx1"/>
            </w14:solidFill>
          </w14:textFill>
        </w:rPr>
      </w:pPr>
      <w:bookmarkStart w:id="536" w:name="_Toc495846002"/>
      <w:bookmarkStart w:id="537" w:name="_Toc496299609"/>
      <w:bookmarkStart w:id="538" w:name="_Toc516399767"/>
      <w:bookmarkStart w:id="539" w:name="_Toc522635543"/>
      <w:r>
        <w:rPr>
          <w:color w:val="000000" w:themeColor="text1"/>
          <w14:textFill>
            <w14:solidFill>
              <w14:schemeClr w14:val="tx1"/>
            </w14:solidFill>
          </w14:textFill>
        </w:rPr>
        <w:t xml:space="preserve">8.3  </w:t>
      </w:r>
      <w:r>
        <w:rPr>
          <w:rFonts w:hint="eastAsia"/>
          <w:color w:val="000000" w:themeColor="text1"/>
          <w14:textFill>
            <w14:solidFill>
              <w14:schemeClr w14:val="tx1"/>
            </w14:solidFill>
          </w14:textFill>
        </w:rPr>
        <w:t>运营期履约保函</w:t>
      </w:r>
      <w:bookmarkEnd w:id="536"/>
      <w:bookmarkEnd w:id="537"/>
      <w:bookmarkEnd w:id="538"/>
      <w:bookmarkEnd w:id="539"/>
    </w:p>
    <w:p>
      <w:pPr>
        <w:pStyle w:val="310"/>
        <w:spacing w:line="360" w:lineRule="auto"/>
        <w:ind w:left="630" w:hanging="630" w:hangingChars="300"/>
        <w:jc w:val="both"/>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0"/>
          <w:lang w:val="zh-CN"/>
          <w14:textFill>
            <w14:solidFill>
              <w14:schemeClr w14:val="tx1"/>
            </w14:solidFill>
          </w14:textFill>
        </w:rPr>
        <w:t xml:space="preserve">8.3.1  </w:t>
      </w:r>
      <w:r>
        <w:rPr>
          <w:rFonts w:hint="eastAsia" w:ascii="Times New Roman" w:eastAsia="宋体" w:cs="Times New Roman"/>
          <w:color w:val="000000" w:themeColor="text1"/>
          <w:sz w:val="21"/>
          <w:szCs w:val="21"/>
          <w14:textFill>
            <w14:solidFill>
              <w14:schemeClr w14:val="tx1"/>
            </w14:solidFill>
          </w14:textFill>
        </w:rPr>
        <w:t>工程竣工验收合格前三十（</w:t>
      </w:r>
      <w:r>
        <w:rPr>
          <w:rFonts w:ascii="Times New Roman" w:eastAsia="宋体" w:cs="Times New Roman"/>
          <w:color w:val="000000" w:themeColor="text1"/>
          <w:sz w:val="21"/>
          <w:szCs w:val="21"/>
          <w14:textFill>
            <w14:solidFill>
              <w14:schemeClr w14:val="tx1"/>
            </w14:solidFill>
          </w14:textFill>
        </w:rPr>
        <w:t>30</w:t>
      </w:r>
      <w:r>
        <w:rPr>
          <w:rFonts w:hint="eastAsia" w:ascii="Times New Roman" w:eastAsia="宋体" w:cs="Times New Roman"/>
          <w:color w:val="000000" w:themeColor="text1"/>
          <w:sz w:val="21"/>
          <w:szCs w:val="21"/>
          <w14:textFill>
            <w14:solidFill>
              <w14:schemeClr w14:val="tx1"/>
            </w14:solidFill>
          </w14:textFill>
        </w:rPr>
        <w:t>）日内，乙方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应向甲方提交运营期履约保函，以保证乙方履行本合同项下管理和运营维护项目设施的义务，运营期履约保函由金融机构（地级市及以上国有或股份制商业银行的支行或分行，或杭州市当地的金融机构）出具。</w:t>
      </w:r>
    </w:p>
    <w:p>
      <w:pPr>
        <w:pStyle w:val="310"/>
        <w:spacing w:line="360" w:lineRule="auto"/>
        <w:ind w:left="630" w:hanging="630" w:hangingChars="300"/>
        <w:jc w:val="both"/>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 xml:space="preserve">8.3.2  </w:t>
      </w:r>
      <w:r>
        <w:rPr>
          <w:rFonts w:hint="eastAsia" w:ascii="Times New Roman" w:eastAsia="宋体" w:cs="Times New Roman"/>
          <w:color w:val="000000" w:themeColor="text1"/>
          <w:sz w:val="21"/>
          <w:szCs w:val="21"/>
          <w14:textFill>
            <w14:solidFill>
              <w14:schemeClr w14:val="tx1"/>
            </w14:solidFill>
          </w14:textFill>
        </w:rPr>
        <w:t>运营期履约保函的有效期自运营开始日起至根据</w:t>
      </w:r>
      <w:r>
        <w:rPr>
          <w:rFonts w:ascii="Times New Roman" w:eastAsia="宋体" w:cs="Times New Roman"/>
          <w:color w:val="000000" w:themeColor="text1"/>
          <w:sz w:val="21"/>
          <w:szCs w:val="21"/>
          <w14:textFill>
            <w14:solidFill>
              <w14:schemeClr w14:val="tx1"/>
            </w14:solidFill>
          </w14:textFill>
        </w:rPr>
        <w:t>8.3.5</w:t>
      </w:r>
      <w:r>
        <w:rPr>
          <w:rFonts w:hint="eastAsia" w:ascii="Times New Roman" w:eastAsia="宋体" w:cs="Times New Roman"/>
          <w:color w:val="000000" w:themeColor="text1"/>
          <w:sz w:val="21"/>
          <w:szCs w:val="21"/>
          <w14:textFill>
            <w14:solidFill>
              <w14:schemeClr w14:val="tx1"/>
            </w14:solidFill>
          </w14:textFill>
        </w:rPr>
        <w:t>条款的规定解除之日止。在运营期内运营期履约包含金额至少维持在贰仟万元（</w:t>
      </w:r>
      <w:r>
        <w:rPr>
          <w:rFonts w:ascii="Times New Roman" w:eastAsia="宋体" w:cs="Times New Roman"/>
          <w:color w:val="000000" w:themeColor="text1"/>
          <w:sz w:val="21"/>
          <w:szCs w:val="21"/>
          <w14:textFill>
            <w14:solidFill>
              <w14:schemeClr w14:val="tx1"/>
            </w14:solidFill>
          </w14:textFill>
        </w:rPr>
        <w:t>RMB20,000,000</w:t>
      </w:r>
      <w:r>
        <w:rPr>
          <w:rFonts w:hint="eastAsia" w:ascii="Times New Roman" w:eastAsia="宋体" w:cs="Times New Roman"/>
          <w:color w:val="000000" w:themeColor="text1"/>
          <w:sz w:val="21"/>
          <w:szCs w:val="21"/>
          <w14:textFill>
            <w14:solidFill>
              <w14:schemeClr w14:val="tx1"/>
            </w14:solidFill>
          </w14:textFill>
        </w:rPr>
        <w:t>）。</w:t>
      </w:r>
    </w:p>
    <w:p>
      <w:pPr>
        <w:pStyle w:val="310"/>
        <w:spacing w:line="360" w:lineRule="auto"/>
        <w:ind w:left="630" w:hanging="630" w:hangingChars="300"/>
        <w:jc w:val="both"/>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 xml:space="preserve">8.3.3  </w:t>
      </w:r>
      <w:r>
        <w:rPr>
          <w:rFonts w:hint="eastAsia" w:ascii="Times New Roman" w:eastAsia="宋体" w:cs="Times New Roman"/>
          <w:color w:val="000000" w:themeColor="text1"/>
          <w:sz w:val="21"/>
          <w:szCs w:val="21"/>
          <w14:textFill>
            <w14:solidFill>
              <w14:schemeClr w14:val="tx1"/>
            </w14:solidFill>
          </w14:textFill>
        </w:rPr>
        <w:t>恢复运营期履约保函的数额</w:t>
      </w:r>
    </w:p>
    <w:p>
      <w:pPr>
        <w:pStyle w:val="310"/>
        <w:spacing w:line="360" w:lineRule="auto"/>
        <w:ind w:left="630" w:hanging="630" w:hangingChars="300"/>
        <w:jc w:val="both"/>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1</w:t>
      </w:r>
      <w:r>
        <w:rPr>
          <w:rFonts w:hint="eastAsia" w:ascii="Times New Roman" w:eastAsia="宋体" w:cs="Times New Roman"/>
          <w:color w:val="000000" w:themeColor="text1"/>
          <w:sz w:val="21"/>
          <w:szCs w:val="21"/>
          <w14:textFill>
            <w14:solidFill>
              <w14:schemeClr w14:val="tx1"/>
            </w14:solidFill>
          </w14:textFill>
        </w:rPr>
        <w:t>）若甲方在运营期内根据本合同的规定运营期履约保函项下的金额，乙方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项目公司在甲方兑取款项后十五（</w:t>
      </w:r>
      <w:r>
        <w:rPr>
          <w:rFonts w:ascii="Times New Roman" w:eastAsia="宋体" w:cs="Times New Roman"/>
          <w:color w:val="000000" w:themeColor="text1"/>
          <w:sz w:val="21"/>
          <w:szCs w:val="21"/>
          <w14:textFill>
            <w14:solidFill>
              <w14:schemeClr w14:val="tx1"/>
            </w14:solidFill>
          </w14:textFill>
        </w:rPr>
        <w:t>15</w:t>
      </w:r>
      <w:r>
        <w:rPr>
          <w:rFonts w:hint="eastAsia" w:ascii="Times New Roman" w:eastAsia="宋体" w:cs="Times New Roman"/>
          <w:color w:val="000000" w:themeColor="text1"/>
          <w:sz w:val="21"/>
          <w:szCs w:val="21"/>
          <w14:textFill>
            <w14:solidFill>
              <w14:schemeClr w14:val="tx1"/>
            </w14:solidFill>
          </w14:textFill>
        </w:rPr>
        <w:t>）个工作日内将运营期履约保函补充至第</w:t>
      </w:r>
      <w:r>
        <w:rPr>
          <w:rFonts w:ascii="Times New Roman" w:eastAsia="宋体" w:cs="Times New Roman"/>
          <w:color w:val="000000" w:themeColor="text1"/>
          <w:sz w:val="21"/>
          <w:szCs w:val="21"/>
          <w14:textFill>
            <w14:solidFill>
              <w14:schemeClr w14:val="tx1"/>
            </w14:solidFill>
          </w14:textFill>
        </w:rPr>
        <w:t>8.3.2</w:t>
      </w:r>
      <w:r>
        <w:rPr>
          <w:rFonts w:hint="eastAsia" w:ascii="Times New Roman" w:eastAsia="宋体" w:cs="Times New Roman"/>
          <w:color w:val="000000" w:themeColor="text1"/>
          <w:sz w:val="21"/>
          <w:szCs w:val="21"/>
          <w14:textFill>
            <w14:solidFill>
              <w14:schemeClr w14:val="tx1"/>
            </w14:solidFill>
          </w14:textFill>
        </w:rPr>
        <w:t>条款规定的金额，并向甲方出示其已恢复运营期履约保函金额的凭据。</w:t>
      </w:r>
    </w:p>
    <w:p>
      <w:pPr>
        <w:pStyle w:val="310"/>
        <w:spacing w:line="360" w:lineRule="auto"/>
        <w:ind w:left="630" w:hanging="630" w:hangingChars="300"/>
        <w:jc w:val="both"/>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2</w:t>
      </w:r>
      <w:r>
        <w:rPr>
          <w:rFonts w:hint="eastAsia" w:ascii="Times New Roman" w:eastAsia="宋体" w:cs="Times New Roman"/>
          <w:color w:val="000000" w:themeColor="text1"/>
          <w:sz w:val="21"/>
          <w:szCs w:val="21"/>
          <w14:textFill>
            <w14:solidFill>
              <w14:schemeClr w14:val="tx1"/>
            </w14:solidFill>
          </w14:textFill>
        </w:rPr>
        <w:t>）若乙方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项目公司需要通过另一份运营期履约保函使这份保函得以延续或更换，应提前七（</w:t>
      </w:r>
      <w:r>
        <w:rPr>
          <w:rFonts w:ascii="Times New Roman" w:eastAsia="宋体" w:cs="Times New Roman"/>
          <w:color w:val="000000" w:themeColor="text1"/>
          <w:sz w:val="21"/>
          <w:szCs w:val="21"/>
          <w14:textFill>
            <w14:solidFill>
              <w14:schemeClr w14:val="tx1"/>
            </w14:solidFill>
          </w14:textFill>
        </w:rPr>
        <w:t>7</w:t>
      </w:r>
      <w:r>
        <w:rPr>
          <w:rFonts w:hint="eastAsia" w:ascii="Times New Roman" w:eastAsia="宋体" w:cs="Times New Roman"/>
          <w:color w:val="000000" w:themeColor="text1"/>
          <w:sz w:val="21"/>
          <w:szCs w:val="21"/>
          <w14:textFill>
            <w14:solidFill>
              <w14:schemeClr w14:val="tx1"/>
            </w14:solidFill>
          </w14:textFill>
        </w:rPr>
        <w:t>）个工作日通知甲方，并在遵守第</w:t>
      </w:r>
      <w:r>
        <w:rPr>
          <w:rFonts w:ascii="Times New Roman" w:eastAsia="宋体" w:cs="Times New Roman"/>
          <w:color w:val="000000" w:themeColor="text1"/>
          <w:sz w:val="21"/>
          <w:szCs w:val="21"/>
          <w14:textFill>
            <w14:solidFill>
              <w14:schemeClr w14:val="tx1"/>
            </w14:solidFill>
          </w14:textFill>
        </w:rPr>
        <w:t>8.3.2</w:t>
      </w:r>
      <w:r>
        <w:rPr>
          <w:rFonts w:hint="eastAsia" w:ascii="Times New Roman" w:eastAsia="宋体" w:cs="Times New Roman"/>
          <w:color w:val="000000" w:themeColor="text1"/>
          <w:sz w:val="21"/>
          <w:szCs w:val="21"/>
          <w14:textFill>
            <w14:solidFill>
              <w14:schemeClr w14:val="tx1"/>
            </w14:solidFill>
          </w14:textFill>
        </w:rPr>
        <w:t>条款规定的数额的前提下，始终保持运营期履约保函自运营开始日至第</w:t>
      </w:r>
      <w:r>
        <w:rPr>
          <w:rFonts w:ascii="Times New Roman" w:eastAsia="宋体" w:cs="Times New Roman"/>
          <w:color w:val="000000" w:themeColor="text1"/>
          <w:sz w:val="21"/>
          <w:szCs w:val="21"/>
          <w14:textFill>
            <w14:solidFill>
              <w14:schemeClr w14:val="tx1"/>
            </w14:solidFill>
          </w14:textFill>
        </w:rPr>
        <w:t>8.3.5</w:t>
      </w:r>
      <w:r>
        <w:rPr>
          <w:rFonts w:hint="eastAsia" w:ascii="Times New Roman" w:eastAsia="宋体" w:cs="Times New Roman"/>
          <w:color w:val="000000" w:themeColor="text1"/>
          <w:sz w:val="21"/>
          <w:szCs w:val="21"/>
          <w14:textFill>
            <w14:solidFill>
              <w14:schemeClr w14:val="tx1"/>
            </w14:solidFill>
          </w14:textFill>
        </w:rPr>
        <w:t>条款规定解除之时止有效。</w:t>
      </w:r>
    </w:p>
    <w:p>
      <w:pPr>
        <w:pStyle w:val="310"/>
        <w:spacing w:line="360" w:lineRule="auto"/>
        <w:ind w:left="630" w:hanging="630" w:hangingChars="300"/>
        <w:jc w:val="both"/>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 xml:space="preserve">8.3.4  </w:t>
      </w:r>
      <w:r>
        <w:rPr>
          <w:rFonts w:hint="eastAsia" w:ascii="Times New Roman" w:eastAsia="宋体" w:cs="Times New Roman"/>
          <w:color w:val="000000" w:themeColor="text1"/>
          <w:sz w:val="21"/>
          <w:szCs w:val="21"/>
          <w14:textFill>
            <w14:solidFill>
              <w14:schemeClr w14:val="tx1"/>
            </w14:solidFill>
          </w14:textFill>
        </w:rPr>
        <w:t>运营期履约保函的兑取</w:t>
      </w:r>
    </w:p>
    <w:p>
      <w:pPr>
        <w:pStyle w:val="310"/>
        <w:spacing w:line="360" w:lineRule="auto"/>
        <w:ind w:left="630" w:hanging="630" w:hangingChars="300"/>
        <w:jc w:val="both"/>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1</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ab/>
      </w:r>
      <w:r>
        <w:rPr>
          <w:rFonts w:hint="eastAsia" w:ascii="Times New Roman" w:eastAsia="宋体" w:cs="Times New Roman"/>
          <w:color w:val="000000" w:themeColor="text1"/>
          <w:sz w:val="21"/>
          <w:szCs w:val="21"/>
          <w14:textFill>
            <w14:solidFill>
              <w14:schemeClr w14:val="tx1"/>
            </w14:solidFill>
          </w14:textFill>
        </w:rPr>
        <w:t>如果发生因乙方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项目公司未全部或部分履行其在本合同项下的义务，且在甲方要求的期限内未予补正，或未按本合同的约定承担违约责任，甲方有权兑取运营期履约保函的全部或部分金额。</w:t>
      </w:r>
    </w:p>
    <w:p>
      <w:pPr>
        <w:pStyle w:val="310"/>
        <w:spacing w:line="360" w:lineRule="auto"/>
        <w:ind w:left="720" w:hanging="720" w:hangingChars="300"/>
        <w:jc w:val="both"/>
        <w:rPr>
          <w:rFonts w:ascii="Times New Roman" w:eastAsia="宋体" w:cs="Times New Roman"/>
          <w:color w:val="000000" w:themeColor="text1"/>
          <w:sz w:val="21"/>
          <w:szCs w:val="21"/>
          <w14:textFill>
            <w14:solidFill>
              <w14:schemeClr w14:val="tx1"/>
            </w14:solidFill>
          </w14:textFill>
        </w:rPr>
      </w:pPr>
      <w:r>
        <w:rPr>
          <w:rFonts w:ascii="Times New Roman"/>
          <w:color w:val="FF0000"/>
          <w:szCs w:val="21"/>
        </w:rPr>
        <w:t xml:space="preserve">  </w:t>
      </w: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2</w:t>
      </w:r>
      <w:r>
        <w:rPr>
          <w:rFonts w:hint="eastAsia" w:ascii="Times New Roman" w:eastAsia="宋体" w:cs="Times New Roman"/>
          <w:color w:val="000000" w:themeColor="text1"/>
          <w:sz w:val="21"/>
          <w:szCs w:val="21"/>
          <w14:textFill>
            <w14:solidFill>
              <w14:schemeClr w14:val="tx1"/>
            </w14:solidFill>
          </w14:textFill>
        </w:rPr>
        <w:t>）如果乙方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项目公司没有遵守第</w:t>
      </w:r>
      <w:r>
        <w:rPr>
          <w:rFonts w:ascii="Times New Roman" w:eastAsia="宋体" w:cs="Times New Roman"/>
          <w:color w:val="000000" w:themeColor="text1"/>
          <w:sz w:val="21"/>
          <w:szCs w:val="21"/>
          <w14:textFill>
            <w14:solidFill>
              <w14:schemeClr w14:val="tx1"/>
            </w14:solidFill>
          </w14:textFill>
        </w:rPr>
        <w:t>8.3.1</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8.3.2</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8.3.3</w:t>
      </w:r>
      <w:r>
        <w:rPr>
          <w:rFonts w:hint="eastAsia" w:ascii="Times New Roman" w:eastAsia="宋体" w:cs="Times New Roman"/>
          <w:color w:val="000000" w:themeColor="text1"/>
          <w:sz w:val="21"/>
          <w:szCs w:val="21"/>
          <w14:textFill>
            <w14:solidFill>
              <w14:schemeClr w14:val="tx1"/>
            </w14:solidFill>
          </w14:textFill>
        </w:rPr>
        <w:t>条款的规定，并且乙方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项目公司收到甲方要求其遵守的书面通知后十五（</w:t>
      </w:r>
      <w:r>
        <w:rPr>
          <w:rFonts w:ascii="Times New Roman" w:eastAsia="宋体" w:cs="Times New Roman"/>
          <w:color w:val="000000" w:themeColor="text1"/>
          <w:sz w:val="21"/>
          <w:szCs w:val="21"/>
          <w14:textFill>
            <w14:solidFill>
              <w14:schemeClr w14:val="tx1"/>
            </w14:solidFill>
          </w14:textFill>
        </w:rPr>
        <w:t>15</w:t>
      </w:r>
      <w:r>
        <w:rPr>
          <w:rFonts w:hint="eastAsia" w:ascii="Times New Roman" w:eastAsia="宋体" w:cs="Times New Roman"/>
          <w:color w:val="000000" w:themeColor="text1"/>
          <w:sz w:val="21"/>
          <w:szCs w:val="21"/>
          <w14:textFill>
            <w14:solidFill>
              <w14:schemeClr w14:val="tx1"/>
            </w14:solidFill>
          </w14:textFill>
        </w:rPr>
        <w:t>）日内仍没有纠正的，甲方有权兑取运营期履约保函的剩余金额（如有），并有权在以后应支付给乙方的可行性缺口补助中扣除相应款项（以下简称“扣留款”），直至乙方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项目公司履行第</w:t>
      </w:r>
      <w:r>
        <w:rPr>
          <w:rFonts w:ascii="Times New Roman" w:eastAsia="宋体" w:cs="Times New Roman"/>
          <w:color w:val="000000" w:themeColor="text1"/>
          <w:sz w:val="21"/>
          <w:szCs w:val="21"/>
          <w14:textFill>
            <w14:solidFill>
              <w14:schemeClr w14:val="tx1"/>
            </w14:solidFill>
          </w14:textFill>
        </w:rPr>
        <w:t>8.3.1</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8.3.2</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8.3.3</w:t>
      </w:r>
      <w:r>
        <w:rPr>
          <w:rFonts w:hint="eastAsia" w:ascii="Times New Roman" w:eastAsia="宋体" w:cs="Times New Roman"/>
          <w:color w:val="000000" w:themeColor="text1"/>
          <w:sz w:val="21"/>
          <w:szCs w:val="21"/>
          <w14:textFill>
            <w14:solidFill>
              <w14:schemeClr w14:val="tx1"/>
            </w14:solidFill>
          </w14:textFill>
        </w:rPr>
        <w:t>条款的义务或直至所扣留款项与运营期履约保函中剩余款项（如有）之和满足第</w:t>
      </w:r>
      <w:r>
        <w:rPr>
          <w:rFonts w:ascii="Times New Roman" w:eastAsia="宋体" w:cs="Times New Roman"/>
          <w:color w:val="000000" w:themeColor="text1"/>
          <w:sz w:val="21"/>
          <w:szCs w:val="21"/>
          <w14:textFill>
            <w14:solidFill>
              <w14:schemeClr w14:val="tx1"/>
            </w14:solidFill>
          </w14:textFill>
        </w:rPr>
        <w:t>8.3.1</w:t>
      </w:r>
      <w:r>
        <w:rPr>
          <w:rFonts w:hint="eastAsia" w:ascii="Times New Roman" w:eastAsia="宋体" w:cs="Times New Roman"/>
          <w:color w:val="000000" w:themeColor="text1"/>
          <w:sz w:val="21"/>
          <w:szCs w:val="21"/>
          <w14:textFill>
            <w14:solidFill>
              <w14:schemeClr w14:val="tx1"/>
            </w14:solidFill>
          </w14:textFill>
        </w:rPr>
        <w:t>条款中关于运营期履约保函数额的要求。</w:t>
      </w:r>
    </w:p>
    <w:p>
      <w:pPr>
        <w:pStyle w:val="310"/>
        <w:spacing w:line="360" w:lineRule="auto"/>
        <w:ind w:left="630" w:hanging="630" w:hangingChars="300"/>
        <w:jc w:val="both"/>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3</w:t>
      </w:r>
      <w:r>
        <w:rPr>
          <w:rFonts w:hint="eastAsia" w:ascii="Times New Roman" w:eastAsia="宋体" w:cs="Times New Roman"/>
          <w:color w:val="000000" w:themeColor="text1"/>
          <w:sz w:val="21"/>
          <w:szCs w:val="21"/>
          <w14:textFill>
            <w14:solidFill>
              <w14:schemeClr w14:val="tx1"/>
            </w14:solidFill>
          </w14:textFill>
        </w:rPr>
        <w:t>）扣留款用于担保运营期履约保函所担保的相同义务。如果乙方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项目公司在甲方第一次取得扣留款后七（</w:t>
      </w:r>
      <w:r>
        <w:rPr>
          <w:rFonts w:ascii="Times New Roman" w:eastAsia="宋体" w:cs="Times New Roman"/>
          <w:color w:val="000000" w:themeColor="text1"/>
          <w:sz w:val="21"/>
          <w:szCs w:val="21"/>
          <w14:textFill>
            <w14:solidFill>
              <w14:schemeClr w14:val="tx1"/>
            </w14:solidFill>
          </w14:textFill>
        </w:rPr>
        <w:t>7</w:t>
      </w:r>
      <w:r>
        <w:rPr>
          <w:rFonts w:hint="eastAsia" w:ascii="Times New Roman" w:eastAsia="宋体" w:cs="Times New Roman"/>
          <w:color w:val="000000" w:themeColor="text1"/>
          <w:sz w:val="21"/>
          <w:szCs w:val="21"/>
          <w14:textFill>
            <w14:solidFill>
              <w14:schemeClr w14:val="tx1"/>
            </w14:solidFill>
          </w14:textFill>
        </w:rPr>
        <w:t>）日内履行第</w:t>
      </w:r>
      <w:r>
        <w:rPr>
          <w:rFonts w:ascii="Times New Roman" w:eastAsia="宋体" w:cs="Times New Roman"/>
          <w:color w:val="000000" w:themeColor="text1"/>
          <w:sz w:val="21"/>
          <w:szCs w:val="21"/>
          <w14:textFill>
            <w14:solidFill>
              <w14:schemeClr w14:val="tx1"/>
            </w14:solidFill>
          </w14:textFill>
        </w:rPr>
        <w:t>8.3.1</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8.3.2</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8.3.3</w:t>
      </w:r>
      <w:r>
        <w:rPr>
          <w:rFonts w:hint="eastAsia" w:ascii="Times New Roman" w:eastAsia="宋体" w:cs="Times New Roman"/>
          <w:color w:val="000000" w:themeColor="text1"/>
          <w:sz w:val="21"/>
          <w:szCs w:val="21"/>
          <w14:textFill>
            <w14:solidFill>
              <w14:schemeClr w14:val="tx1"/>
            </w14:solidFill>
          </w14:textFill>
        </w:rPr>
        <w:t>条款所规定的义务，则在乙方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项目公司履行上述条款所规定的义务后的此后十五（</w:t>
      </w:r>
      <w:r>
        <w:rPr>
          <w:rFonts w:ascii="Times New Roman" w:eastAsia="宋体" w:cs="Times New Roman"/>
          <w:color w:val="000000" w:themeColor="text1"/>
          <w:sz w:val="21"/>
          <w:szCs w:val="21"/>
          <w14:textFill>
            <w14:solidFill>
              <w14:schemeClr w14:val="tx1"/>
            </w14:solidFill>
          </w14:textFill>
        </w:rPr>
        <w:t>15</w:t>
      </w:r>
      <w:r>
        <w:rPr>
          <w:rFonts w:hint="eastAsia" w:ascii="Times New Roman" w:eastAsia="宋体" w:cs="Times New Roman"/>
          <w:color w:val="000000" w:themeColor="text1"/>
          <w:sz w:val="21"/>
          <w:szCs w:val="21"/>
          <w14:textFill>
            <w14:solidFill>
              <w14:schemeClr w14:val="tx1"/>
            </w14:solidFill>
          </w14:textFill>
        </w:rPr>
        <w:t>）日内，甲方应在以扣留款弥补其因乙方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项目公司该等迟延履约行为所致之直接损失后，将剩余款项交予乙方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w:t>
      </w:r>
    </w:p>
    <w:p>
      <w:pPr>
        <w:pStyle w:val="310"/>
        <w:spacing w:line="360" w:lineRule="auto"/>
        <w:ind w:left="630" w:hanging="630" w:hangingChars="300"/>
        <w:jc w:val="both"/>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 xml:space="preserve">8.3.5  </w:t>
      </w:r>
      <w:r>
        <w:rPr>
          <w:rFonts w:hint="eastAsia" w:ascii="Times New Roman" w:eastAsia="宋体" w:cs="Times New Roman"/>
          <w:color w:val="000000" w:themeColor="text1"/>
          <w:sz w:val="21"/>
          <w:szCs w:val="21"/>
          <w14:textFill>
            <w14:solidFill>
              <w14:schemeClr w14:val="tx1"/>
            </w14:solidFill>
          </w14:textFill>
        </w:rPr>
        <w:t>运营期履约保函的解除</w:t>
      </w:r>
    </w:p>
    <w:p>
      <w:pPr>
        <w:pStyle w:val="310"/>
        <w:spacing w:line="360" w:lineRule="auto"/>
        <w:ind w:left="630" w:hanging="630" w:hangingChars="300"/>
        <w:jc w:val="both"/>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甲方应在运营期届满并收到乙方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项目公司递交的移交维护保函后的三十（</w:t>
      </w:r>
      <w:r>
        <w:rPr>
          <w:rFonts w:ascii="Times New Roman" w:eastAsia="宋体" w:cs="Times New Roman"/>
          <w:color w:val="000000" w:themeColor="text1"/>
          <w:sz w:val="21"/>
          <w:szCs w:val="21"/>
          <w14:textFill>
            <w14:solidFill>
              <w14:schemeClr w14:val="tx1"/>
            </w14:solidFill>
          </w14:textFill>
        </w:rPr>
        <w:t>30</w:t>
      </w:r>
      <w:r>
        <w:rPr>
          <w:rFonts w:hint="eastAsia" w:ascii="Times New Roman" w:eastAsia="宋体" w:cs="Times New Roman"/>
          <w:color w:val="000000" w:themeColor="text1"/>
          <w:sz w:val="21"/>
          <w:szCs w:val="21"/>
          <w14:textFill>
            <w14:solidFill>
              <w14:schemeClr w14:val="tx1"/>
            </w14:solidFill>
          </w14:textFill>
        </w:rPr>
        <w:t>）日内，在甲方兑取完由其按第</w:t>
      </w:r>
      <w:r>
        <w:rPr>
          <w:rFonts w:ascii="Times New Roman" w:eastAsia="宋体" w:cs="Times New Roman"/>
          <w:color w:val="000000" w:themeColor="text1"/>
          <w:sz w:val="21"/>
          <w:szCs w:val="21"/>
          <w14:textFill>
            <w14:solidFill>
              <w14:schemeClr w14:val="tx1"/>
            </w14:solidFill>
          </w14:textFill>
        </w:rPr>
        <w:t>8.3.4(3)</w:t>
      </w:r>
      <w:r>
        <w:rPr>
          <w:rFonts w:hint="eastAsia" w:ascii="Times New Roman" w:eastAsia="宋体" w:cs="Times New Roman"/>
          <w:color w:val="000000" w:themeColor="text1"/>
          <w:sz w:val="21"/>
          <w:szCs w:val="21"/>
          <w14:textFill>
            <w14:solidFill>
              <w14:schemeClr w14:val="tx1"/>
            </w14:solidFill>
          </w14:textFill>
        </w:rPr>
        <w:t>条款扣留的款项（如有）及运营期履约保函的所有款项，并将由其按第</w:t>
      </w:r>
      <w:r>
        <w:rPr>
          <w:rFonts w:ascii="Times New Roman" w:eastAsia="宋体" w:cs="Times New Roman"/>
          <w:color w:val="000000" w:themeColor="text1"/>
          <w:sz w:val="21"/>
          <w:szCs w:val="21"/>
          <w14:textFill>
            <w14:solidFill>
              <w14:schemeClr w14:val="tx1"/>
            </w14:solidFill>
          </w14:textFill>
        </w:rPr>
        <w:t>8.3.4(3)</w:t>
      </w:r>
      <w:r>
        <w:rPr>
          <w:rFonts w:hint="eastAsia" w:ascii="Times New Roman" w:eastAsia="宋体" w:cs="Times New Roman"/>
          <w:color w:val="000000" w:themeColor="text1"/>
          <w:sz w:val="21"/>
          <w:szCs w:val="21"/>
          <w14:textFill>
            <w14:solidFill>
              <w14:schemeClr w14:val="tx1"/>
            </w14:solidFill>
          </w14:textFill>
        </w:rPr>
        <w:t>条款扣留的款项之余额（如有）交予乙方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w:t>
      </w:r>
    </w:p>
    <w:p>
      <w:pPr>
        <w:pStyle w:val="310"/>
        <w:spacing w:line="360" w:lineRule="auto"/>
        <w:ind w:left="630" w:hanging="630" w:hangingChars="300"/>
        <w:jc w:val="both"/>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 xml:space="preserve">8.3.6 </w:t>
      </w:r>
      <w:r>
        <w:rPr>
          <w:rFonts w:hint="eastAsia" w:ascii="Times New Roman" w:eastAsia="宋体" w:cs="Times New Roman"/>
          <w:color w:val="000000" w:themeColor="text1"/>
          <w:sz w:val="21"/>
          <w:szCs w:val="21"/>
          <w14:textFill>
            <w14:solidFill>
              <w14:schemeClr w14:val="tx1"/>
            </w14:solidFill>
          </w14:textFill>
        </w:rPr>
        <w:t>维护的责任</w:t>
      </w:r>
    </w:p>
    <w:p>
      <w:pPr>
        <w:pStyle w:val="310"/>
        <w:spacing w:line="360" w:lineRule="auto"/>
        <w:ind w:left="630" w:hanging="630" w:hangingChars="300"/>
        <w:jc w:val="both"/>
        <w:rPr>
          <w:rFonts w:ascii="Times New Roman"/>
          <w:color w:val="FF0000"/>
          <w:szCs w:val="21"/>
        </w:rPr>
      </w:pP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甲方行使第</w:t>
      </w:r>
      <w:r>
        <w:rPr>
          <w:rFonts w:ascii="Times New Roman" w:eastAsia="宋体" w:cs="Times New Roman"/>
          <w:color w:val="000000" w:themeColor="text1"/>
          <w:sz w:val="21"/>
          <w:szCs w:val="21"/>
          <w14:textFill>
            <w14:solidFill>
              <w14:schemeClr w14:val="tx1"/>
            </w14:solidFill>
          </w14:textFill>
        </w:rPr>
        <w:t>8.3.4(3)</w:t>
      </w:r>
      <w:r>
        <w:rPr>
          <w:rFonts w:hint="eastAsia" w:ascii="Times New Roman" w:eastAsia="宋体" w:cs="Times New Roman"/>
          <w:color w:val="000000" w:themeColor="text1"/>
          <w:sz w:val="21"/>
          <w:szCs w:val="21"/>
          <w14:textFill>
            <w14:solidFill>
              <w14:schemeClr w14:val="tx1"/>
            </w14:solidFill>
          </w14:textFill>
        </w:rPr>
        <w:t>条款项下之扣款及兑取运营期履约保函的权利不损害甲方在本合同项下的其他权利，并且不应解除乙方管理和维护项目设施的义务。</w:t>
      </w:r>
    </w:p>
    <w:p>
      <w:pPr>
        <w:pStyle w:val="4"/>
        <w:rPr>
          <w:color w:val="000000" w:themeColor="text1"/>
          <w14:textFill>
            <w14:solidFill>
              <w14:schemeClr w14:val="tx1"/>
            </w14:solidFill>
          </w14:textFill>
        </w:rPr>
      </w:pPr>
      <w:bookmarkStart w:id="540" w:name="_Toc491857601"/>
      <w:bookmarkStart w:id="541" w:name="_Toc495846003"/>
      <w:bookmarkStart w:id="542" w:name="_Toc496299610"/>
      <w:bookmarkStart w:id="543" w:name="_Toc516399768"/>
      <w:bookmarkStart w:id="544" w:name="_Toc522635544"/>
      <w:r>
        <w:rPr>
          <w:color w:val="000000" w:themeColor="text1"/>
          <w14:textFill>
            <w14:solidFill>
              <w14:schemeClr w14:val="tx1"/>
            </w14:solidFill>
          </w14:textFill>
        </w:rPr>
        <w:t xml:space="preserve">8.4 </w:t>
      </w:r>
      <w:r>
        <w:rPr>
          <w:rFonts w:hint="eastAsia"/>
          <w:color w:val="000000" w:themeColor="text1"/>
          <w14:textFill>
            <w14:solidFill>
              <w14:schemeClr w14:val="tx1"/>
            </w14:solidFill>
          </w14:textFill>
        </w:rPr>
        <w:t>运营维护人员安排</w:t>
      </w:r>
      <w:bookmarkEnd w:id="540"/>
      <w:bookmarkEnd w:id="541"/>
      <w:bookmarkEnd w:id="542"/>
      <w:bookmarkEnd w:id="543"/>
      <w:bookmarkEnd w:id="544"/>
    </w:p>
    <w:p>
      <w:pPr>
        <w:pStyle w:val="310"/>
        <w:spacing w:line="360" w:lineRule="auto"/>
        <w:ind w:left="543" w:leftChars="253" w:hanging="12" w:hangingChars="6"/>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运营期根据项目实际运营维护需要应配备管理人员及巡查人员，具体由双方协商确定。</w:t>
      </w:r>
    </w:p>
    <w:p>
      <w:pPr>
        <w:pStyle w:val="4"/>
        <w:rPr>
          <w:color w:val="000000" w:themeColor="text1"/>
          <w14:textFill>
            <w14:solidFill>
              <w14:schemeClr w14:val="tx1"/>
            </w14:solidFill>
          </w14:textFill>
        </w:rPr>
      </w:pPr>
      <w:bookmarkStart w:id="545" w:name="_Toc491857602"/>
      <w:bookmarkStart w:id="546" w:name="_Toc495846004"/>
      <w:bookmarkStart w:id="547" w:name="_Toc496299611"/>
      <w:bookmarkStart w:id="548" w:name="_Toc516399769"/>
      <w:bookmarkStart w:id="549" w:name="_Toc522635545"/>
      <w:r>
        <w:rPr>
          <w:color w:val="000000" w:themeColor="text1"/>
          <w14:textFill>
            <w14:solidFill>
              <w14:schemeClr w14:val="tx1"/>
            </w14:solidFill>
          </w14:textFill>
        </w:rPr>
        <w:t xml:space="preserve">8.5 </w:t>
      </w:r>
      <w:r>
        <w:rPr>
          <w:rFonts w:hint="eastAsia"/>
          <w:color w:val="000000" w:themeColor="text1"/>
          <w14:textFill>
            <w14:solidFill>
              <w14:schemeClr w14:val="tx1"/>
            </w14:solidFill>
          </w14:textFill>
        </w:rPr>
        <w:t>维（养）护手册</w:t>
      </w:r>
      <w:bookmarkEnd w:id="545"/>
      <w:bookmarkEnd w:id="546"/>
      <w:bookmarkEnd w:id="547"/>
      <w:bookmarkEnd w:id="548"/>
      <w:bookmarkEnd w:id="549"/>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8.5.1 </w:t>
      </w:r>
      <w:r>
        <w:rPr>
          <w:rFonts w:hint="eastAsia"/>
          <w:color w:val="000000" w:themeColor="text1"/>
          <w14:textFill>
            <w14:solidFill>
              <w14:schemeClr w14:val="tx1"/>
            </w14:solidFill>
          </w14:textFill>
        </w:rPr>
        <w:t>维（养）护手册的编制</w:t>
      </w:r>
    </w:p>
    <w:p>
      <w:pPr>
        <w:pStyle w:val="310"/>
        <w:numPr>
          <w:ilvl w:val="0"/>
          <w:numId w:val="82"/>
        </w:numPr>
        <w:spacing w:line="360" w:lineRule="auto"/>
        <w:ind w:left="993"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在运营开始日之前，乙方应根据适用法律和谨慎运营惯例编制项目工程的维（养）护手册，并经甲方同意后遵照执行。</w:t>
      </w:r>
    </w:p>
    <w:p>
      <w:pPr>
        <w:pStyle w:val="310"/>
        <w:numPr>
          <w:ilvl w:val="0"/>
          <w:numId w:val="82"/>
        </w:numPr>
        <w:spacing w:line="360" w:lineRule="auto"/>
        <w:ind w:left="993"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维（养）护手册在运营期内应根据运营和维护的实际情况随时进行修改、补充和完善，并经甲方同意后遵照执行。</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8.5.2 </w:t>
      </w:r>
      <w:r>
        <w:rPr>
          <w:rFonts w:hint="eastAsia"/>
          <w:color w:val="000000" w:themeColor="text1"/>
          <w14:textFill>
            <w14:solidFill>
              <w14:schemeClr w14:val="tx1"/>
            </w14:solidFill>
          </w14:textFill>
        </w:rPr>
        <w:t>维（养）护手册的内容</w:t>
      </w:r>
    </w:p>
    <w:p>
      <w:pPr>
        <w:pStyle w:val="310"/>
        <w:numPr>
          <w:ilvl w:val="0"/>
          <w:numId w:val="83"/>
        </w:numPr>
        <w:spacing w:line="360" w:lineRule="auto"/>
        <w:ind w:left="993"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维（养）护手册应包括项目工程进行定期和季度检查、日常运行维护的程序和计划，并制定应对突发事件的应急服务预案。</w:t>
      </w:r>
    </w:p>
    <w:p>
      <w:pPr>
        <w:pStyle w:val="310"/>
        <w:numPr>
          <w:ilvl w:val="0"/>
          <w:numId w:val="83"/>
        </w:numPr>
        <w:spacing w:line="360" w:lineRule="auto"/>
        <w:ind w:left="993"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维（养）护手册应列明维（养）护服务所需的消耗性备品备件及工具设施和事故抢修的备品备件及设施工具等。</w:t>
      </w:r>
    </w:p>
    <w:p>
      <w:pPr>
        <w:pStyle w:val="4"/>
        <w:rPr>
          <w:color w:val="000000" w:themeColor="text1"/>
          <w14:textFill>
            <w14:solidFill>
              <w14:schemeClr w14:val="tx1"/>
            </w14:solidFill>
          </w14:textFill>
        </w:rPr>
      </w:pPr>
      <w:bookmarkStart w:id="550" w:name="_Toc491857603"/>
      <w:bookmarkStart w:id="551" w:name="_Toc495846005"/>
      <w:bookmarkStart w:id="552" w:name="_Toc496299612"/>
      <w:bookmarkStart w:id="553" w:name="_Toc516399770"/>
      <w:bookmarkStart w:id="554" w:name="_Toc522635546"/>
      <w:r>
        <w:rPr>
          <w:color w:val="000000" w:themeColor="text1"/>
          <w14:textFill>
            <w14:solidFill>
              <w14:schemeClr w14:val="tx1"/>
            </w14:solidFill>
          </w14:textFill>
        </w:rPr>
        <w:t xml:space="preserve">8.6 </w:t>
      </w:r>
      <w:r>
        <w:rPr>
          <w:rFonts w:hint="eastAsia"/>
          <w:color w:val="000000" w:themeColor="text1"/>
          <w14:textFill>
            <w14:solidFill>
              <w14:schemeClr w14:val="tx1"/>
            </w14:solidFill>
          </w14:textFill>
        </w:rPr>
        <w:t>维（养）护质量标准</w:t>
      </w:r>
      <w:bookmarkEnd w:id="550"/>
      <w:bookmarkEnd w:id="551"/>
      <w:bookmarkEnd w:id="552"/>
      <w:bookmarkEnd w:id="553"/>
      <w:bookmarkEnd w:id="554"/>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8.6.1 </w:t>
      </w:r>
      <w:r>
        <w:rPr>
          <w:rFonts w:hint="eastAsia"/>
          <w:color w:val="000000" w:themeColor="text1"/>
          <w14:textFill>
            <w14:solidFill>
              <w14:schemeClr w14:val="tx1"/>
            </w14:solidFill>
          </w14:textFill>
        </w:rPr>
        <w:t>乙方对本项目进行管理和维（养）护的工作内容及质量标准应符合适用法律的规定或甲方制订的相关运营考核管理方案。</w:t>
      </w:r>
    </w:p>
    <w:p>
      <w:pPr>
        <w:pStyle w:val="5"/>
        <w:rPr>
          <w:color w:val="000000" w:themeColor="text1"/>
          <w14:textFill>
            <w14:solidFill>
              <w14:schemeClr w14:val="tx1"/>
            </w14:solidFill>
          </w14:textFill>
        </w:rPr>
      </w:pPr>
      <w:r>
        <w:rPr>
          <w:color w:val="000000" w:themeColor="text1"/>
          <w14:textFill>
            <w14:solidFill>
              <w14:schemeClr w14:val="tx1"/>
            </w14:solidFill>
          </w14:textFill>
        </w:rPr>
        <w:t>8.6.2 _______</w:t>
      </w:r>
      <w:r>
        <w:rPr>
          <w:rFonts w:hint="eastAsia"/>
          <w:color w:val="000000" w:themeColor="text1"/>
          <w14:textFill>
            <w14:solidFill>
              <w14:schemeClr w14:val="tx1"/>
            </w14:solidFill>
          </w14:textFill>
        </w:rPr>
        <w:t>【中标社会资本】在投标文件技术方案中承诺对于项目设施的维护管理质量标准（下称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承诺标准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）高于适用法律的，由乙方按该承诺标准执行。</w:t>
      </w:r>
    </w:p>
    <w:p>
      <w:pPr>
        <w:pStyle w:val="4"/>
        <w:rPr>
          <w:color w:val="000000" w:themeColor="text1"/>
          <w14:textFill>
            <w14:solidFill>
              <w14:schemeClr w14:val="tx1"/>
            </w14:solidFill>
          </w14:textFill>
        </w:rPr>
      </w:pPr>
      <w:bookmarkStart w:id="555" w:name="_Toc491857604"/>
      <w:bookmarkStart w:id="556" w:name="_Toc495846006"/>
      <w:bookmarkStart w:id="557" w:name="_Toc496299613"/>
      <w:bookmarkStart w:id="558" w:name="_Toc516399771"/>
      <w:bookmarkStart w:id="559" w:name="_Toc522635547"/>
      <w:r>
        <w:rPr>
          <w:color w:val="000000" w:themeColor="text1"/>
          <w14:textFill>
            <w14:solidFill>
              <w14:schemeClr w14:val="tx1"/>
            </w14:solidFill>
          </w14:textFill>
        </w:rPr>
        <w:t xml:space="preserve">8.7 </w:t>
      </w:r>
      <w:r>
        <w:rPr>
          <w:rFonts w:hint="eastAsia"/>
          <w:color w:val="000000" w:themeColor="text1"/>
          <w14:textFill>
            <w14:solidFill>
              <w14:schemeClr w14:val="tx1"/>
            </w14:solidFill>
          </w14:textFill>
        </w:rPr>
        <w:t>检查及定期考核</w:t>
      </w:r>
      <w:bookmarkEnd w:id="555"/>
      <w:bookmarkEnd w:id="556"/>
      <w:bookmarkEnd w:id="557"/>
      <w:bookmarkEnd w:id="558"/>
      <w:bookmarkEnd w:id="559"/>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8.7.1  </w:t>
      </w:r>
      <w:r>
        <w:rPr>
          <w:rFonts w:hint="eastAsia"/>
          <w:color w:val="000000" w:themeColor="text1"/>
          <w14:textFill>
            <w14:solidFill>
              <w14:schemeClr w14:val="tx1"/>
            </w14:solidFill>
          </w14:textFill>
        </w:rPr>
        <w:t>甲方应按照第</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条款规定的质量标准自行或委托第三方对乙方的管理和维护情况进行评估考核，并将评估考核的情况记录。具体运营管理要求以及考核办法详见</w:t>
      </w:r>
      <w:r>
        <w:fldChar w:fldCharType="begin"/>
      </w:r>
      <w:r>
        <w:instrText xml:space="preserve"> HYPERLINK \l "_附件三_运营服务管理考核要点及运行要求" </w:instrText>
      </w:r>
      <w:r>
        <w:fldChar w:fldCharType="separate"/>
      </w:r>
      <w:r>
        <w:rPr>
          <w:rStyle w:val="54"/>
          <w:rFonts w:hint="eastAsia"/>
          <w:color w:val="000000" w:themeColor="text1"/>
          <w14:textFill>
            <w14:solidFill>
              <w14:schemeClr w14:val="tx1"/>
            </w14:solidFill>
          </w14:textFill>
        </w:rPr>
        <w:t>附件三</w:t>
      </w:r>
      <w:r>
        <w:rPr>
          <w:rStyle w:val="54"/>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。乙方应全力配合甲方或其指定机构的评估工作。</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8.7.2  </w:t>
      </w:r>
      <w:r>
        <w:rPr>
          <w:rFonts w:hint="eastAsia"/>
          <w:color w:val="000000" w:themeColor="text1"/>
          <w14:textFill>
            <w14:solidFill>
              <w14:schemeClr w14:val="tx1"/>
            </w14:solidFill>
          </w14:textFill>
        </w:rPr>
        <w:t>甲方原则上每年度组织一次运营考核，每年度的考核时间由甲方确定。甲方考核评估可在考核前不迟于一天通知乙方，乙方派专人到场确认、解答有关问题并负责相关需要整改问题记录。甲方也可以不通知乙方参与进行考核并将最终考核结果和问题通知乙方。</w:t>
      </w:r>
    </w:p>
    <w:p>
      <w:pPr>
        <w:pStyle w:val="4"/>
        <w:rPr>
          <w:color w:val="000000" w:themeColor="text1"/>
          <w14:textFill>
            <w14:solidFill>
              <w14:schemeClr w14:val="tx1"/>
            </w14:solidFill>
          </w14:textFill>
        </w:rPr>
      </w:pPr>
      <w:bookmarkStart w:id="560" w:name="_Toc491857605"/>
      <w:bookmarkStart w:id="561" w:name="_Toc495846007"/>
      <w:bookmarkStart w:id="562" w:name="_Toc496299614"/>
      <w:bookmarkStart w:id="563" w:name="_Toc516399772"/>
      <w:bookmarkStart w:id="564" w:name="_Toc522635548"/>
      <w:r>
        <w:rPr>
          <w:color w:val="000000" w:themeColor="text1"/>
          <w14:textFill>
            <w14:solidFill>
              <w14:schemeClr w14:val="tx1"/>
            </w14:solidFill>
          </w14:textFill>
        </w:rPr>
        <w:t xml:space="preserve">8.8 </w:t>
      </w:r>
      <w:r>
        <w:rPr>
          <w:rFonts w:hint="eastAsia"/>
          <w:color w:val="000000" w:themeColor="text1"/>
          <w14:textFill>
            <w14:solidFill>
              <w14:schemeClr w14:val="tx1"/>
            </w14:solidFill>
          </w14:textFill>
        </w:rPr>
        <w:t>未履行维护义务</w:t>
      </w:r>
      <w:bookmarkEnd w:id="560"/>
      <w:bookmarkEnd w:id="561"/>
      <w:bookmarkEnd w:id="562"/>
      <w:bookmarkEnd w:id="563"/>
      <w:bookmarkEnd w:id="564"/>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8.8.1  </w:t>
      </w:r>
      <w:r>
        <w:rPr>
          <w:rFonts w:hint="eastAsia"/>
          <w:color w:val="000000" w:themeColor="text1"/>
          <w14:textFill>
            <w14:solidFill>
              <w14:schemeClr w14:val="tx1"/>
            </w14:solidFill>
          </w14:textFill>
        </w:rPr>
        <w:t>对乙方未能按照适用法律和本合同履行维（养）护义务，造成工程设施质量下降或未满足基本服务要求，甲方有权向乙方发出整改通知，责令乙方在限定期限内采取必要措施有效纠正未适当履行维（养）护义务的行为。</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8.8.2  </w:t>
      </w:r>
      <w:r>
        <w:rPr>
          <w:rFonts w:hint="eastAsia"/>
          <w:color w:val="000000" w:themeColor="text1"/>
          <w14:textFill>
            <w14:solidFill>
              <w14:schemeClr w14:val="tx1"/>
            </w14:solidFill>
          </w14:textFill>
        </w:rPr>
        <w:t>如果乙方未在甲方依上款</w:t>
      </w:r>
      <w:r>
        <w:rPr>
          <w:color w:val="000000" w:themeColor="text1"/>
          <w14:textFill>
            <w14:solidFill>
              <w14:schemeClr w14:val="tx1"/>
            </w14:solidFill>
          </w14:textFill>
        </w:rPr>
        <w:t>8.8.1</w:t>
      </w:r>
      <w:r>
        <w:rPr>
          <w:rFonts w:hint="eastAsia"/>
          <w:color w:val="000000" w:themeColor="text1"/>
          <w14:textFill>
            <w14:solidFill>
              <w14:schemeClr w14:val="tx1"/>
            </w14:solidFill>
          </w14:textFill>
        </w:rPr>
        <w:t>规定发出的整改通知确定的期限内采取必要的措施纠正违约行为或未能在合理的时间内有效纠正违约行为，则甲方可以但无义务自行或委托第三方采取必要的纠正措施，乙方应对此予以配合，并承担因此而发生的全部费用。</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8.8.3  </w:t>
      </w:r>
      <w:r>
        <w:rPr>
          <w:rFonts w:hint="eastAsia"/>
          <w:color w:val="000000" w:themeColor="text1"/>
          <w14:textFill>
            <w14:solidFill>
              <w14:schemeClr w14:val="tx1"/>
            </w14:solidFill>
          </w14:textFill>
        </w:rPr>
        <w:t>因采取上述纠正措施而发生的费用，甲方应向乙方开具账单和所发生费用的详细清单，如果乙方在收到该账单后七（</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个工作日内未能全额支付账单所列金额，则甲方有权从此后最近一期的可行性缺口补助中扣除相应金额以支付账单，扣除金额还包括由于甲方扣款的延期支付或甲方垫付账单金额所发生的利息，利息利率按违约利率取用。</w:t>
      </w:r>
    </w:p>
    <w:p>
      <w:pPr>
        <w:pStyle w:val="4"/>
        <w:rPr>
          <w:color w:val="000000" w:themeColor="text1"/>
          <w14:textFill>
            <w14:solidFill>
              <w14:schemeClr w14:val="tx1"/>
            </w14:solidFill>
          </w14:textFill>
        </w:rPr>
      </w:pPr>
      <w:bookmarkStart w:id="565" w:name="_Toc491857606"/>
      <w:bookmarkStart w:id="566" w:name="_Toc495846008"/>
      <w:bookmarkStart w:id="567" w:name="_Toc496299615"/>
      <w:bookmarkStart w:id="568" w:name="_Toc516399773"/>
      <w:bookmarkStart w:id="569" w:name="_Toc522635549"/>
      <w:r>
        <w:rPr>
          <w:color w:val="000000" w:themeColor="text1"/>
          <w14:textFill>
            <w14:solidFill>
              <w14:schemeClr w14:val="tx1"/>
            </w14:solidFill>
          </w14:textFill>
        </w:rPr>
        <w:t xml:space="preserve">8.9 </w:t>
      </w:r>
      <w:r>
        <w:rPr>
          <w:rFonts w:hint="eastAsia"/>
          <w:color w:val="000000" w:themeColor="text1"/>
          <w14:textFill>
            <w14:solidFill>
              <w14:schemeClr w14:val="tx1"/>
            </w14:solidFill>
          </w14:textFill>
        </w:rPr>
        <w:t>临时接管</w:t>
      </w:r>
      <w:bookmarkEnd w:id="565"/>
      <w:bookmarkEnd w:id="566"/>
      <w:bookmarkEnd w:id="567"/>
      <w:bookmarkEnd w:id="568"/>
      <w:bookmarkEnd w:id="569"/>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8.9.1  </w:t>
      </w:r>
      <w:r>
        <w:rPr>
          <w:rFonts w:hint="eastAsia"/>
          <w:color w:val="000000" w:themeColor="text1"/>
          <w14:textFill>
            <w14:solidFill>
              <w14:schemeClr w14:val="tx1"/>
            </w14:solidFill>
          </w14:textFill>
        </w:rPr>
        <w:t>合作期内，如乙方出现以下违约行为，甲方有权实施临时接管：</w:t>
      </w:r>
    </w:p>
    <w:p>
      <w:pPr>
        <w:pStyle w:val="310"/>
        <w:numPr>
          <w:ilvl w:val="0"/>
          <w:numId w:val="84"/>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因运营管理严重不善，或造成群体性上访事件的；</w:t>
      </w:r>
    </w:p>
    <w:p>
      <w:pPr>
        <w:pStyle w:val="310"/>
        <w:numPr>
          <w:ilvl w:val="0"/>
          <w:numId w:val="84"/>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因管理不善，发生重大质量、安全事故的；</w:t>
      </w:r>
    </w:p>
    <w:p>
      <w:pPr>
        <w:pStyle w:val="310"/>
        <w:numPr>
          <w:ilvl w:val="0"/>
          <w:numId w:val="84"/>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擅自停业、歇业，严重影响到社会公共利益和公共安全的；</w:t>
      </w:r>
    </w:p>
    <w:p>
      <w:pPr>
        <w:pStyle w:val="310"/>
        <w:numPr>
          <w:ilvl w:val="0"/>
          <w:numId w:val="84"/>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适用法律禁止的其他行为。</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8.9.2  </w:t>
      </w:r>
      <w:r>
        <w:rPr>
          <w:rFonts w:hint="eastAsia"/>
          <w:color w:val="000000" w:themeColor="text1"/>
          <w14:textFill>
            <w14:solidFill>
              <w14:schemeClr w14:val="tx1"/>
            </w14:solidFill>
          </w14:textFill>
        </w:rPr>
        <w:t>甲方有权在决定临时接管之日起临时接管项目工程，并有权指定第三方临时提供本合同项下的维护服务。临时接管期间发生的一切费用均由乙方承担。</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8.9.3  </w:t>
      </w:r>
      <w:r>
        <w:rPr>
          <w:rFonts w:hint="eastAsia"/>
          <w:color w:val="000000" w:themeColor="text1"/>
          <w14:textFill>
            <w14:solidFill>
              <w14:schemeClr w14:val="tx1"/>
            </w14:solidFill>
          </w14:textFill>
        </w:rPr>
        <w:t>乙方纠正引致临时接管的违约行为后，经乙方书面申请，甲方应当终止临时接管。</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8.9.4  </w:t>
      </w:r>
      <w:r>
        <w:rPr>
          <w:rFonts w:hint="eastAsia"/>
          <w:color w:val="000000" w:themeColor="text1"/>
          <w14:textFill>
            <w14:solidFill>
              <w14:schemeClr w14:val="tx1"/>
            </w14:solidFill>
          </w14:textFill>
        </w:rPr>
        <w:t>因采取上述纠正措施而发生的费用，甲方应向乙方开具账单和所发生费用的详细清单，如果乙方在收到该账单后七（</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）个工作日内未能全额支付账单所列金额，则甲方有权推迟至临时接管结束并直接</w:t>
      </w:r>
      <w:r>
        <w:rPr>
          <w:rFonts w:hint="eastAsia"/>
          <w:color w:val="000000" w:themeColor="text1"/>
          <w:lang w:val="en-US"/>
          <w14:textFill>
            <w14:solidFill>
              <w14:schemeClr w14:val="tx1"/>
            </w14:solidFill>
          </w14:textFill>
        </w:rPr>
        <w:t>从此后最近一期的可行性缺口补助中扣除相应金额以支付账单，扣除金额还包括由于甲方扣款的延期支付或甲方垫付账单金额所发生的利息，利息利率按违约利率取用</w:t>
      </w:r>
      <w:r>
        <w:rPr>
          <w:rFonts w:hint="eastAsia"/>
          <w:color w:val="000000" w:themeColor="text1"/>
          <w14:textFill>
            <w14:solidFill>
              <w14:schemeClr w14:val="tx1"/>
            </w14:solidFill>
          </w14:textFill>
        </w:rPr>
        <w:t>从运营期履约保函中兑取相应款项以支付账单。</w:t>
      </w:r>
    </w:p>
    <w:p>
      <w:pPr>
        <w:pStyle w:val="4"/>
        <w:rPr>
          <w:color w:val="000000" w:themeColor="text1"/>
          <w14:textFill>
            <w14:solidFill>
              <w14:schemeClr w14:val="tx1"/>
            </w14:solidFill>
          </w14:textFill>
        </w:rPr>
      </w:pPr>
      <w:bookmarkStart w:id="570" w:name="_Toc491857607"/>
      <w:bookmarkStart w:id="571" w:name="_Toc495846009"/>
      <w:bookmarkStart w:id="572" w:name="_Toc496299616"/>
      <w:bookmarkStart w:id="573" w:name="_Toc516399774"/>
      <w:bookmarkStart w:id="574" w:name="_Toc522635550"/>
      <w:r>
        <w:rPr>
          <w:color w:val="000000" w:themeColor="text1"/>
          <w14:textFill>
            <w14:solidFill>
              <w14:schemeClr w14:val="tx1"/>
            </w14:solidFill>
          </w14:textFill>
        </w:rPr>
        <w:t xml:space="preserve">8.10 </w:t>
      </w:r>
      <w:r>
        <w:rPr>
          <w:rFonts w:hint="eastAsia"/>
          <w:color w:val="000000" w:themeColor="text1"/>
          <w14:textFill>
            <w14:solidFill>
              <w14:schemeClr w14:val="tx1"/>
            </w14:solidFill>
          </w14:textFill>
        </w:rPr>
        <w:t>应急管理</w:t>
      </w:r>
      <w:bookmarkEnd w:id="570"/>
      <w:bookmarkEnd w:id="571"/>
      <w:bookmarkEnd w:id="572"/>
      <w:bookmarkEnd w:id="573"/>
      <w:bookmarkEnd w:id="574"/>
      <w:r>
        <w:rPr>
          <w:color w:val="000000" w:themeColor="text1"/>
          <w14:textFill>
            <w14:solidFill>
              <w14:schemeClr w14:val="tx1"/>
            </w14:solidFill>
          </w14:textFill>
        </w:rPr>
        <w:t xml:space="preserve"> </w:t>
      </w:r>
    </w:p>
    <w:p>
      <w:pPr>
        <w:pStyle w:val="310"/>
        <w:spacing w:line="360" w:lineRule="auto"/>
        <w:ind w:left="671" w:leftChars="318" w:hanging="4" w:hangingChars="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合作期内，乙方应按照适用法律制定应急管理预案，配合甲方及有关政府部门进行突发紧急事件的演练等工作。运营中发生突发紧急事件时，乙方应当依据应急管理预案和有关政府部门要求进行处理，并按照适用法律规定及时向甲方和有关政府部门报告。</w:t>
      </w:r>
    </w:p>
    <w:p>
      <w:pPr>
        <w:pStyle w:val="4"/>
        <w:rPr>
          <w:color w:val="000000" w:themeColor="text1"/>
          <w14:textFill>
            <w14:solidFill>
              <w14:schemeClr w14:val="tx1"/>
            </w14:solidFill>
          </w14:textFill>
        </w:rPr>
      </w:pPr>
      <w:bookmarkStart w:id="575" w:name="_Toc491857608"/>
      <w:bookmarkStart w:id="576" w:name="_Toc495846010"/>
      <w:bookmarkStart w:id="577" w:name="_Toc496299617"/>
      <w:bookmarkStart w:id="578" w:name="_Toc516399775"/>
      <w:bookmarkStart w:id="579" w:name="_Toc522635551"/>
      <w:r>
        <w:rPr>
          <w:color w:val="000000" w:themeColor="text1"/>
          <w14:textFill>
            <w14:solidFill>
              <w14:schemeClr w14:val="tx1"/>
            </w14:solidFill>
          </w14:textFill>
        </w:rPr>
        <w:t xml:space="preserve">8.11 </w:t>
      </w:r>
      <w:r>
        <w:rPr>
          <w:rFonts w:hint="eastAsia"/>
          <w:color w:val="000000" w:themeColor="text1"/>
          <w14:textFill>
            <w14:solidFill>
              <w14:schemeClr w14:val="tx1"/>
            </w14:solidFill>
          </w14:textFill>
        </w:rPr>
        <w:t>保密管理</w:t>
      </w:r>
      <w:bookmarkEnd w:id="575"/>
      <w:bookmarkEnd w:id="576"/>
      <w:bookmarkEnd w:id="577"/>
      <w:bookmarkEnd w:id="578"/>
      <w:bookmarkEnd w:id="579"/>
    </w:p>
    <w:p>
      <w:pPr>
        <w:pStyle w:val="310"/>
        <w:spacing w:line="360" w:lineRule="auto"/>
        <w:ind w:left="671" w:leftChars="318" w:hanging="4" w:hangingChars="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合作期内，乙方应对项目图纸标注或甲方通知所明确的涉密区域或限制性区域执行保密管理。所有涉及运营维护进入该等域的人员均应事先报甲方备案，并按甲方有关管理要求执行。如有违反保密管理规定，甲方有权按相关管理要求对乙方及涉及人员处罚，若触及刑事责任的，按有关法律规定处理。</w:t>
      </w:r>
    </w:p>
    <w:p>
      <w:pPr>
        <w:pStyle w:val="4"/>
        <w:rPr>
          <w:color w:val="000000" w:themeColor="text1"/>
          <w14:textFill>
            <w14:solidFill>
              <w14:schemeClr w14:val="tx1"/>
            </w14:solidFill>
          </w14:textFill>
        </w:rPr>
      </w:pPr>
      <w:bookmarkStart w:id="580" w:name="_Toc491857609"/>
      <w:bookmarkStart w:id="581" w:name="_Toc495846011"/>
      <w:bookmarkStart w:id="582" w:name="_Toc496299618"/>
      <w:bookmarkStart w:id="583" w:name="_Toc516399776"/>
      <w:bookmarkStart w:id="584" w:name="_Toc522635552"/>
      <w:r>
        <w:rPr>
          <w:color w:val="000000" w:themeColor="text1"/>
          <w14:textFill>
            <w14:solidFill>
              <w14:schemeClr w14:val="tx1"/>
            </w14:solidFill>
          </w14:textFill>
        </w:rPr>
        <w:t xml:space="preserve">8.12 </w:t>
      </w:r>
      <w:r>
        <w:rPr>
          <w:rFonts w:hint="eastAsia"/>
          <w:color w:val="000000" w:themeColor="text1"/>
          <w14:textFill>
            <w14:solidFill>
              <w14:schemeClr w14:val="tx1"/>
            </w14:solidFill>
          </w14:textFill>
        </w:rPr>
        <w:t>定期评估</w:t>
      </w:r>
      <w:bookmarkEnd w:id="580"/>
      <w:bookmarkEnd w:id="581"/>
      <w:bookmarkEnd w:id="582"/>
      <w:bookmarkEnd w:id="583"/>
      <w:bookmarkEnd w:id="584"/>
    </w:p>
    <w:p>
      <w:pPr>
        <w:pStyle w:val="310"/>
        <w:spacing w:line="360" w:lineRule="auto"/>
        <w:ind w:left="671" w:leftChars="318" w:hanging="4" w:hangingChars="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运营期内，甲方有权组织专家或第三方机构对乙方项目设施的运营、管理、安全、服务情况等进行定期评估，并有权将评估结果向社会公示，接受公众监督。原则上每三年评估一次，特殊情况下（如项目实际情况与投标时估计情况存在较大偏差）可以实施年度评估，对问题予以处理或纠正。</w:t>
      </w:r>
    </w:p>
    <w:p>
      <w:pPr>
        <w:pStyle w:val="4"/>
        <w:rPr>
          <w:color w:val="000000" w:themeColor="text1"/>
          <w14:textFill>
            <w14:solidFill>
              <w14:schemeClr w14:val="tx1"/>
            </w14:solidFill>
          </w14:textFill>
        </w:rPr>
      </w:pPr>
      <w:bookmarkStart w:id="585" w:name="_Toc491857610"/>
      <w:bookmarkStart w:id="586" w:name="_Toc495846012"/>
      <w:bookmarkStart w:id="587" w:name="_Toc496299619"/>
      <w:bookmarkStart w:id="588" w:name="_Toc516399777"/>
      <w:bookmarkStart w:id="589" w:name="_Toc522635553"/>
      <w:r>
        <w:rPr>
          <w:color w:val="000000" w:themeColor="text1"/>
          <w14:textFill>
            <w14:solidFill>
              <w14:schemeClr w14:val="tx1"/>
            </w14:solidFill>
          </w14:textFill>
        </w:rPr>
        <w:t xml:space="preserve">8.13 </w:t>
      </w:r>
      <w:r>
        <w:rPr>
          <w:rFonts w:hint="eastAsia"/>
          <w:color w:val="000000" w:themeColor="text1"/>
          <w14:textFill>
            <w14:solidFill>
              <w14:schemeClr w14:val="tx1"/>
            </w14:solidFill>
          </w14:textFill>
        </w:rPr>
        <w:t>公众监督</w:t>
      </w:r>
      <w:bookmarkEnd w:id="585"/>
      <w:bookmarkEnd w:id="586"/>
      <w:bookmarkEnd w:id="587"/>
      <w:bookmarkEnd w:id="588"/>
      <w:bookmarkEnd w:id="589"/>
      <w:r>
        <w:rPr>
          <w:color w:val="000000" w:themeColor="text1"/>
          <w14:textFill>
            <w14:solidFill>
              <w14:schemeClr w14:val="tx1"/>
            </w14:solidFill>
          </w14:textFill>
        </w:rPr>
        <w:t xml:space="preserve"> </w:t>
      </w:r>
    </w:p>
    <w:p>
      <w:pPr>
        <w:pStyle w:val="310"/>
        <w:spacing w:line="360" w:lineRule="auto"/>
        <w:ind w:left="671" w:leftChars="318" w:hanging="4" w:hangingChars="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社会公众有权对本项目进行监督，向有关监管部门投诉，或者向乙方提出意见。乙方应按照适用法律要求，建立公众监督机制，依法公开披露相关信息，接受公众监督。</w:t>
      </w:r>
    </w:p>
    <w:p>
      <w:pPr>
        <w:pStyle w:val="3"/>
        <w:jc w:val="center"/>
        <w:rPr>
          <w:rFonts w:ascii="Times New Roman" w:hAnsi="Times New Roman" w:eastAsia="黑体"/>
          <w:color w:val="000000" w:themeColor="text1"/>
          <w:sz w:val="21"/>
          <w:szCs w:val="21"/>
          <w14:textFill>
            <w14:solidFill>
              <w14:schemeClr w14:val="tx1"/>
            </w14:solidFill>
          </w14:textFill>
        </w:rPr>
      </w:pPr>
      <w:bookmarkStart w:id="590" w:name="_Toc491857611"/>
      <w:bookmarkStart w:id="591" w:name="_Toc495846013"/>
      <w:bookmarkStart w:id="592" w:name="_Toc496299620"/>
      <w:bookmarkStart w:id="593" w:name="_Toc516399778"/>
      <w:bookmarkStart w:id="594" w:name="_Toc522635554"/>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9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保险</w:t>
      </w:r>
      <w:bookmarkEnd w:id="590"/>
      <w:bookmarkEnd w:id="591"/>
      <w:bookmarkEnd w:id="592"/>
      <w:bookmarkEnd w:id="593"/>
      <w:bookmarkEnd w:id="594"/>
    </w:p>
    <w:p>
      <w:pPr>
        <w:pStyle w:val="4"/>
        <w:rPr>
          <w:color w:val="000000" w:themeColor="text1"/>
          <w14:textFill>
            <w14:solidFill>
              <w14:schemeClr w14:val="tx1"/>
            </w14:solidFill>
          </w14:textFill>
        </w:rPr>
      </w:pPr>
      <w:bookmarkStart w:id="595" w:name="_Toc491857612"/>
      <w:bookmarkStart w:id="596" w:name="_Toc495846014"/>
      <w:bookmarkStart w:id="597" w:name="_Toc496299621"/>
      <w:bookmarkStart w:id="598" w:name="_Toc516399779"/>
      <w:bookmarkStart w:id="599" w:name="_Toc522635555"/>
      <w:r>
        <w:rPr>
          <w:color w:val="000000" w:themeColor="text1"/>
          <w14:textFill>
            <w14:solidFill>
              <w14:schemeClr w14:val="tx1"/>
            </w14:solidFill>
          </w14:textFill>
        </w:rPr>
        <w:t xml:space="preserve">9.1 </w:t>
      </w:r>
      <w:r>
        <w:rPr>
          <w:rFonts w:hint="eastAsia"/>
          <w:color w:val="000000" w:themeColor="text1"/>
          <w14:textFill>
            <w14:solidFill>
              <w14:schemeClr w14:val="tx1"/>
            </w14:solidFill>
          </w14:textFill>
        </w:rPr>
        <w:t>保险内容</w:t>
      </w:r>
      <w:bookmarkEnd w:id="595"/>
      <w:bookmarkEnd w:id="596"/>
      <w:bookmarkEnd w:id="597"/>
      <w:bookmarkEnd w:id="598"/>
      <w:bookmarkEnd w:id="599"/>
    </w:p>
    <w:p>
      <w:pPr>
        <w:pStyle w:val="310"/>
        <w:spacing w:line="360" w:lineRule="auto"/>
        <w:ind w:left="671" w:leftChars="318" w:hanging="4" w:hangingChars="2"/>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合作期内，乙方应根据适用法律和谨慎运营惯例，自费购买和维持的保险。建设期内，乙方必须投保险种为建筑安装工程一切险，保险费经甲方签证后按实计入</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总投资。除此以外，乙方根据项目需要自行购买保险，产生的保险费用由乙方自行承担。</w:t>
      </w:r>
    </w:p>
    <w:p>
      <w:pPr>
        <w:pStyle w:val="4"/>
        <w:rPr>
          <w:color w:val="000000" w:themeColor="text1"/>
          <w14:textFill>
            <w14:solidFill>
              <w14:schemeClr w14:val="tx1"/>
            </w14:solidFill>
          </w14:textFill>
        </w:rPr>
      </w:pPr>
      <w:bookmarkStart w:id="600" w:name="_Toc491857613"/>
      <w:bookmarkStart w:id="601" w:name="_Toc495846015"/>
      <w:bookmarkStart w:id="602" w:name="_Toc496299622"/>
      <w:bookmarkStart w:id="603" w:name="_Toc516399780"/>
      <w:bookmarkStart w:id="604" w:name="_Toc522635556"/>
      <w:r>
        <w:rPr>
          <w:color w:val="000000" w:themeColor="text1"/>
          <w14:textFill>
            <w14:solidFill>
              <w14:schemeClr w14:val="tx1"/>
            </w14:solidFill>
          </w14:textFill>
        </w:rPr>
        <w:t xml:space="preserve">9.2 </w:t>
      </w:r>
      <w:r>
        <w:rPr>
          <w:rFonts w:hint="eastAsia"/>
          <w:color w:val="000000" w:themeColor="text1"/>
          <w14:textFill>
            <w14:solidFill>
              <w14:schemeClr w14:val="tx1"/>
            </w14:solidFill>
          </w14:textFill>
        </w:rPr>
        <w:t>保险办理原则</w:t>
      </w:r>
      <w:bookmarkEnd w:id="600"/>
      <w:bookmarkEnd w:id="601"/>
      <w:bookmarkEnd w:id="602"/>
      <w:bookmarkEnd w:id="603"/>
      <w:bookmarkEnd w:id="604"/>
    </w:p>
    <w:p>
      <w:pPr>
        <w:pStyle w:val="310"/>
        <w:spacing w:line="360" w:lineRule="auto"/>
        <w:ind w:left="546" w:leftChars="260" w:firstLine="21" w:firstLineChars="1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乙方必须：</w:t>
      </w:r>
    </w:p>
    <w:p>
      <w:pPr>
        <w:pStyle w:val="310"/>
        <w:numPr>
          <w:ilvl w:val="0"/>
          <w:numId w:val="85"/>
        </w:numPr>
        <w:spacing w:line="360" w:lineRule="auto"/>
        <w:ind w:left="993"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使甲方列入保险单上的受益人之一；</w:t>
      </w:r>
    </w:p>
    <w:p>
      <w:pPr>
        <w:pStyle w:val="310"/>
        <w:numPr>
          <w:ilvl w:val="0"/>
          <w:numId w:val="85"/>
        </w:numPr>
        <w:spacing w:line="360" w:lineRule="auto"/>
        <w:ind w:left="993"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使所有保险单均注明保险人在取消保险或对之进行重大改变之前至少三十（</w:t>
      </w:r>
      <w:r>
        <w:rPr>
          <w:rFonts w:ascii="Times New Roman" w:eastAsia="宋体" w:cs="Times New Roman"/>
          <w:color w:val="000000" w:themeColor="text1"/>
          <w:sz w:val="21"/>
          <w:szCs w:val="21"/>
          <w14:textFill>
            <w14:solidFill>
              <w14:schemeClr w14:val="tx1"/>
            </w14:solidFill>
          </w14:textFill>
        </w:rPr>
        <w:t>30</w:t>
      </w:r>
      <w:r>
        <w:rPr>
          <w:rFonts w:hint="eastAsia" w:ascii="Times New Roman" w:eastAsia="宋体" w:cs="Times New Roman"/>
          <w:color w:val="000000" w:themeColor="text1"/>
          <w:sz w:val="21"/>
          <w:szCs w:val="21"/>
          <w14:textFill>
            <w14:solidFill>
              <w14:schemeClr w14:val="tx1"/>
            </w14:solidFill>
          </w14:textFill>
        </w:rPr>
        <w:t>）日书面通知甲方；</w:t>
      </w:r>
    </w:p>
    <w:p>
      <w:pPr>
        <w:pStyle w:val="310"/>
        <w:numPr>
          <w:ilvl w:val="0"/>
          <w:numId w:val="85"/>
        </w:numPr>
        <w:spacing w:line="360" w:lineRule="auto"/>
        <w:ind w:left="993"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未经甲方书面同意，乙方不得变更该等保险单据。</w:t>
      </w:r>
    </w:p>
    <w:p>
      <w:pPr>
        <w:pStyle w:val="4"/>
        <w:rPr>
          <w:color w:val="000000" w:themeColor="text1"/>
          <w14:textFill>
            <w14:solidFill>
              <w14:schemeClr w14:val="tx1"/>
            </w14:solidFill>
          </w14:textFill>
        </w:rPr>
      </w:pPr>
      <w:bookmarkStart w:id="605" w:name="_Toc491857614"/>
      <w:bookmarkStart w:id="606" w:name="_Toc495846016"/>
      <w:bookmarkStart w:id="607" w:name="_Toc496299623"/>
      <w:bookmarkStart w:id="608" w:name="_Toc516399781"/>
      <w:bookmarkStart w:id="609" w:name="_Toc522635557"/>
      <w:r>
        <w:rPr>
          <w:color w:val="000000" w:themeColor="text1"/>
          <w14:textFill>
            <w14:solidFill>
              <w14:schemeClr w14:val="tx1"/>
            </w14:solidFill>
          </w14:textFill>
        </w:rPr>
        <w:t xml:space="preserve">9.3 </w:t>
      </w:r>
      <w:r>
        <w:rPr>
          <w:rFonts w:hint="eastAsia"/>
          <w:color w:val="000000" w:themeColor="text1"/>
          <w14:textFill>
            <w14:solidFill>
              <w14:schemeClr w14:val="tx1"/>
            </w14:solidFill>
          </w14:textFill>
        </w:rPr>
        <w:t>购买保险证明</w:t>
      </w:r>
      <w:bookmarkEnd w:id="605"/>
      <w:bookmarkEnd w:id="606"/>
      <w:bookmarkEnd w:id="607"/>
      <w:bookmarkEnd w:id="608"/>
      <w:bookmarkEnd w:id="609"/>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9.3.1  </w:t>
      </w:r>
      <w:r>
        <w:rPr>
          <w:rFonts w:hint="eastAsia"/>
          <w:color w:val="000000" w:themeColor="text1"/>
          <w14:textFill>
            <w14:solidFill>
              <w14:schemeClr w14:val="tx1"/>
            </w14:solidFill>
          </w14:textFill>
        </w:rPr>
        <w:t>乙方须促使其保险公司或代理人向甲方提供保险证明，以证实其已获得保险单据及批单。</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9.3.2  </w:t>
      </w:r>
      <w:r>
        <w:rPr>
          <w:rFonts w:hint="eastAsia"/>
          <w:color w:val="000000" w:themeColor="text1"/>
          <w14:textFill>
            <w14:solidFill>
              <w14:schemeClr w14:val="tx1"/>
            </w14:solidFill>
          </w14:textFill>
        </w:rPr>
        <w:t>乙方若未向甲方提交上述保险的有效证明文件，则甲方有权代乙方办理与此项相关的保险。</w:t>
      </w:r>
    </w:p>
    <w:p>
      <w:pPr>
        <w:pStyle w:val="4"/>
        <w:rPr>
          <w:color w:val="000000" w:themeColor="text1"/>
          <w14:textFill>
            <w14:solidFill>
              <w14:schemeClr w14:val="tx1"/>
            </w14:solidFill>
          </w14:textFill>
        </w:rPr>
      </w:pPr>
      <w:bookmarkStart w:id="610" w:name="_Toc491857615"/>
      <w:bookmarkStart w:id="611" w:name="_Toc495846017"/>
      <w:bookmarkStart w:id="612" w:name="_Toc496299624"/>
      <w:bookmarkStart w:id="613" w:name="_Toc516399782"/>
      <w:bookmarkStart w:id="614" w:name="_Toc522635558"/>
      <w:r>
        <w:rPr>
          <w:color w:val="000000" w:themeColor="text1"/>
          <w14:textFill>
            <w14:solidFill>
              <w14:schemeClr w14:val="tx1"/>
            </w14:solidFill>
          </w14:textFill>
        </w:rPr>
        <w:t xml:space="preserve">9.4 </w:t>
      </w:r>
      <w:r>
        <w:rPr>
          <w:rFonts w:hint="eastAsia"/>
          <w:color w:val="000000" w:themeColor="text1"/>
          <w14:textFill>
            <w14:solidFill>
              <w14:schemeClr w14:val="tx1"/>
            </w14:solidFill>
          </w14:textFill>
        </w:rPr>
        <w:t>未维持保险</w:t>
      </w:r>
      <w:bookmarkEnd w:id="610"/>
      <w:bookmarkEnd w:id="611"/>
      <w:bookmarkEnd w:id="612"/>
      <w:bookmarkEnd w:id="613"/>
      <w:bookmarkEnd w:id="614"/>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9.4.1  </w:t>
      </w:r>
      <w:r>
        <w:rPr>
          <w:rFonts w:hint="eastAsia"/>
          <w:color w:val="000000" w:themeColor="text1"/>
          <w14:textFill>
            <w14:solidFill>
              <w14:schemeClr w14:val="tx1"/>
            </w14:solidFill>
          </w14:textFill>
        </w:rPr>
        <w:t>乙方未能按第</w:t>
      </w:r>
      <w:r>
        <w:rPr>
          <w:color w:val="000000" w:themeColor="text1"/>
          <w14:textFill>
            <w14:solidFill>
              <w14:schemeClr w14:val="tx1"/>
            </w14:solidFill>
          </w14:textFill>
        </w:rPr>
        <w:t>9.1</w:t>
      </w:r>
      <w:r>
        <w:rPr>
          <w:rFonts w:hint="eastAsia"/>
          <w:color w:val="000000" w:themeColor="text1"/>
          <w14:textFill>
            <w14:solidFill>
              <w14:schemeClr w14:val="tx1"/>
            </w14:solidFill>
          </w14:textFill>
        </w:rPr>
        <w:t>条款的要求购买或维持保险，不得减轻或以其他方式影响乙方在本合同项下的义务和责任。</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9.4.2  </w:t>
      </w:r>
      <w:r>
        <w:rPr>
          <w:rFonts w:hint="eastAsia"/>
          <w:color w:val="000000" w:themeColor="text1"/>
          <w14:textFill>
            <w14:solidFill>
              <w14:schemeClr w14:val="tx1"/>
            </w14:solidFill>
          </w14:textFill>
        </w:rPr>
        <w:t>如果乙方不购买或维持第</w:t>
      </w:r>
      <w:r>
        <w:rPr>
          <w:color w:val="000000" w:themeColor="text1"/>
          <w14:textFill>
            <w14:solidFill>
              <w14:schemeClr w14:val="tx1"/>
            </w14:solidFill>
          </w14:textFill>
        </w:rPr>
        <w:t>9.1</w:t>
      </w:r>
      <w:r>
        <w:rPr>
          <w:rFonts w:hint="eastAsia"/>
          <w:color w:val="000000" w:themeColor="text1"/>
          <w14:textFill>
            <w14:solidFill>
              <w14:schemeClr w14:val="tx1"/>
            </w14:solidFill>
          </w14:textFill>
        </w:rPr>
        <w:t>条款所要求的保险，甲方首先应书面要求乙方购买或维持上述保险，在乙方接到上述书面通知三十（</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日内仍未购买或维持该保险，则甲方有权根据本合同自行购买上述保险，并有权从建设期履约保函或可行性缺口补助中兑取或扣除款项以支付保险费用，从可行性缺口补助中扣除时按购买保险支付时点至扣款节点加扣以违约利率的计息费用。</w:t>
      </w:r>
    </w:p>
    <w:p>
      <w:pPr>
        <w:rPr>
          <w:rFonts w:ascii="Times New Roman" w:hAnsi="Times New Roman"/>
          <w:lang w:val="zh-CN"/>
        </w:rPr>
      </w:pPr>
    </w:p>
    <w:p>
      <w:pPr>
        <w:pStyle w:val="3"/>
        <w:jc w:val="center"/>
        <w:rPr>
          <w:rFonts w:ascii="Times New Roman" w:hAnsi="Times New Roman" w:eastAsia="黑体"/>
          <w:color w:val="000000" w:themeColor="text1"/>
          <w:sz w:val="21"/>
          <w:szCs w:val="21"/>
          <w14:textFill>
            <w14:solidFill>
              <w14:schemeClr w14:val="tx1"/>
            </w14:solidFill>
          </w14:textFill>
        </w:rPr>
      </w:pPr>
      <w:bookmarkStart w:id="615" w:name="_Toc491857616"/>
      <w:bookmarkStart w:id="616" w:name="_Toc495846018"/>
      <w:bookmarkStart w:id="617" w:name="_Toc496299625"/>
      <w:bookmarkStart w:id="618" w:name="_Toc516399783"/>
      <w:bookmarkStart w:id="619" w:name="_Toc522635559"/>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10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项目回报</w:t>
      </w:r>
      <w:bookmarkEnd w:id="615"/>
      <w:bookmarkEnd w:id="616"/>
      <w:bookmarkEnd w:id="617"/>
      <w:bookmarkEnd w:id="618"/>
      <w:bookmarkEnd w:id="619"/>
    </w:p>
    <w:p>
      <w:pPr>
        <w:pStyle w:val="4"/>
        <w:rPr>
          <w:color w:val="000000" w:themeColor="text1"/>
          <w14:textFill>
            <w14:solidFill>
              <w14:schemeClr w14:val="tx1"/>
            </w14:solidFill>
          </w14:textFill>
        </w:rPr>
      </w:pPr>
      <w:bookmarkStart w:id="620" w:name="_Toc491857617"/>
      <w:bookmarkStart w:id="621" w:name="_Toc495846019"/>
      <w:bookmarkStart w:id="622" w:name="_Toc496299626"/>
      <w:bookmarkStart w:id="623" w:name="_Toc516399784"/>
      <w:bookmarkStart w:id="624" w:name="_Toc522635560"/>
      <w:r>
        <w:rPr>
          <w:color w:val="000000" w:themeColor="text1"/>
          <w14:textFill>
            <w14:solidFill>
              <w14:schemeClr w14:val="tx1"/>
            </w14:solidFill>
          </w14:textFill>
        </w:rPr>
        <w:t xml:space="preserve">10.1 </w:t>
      </w:r>
      <w:r>
        <w:rPr>
          <w:rFonts w:hint="eastAsia"/>
          <w:color w:val="000000" w:themeColor="text1"/>
          <w14:textFill>
            <w14:solidFill>
              <w14:schemeClr w14:val="tx1"/>
            </w14:solidFill>
          </w14:textFill>
        </w:rPr>
        <w:t>使用者付费</w:t>
      </w:r>
      <w:bookmarkEnd w:id="620"/>
      <w:bookmarkEnd w:id="621"/>
      <w:bookmarkEnd w:id="622"/>
      <w:bookmarkEnd w:id="623"/>
      <w:bookmarkEnd w:id="624"/>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10.1.1 </w:t>
      </w:r>
      <w:r>
        <w:rPr>
          <w:rFonts w:hint="eastAsia"/>
          <w:color w:val="000000" w:themeColor="text1"/>
          <w14:textFill>
            <w14:solidFill>
              <w14:schemeClr w14:val="tx1"/>
            </w14:solidFill>
          </w14:textFill>
        </w:rPr>
        <w:t>乙方在运营期内，负责运营和维护项目合作范围内的隧道及管廊设施，并向入廊单位收取入廊费、日常维护费（管廊）</w:t>
      </w:r>
      <w:r>
        <w:rPr>
          <w:rFonts w:hint="eastAsia"/>
          <w:color w:val="000000" w:themeColor="text1"/>
          <w:lang w:val="en-US"/>
          <w14:textFill>
            <w14:solidFill>
              <w14:schemeClr w14:val="tx1"/>
            </w14:solidFill>
          </w14:textFill>
        </w:rPr>
        <w:t>，获得经营性收入</w:t>
      </w:r>
      <w:r>
        <w:rPr>
          <w:rFonts w:hint="eastAsia"/>
          <w:color w:val="000000" w:themeColor="text1"/>
          <w14:textFill>
            <w14:solidFill>
              <w14:schemeClr w14:val="tx1"/>
            </w14:solidFill>
          </w14:textFill>
        </w:rPr>
        <w:t>。</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10.1.2 </w:t>
      </w:r>
      <w:r>
        <w:rPr>
          <w:rFonts w:hint="eastAsia"/>
          <w:color w:val="000000" w:themeColor="text1"/>
          <w14:textFill>
            <w14:solidFill>
              <w14:schemeClr w14:val="tx1"/>
            </w14:solidFill>
          </w14:textFill>
        </w:rPr>
        <w:t>乙方以运营范围内经营性资源开展经营须保证合法，经营期（租赁期）不得超出本项目约定的合作期。对外经营的收费标准由项目公司自行制定并在有必要的情况下向物价部门申请核准或备案。</w:t>
      </w:r>
    </w:p>
    <w:p>
      <w:pPr>
        <w:pStyle w:val="4"/>
        <w:rPr>
          <w:color w:val="000000" w:themeColor="text1"/>
          <w14:textFill>
            <w14:solidFill>
              <w14:schemeClr w14:val="tx1"/>
            </w14:solidFill>
          </w14:textFill>
        </w:rPr>
      </w:pPr>
      <w:bookmarkStart w:id="625" w:name="_Toc491857618"/>
      <w:bookmarkStart w:id="626" w:name="_Toc495846020"/>
      <w:bookmarkStart w:id="627" w:name="_Toc496299627"/>
      <w:bookmarkStart w:id="628" w:name="_Toc516399785"/>
      <w:bookmarkStart w:id="629" w:name="_Toc522635561"/>
      <w:r>
        <w:rPr>
          <w:color w:val="000000" w:themeColor="text1"/>
          <w14:textFill>
            <w14:solidFill>
              <w14:schemeClr w14:val="tx1"/>
            </w14:solidFill>
          </w14:textFill>
        </w:rPr>
        <w:t xml:space="preserve">10.2 </w:t>
      </w:r>
      <w:r>
        <w:rPr>
          <w:rFonts w:hint="eastAsia"/>
          <w:color w:val="000000" w:themeColor="text1"/>
          <w14:textFill>
            <w14:solidFill>
              <w14:schemeClr w14:val="tx1"/>
            </w14:solidFill>
          </w14:textFill>
        </w:rPr>
        <w:t>可行性缺口补助</w:t>
      </w:r>
      <w:bookmarkEnd w:id="625"/>
      <w:bookmarkEnd w:id="626"/>
      <w:bookmarkEnd w:id="627"/>
      <w:bookmarkEnd w:id="628"/>
      <w:bookmarkEnd w:id="629"/>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10.2.1  </w:t>
      </w:r>
      <w:r>
        <w:rPr>
          <w:rFonts w:hint="eastAsia"/>
          <w:color w:val="000000" w:themeColor="text1"/>
          <w14:textFill>
            <w14:solidFill>
              <w14:schemeClr w14:val="tx1"/>
            </w14:solidFill>
          </w14:textFill>
        </w:rPr>
        <w:t>可行性缺口补助及计算方法</w:t>
      </w:r>
    </w:p>
    <w:p>
      <w:pPr>
        <w:pStyle w:val="310"/>
        <w:spacing w:line="360" w:lineRule="auto"/>
        <w:ind w:firstLine="420" w:firstLineChars="200"/>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实际年可行性缺口补助额度通过工程建设投资各项组成以下列计算公式得出：</w:t>
      </w:r>
    </w:p>
    <w:p>
      <w:pPr>
        <w:spacing w:line="360" w:lineRule="auto"/>
        <w:rPr>
          <w:color w:val="000000" w:themeColor="text1"/>
          <w:szCs w:val="21"/>
          <w14:textFill>
            <w14:solidFill>
              <w14:schemeClr w14:val="tx1"/>
            </w14:solidFill>
          </w14:textFill>
        </w:rPr>
      </w:pPr>
      <m:oMathPara>
        <m:oMathParaPr>
          <m:jc m:val="center"/>
        </m:oMathPara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 xml:space="preserve">   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n</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d>
            <m:dPr>
              <m:begChr m:val="["/>
              <m:endChr m:val="]"/>
              <m:ctrlPr>
                <w:rPr>
                  <w:rFonts w:ascii="Cambria Math" w:hAnsi="Cambria Math"/>
                  <w:i/>
                  <w:color w:val="000000" w:themeColor="text1"/>
                  <w:szCs w:val="21"/>
                  <w14:textFill>
                    <w14:solidFill>
                      <w14:schemeClr w14:val="tx1"/>
                    </w14:solidFill>
                  </w14:textFill>
                </w:rPr>
              </m:ctrlPr>
            </m:dPr>
            <m:e>
              <m:r>
                <w:rPr>
                  <w:rFonts w:ascii="Cambria Math" w:hAnsi="Cambria Math"/>
                  <w:color w:val="000000" w:themeColor="text1"/>
                  <w:szCs w:val="21"/>
                  <w14:textFill>
                    <w14:solidFill>
                      <w14:schemeClr w14:val="tx1"/>
                    </w14:solidFill>
                  </w14:textFill>
                </w:rPr>
                <m:t xml:space="preserve"> P</m:t>
              </m:r>
              <m:r>
                <w:rPr>
                  <w:rFonts w:hint="eastAsia" w:ascii="Cambria Math" w:hAns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sSup>
                    <m:sSupPr>
                      <m:ctrlPr>
                        <w:rPr>
                          <w:rFonts w:ascii="Cambria Math" w:hAnsi="Cambria Math"/>
                          <w:i/>
                          <w:color w:val="000000" w:themeColor="text1"/>
                          <w:szCs w:val="21"/>
                          <w14:textFill>
                            <w14:solidFill>
                              <w14:schemeClr w14:val="tx1"/>
                            </w14:solidFill>
                          </w14:textFill>
                        </w:rPr>
                      </m:ctrlPr>
                    </m:sSupPr>
                    <m:e>
                      <m:r>
                        <w:rPr>
                          <w:rFonts w:ascii="Cambria Math" w:hAnsi="Cambria Math"/>
                          <w:color w:val="000000" w:themeColor="text1"/>
                          <w:szCs w:val="21"/>
                          <w14:textFill>
                            <w14:solidFill>
                              <w14:schemeClr w14:val="tx1"/>
                            </w14:solidFill>
                          </w14:textFill>
                        </w:rPr>
                        <m:t>i</m:t>
                      </m:r>
                      <m:r>
                        <w:rPr>
                          <w:rFonts w:hint="eastAsia" w:ascii="Cambria Math" w:hAnsi="Cambria Math"/>
                          <w:color w:val="000000" w:themeColor="text1"/>
                          <w:szCs w:val="21"/>
                          <w14:textFill>
                            <w14:solidFill>
                              <w14:schemeClr w14:val="tx1"/>
                            </w14:solidFill>
                          </w14:textFill>
                        </w:rPr>
                        <m:t>×</m:t>
                      </m:r>
                      <m:d>
                        <m:dPr>
                          <m:ctrlPr>
                            <w:rPr>
                              <w:rFonts w:ascii="Cambria Math" w:hAnsi="Cambria Math"/>
                              <w:i/>
                              <w:color w:val="000000" w:themeColor="text1"/>
                              <w:szCs w:val="21"/>
                              <w14:textFill>
                                <w14:solidFill>
                                  <w14:schemeClr w14:val="tx1"/>
                                </w14:solidFill>
                              </w14:textFill>
                            </w:rPr>
                          </m:ctrlPr>
                        </m:dPr>
                        <m:e>
                          <m:r>
                            <w:rPr>
                              <w:rFonts w:ascii="Cambria Math" w:hAnsi="Cambria Math"/>
                              <w:color w:val="000000" w:themeColor="text1"/>
                              <w:szCs w:val="21"/>
                              <w14:textFill>
                                <w14:solidFill>
                                  <w14:schemeClr w14:val="tx1"/>
                                </w14:solidFill>
                              </w14:textFill>
                            </w:rPr>
                            <m:t>1+i</m:t>
                          </m:r>
                          <m:ctrlPr>
                            <w:rPr>
                              <w:rFonts w:ascii="Cambria Math" w:hAnsi="Cambria Math"/>
                              <w:i/>
                              <w:color w:val="000000" w:themeColor="text1"/>
                              <w:szCs w:val="21"/>
                              <w14:textFill>
                                <w14:solidFill>
                                  <w14:schemeClr w14:val="tx1"/>
                                </w14:solidFill>
                              </w14:textFill>
                            </w:rPr>
                          </m:ctrlPr>
                        </m:e>
                      </m:d>
                      <m:ctrlPr>
                        <w:rPr>
                          <w:rFonts w:ascii="Cambria Math" w:hAnsi="Cambria Math"/>
                          <w:i/>
                          <w:color w:val="000000" w:themeColor="text1"/>
                          <w:szCs w:val="21"/>
                          <w14:textFill>
                            <w14:solidFill>
                              <w14:schemeClr w14:val="tx1"/>
                            </w14:solidFill>
                          </w14:textFill>
                        </w:rPr>
                      </m:ctrlPr>
                    </m:e>
                    <m:sup>
                      <m:r>
                        <w:rPr>
                          <w:rFonts w:ascii="Cambria Math" w:hAnsi="Cambria Math"/>
                          <w:color w:val="000000" w:themeColor="text1"/>
                          <w:szCs w:val="21"/>
                          <w14:textFill>
                            <w14:solidFill>
                              <w14:schemeClr w14:val="tx1"/>
                            </w14:solidFill>
                          </w14:textFill>
                        </w:rPr>
                        <m:t>20</m:t>
                      </m:r>
                      <m:ctrlPr>
                        <w:rPr>
                          <w:rFonts w:ascii="Cambria Math" w:hAnsi="Cambria Math"/>
                          <w:i/>
                          <w:color w:val="000000" w:themeColor="text1"/>
                          <w:szCs w:val="21"/>
                          <w14:textFill>
                            <w14:solidFill>
                              <w14:schemeClr w14:val="tx1"/>
                            </w14:solidFill>
                          </w14:textFill>
                        </w:rPr>
                      </m:ctrlPr>
                    </m:sup>
                  </m:sSup>
                  <m:ctrlPr>
                    <w:rPr>
                      <w:rFonts w:ascii="Cambria Math" w:hAnsi="Cambria Math"/>
                      <w:i/>
                      <w:color w:val="000000" w:themeColor="text1"/>
                      <w:szCs w:val="21"/>
                      <w14:textFill>
                        <w14:solidFill>
                          <w14:schemeClr w14:val="tx1"/>
                        </w14:solidFill>
                      </w14:textFill>
                    </w:rPr>
                  </m:ctrlPr>
                </m:num>
                <m:den>
                  <m:sSup>
                    <m:sSupPr>
                      <m:ctrlPr>
                        <w:rPr>
                          <w:rFonts w:ascii="Cambria Math" w:hAnsi="Cambria Math"/>
                          <w:i/>
                          <w:color w:val="000000" w:themeColor="text1"/>
                          <w:szCs w:val="21"/>
                          <w14:textFill>
                            <w14:solidFill>
                              <w14:schemeClr w14:val="tx1"/>
                            </w14:solidFill>
                          </w14:textFill>
                        </w:rPr>
                      </m:ctrlPr>
                    </m:sSupPr>
                    <m:e>
                      <m:d>
                        <m:dPr>
                          <m:ctrlPr>
                            <w:rPr>
                              <w:rFonts w:ascii="Cambria Math" w:hAnsi="Cambria Math"/>
                              <w:i/>
                              <w:color w:val="000000" w:themeColor="text1"/>
                              <w:szCs w:val="21"/>
                              <w14:textFill>
                                <w14:solidFill>
                                  <w14:schemeClr w14:val="tx1"/>
                                </w14:solidFill>
                              </w14:textFill>
                            </w:rPr>
                          </m:ctrlPr>
                        </m:dPr>
                        <m:e>
                          <m:r>
                            <w:rPr>
                              <w:rFonts w:ascii="Cambria Math" w:hAnsi="Cambria Math"/>
                              <w:color w:val="000000" w:themeColor="text1"/>
                              <w:szCs w:val="21"/>
                              <w14:textFill>
                                <w14:solidFill>
                                  <w14:schemeClr w14:val="tx1"/>
                                </w14:solidFill>
                              </w14:textFill>
                            </w:rPr>
                            <m:t>1+i</m:t>
                          </m:r>
                          <m:ctrlPr>
                            <w:rPr>
                              <w:rFonts w:ascii="Cambria Math" w:hAnsi="Cambria Math"/>
                              <w:i/>
                              <w:color w:val="000000" w:themeColor="text1"/>
                              <w:szCs w:val="21"/>
                              <w14:textFill>
                                <w14:solidFill>
                                  <w14:schemeClr w14:val="tx1"/>
                                </w14:solidFill>
                              </w14:textFill>
                            </w:rPr>
                          </m:ctrlPr>
                        </m:e>
                      </m:d>
                      <m:ctrlPr>
                        <w:rPr>
                          <w:rFonts w:ascii="Cambria Math" w:hAnsi="Cambria Math"/>
                          <w:i/>
                          <w:color w:val="000000" w:themeColor="text1"/>
                          <w:szCs w:val="21"/>
                          <w14:textFill>
                            <w14:solidFill>
                              <w14:schemeClr w14:val="tx1"/>
                            </w14:solidFill>
                          </w14:textFill>
                        </w:rPr>
                      </m:ctrlPr>
                    </m:e>
                    <m:sup>
                      <m:r>
                        <w:rPr>
                          <w:rFonts w:ascii="Cambria Math" w:hAnsi="Cambria Math"/>
                          <w:color w:val="000000" w:themeColor="text1"/>
                          <w:szCs w:val="21"/>
                          <w14:textFill>
                            <w14:solidFill>
                              <w14:schemeClr w14:val="tx1"/>
                            </w14:solidFill>
                          </w14:textFill>
                        </w:rPr>
                        <m:t>20</m:t>
                      </m:r>
                      <m:ctrlPr>
                        <w:rPr>
                          <w:rFonts w:ascii="Cambria Math" w:hAnsi="Cambria Math"/>
                          <w:i/>
                          <w:color w:val="000000" w:themeColor="text1"/>
                          <w:szCs w:val="21"/>
                          <w14:textFill>
                            <w14:solidFill>
                              <w14:schemeClr w14:val="tx1"/>
                            </w14:solidFill>
                          </w14:textFill>
                        </w:rPr>
                      </m:ctrlPr>
                    </m:sup>
                  </m:sSup>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den>
              </m:f>
              <m:ctrlPr>
                <w:rPr>
                  <w:rFonts w:ascii="Cambria Math" w:hAnsi="Cambria Math"/>
                  <w:i/>
                  <w:color w:val="000000" w:themeColor="text1"/>
                  <w:szCs w:val="21"/>
                  <w14:textFill>
                    <w14:solidFill>
                      <w14:schemeClr w14:val="tx1"/>
                    </w14:solidFill>
                  </w14:textFill>
                </w:rPr>
              </m:ctrlPr>
            </m:e>
          </m:d>
          <m:r>
            <w:rPr>
              <w:rFonts w:hint="eastAsia" w:ascii="Cambria Math" w:hAnsi="Cambria Math"/>
              <w:color w:val="000000" w:themeColor="text1"/>
              <w:szCs w:val="21"/>
              <w14:textFill>
                <w14:solidFill>
                  <w14:schemeClr w14:val="tx1"/>
                </w14:solidFill>
              </w14:textFill>
            </w:rPr>
            <m:t>×</m:t>
          </m:r>
          <m:d>
            <m:dPr>
              <m:begChr m:val="（"/>
              <m:endChr m:val="）"/>
              <m:ctrlPr>
                <w:rPr>
                  <w:rFonts w:ascii="Cambria Math" w:hAnsi="Cambria Math"/>
                  <w:color w:val="000000" w:themeColor="text1"/>
                  <w:szCs w:val="21"/>
                  <w14:textFill>
                    <w14:solidFill>
                      <w14:schemeClr w14:val="tx1"/>
                    </w14:solidFill>
                  </w14:textFill>
                </w:rPr>
              </m:ctrlPr>
            </m:dPr>
            <m:e>
              <m:r>
                <w:rPr>
                  <w:rFonts w:ascii="Cambria Math" w:hAnsi="Cambria Math"/>
                  <w:color w:val="000000" w:themeColor="text1"/>
                  <w:szCs w:val="21"/>
                  <w14:textFill>
                    <w14:solidFill>
                      <w14:schemeClr w14:val="tx1"/>
                    </w14:solidFill>
                  </w14:textFill>
                </w:rPr>
                <m:t>70%+30%</m:t>
              </m:r>
              <m:r>
                <w:rPr>
                  <w:rFonts w:hint="eastAsia"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R</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n</m:t>
                  </m:r>
                  <m:ctrlPr>
                    <w:rPr>
                      <w:rFonts w:ascii="Cambria Math" w:hAnsi="Cambria Math"/>
                      <w:i/>
                      <w:color w:val="000000" w:themeColor="text1"/>
                      <w:szCs w:val="21"/>
                      <w14:textFill>
                        <w14:solidFill>
                          <w14:schemeClr w14:val="tx1"/>
                        </w14:solidFill>
                      </w14:textFill>
                    </w:rPr>
                  </m:ctrlPr>
                </m:sub>
              </m:sSub>
              <m:ctrlPr>
                <w:rPr>
                  <w:rFonts w:ascii="Cambria Math" w:hAnsi="Cambria Math"/>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 xml:space="preserve">+ </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C</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n</m:t>
              </m:r>
              <m:ctrlPr>
                <w:rPr>
                  <w:rFonts w:ascii="Cambria Math" w:hAnsi="Cambria Math"/>
                  <w:i/>
                  <w:color w:val="000000" w:themeColor="text1"/>
                  <w:szCs w:val="21"/>
                  <w14:textFill>
                    <w14:solidFill>
                      <w14:schemeClr w14:val="tx1"/>
                    </w14:solidFill>
                  </w14:textFill>
                </w:rPr>
              </m:ctrlPr>
            </m:sub>
          </m:sSub>
          <m:r>
            <w:rPr>
              <w:rFonts w:hint="eastAsia" w:ascii="Cambria Math" w:hAnsi="Cambria Math" w:cs="MS Gothic"/>
              <w:color w:val="000000" w:themeColor="text1"/>
              <w:szCs w:val="21"/>
              <w14:textFill>
                <w14:solidFill>
                  <w14:schemeClr w14:val="tx1"/>
                </w14:solidFill>
              </w14:textFill>
            </w:rPr>
            <m:t>×</m:t>
          </m:r>
          <m:r>
            <m:rPr>
              <m:sty m:val="p"/>
            </m:rPr>
            <w:rPr>
              <w:rFonts w:ascii="Cambria Math" w:hAnsi="Cambria Math" w:cs="MS Gothic"/>
              <w:color w:val="000000" w:themeColor="text1"/>
              <w:szCs w:val="21"/>
              <w14:textFill>
                <w14:solidFill>
                  <w14:schemeClr w14:val="tx1"/>
                </w14:solidFill>
              </w14:textFill>
            </w:rPr>
            <m:t>100%</m:t>
          </m:r>
          <m:r>
            <w:rPr>
              <w:rFonts w:hint="eastAsia"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R</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n</m:t>
              </m:r>
              <m:ctrlPr>
                <w:rPr>
                  <w:rFonts w:ascii="Cambria Math" w:hAnsi="Cambria Math"/>
                  <w:i/>
                  <w:color w:val="000000" w:themeColor="text1"/>
                  <w:szCs w:val="21"/>
                  <w14:textFill>
                    <w14:solidFill>
                      <w14:schemeClr w14:val="tx1"/>
                    </w14:solidFill>
                  </w14:textFill>
                </w:rPr>
              </m:ctrlPr>
            </m:sub>
          </m:sSub>
          <m:r>
            <w:rPr>
              <w:rFonts w:ascii="Cambria Math" w:hAnsi="Cambria Math" w:eastAsia="微软雅黑" w:cs="微软雅黑"/>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Q</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n</m:t>
              </m:r>
              <m:ctrlPr>
                <w:rPr>
                  <w:rFonts w:ascii="Cambria Math" w:hAnsi="Cambria Math"/>
                  <w:i/>
                  <w:color w:val="000000" w:themeColor="text1"/>
                  <w:szCs w:val="21"/>
                  <w14:textFill>
                    <w14:solidFill>
                      <w14:schemeClr w14:val="tx1"/>
                    </w14:solidFill>
                  </w14:textFill>
                </w:rPr>
              </m:ctrlPr>
            </m:sub>
          </m:sSub>
          <m:r>
            <w:rPr>
              <w:rFonts w:ascii="Cambria Math" w:hAnsi="Cambria Math" w:eastAsia="微软雅黑" w:cs="微软雅黑"/>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G</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n</m:t>
              </m:r>
              <m:ctrlPr>
                <w:rPr>
                  <w:rFonts w:ascii="Cambria Math" w:hAnsi="Cambria Math"/>
                  <w:i/>
                  <w:color w:val="000000" w:themeColor="text1"/>
                  <w:szCs w:val="21"/>
                  <w14:textFill>
                    <w14:solidFill>
                      <w14:schemeClr w14:val="tx1"/>
                    </w14:solidFill>
                  </w14:textFill>
                </w:rPr>
              </m:ctrlPr>
            </m:sub>
          </m:sSub>
        </m:oMath>
      </m:oMathPara>
    </w:p>
    <w:p>
      <w:pPr>
        <w:ind w:firstLine="420" w:firstLineChars="200"/>
        <w:jc w:val="left"/>
        <w:rPr>
          <w:rFonts w:ascii="Times New Roman" w:hAnsi="Times New Roman"/>
          <w:szCs w:val="21"/>
        </w:rPr>
      </w:pPr>
      <w:r>
        <w:rPr>
          <w:rFonts w:hint="eastAsia" w:ascii="Times New Roman" w:hAnsi="Times New Roman"/>
          <w:szCs w:val="21"/>
        </w:rPr>
        <w:t>项目每年可用性服务费：</w:t>
      </w:r>
    </w:p>
    <w:p>
      <w:pPr>
        <w:ind w:firstLine="420" w:firstLineChars="200"/>
        <w:jc w:val="left"/>
        <w:rPr>
          <w:rFonts w:ascii="Times New Roman" w:hAnsi="Times New Roman"/>
          <w:szCs w:val="21"/>
        </w:rPr>
      </w:pPr>
      <m:oMathPara>
        <m:oMath>
          <m:r>
            <w:rPr>
              <w:rFonts w:ascii="Cambria Math" w:hAnsi="Cambria Math"/>
              <w:color w:val="000000" w:themeColor="text1"/>
              <w:szCs w:val="21"/>
              <w14:textFill>
                <w14:solidFill>
                  <w14:schemeClr w14:val="tx1"/>
                </w14:solidFill>
              </w14:textFill>
            </w:rPr>
            <m:t>P</m:t>
          </m:r>
          <m:r>
            <w:rPr>
              <w:rFonts w:hint="eastAsia" w:ascii="Cambria Math" w:hAns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sSup>
                <m:sSupPr>
                  <m:ctrlPr>
                    <w:rPr>
                      <w:rFonts w:ascii="Cambria Math" w:hAnsi="Cambria Math"/>
                      <w:i/>
                      <w:color w:val="000000" w:themeColor="text1"/>
                      <w:szCs w:val="21"/>
                      <w14:textFill>
                        <w14:solidFill>
                          <w14:schemeClr w14:val="tx1"/>
                        </w14:solidFill>
                      </w14:textFill>
                    </w:rPr>
                  </m:ctrlPr>
                </m:sSupPr>
                <m:e>
                  <m:r>
                    <w:rPr>
                      <w:rFonts w:ascii="Cambria Math" w:hAnsi="Cambria Math"/>
                      <w:color w:val="000000" w:themeColor="text1"/>
                      <w:szCs w:val="21"/>
                      <w14:textFill>
                        <w14:solidFill>
                          <w14:schemeClr w14:val="tx1"/>
                        </w14:solidFill>
                      </w14:textFill>
                    </w:rPr>
                    <m:t>i</m:t>
                  </m:r>
                  <m:r>
                    <w:rPr>
                      <w:rFonts w:hint="eastAsia" w:ascii="Cambria Math" w:hAnsi="Cambria Math"/>
                      <w:color w:val="000000" w:themeColor="text1"/>
                      <w:szCs w:val="21"/>
                      <w14:textFill>
                        <w14:solidFill>
                          <w14:schemeClr w14:val="tx1"/>
                        </w14:solidFill>
                      </w14:textFill>
                    </w:rPr>
                    <m:t>×</m:t>
                  </m:r>
                  <m:d>
                    <m:dPr>
                      <m:ctrlPr>
                        <w:rPr>
                          <w:rFonts w:ascii="Cambria Math" w:hAnsi="Cambria Math"/>
                          <w:i/>
                          <w:color w:val="000000" w:themeColor="text1"/>
                          <w:szCs w:val="21"/>
                          <w14:textFill>
                            <w14:solidFill>
                              <w14:schemeClr w14:val="tx1"/>
                            </w14:solidFill>
                          </w14:textFill>
                        </w:rPr>
                      </m:ctrlPr>
                    </m:dPr>
                    <m:e>
                      <m:r>
                        <w:rPr>
                          <w:rFonts w:ascii="Cambria Math" w:hAnsi="Cambria Math"/>
                          <w:color w:val="000000" w:themeColor="text1"/>
                          <w:szCs w:val="21"/>
                          <w14:textFill>
                            <w14:solidFill>
                              <w14:schemeClr w14:val="tx1"/>
                            </w14:solidFill>
                          </w14:textFill>
                        </w:rPr>
                        <m:t>1+i</m:t>
                      </m:r>
                      <m:ctrlPr>
                        <w:rPr>
                          <w:rFonts w:ascii="Cambria Math" w:hAnsi="Cambria Math"/>
                          <w:i/>
                          <w:color w:val="000000" w:themeColor="text1"/>
                          <w:szCs w:val="21"/>
                          <w14:textFill>
                            <w14:solidFill>
                              <w14:schemeClr w14:val="tx1"/>
                            </w14:solidFill>
                          </w14:textFill>
                        </w:rPr>
                      </m:ctrlPr>
                    </m:e>
                  </m:d>
                  <m:ctrlPr>
                    <w:rPr>
                      <w:rFonts w:ascii="Cambria Math" w:hAnsi="Cambria Math"/>
                      <w:i/>
                      <w:color w:val="000000" w:themeColor="text1"/>
                      <w:szCs w:val="21"/>
                      <w14:textFill>
                        <w14:solidFill>
                          <w14:schemeClr w14:val="tx1"/>
                        </w14:solidFill>
                      </w14:textFill>
                    </w:rPr>
                  </m:ctrlPr>
                </m:e>
                <m:sup>
                  <m:r>
                    <w:rPr>
                      <w:rFonts w:ascii="Cambria Math" w:hAnsi="Cambria Math"/>
                      <w:color w:val="000000" w:themeColor="text1"/>
                      <w:szCs w:val="21"/>
                      <w14:textFill>
                        <w14:solidFill>
                          <w14:schemeClr w14:val="tx1"/>
                        </w14:solidFill>
                      </w14:textFill>
                    </w:rPr>
                    <m:t>20</m:t>
                  </m:r>
                  <m:ctrlPr>
                    <w:rPr>
                      <w:rFonts w:ascii="Cambria Math" w:hAnsi="Cambria Math"/>
                      <w:i/>
                      <w:color w:val="000000" w:themeColor="text1"/>
                      <w:szCs w:val="21"/>
                      <w14:textFill>
                        <w14:solidFill>
                          <w14:schemeClr w14:val="tx1"/>
                        </w14:solidFill>
                      </w14:textFill>
                    </w:rPr>
                  </m:ctrlPr>
                </m:sup>
              </m:sSup>
              <m:ctrlPr>
                <w:rPr>
                  <w:rFonts w:ascii="Cambria Math" w:hAnsi="Cambria Math"/>
                  <w:i/>
                  <w:color w:val="000000" w:themeColor="text1"/>
                  <w:szCs w:val="21"/>
                  <w14:textFill>
                    <w14:solidFill>
                      <w14:schemeClr w14:val="tx1"/>
                    </w14:solidFill>
                  </w14:textFill>
                </w:rPr>
              </m:ctrlPr>
            </m:num>
            <m:den>
              <m:sSup>
                <m:sSupPr>
                  <m:ctrlPr>
                    <w:rPr>
                      <w:rFonts w:ascii="Cambria Math" w:hAnsi="Cambria Math"/>
                      <w:i/>
                      <w:color w:val="000000" w:themeColor="text1"/>
                      <w:szCs w:val="21"/>
                      <w14:textFill>
                        <w14:solidFill>
                          <w14:schemeClr w14:val="tx1"/>
                        </w14:solidFill>
                      </w14:textFill>
                    </w:rPr>
                  </m:ctrlPr>
                </m:sSupPr>
                <m:e>
                  <m:d>
                    <m:dPr>
                      <m:ctrlPr>
                        <w:rPr>
                          <w:rFonts w:ascii="Cambria Math" w:hAnsi="Cambria Math"/>
                          <w:i/>
                          <w:color w:val="000000" w:themeColor="text1"/>
                          <w:szCs w:val="21"/>
                          <w14:textFill>
                            <w14:solidFill>
                              <w14:schemeClr w14:val="tx1"/>
                            </w14:solidFill>
                          </w14:textFill>
                        </w:rPr>
                      </m:ctrlPr>
                    </m:dPr>
                    <m:e>
                      <m:r>
                        <w:rPr>
                          <w:rFonts w:ascii="Cambria Math" w:hAnsi="Cambria Math"/>
                          <w:color w:val="000000" w:themeColor="text1"/>
                          <w:szCs w:val="21"/>
                          <w14:textFill>
                            <w14:solidFill>
                              <w14:schemeClr w14:val="tx1"/>
                            </w14:solidFill>
                          </w14:textFill>
                        </w:rPr>
                        <m:t>1+i</m:t>
                      </m:r>
                      <m:ctrlPr>
                        <w:rPr>
                          <w:rFonts w:ascii="Cambria Math" w:hAnsi="Cambria Math"/>
                          <w:i/>
                          <w:color w:val="000000" w:themeColor="text1"/>
                          <w:szCs w:val="21"/>
                          <w14:textFill>
                            <w14:solidFill>
                              <w14:schemeClr w14:val="tx1"/>
                            </w14:solidFill>
                          </w14:textFill>
                        </w:rPr>
                      </m:ctrlPr>
                    </m:e>
                  </m:d>
                  <m:ctrlPr>
                    <w:rPr>
                      <w:rFonts w:ascii="Cambria Math" w:hAnsi="Cambria Math"/>
                      <w:i/>
                      <w:color w:val="000000" w:themeColor="text1"/>
                      <w:szCs w:val="21"/>
                      <w14:textFill>
                        <w14:solidFill>
                          <w14:schemeClr w14:val="tx1"/>
                        </w14:solidFill>
                      </w14:textFill>
                    </w:rPr>
                  </m:ctrlPr>
                </m:e>
                <m:sup>
                  <m:r>
                    <w:rPr>
                      <w:rFonts w:ascii="Cambria Math" w:hAnsi="Cambria Math"/>
                      <w:color w:val="000000" w:themeColor="text1"/>
                      <w:szCs w:val="21"/>
                      <w14:textFill>
                        <w14:solidFill>
                          <w14:schemeClr w14:val="tx1"/>
                        </w14:solidFill>
                      </w14:textFill>
                    </w:rPr>
                    <m:t>20</m:t>
                  </m:r>
                  <m:ctrlPr>
                    <w:rPr>
                      <w:rFonts w:ascii="Cambria Math" w:hAnsi="Cambria Math"/>
                      <w:i/>
                      <w:color w:val="000000" w:themeColor="text1"/>
                      <w:szCs w:val="21"/>
                      <w14:textFill>
                        <w14:solidFill>
                          <w14:schemeClr w14:val="tx1"/>
                        </w14:solidFill>
                      </w14:textFill>
                    </w:rPr>
                  </m:ctrlPr>
                </m:sup>
              </m:sSup>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den>
          </m:f>
        </m:oMath>
      </m:oMathPara>
    </w:p>
    <w:p>
      <w:pPr>
        <w:jc w:val="left"/>
        <w:rPr>
          <w:rFonts w:ascii="Times New Roman" w:hAnsi="Times New Roman"/>
          <w:szCs w:val="21"/>
        </w:rPr>
      </w:pPr>
      <m:oMathPara>
        <m:oMath>
          <m:r>
            <w:rPr>
              <w:rFonts w:ascii="Cambria Math" w:hAnsi="Cambria Math"/>
              <w:color w:val="000000" w:themeColor="text1"/>
              <w:szCs w:val="21"/>
              <w14:textFill>
                <w14:solidFill>
                  <w14:schemeClr w14:val="tx1"/>
                </w14:solidFill>
              </w14:textFill>
            </w:rPr>
            <m:t>P=</m:t>
          </m:r>
          <m:d>
            <m:dPr>
              <m:begChr m:val="["/>
              <m:endChr m:val="]"/>
              <m:ctrlPr>
                <w:rPr>
                  <w:rFonts w:ascii="Cambria Math" w:hAnsi="Cambria Math"/>
                  <w:i/>
                  <w:color w:val="000000" w:themeColor="text1"/>
                  <w:szCs w:val="21"/>
                  <w14:textFill>
                    <w14:solidFill>
                      <w14:schemeClr w14:val="tx1"/>
                    </w14:solidFill>
                  </w14:textFill>
                </w:rPr>
              </m:ctrlPr>
            </m:dPr>
            <m:e>
              <m:sSub>
                <m:sSubPr>
                  <m:ctrlPr>
                    <w:rPr>
                      <w:rFonts w:ascii="Cambria Math" w:hAnsi="Cambria Math"/>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color w:val="000000" w:themeColor="text1"/>
                      <w:szCs w:val="21"/>
                      <w14:textFill>
                        <w14:solidFill>
                          <w14:schemeClr w14:val="tx1"/>
                        </w14:solidFill>
                      </w14:textFill>
                    </w:rPr>
                  </m:ctrlPr>
                </m:e>
                <m:sub>
                  <m:r>
                    <m:rPr>
                      <m:sty m:val="p"/>
                    </m:rPr>
                    <w:rPr>
                      <w:rFonts w:ascii="Cambria Math" w:hAnsi="Cambria Math"/>
                      <w:color w:val="000000" w:themeColor="text1"/>
                      <w:szCs w:val="21"/>
                      <w14:textFill>
                        <w14:solidFill>
                          <w14:schemeClr w14:val="tx1"/>
                        </w14:solidFill>
                      </w14:textFill>
                    </w:rPr>
                    <m:t>1</m:t>
                  </m:r>
                  <m:ctrlPr>
                    <w:rPr>
                      <w:rFonts w:ascii="Cambria Math" w:hAnsi="Cambria Math"/>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d>
                <m:dPr>
                  <m:ctrlPr>
                    <w:rPr>
                      <w:rFonts w:ascii="Cambria Math" w:hAnsi="Cambria Math"/>
                      <w:i/>
                      <w:color w:val="000000" w:themeColor="text1"/>
                      <w:szCs w:val="21"/>
                      <w14:textFill>
                        <w14:solidFill>
                          <w14:schemeClr w14:val="tx1"/>
                        </w14:solidFill>
                      </w14:textFill>
                    </w:rPr>
                  </m:ctrlPr>
                </m:dPr>
                <m:e>
                  <m:r>
                    <w:rPr>
                      <w:rFonts w:ascii="Cambria Math" w:hAnsi="Cambria Math"/>
                      <w:color w:val="000000" w:themeColor="text1"/>
                      <w:szCs w:val="21"/>
                      <w14:textFill>
                        <w14:solidFill>
                          <w14:schemeClr w14:val="tx1"/>
                        </w14:solidFill>
                      </w14:textFill>
                    </w:rPr>
                    <m:t>1-K</m:t>
                  </m:r>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m:t>
              </m:r>
              <m:sSub>
                <m:sSubPr>
                  <m:ctrlPr>
                    <w:rPr>
                      <w:rFonts w:ascii="Cambria Math" w:hAnsi="Cambria Math"/>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2</m:t>
                  </m:r>
                  <m:ctrlPr>
                    <w:rPr>
                      <w:rFonts w:ascii="Cambria Math" w:hAnsi="Cambria Math"/>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color w:val="000000" w:themeColor="text1"/>
                      <w:szCs w:val="21"/>
                      <w14:textFill>
                        <w14:solidFill>
                          <w14:schemeClr w14:val="tx1"/>
                        </w14:solidFill>
                      </w14:textFill>
                    </w:rPr>
                  </m:ctrlPr>
                </m:sSubPr>
                <m:e>
                  <m:r>
                    <m:rPr>
                      <m:sty m:val="p"/>
                    </m:rPr>
                    <w:rPr>
                      <w:rFonts w:hint="eastAsia" w:ascii="Cambria Math" w:hAnsi="Cambria Math"/>
                      <w:color w:val="000000" w:themeColor="text1"/>
                      <w:szCs w:val="21"/>
                      <w14:textFill>
                        <w14:solidFill>
                          <w14:schemeClr w14:val="tx1"/>
                        </w14:solidFill>
                      </w14:textFill>
                    </w:rPr>
                    <m:t>∑</m:t>
                  </m:r>
                  <m:r>
                    <m:rPr>
                      <m:sty m:val="p"/>
                    </m:rPr>
                    <w:rPr>
                      <w:rFonts w:ascii="Cambria Math" w:hAnsi="Cambria Math"/>
                      <w:color w:val="000000" w:themeColor="text1"/>
                      <w:szCs w:val="21"/>
                      <w14:textFill>
                        <w14:solidFill>
                          <w14:schemeClr w14:val="tx1"/>
                        </w14:solidFill>
                      </w14:textFill>
                    </w:rPr>
                    <m:t>F</m:t>
                  </m:r>
                  <m:ctrlPr>
                    <w:rPr>
                      <w:rFonts w:ascii="Cambria Math" w:hAnsi="Cambria Math"/>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z</m:t>
                  </m:r>
                  <m:ctrlPr>
                    <w:rPr>
                      <w:rFonts w:ascii="Cambria Math" w:hAnsi="Cambria Math"/>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d>
                <m:dPr>
                  <m:ctrlPr>
                    <w:rPr>
                      <w:rFonts w:ascii="Cambria Math" w:hAnsi="Cambria Math"/>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z</m:t>
                      </m:r>
                      <m:ctrlPr>
                        <w:rPr>
                          <w:rFonts w:ascii="Cambria Math" w:hAnsi="Cambria Math"/>
                          <w:i/>
                          <w:color w:val="000000" w:themeColor="text1"/>
                          <w:szCs w:val="21"/>
                          <w14:textFill>
                            <w14:solidFill>
                              <w14:schemeClr w14:val="tx1"/>
                            </w14:solidFill>
                          </w14:textFill>
                        </w:rPr>
                      </m:ctrlPr>
                    </m:sub>
                  </m:sSub>
                  <m:r>
                    <m:rPr>
                      <m:sty m:val="p"/>
                    </m:rPr>
                    <w:rPr>
                      <w:rFonts w:ascii="Cambria Math" w:hAnsi="Cambria Math"/>
                      <w:color w:val="000000" w:themeColor="text1"/>
                      <w:szCs w:val="21"/>
                      <w14:textFill>
                        <w14:solidFill>
                          <w14:schemeClr w14:val="tx1"/>
                        </w14:solidFill>
                      </w14:textFill>
                    </w:rPr>
                    <m:t>×</m:t>
                  </m:r>
                  <m:r>
                    <w:rPr>
                      <w:rFonts w:ascii="Cambria Math" w:hAnsi="Cambria Math"/>
                      <w:color w:val="000000" w:themeColor="text1"/>
                      <w:szCs w:val="21"/>
                      <w14:textFill>
                        <w14:solidFill>
                          <w14:schemeClr w14:val="tx1"/>
                        </w14:solidFill>
                      </w14:textFill>
                    </w:rPr>
                    <m:t>i</m:t>
                  </m:r>
                  <m:ctrlPr>
                    <w:rPr>
                      <w:rFonts w:ascii="Cambria Math" w:hAnsi="Cambria Math"/>
                      <w:color w:val="000000" w:themeColor="text1"/>
                      <w:szCs w:val="21"/>
                      <w14:textFill>
                        <w14:solidFill>
                          <w14:schemeClr w14:val="tx1"/>
                        </w14:solidFill>
                      </w14:textFill>
                    </w:rPr>
                  </m:ctrlPr>
                </m:e>
              </m:d>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m:t>
          </m:r>
          <m:d>
            <m:dPr>
              <m:begChr m:val="["/>
              <m:endChr m:val="]"/>
              <m:ctrlPr>
                <w:rPr>
                  <w:rFonts w:ascii="Cambria Math" w:hAnsi="Cambria Math"/>
                  <w:i/>
                  <w:color w:val="000000" w:themeColor="text1"/>
                  <w:szCs w:val="21"/>
                  <w14:textFill>
                    <w14:solidFill>
                      <w14:schemeClr w14:val="tx1"/>
                    </w14:solidFill>
                  </w14:textFill>
                </w:rPr>
              </m:ctrlPr>
            </m:dPr>
            <m:e>
              <m:sSub>
                <m:sSubPr>
                  <m:ctrlPr>
                    <w:rPr>
                      <w:rFonts w:ascii="Cambria Math" w:hAnsi="Cambria Math"/>
                      <w:color w:val="000000" w:themeColor="text1"/>
                      <w:szCs w:val="21"/>
                      <w14:textFill>
                        <w14:solidFill>
                          <w14:schemeClr w14:val="tx1"/>
                        </w14:solidFill>
                      </w14:textFill>
                    </w:rPr>
                  </m:ctrlPr>
                </m:sSubPr>
                <m:e>
                  <m:r>
                    <m:rPr>
                      <m:sty m:val="p"/>
                    </m:rPr>
                    <w:rPr>
                      <w:rFonts w:ascii="Cambria Math" w:hAnsi="Cambria Math"/>
                      <w:color w:val="000000" w:themeColor="text1"/>
                      <w:szCs w:val="21"/>
                      <w14:textFill>
                        <w14:solidFill>
                          <w14:schemeClr w14:val="tx1"/>
                        </w14:solidFill>
                      </w14:textFill>
                    </w:rPr>
                    <m:t>E+</m:t>
                  </m:r>
                  <m:r>
                    <m:rPr>
                      <m:sty m:val="p"/>
                    </m:rPr>
                    <w:rPr>
                      <w:rFonts w:hint="eastAsia" w:ascii="Cambria Math" w:hAnsi="Cambria Math"/>
                      <w:color w:val="000000" w:themeColor="text1"/>
                      <w:szCs w:val="21"/>
                      <w14:textFill>
                        <w14:solidFill>
                          <w14:schemeClr w14:val="tx1"/>
                        </w14:solidFill>
                      </w14:textFill>
                    </w:rPr>
                    <m:t>∑</m:t>
                  </m:r>
                  <m:r>
                    <w:rPr>
                      <w:rFonts w:ascii="Cambria Math" w:hAnsi="Cambria Math"/>
                      <w:color w:val="000000" w:themeColor="text1"/>
                      <w:szCs w:val="21"/>
                      <w14:textFill>
                        <w14:solidFill>
                          <w14:schemeClr w14:val="tx1"/>
                        </w14:solidFill>
                      </w14:textFill>
                    </w:rPr>
                    <m:t>E</m:t>
                  </m:r>
                  <m:ctrlPr>
                    <w:rPr>
                      <w:rFonts w:ascii="Cambria Math" w:hAnsi="Cambria Math"/>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m</m:t>
                  </m:r>
                  <m:ctrlPr>
                    <w:rPr>
                      <w:rFonts w:ascii="Cambria Math" w:hAnsi="Cambria Math"/>
                      <w:color w:val="000000" w:themeColor="text1"/>
                      <w:szCs w:val="21"/>
                      <w14:textFill>
                        <w14:solidFill>
                          <w14:schemeClr w14:val="tx1"/>
                        </w14:solidFill>
                      </w14:textFill>
                    </w:rPr>
                  </m:ctrlPr>
                </m:sub>
              </m:sSub>
              <m:r>
                <m:rPr>
                  <m:sty m:val="p"/>
                </m:rPr>
                <w:rPr>
                  <w:rFonts w:ascii="Cambria Math" w:hAnsi="Cambria Math"/>
                  <w:color w:val="000000" w:themeColor="text1"/>
                  <w:szCs w:val="21"/>
                  <w14:textFill>
                    <w14:solidFill>
                      <w14:schemeClr w14:val="tx1"/>
                    </w14:solidFill>
                  </w14:textFill>
                </w:rPr>
                <m:t>×</m:t>
              </m:r>
              <m:d>
                <m:dPr>
                  <m:ctrlPr>
                    <w:rPr>
                      <w:rFonts w:ascii="Cambria Math" w:hAnsi="Cambria Math"/>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m</m:t>
                      </m:r>
                      <m:ctrlPr>
                        <w:rPr>
                          <w:rFonts w:ascii="Cambria Math" w:hAnsi="Cambria Math"/>
                          <w:i/>
                          <w:color w:val="000000" w:themeColor="text1"/>
                          <w:szCs w:val="21"/>
                          <w14:textFill>
                            <w14:solidFill>
                              <w14:schemeClr w14:val="tx1"/>
                            </w14:solidFill>
                          </w14:textFill>
                        </w:rPr>
                      </m:ctrlPr>
                    </m:sub>
                  </m:sSub>
                  <m:r>
                    <m:rPr>
                      <m:sty m:val="p"/>
                    </m:rPr>
                    <w:rPr>
                      <w:rFonts w:ascii="Cambria Math" w:hAnsi="Cambria Math"/>
                      <w:color w:val="000000" w:themeColor="text1"/>
                      <w:szCs w:val="21"/>
                      <w14:textFill>
                        <w14:solidFill>
                          <w14:schemeClr w14:val="tx1"/>
                        </w14:solidFill>
                      </w14:textFill>
                    </w:rPr>
                    <m:t>×</m:t>
                  </m:r>
                  <m:r>
                    <w:rPr>
                      <w:rFonts w:ascii="Cambria Math" w:hAnsi="Cambria Math"/>
                      <w:color w:val="000000" w:themeColor="text1"/>
                      <w:szCs w:val="21"/>
                      <w14:textFill>
                        <w14:solidFill>
                          <w14:schemeClr w14:val="tx1"/>
                        </w14:solidFill>
                      </w14:textFill>
                    </w:rPr>
                    <m:t>i</m:t>
                  </m:r>
                  <m:ctrlPr>
                    <w:rPr>
                      <w:rFonts w:ascii="Cambria Math" w:hAnsi="Cambria Math"/>
                      <w:color w:val="000000" w:themeColor="text1"/>
                      <w:szCs w:val="21"/>
                      <w14:textFill>
                        <w14:solidFill>
                          <w14:schemeClr w14:val="tx1"/>
                        </w14:solidFill>
                      </w14:textFill>
                    </w:rPr>
                  </m:ctrlPr>
                </m:e>
              </m:d>
              <m:ctrlPr>
                <w:rPr>
                  <w:rFonts w:ascii="Cambria Math" w:hAnsi="Cambria Math"/>
                  <w:i/>
                  <w:color w:val="000000" w:themeColor="text1"/>
                  <w:szCs w:val="21"/>
                  <w14:textFill>
                    <w14:solidFill>
                      <w14:schemeClr w14:val="tx1"/>
                    </w14:solidFill>
                  </w14:textFill>
                </w:rPr>
              </m:ctrlPr>
            </m:e>
          </m:d>
        </m:oMath>
      </m:oMathPara>
    </w:p>
    <w:p>
      <w:pPr>
        <w:spacing w:line="360" w:lineRule="auto"/>
        <w:ind w:firstLine="420"/>
        <w:jc w:val="left"/>
        <w:rPr>
          <w:rFonts w:ascii="Times New Roman" w:hAnsi="Times New Roman"/>
          <w:szCs w:val="21"/>
        </w:rPr>
      </w:pPr>
      <w:r>
        <w:rPr>
          <w:rFonts w:hint="eastAsia" w:ascii="Times New Roman" w:hAnsi="Times New Roman"/>
          <w:szCs w:val="21"/>
        </w:rPr>
        <w:t>式中</w:t>
      </w:r>
      <w:r>
        <w:rPr>
          <w:rFonts w:ascii="Times New Roman" w:hAnsi="Times New Roman"/>
          <w:szCs w:val="21"/>
        </w:rPr>
        <w:t>,</w:t>
      </w:r>
    </w:p>
    <w:p>
      <w:pPr>
        <w:spacing w:line="500" w:lineRule="exact"/>
        <w:ind w:firstLine="420"/>
        <w:rPr>
          <w:i/>
          <w:szCs w:val="21"/>
        </w:rPr>
      </w:pPr>
      <m:oMath>
        <m:sSub>
          <m:sSubPr>
            <m:ctrlPr>
              <w:rPr>
                <w:rFonts w:ascii="Cambria Math" w:hAnsi="Cambria Math"/>
                <w:i/>
                <w:szCs w:val="21"/>
              </w:rPr>
            </m:ctrlPr>
          </m:sSubPr>
          <m:e>
            <m:r>
              <w:rPr>
                <w:rFonts w:ascii="Cambria Math" w:hAnsi="Cambria Math"/>
                <w:szCs w:val="21"/>
              </w:rPr>
              <m:t>A</m:t>
            </m:r>
            <m:ctrlPr>
              <w:rPr>
                <w:rFonts w:ascii="Cambria Math" w:hAnsi="Cambria Math"/>
                <w:i/>
                <w:szCs w:val="21"/>
              </w:rPr>
            </m:ctrlPr>
          </m:e>
          <m:sub>
            <m:r>
              <w:rPr>
                <w:rFonts w:ascii="Cambria Math" w:hAnsi="Cambria Math"/>
                <w:szCs w:val="21"/>
              </w:rPr>
              <m:t>n</m:t>
            </m:r>
            <m:ctrlPr>
              <w:rPr>
                <w:rFonts w:ascii="Cambria Math" w:hAnsi="Cambria Math"/>
                <w:i/>
                <w:szCs w:val="21"/>
              </w:rPr>
            </m:ctrlPr>
          </m:sub>
        </m:sSub>
      </m:oMath>
      <w:r>
        <w:rPr>
          <w:rFonts w:hint="eastAsia"/>
          <w:i/>
          <w:szCs w:val="21"/>
        </w:rPr>
        <w:t>——</w:t>
      </w:r>
      <w:r>
        <w:rPr>
          <w:rFonts w:hint="eastAsia"/>
          <w:szCs w:val="21"/>
        </w:rPr>
        <w:t>当年的可行性缺口补助数额；</w:t>
      </w:r>
    </w:p>
    <w:p>
      <w:pPr>
        <w:spacing w:line="500" w:lineRule="exact"/>
        <w:ind w:firstLine="420"/>
        <w:rPr>
          <w:szCs w:val="21"/>
        </w:rPr>
      </w:pPr>
      <m:oMath>
        <m:r>
          <w:rPr>
            <w:rFonts w:ascii="Cambria Math" w:hAnsi="Cambria Math"/>
            <w:szCs w:val="21"/>
          </w:rPr>
          <m:t xml:space="preserve">i </m:t>
        </m:r>
      </m:oMath>
      <w:r>
        <w:rPr>
          <w:rFonts w:hint="eastAsia"/>
          <w:i/>
          <w:szCs w:val="21"/>
        </w:rPr>
        <w:t>——</w:t>
      </w:r>
      <w:r>
        <w:rPr>
          <w:rFonts w:hint="eastAsia"/>
          <w:szCs w:val="21"/>
        </w:rPr>
        <w:t>投资回报率（通过竞争投报产生，并按相关调价机制调整）；</w:t>
      </w:r>
    </w:p>
    <w:p>
      <w:pPr>
        <w:spacing w:line="500" w:lineRule="exact"/>
        <w:ind w:firstLine="420"/>
        <w:rPr>
          <w:szCs w:val="21"/>
        </w:rPr>
      </w:pPr>
      <w:bookmarkStart w:id="630" w:name="_Hlk521432022"/>
      <w:r>
        <w:rPr>
          <w:szCs w:val="21"/>
        </w:rPr>
        <w:t>P</w:t>
      </w:r>
      <w:r>
        <w:rPr>
          <w:rFonts w:hint="eastAsia"/>
          <w:i/>
          <w:szCs w:val="21"/>
        </w:rPr>
        <w:t>——</w:t>
      </w:r>
      <w:r>
        <w:rPr>
          <w:rFonts w:hint="eastAsia"/>
          <w:szCs w:val="21"/>
        </w:rPr>
        <w:t>为</w:t>
      </w:r>
      <w:r>
        <w:rPr>
          <w:szCs w:val="21"/>
        </w:rPr>
        <w:t>PPP</w:t>
      </w:r>
      <w:r>
        <w:rPr>
          <w:rFonts w:hint="eastAsia"/>
          <w:szCs w:val="21"/>
        </w:rPr>
        <w:t>总投资额（最终以财政部门审定结果为准）</w:t>
      </w:r>
      <w:bookmarkEnd w:id="630"/>
      <w:r>
        <w:rPr>
          <w:rFonts w:hint="eastAsia"/>
          <w:szCs w:val="21"/>
        </w:rPr>
        <w:t>；</w:t>
      </w:r>
    </w:p>
    <w:p>
      <w:pPr>
        <w:spacing w:line="500" w:lineRule="exact"/>
        <w:ind w:firstLine="420"/>
        <w:rPr>
          <w:szCs w:val="21"/>
        </w:rPr>
      </w:pPr>
      <w:r>
        <w:rPr>
          <w:szCs w:val="21"/>
        </w:rPr>
        <w:t>E</w:t>
      </w:r>
      <w:r>
        <w:rPr>
          <w:rFonts w:hint="eastAsia"/>
          <w:i/>
          <w:szCs w:val="21"/>
        </w:rPr>
        <w:t>——</w:t>
      </w:r>
      <w:r>
        <w:rPr>
          <w:rFonts w:hint="eastAsia"/>
          <w:szCs w:val="21"/>
        </w:rPr>
        <w:t>为工程建设其他费；</w:t>
      </w:r>
    </w:p>
    <w:p>
      <w:pPr>
        <w:spacing w:line="500" w:lineRule="exact"/>
        <w:ind w:firstLine="420"/>
        <w:rPr>
          <w:szCs w:val="21"/>
        </w:rPr>
      </w:pPr>
      <m:oMath>
        <m:sSub>
          <m:sSubPr>
            <m:ctrlPr>
              <w:rPr>
                <w:rFonts w:ascii="Cambria Math" w:hAnsi="Cambria Math"/>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color w:val="000000" w:themeColor="text1"/>
                <w:szCs w:val="21"/>
                <w14:textFill>
                  <w14:solidFill>
                    <w14:schemeClr w14:val="tx1"/>
                  </w14:solidFill>
                </w14:textFill>
              </w:rPr>
            </m:ctrlPr>
          </m:e>
          <m:sub>
            <m:r>
              <m:rPr>
                <m:sty m:val="p"/>
              </m:rPr>
              <w:rPr>
                <w:rFonts w:ascii="Cambria Math" w:hAnsi="Cambria Math"/>
                <w:color w:val="000000" w:themeColor="text1"/>
                <w:szCs w:val="21"/>
                <w14:textFill>
                  <w14:solidFill>
                    <w14:schemeClr w14:val="tx1"/>
                  </w14:solidFill>
                </w14:textFill>
              </w:rPr>
              <m:t>1</m:t>
            </m:r>
            <m:ctrlPr>
              <w:rPr>
                <w:rFonts w:ascii="Cambria Math" w:hAnsi="Cambria Math"/>
                <w:color w:val="000000" w:themeColor="text1"/>
                <w:szCs w:val="21"/>
                <w14:textFill>
                  <w14:solidFill>
                    <w14:schemeClr w14:val="tx1"/>
                  </w14:solidFill>
                </w14:textFill>
              </w:rPr>
            </m:ctrlPr>
          </m:sub>
        </m:sSub>
      </m:oMath>
      <w:r>
        <w:rPr>
          <w:rFonts w:hint="eastAsia"/>
          <w:i/>
          <w:szCs w:val="21"/>
        </w:rPr>
        <w:t>——</w:t>
      </w:r>
      <w:r>
        <w:rPr>
          <w:rFonts w:hint="eastAsia"/>
          <w:szCs w:val="21"/>
        </w:rPr>
        <w:t>为项目建安费用；</w:t>
      </w:r>
    </w:p>
    <w:p>
      <w:pPr>
        <w:spacing w:line="500" w:lineRule="exact"/>
        <w:ind w:firstLine="420"/>
        <w:rPr>
          <w:szCs w:val="21"/>
        </w:rPr>
      </w:pPr>
      <m:oMath>
        <m:sSub>
          <m:sSubPr>
            <m:ctrlPr>
              <w:rPr>
                <w:rFonts w:ascii="Cambria Math" w:hAnsi="Cambria Math"/>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color w:val="000000" w:themeColor="text1"/>
                <w:szCs w:val="21"/>
                <w14:textFill>
                  <w14:solidFill>
                    <w14:schemeClr w14:val="tx1"/>
                  </w14:solidFill>
                </w14:textFill>
              </w:rPr>
            </m:ctrlPr>
          </m:e>
          <m:sub>
            <m:r>
              <m:rPr>
                <m:sty m:val="p"/>
              </m:rPr>
              <w:rPr>
                <w:rFonts w:ascii="Cambria Math" w:hAnsi="Cambria Math"/>
                <w:color w:val="000000" w:themeColor="text1"/>
                <w:szCs w:val="21"/>
                <w14:textFill>
                  <w14:solidFill>
                    <w14:schemeClr w14:val="tx1"/>
                  </w14:solidFill>
                </w14:textFill>
              </w:rPr>
              <m:t>2</m:t>
            </m:r>
            <m:ctrlPr>
              <w:rPr>
                <w:rFonts w:ascii="Cambria Math" w:hAnsi="Cambria Math"/>
                <w:color w:val="000000" w:themeColor="text1"/>
                <w:szCs w:val="21"/>
                <w14:textFill>
                  <w14:solidFill>
                    <w14:schemeClr w14:val="tx1"/>
                  </w14:solidFill>
                </w14:textFill>
              </w:rPr>
            </m:ctrlPr>
          </m:sub>
        </m:sSub>
      </m:oMath>
      <w:r>
        <w:rPr>
          <w:rFonts w:hint="eastAsia"/>
          <w:i/>
          <w:szCs w:val="21"/>
        </w:rPr>
        <w:t>——</w:t>
      </w:r>
      <w:r>
        <w:rPr>
          <w:rFonts w:hint="eastAsia"/>
          <w:szCs w:val="21"/>
        </w:rPr>
        <w:t>为约定不参与工程下浮的相关专项招标采购项目材料、设备及工器具购置等；</w:t>
      </w:r>
    </w:p>
    <w:p>
      <w:pPr>
        <w:spacing w:line="500" w:lineRule="exact"/>
        <w:ind w:firstLine="420"/>
        <w:rPr>
          <w:szCs w:val="21"/>
        </w:rPr>
      </w:pPr>
      <w:r>
        <w:rPr>
          <w:szCs w:val="21"/>
        </w:rPr>
        <w:t>K</w:t>
      </w:r>
      <w:r>
        <w:rPr>
          <w:rFonts w:hint="eastAsia"/>
          <w:i/>
          <w:szCs w:val="21"/>
        </w:rPr>
        <w:t>——</w:t>
      </w:r>
      <w:r>
        <w:rPr>
          <w:rFonts w:hint="eastAsia"/>
          <w:szCs w:val="21"/>
        </w:rPr>
        <w:t>为社会资本投报的建安费用下浮率（设备及工器具购置费不下浮）；</w:t>
      </w:r>
    </w:p>
    <w:p>
      <w:pPr>
        <w:spacing w:line="500" w:lineRule="exact"/>
        <w:ind w:firstLine="420"/>
        <w:rPr>
          <w:szCs w:val="21"/>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G</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n</m:t>
            </m:r>
            <m:ctrlPr>
              <w:rPr>
                <w:rFonts w:ascii="Cambria Math" w:hAnsi="Cambria Math"/>
                <w:i/>
                <w:color w:val="000000" w:themeColor="text1"/>
                <w:szCs w:val="21"/>
                <w14:textFill>
                  <w14:solidFill>
                    <w14:schemeClr w14:val="tx1"/>
                  </w14:solidFill>
                </w14:textFill>
              </w:rPr>
            </m:ctrlPr>
          </m:sub>
        </m:sSub>
      </m:oMath>
      <w:r>
        <w:rPr>
          <w:rFonts w:hint="eastAsia"/>
          <w:i/>
          <w:szCs w:val="21"/>
        </w:rPr>
        <w:t>——</w:t>
      </w:r>
      <w:r>
        <w:rPr>
          <w:rFonts w:hint="eastAsia"/>
          <w:szCs w:val="21"/>
        </w:rPr>
        <w:t>为入廊费用（不计息）；</w:t>
      </w:r>
    </w:p>
    <w:p>
      <w:pPr>
        <w:spacing w:line="500" w:lineRule="exact"/>
        <w:ind w:firstLine="420"/>
        <w:rPr>
          <w:szCs w:val="21"/>
        </w:rPr>
      </w:pPr>
      <m:oMath>
        <m:sSub>
          <m:sSubPr>
            <m:ctrlPr>
              <w:rPr>
                <w:rFonts w:ascii="Cambria Math" w:hAnsi="Cambria Math"/>
                <w:szCs w:val="21"/>
              </w:rPr>
            </m:ctrlPr>
          </m:sSubPr>
          <m:e>
            <m:r>
              <m:rPr>
                <m:sty m:val="p"/>
              </m:rPr>
              <w:rPr>
                <w:rFonts w:ascii="Cambria Math" w:hAnsi="Cambria Math"/>
                <w:szCs w:val="21"/>
              </w:rPr>
              <m:t>F</m:t>
            </m:r>
            <m:ctrlPr>
              <w:rPr>
                <w:rFonts w:ascii="Cambria Math" w:hAnsi="Cambria Math"/>
                <w:szCs w:val="21"/>
              </w:rPr>
            </m:ctrlPr>
          </m:e>
          <m:sub>
            <m:r>
              <m:rPr>
                <m:sty m:val="p"/>
              </m:rPr>
              <w:rPr>
                <w:rFonts w:ascii="Cambria Math" w:hAnsi="Cambria Math"/>
                <w:szCs w:val="21"/>
              </w:rPr>
              <m:t>z</m:t>
            </m:r>
            <m:ctrlPr>
              <w:rPr>
                <w:rFonts w:ascii="Cambria Math" w:hAnsi="Cambria Math"/>
                <w:szCs w:val="21"/>
              </w:rPr>
            </m:ctrlPr>
          </m:sub>
        </m:sSub>
      </m:oMath>
      <w:r>
        <w:rPr>
          <w:rFonts w:hint="eastAsia"/>
          <w:i/>
          <w:szCs w:val="21"/>
        </w:rPr>
        <w:t>——</w:t>
      </w:r>
      <w:r>
        <w:rPr>
          <w:rFonts w:hint="eastAsia"/>
          <w:szCs w:val="21"/>
        </w:rPr>
        <w:t>为由第</w:t>
      </w:r>
      <w:r>
        <w:rPr>
          <w:szCs w:val="21"/>
        </w:rPr>
        <w:t>z</w:t>
      </w:r>
      <w:r>
        <w:rPr>
          <w:rFonts w:hint="eastAsia"/>
          <w:szCs w:val="21"/>
        </w:rPr>
        <w:t>笔项目公司支付工程费用（当期乙方完成实际工程费用计量投资）；</w:t>
      </w:r>
    </w:p>
    <w:p>
      <w:pPr>
        <w:spacing w:line="500" w:lineRule="exact"/>
        <w:ind w:firstLine="420"/>
        <w:rPr>
          <w:szCs w:val="21"/>
        </w:rPr>
      </w:pPr>
      <m:oMath>
        <m:sSub>
          <m:sSubPr>
            <m:ctrlPr>
              <w:rPr>
                <w:rFonts w:ascii="Cambria Math" w:hAnsi="Cambria Math"/>
                <w:szCs w:val="21"/>
              </w:rPr>
            </m:ctrlPr>
          </m:sSubPr>
          <m:e>
            <m:r>
              <m:rPr>
                <m:sty m:val="p"/>
              </m:rPr>
              <w:rPr>
                <w:rFonts w:ascii="Cambria Math" w:hAnsi="Cambria Math"/>
                <w:szCs w:val="21"/>
              </w:rPr>
              <m:t>T</m:t>
            </m:r>
            <m:ctrlPr>
              <w:rPr>
                <w:rFonts w:ascii="Cambria Math" w:hAnsi="Cambria Math"/>
                <w:szCs w:val="21"/>
              </w:rPr>
            </m:ctrlPr>
          </m:e>
          <m:sub>
            <m:r>
              <m:rPr>
                <m:sty m:val="p"/>
              </m:rPr>
              <w:rPr>
                <w:rFonts w:ascii="Cambria Math" w:hAnsi="Cambria Math"/>
                <w:szCs w:val="21"/>
              </w:rPr>
              <m:t>z</m:t>
            </m:r>
            <m:ctrlPr>
              <w:rPr>
                <w:rFonts w:ascii="Cambria Math" w:hAnsi="Cambria Math"/>
                <w:szCs w:val="21"/>
              </w:rPr>
            </m:ctrlPr>
          </m:sub>
        </m:sSub>
      </m:oMath>
      <w:r>
        <w:rPr>
          <w:rFonts w:hint="eastAsia"/>
          <w:i/>
          <w:szCs w:val="21"/>
        </w:rPr>
        <w:t>——</w:t>
      </w:r>
      <w:r>
        <w:rPr>
          <w:rFonts w:hint="eastAsia"/>
          <w:szCs w:val="21"/>
        </w:rPr>
        <w:t>为由第</w:t>
      </w:r>
      <w:r>
        <w:rPr>
          <w:szCs w:val="21"/>
        </w:rPr>
        <w:t>z</w:t>
      </w:r>
      <w:r>
        <w:rPr>
          <w:rFonts w:hint="eastAsia"/>
          <w:szCs w:val="21"/>
        </w:rPr>
        <w:t>笔项目公司支付的工程费用在建设期占用时间；（以项目公司实际支付时点起算至建设期终点，计息期扣减乙方延误工期）</w:t>
      </w:r>
    </w:p>
    <w:p>
      <w:pPr>
        <w:spacing w:line="500" w:lineRule="exact"/>
        <w:ind w:firstLine="420"/>
        <w:rPr>
          <w:szCs w:val="21"/>
        </w:rPr>
      </w:pPr>
      <m:oMath>
        <m:sSub>
          <m:sSubPr>
            <m:ctrlPr>
              <w:rPr>
                <w:rFonts w:ascii="Cambria Math" w:hAnsi="Cambria Math"/>
                <w:szCs w:val="21"/>
              </w:rPr>
            </m:ctrlPr>
          </m:sSubPr>
          <m:e>
            <m:r>
              <m:rPr>
                <m:sty m:val="p"/>
              </m:rPr>
              <w:rPr>
                <w:rFonts w:ascii="Cambria Math" w:hAnsi="Cambria Math"/>
                <w:szCs w:val="21"/>
              </w:rPr>
              <m:t>E</m:t>
            </m:r>
            <m:ctrlPr>
              <w:rPr>
                <w:rFonts w:ascii="Cambria Math" w:hAnsi="Cambria Math"/>
                <w:szCs w:val="21"/>
              </w:rPr>
            </m:ctrlPr>
          </m:e>
          <m:sub>
            <m:r>
              <m:rPr>
                <m:sty m:val="p"/>
              </m:rPr>
              <w:rPr>
                <w:rFonts w:ascii="Cambria Math" w:hAnsi="Cambria Math"/>
                <w:szCs w:val="21"/>
              </w:rPr>
              <m:t>m</m:t>
            </m:r>
            <m:ctrlPr>
              <w:rPr>
                <w:rFonts w:ascii="Cambria Math" w:hAnsi="Cambria Math"/>
                <w:szCs w:val="21"/>
              </w:rPr>
            </m:ctrlPr>
          </m:sub>
        </m:sSub>
      </m:oMath>
      <w:r>
        <w:rPr>
          <w:rFonts w:hint="eastAsia"/>
          <w:i/>
          <w:szCs w:val="21"/>
        </w:rPr>
        <w:t>——</w:t>
      </w:r>
      <w:r>
        <w:rPr>
          <w:rFonts w:hint="eastAsia"/>
          <w:szCs w:val="21"/>
        </w:rPr>
        <w:t>为由第</w:t>
      </w:r>
      <w:r>
        <w:rPr>
          <w:szCs w:val="21"/>
        </w:rPr>
        <w:t>m</w:t>
      </w:r>
      <w:r>
        <w:rPr>
          <w:rFonts w:hint="eastAsia"/>
          <w:szCs w:val="21"/>
        </w:rPr>
        <w:t>笔项目公司支付工程建设其他费财务支出额；</w:t>
      </w:r>
    </w:p>
    <w:p>
      <w:pPr>
        <w:spacing w:line="500" w:lineRule="exact"/>
        <w:ind w:firstLine="420"/>
        <w:rPr>
          <w:szCs w:val="21"/>
        </w:rPr>
      </w:pPr>
      <m:oMath>
        <m:sSub>
          <m:sSubPr>
            <m:ctrlPr>
              <w:rPr>
                <w:rFonts w:ascii="Cambria Math" w:hAnsi="Cambria Math"/>
                <w:szCs w:val="21"/>
              </w:rPr>
            </m:ctrlPr>
          </m:sSubPr>
          <m:e>
            <m:r>
              <m:rPr>
                <m:sty m:val="p"/>
              </m:rPr>
              <w:rPr>
                <w:rFonts w:ascii="Cambria Math" w:hAnsi="Cambria Math"/>
                <w:szCs w:val="21"/>
              </w:rPr>
              <m:t>t</m:t>
            </m:r>
            <m:ctrlPr>
              <w:rPr>
                <w:rFonts w:ascii="Cambria Math" w:hAnsi="Cambria Math"/>
                <w:szCs w:val="21"/>
              </w:rPr>
            </m:ctrlPr>
          </m:e>
          <m:sub>
            <m:r>
              <m:rPr>
                <m:sty m:val="p"/>
              </m:rPr>
              <w:rPr>
                <w:rFonts w:ascii="Cambria Math" w:hAnsi="Cambria Math"/>
                <w:szCs w:val="21"/>
              </w:rPr>
              <m:t>m</m:t>
            </m:r>
            <m:ctrlPr>
              <w:rPr>
                <w:rFonts w:ascii="Cambria Math" w:hAnsi="Cambria Math"/>
                <w:szCs w:val="21"/>
              </w:rPr>
            </m:ctrlPr>
          </m:sub>
        </m:sSub>
      </m:oMath>
      <w:r>
        <w:rPr>
          <w:rFonts w:hint="eastAsia"/>
          <w:i/>
          <w:szCs w:val="21"/>
        </w:rPr>
        <w:t>——</w:t>
      </w:r>
      <w:r>
        <w:rPr>
          <w:rFonts w:hint="eastAsia"/>
          <w:szCs w:val="21"/>
        </w:rPr>
        <w:t>为由第</w:t>
      </w:r>
      <w:r>
        <w:rPr>
          <w:szCs w:val="21"/>
        </w:rPr>
        <w:t>m</w:t>
      </w:r>
      <w:r>
        <w:rPr>
          <w:rFonts w:hint="eastAsia"/>
          <w:szCs w:val="21"/>
        </w:rPr>
        <w:t>笔项目公司支付的工程建设其他费在建设期占用时间；（以目公司实际支付时点起算至建设期终点，计息期扣减乙方延误工期）</w:t>
      </w:r>
    </w:p>
    <w:p>
      <w:pPr>
        <w:spacing w:line="500" w:lineRule="exact"/>
        <w:ind w:firstLine="420"/>
        <w:rPr>
          <w:szCs w:val="21"/>
        </w:rPr>
      </w:pPr>
      <m:oMath>
        <m:sSub>
          <m:sSubPr>
            <m:ctrlPr>
              <w:rPr>
                <w:rFonts w:ascii="Cambria Math" w:hAnsi="Cambria Math"/>
                <w:szCs w:val="21"/>
              </w:rPr>
            </m:ctrlPr>
          </m:sSubPr>
          <m:e>
            <m:r>
              <m:rPr>
                <m:sty m:val="p"/>
              </m:rPr>
              <w:rPr>
                <w:rFonts w:ascii="Cambria Math" w:hAnsi="Cambria Math"/>
                <w:szCs w:val="21"/>
              </w:rPr>
              <m:t>C</m:t>
            </m:r>
            <m:ctrlPr>
              <w:rPr>
                <w:rFonts w:ascii="Cambria Math" w:hAnsi="Cambria Math"/>
                <w:szCs w:val="21"/>
              </w:rPr>
            </m:ctrlPr>
          </m:e>
          <m:sub>
            <m:r>
              <m:rPr>
                <m:sty m:val="p"/>
              </m:rPr>
              <w:rPr>
                <w:rFonts w:ascii="Cambria Math" w:hAnsi="Cambria Math"/>
                <w:szCs w:val="21"/>
              </w:rPr>
              <m:t>n</m:t>
            </m:r>
            <m:ctrlPr>
              <w:rPr>
                <w:rFonts w:ascii="Cambria Math" w:hAnsi="Cambria Math"/>
                <w:szCs w:val="21"/>
              </w:rPr>
            </m:ctrlPr>
          </m:sub>
        </m:sSub>
      </m:oMath>
      <w:r>
        <w:rPr>
          <w:rFonts w:hint="eastAsia"/>
          <w:i/>
          <w:szCs w:val="21"/>
        </w:rPr>
        <w:t>——</w:t>
      </w:r>
      <w:r>
        <w:rPr>
          <w:rFonts w:hint="eastAsia"/>
          <w:szCs w:val="21"/>
        </w:rPr>
        <w:t>为运营期内第</w:t>
      </w:r>
      <w:r>
        <w:rPr>
          <w:szCs w:val="21"/>
        </w:rPr>
        <w:t>n</w:t>
      </w:r>
      <w:r>
        <w:rPr>
          <w:rFonts w:hint="eastAsia"/>
          <w:szCs w:val="21"/>
        </w:rPr>
        <w:t>年运营维养成本（通过竞争投报产生，并按相关调价机制调整）；</w:t>
      </w:r>
    </w:p>
    <w:p>
      <w:pPr>
        <w:spacing w:line="500" w:lineRule="exact"/>
        <w:ind w:firstLine="420"/>
        <w:rPr>
          <w:szCs w:val="21"/>
        </w:rPr>
      </w:pPr>
      <m:oMath>
        <m:sSub>
          <m:sSubPr>
            <m:ctrlPr>
              <w:rPr>
                <w:rFonts w:ascii="Cambria Math" w:hAnsi="Cambria Math"/>
                <w:szCs w:val="21"/>
              </w:rPr>
            </m:ctrlPr>
          </m:sSubPr>
          <m:e>
            <m:r>
              <m:rPr>
                <m:sty m:val="p"/>
              </m:rPr>
              <w:rPr>
                <w:rFonts w:ascii="Cambria Math" w:hAnsi="Cambria Math"/>
                <w:szCs w:val="21"/>
              </w:rPr>
              <m:t>Q</m:t>
            </m:r>
            <m:ctrlPr>
              <w:rPr>
                <w:rFonts w:ascii="Cambria Math" w:hAnsi="Cambria Math"/>
                <w:szCs w:val="21"/>
              </w:rPr>
            </m:ctrlPr>
          </m:e>
          <m:sub>
            <m:r>
              <m:rPr>
                <m:sty m:val="p"/>
              </m:rPr>
              <w:rPr>
                <w:rFonts w:ascii="Cambria Math" w:hAnsi="Cambria Math"/>
                <w:szCs w:val="21"/>
              </w:rPr>
              <m:t>n</m:t>
            </m:r>
            <m:ctrlPr>
              <w:rPr>
                <w:rFonts w:ascii="Cambria Math" w:hAnsi="Cambria Math"/>
                <w:szCs w:val="21"/>
              </w:rPr>
            </m:ctrlPr>
          </m:sub>
        </m:sSub>
      </m:oMath>
      <w:r>
        <w:rPr>
          <w:rFonts w:hint="eastAsia"/>
          <w:i/>
          <w:szCs w:val="21"/>
        </w:rPr>
        <w:t>——</w:t>
      </w:r>
      <w:r>
        <w:rPr>
          <w:rFonts w:hint="eastAsia"/>
          <w:szCs w:val="21"/>
        </w:rPr>
        <w:t>为运营期内第</w:t>
      </w:r>
      <w:r>
        <w:rPr>
          <w:szCs w:val="21"/>
        </w:rPr>
        <w:t>n</w:t>
      </w:r>
      <w:r>
        <w:rPr>
          <w:rFonts w:hint="eastAsia"/>
          <w:szCs w:val="21"/>
        </w:rPr>
        <w:t>年由项目公司委托政府方收取的</w:t>
      </w:r>
      <w:bookmarkStart w:id="631" w:name="_Hlk503207649"/>
      <w:r>
        <w:rPr>
          <w:rFonts w:hint="eastAsia"/>
          <w:szCs w:val="21"/>
        </w:rPr>
        <w:t>日常维护费（管廊）</w:t>
      </w:r>
      <w:bookmarkEnd w:id="631"/>
      <w:r>
        <w:rPr>
          <w:rFonts w:hint="eastAsia"/>
          <w:szCs w:val="21"/>
        </w:rPr>
        <w:t>收入；</w:t>
      </w:r>
    </w:p>
    <w:p>
      <w:pPr>
        <w:spacing w:line="360" w:lineRule="auto"/>
        <w:ind w:firstLine="420"/>
        <w:jc w:val="left"/>
        <w:rPr>
          <w:rFonts w:ascii="Times New Roman" w:hAnsi="Times New Roman"/>
          <w:szCs w:val="21"/>
        </w:rPr>
      </w:pPr>
      <m:oMath>
        <m:sSub>
          <m:sSubPr>
            <m:ctrlPr>
              <w:rPr>
                <w:rFonts w:ascii="Cambria Math" w:hAnsi="Cambria Math"/>
                <w:szCs w:val="21"/>
              </w:rPr>
            </m:ctrlPr>
          </m:sSubPr>
          <m:e>
            <m:r>
              <m:rPr>
                <m:sty m:val="p"/>
              </m:rPr>
              <w:rPr>
                <w:rFonts w:ascii="Cambria Math" w:hAnsi="Cambria Math"/>
                <w:szCs w:val="21"/>
              </w:rPr>
              <m:t>R</m:t>
            </m:r>
            <m:ctrlPr>
              <w:rPr>
                <w:rFonts w:ascii="Cambria Math" w:hAnsi="Cambria Math"/>
                <w:szCs w:val="21"/>
              </w:rPr>
            </m:ctrlPr>
          </m:e>
          <m:sub>
            <m:r>
              <m:rPr>
                <m:sty m:val="p"/>
              </m:rPr>
              <w:rPr>
                <w:rFonts w:ascii="Cambria Math" w:hAnsi="Cambria Math"/>
                <w:szCs w:val="21"/>
              </w:rPr>
              <m:t>n</m:t>
            </m:r>
            <m:ctrlPr>
              <w:rPr>
                <w:rFonts w:ascii="Cambria Math" w:hAnsi="Cambria Math"/>
                <w:szCs w:val="21"/>
              </w:rPr>
            </m:ctrlPr>
          </m:sub>
        </m:sSub>
      </m:oMath>
      <w:r>
        <w:rPr>
          <w:rFonts w:hint="eastAsia"/>
          <w:i/>
          <w:szCs w:val="21"/>
        </w:rPr>
        <w:t>——</w:t>
      </w:r>
      <w:r>
        <w:rPr>
          <w:rFonts w:hint="eastAsia"/>
          <w:szCs w:val="21"/>
        </w:rPr>
        <w:t>为运营期第</w:t>
      </w:r>
      <w:r>
        <w:rPr>
          <w:szCs w:val="21"/>
        </w:rPr>
        <w:t>n</w:t>
      </w:r>
      <w:r>
        <w:rPr>
          <w:rFonts w:hint="eastAsia"/>
          <w:szCs w:val="21"/>
        </w:rPr>
        <w:t>年的运营养护绩效考核系数。</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10.2.2 </w:t>
      </w:r>
      <w:r>
        <w:rPr>
          <w:rFonts w:hint="eastAsia"/>
          <w:color w:val="000000" w:themeColor="text1"/>
          <w14:textFill>
            <w14:solidFill>
              <w14:schemeClr w14:val="tx1"/>
            </w14:solidFill>
          </w14:textFill>
        </w:rPr>
        <w:t>可行性缺口补助调整</w:t>
      </w:r>
    </w:p>
    <w:p>
      <w:pPr>
        <w:spacing w:line="360" w:lineRule="auto"/>
        <w:ind w:left="630" w:leftChars="270" w:hanging="63" w:hangingChars="3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a</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PPP</w:t>
      </w:r>
      <w:r>
        <w:rPr>
          <w:rFonts w:hint="eastAsia" w:ascii="Times New Roman" w:hAnsi="Times New Roman"/>
          <w:color w:val="000000" w:themeColor="text1"/>
          <w:szCs w:val="21"/>
          <w14:textFill>
            <w14:solidFill>
              <w14:schemeClr w14:val="tx1"/>
            </w14:solidFill>
          </w14:textFill>
        </w:rPr>
        <w:t>总投资额变化</w:t>
      </w:r>
    </w:p>
    <w:p>
      <w:pPr>
        <w:spacing w:line="360" w:lineRule="auto"/>
        <w:ind w:left="627" w:leftChars="293" w:hanging="12" w:hangingChars="6"/>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本项目</w:t>
      </w:r>
      <w:r>
        <w:rPr>
          <w:rFonts w:ascii="Times New Roman" w:hAnsi="Times New Roman"/>
          <w:color w:val="000000" w:themeColor="text1"/>
          <w:szCs w:val="21"/>
          <w14:textFill>
            <w14:solidFill>
              <w14:schemeClr w14:val="tx1"/>
            </w14:solidFill>
          </w14:textFill>
        </w:rPr>
        <w:t>PPP</w:t>
      </w:r>
      <w:r>
        <w:rPr>
          <w:rFonts w:hint="eastAsia" w:ascii="Times New Roman" w:hAnsi="Times New Roman"/>
          <w:color w:val="000000" w:themeColor="text1"/>
          <w:szCs w:val="21"/>
          <w14:textFill>
            <w14:solidFill>
              <w14:schemeClr w14:val="tx1"/>
            </w14:solidFill>
          </w14:textFill>
        </w:rPr>
        <w:t>总投资由工程费用、工程建设其他费、建设期投资收益组成。依据第</w:t>
      </w:r>
      <w:r>
        <w:rPr>
          <w:rFonts w:ascii="Times New Roman" w:hAnsi="Times New Roman"/>
          <w:color w:val="000000" w:themeColor="text1"/>
          <w:szCs w:val="21"/>
          <w14:textFill>
            <w14:solidFill>
              <w14:schemeClr w14:val="tx1"/>
            </w14:solidFill>
          </w14:textFill>
        </w:rPr>
        <w:t>2.3</w:t>
      </w:r>
      <w:r>
        <w:rPr>
          <w:rFonts w:hint="eastAsia" w:ascii="Times New Roman" w:hAnsi="Times New Roman"/>
          <w:color w:val="000000" w:themeColor="text1"/>
          <w:szCs w:val="21"/>
          <w14:textFill>
            <w14:solidFill>
              <w14:schemeClr w14:val="tx1"/>
            </w14:solidFill>
          </w14:textFill>
        </w:rPr>
        <w:t>条约定对各项投资组成进行审计认定并对应计入可行性缺口补助计算公式中的相关参数。</w:t>
      </w:r>
    </w:p>
    <w:p>
      <w:pPr>
        <w:spacing w:line="360" w:lineRule="auto"/>
        <w:ind w:left="630" w:leftChars="270" w:hanging="63" w:hangingChars="3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1</w:t>
      </w:r>
      <w:r>
        <w:rPr>
          <w:rFonts w:hint="eastAsia" w:ascii="Times New Roman" w:hAnsi="Times New Roman"/>
          <w:color w:val="000000" w:themeColor="text1"/>
          <w:szCs w:val="21"/>
          <w14:textFill>
            <w14:solidFill>
              <w14:schemeClr w14:val="tx1"/>
            </w14:solidFill>
          </w14:textFill>
        </w:rPr>
        <w:t>）工程费用</w:t>
      </w:r>
    </w:p>
    <w:p>
      <w:pPr>
        <w:spacing w:line="360" w:lineRule="auto"/>
        <w:ind w:left="621" w:leftChars="290" w:hanging="12" w:hangingChars="6"/>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工程费用根据第</w:t>
      </w:r>
      <w:r>
        <w:rPr>
          <w:rFonts w:ascii="Times New Roman" w:hAnsi="Times New Roman"/>
          <w:color w:val="000000" w:themeColor="text1"/>
          <w:szCs w:val="21"/>
          <w14:textFill>
            <w14:solidFill>
              <w14:schemeClr w14:val="tx1"/>
            </w14:solidFill>
          </w14:textFill>
        </w:rPr>
        <w:t>2.3.4</w:t>
      </w:r>
      <w:r>
        <w:rPr>
          <w:rFonts w:hint="eastAsia" w:ascii="Times New Roman" w:hAnsi="Times New Roman"/>
          <w:color w:val="000000" w:themeColor="text1"/>
          <w:szCs w:val="21"/>
          <w14:textFill>
            <w14:solidFill>
              <w14:schemeClr w14:val="tx1"/>
            </w14:solidFill>
          </w14:textFill>
        </w:rPr>
        <w:t>条约定的工程结算财政部门审核结果认定工程费用完成投资为准。</w:t>
      </w:r>
    </w:p>
    <w:p>
      <w:pPr>
        <w:pStyle w:val="331"/>
        <w:numPr>
          <w:ilvl w:val="0"/>
          <w:numId w:val="76"/>
        </w:numPr>
        <w:spacing w:line="360" w:lineRule="auto"/>
        <w:ind w:firstLineChars="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工程费用建设期投资收益计算</w:t>
      </w:r>
    </w:p>
    <w:p>
      <w:pPr>
        <w:spacing w:line="360" w:lineRule="auto"/>
        <w:ind w:left="647" w:firstLine="420" w:firstLineChars="20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工程费用建设期投资收益按单利方式计算。项目公司根据每月或季或次上报工程计量款，经监理单位审核为准。工程费用建设期投资收益以监理单位审核并经甲方确认后的工程计量款作为支付基数，建设期占用时间以项目公司银行账户实际支付之日（由项目公司提供资金的往来凭证）起至项目通车日（扣减社会资本和项目公司延误工期），利率社会资本投报的投资回报率确定，经计算后计入</w:t>
      </w:r>
      <w:r>
        <w:rPr>
          <w:rFonts w:ascii="Times New Roman" w:hAnsi="Times New Roman"/>
          <w:color w:val="000000" w:themeColor="text1"/>
          <w:szCs w:val="21"/>
          <w14:textFill>
            <w14:solidFill>
              <w14:schemeClr w14:val="tx1"/>
            </w14:solidFill>
          </w14:textFill>
        </w:rPr>
        <w:t>PPP</w:t>
      </w:r>
      <w:r>
        <w:rPr>
          <w:rFonts w:hint="eastAsia" w:ascii="Times New Roman" w:hAnsi="Times New Roman"/>
          <w:color w:val="000000" w:themeColor="text1"/>
          <w:szCs w:val="21"/>
          <w14:textFill>
            <w14:solidFill>
              <w14:schemeClr w14:val="tx1"/>
            </w14:solidFill>
          </w14:textFill>
        </w:rPr>
        <w:t>总投资。该利率根据实际基准利率变化相应调整。</w:t>
      </w:r>
    </w:p>
    <w:p>
      <w:pPr>
        <w:spacing w:line="360" w:lineRule="auto"/>
        <w:ind w:left="647" w:firstLine="420" w:firstLineChars="20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每笔所支付的工程计量款的建设期投资收益</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每笔完成并经监理单位审核的计量款×建设期占用时间（经甲方确认后，项目公司银行账户实际支付之日起至项目通车日计算）</w:t>
      </w:r>
      <w:r>
        <w:rPr>
          <w:rFonts w:ascii="Times New Roman" w:hAnsi="Times New Roman"/>
          <w:color w:val="000000" w:themeColor="text1"/>
          <w:szCs w:val="21"/>
          <w14:textFill>
            <w14:solidFill>
              <w14:schemeClr w14:val="tx1"/>
            </w14:solidFill>
          </w14:textFill>
        </w:rPr>
        <w:t>/365</w:t>
      </w:r>
      <w:r>
        <w:rPr>
          <w:rFonts w:hint="eastAsia" w:ascii="Times New Roman" w:hAnsi="Times New Roman"/>
          <w:color w:val="000000" w:themeColor="text1"/>
          <w:szCs w:val="21"/>
          <w14:textFill>
            <w14:solidFill>
              <w14:schemeClr w14:val="tx1"/>
            </w14:solidFill>
          </w14:textFill>
        </w:rPr>
        <w:t>×年投资回报率</w:t>
      </w:r>
    </w:p>
    <w:p>
      <w:pPr>
        <w:spacing w:line="360" w:lineRule="auto"/>
        <w:ind w:left="1134" w:leftChars="270" w:hanging="567" w:hangingChars="27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3</w:t>
      </w:r>
      <w:r>
        <w:rPr>
          <w:rFonts w:hint="eastAsia" w:ascii="Times New Roman" w:hAnsi="Times New Roman"/>
          <w:color w:val="000000" w:themeColor="text1"/>
          <w:szCs w:val="21"/>
          <w14:textFill>
            <w14:solidFill>
              <w14:schemeClr w14:val="tx1"/>
            </w14:solidFill>
          </w14:textFill>
        </w:rPr>
        <w:t>）工程建设其他费用</w:t>
      </w:r>
    </w:p>
    <w:p>
      <w:pPr>
        <w:spacing w:line="360" w:lineRule="auto"/>
        <w:ind w:left="987" w:leftChars="47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工程建设其他费用根据第</w:t>
      </w:r>
      <w:r>
        <w:rPr>
          <w:rFonts w:ascii="Times New Roman" w:hAnsi="Times New Roman"/>
          <w:color w:val="000000" w:themeColor="text1"/>
          <w:szCs w:val="21"/>
          <w14:textFill>
            <w14:solidFill>
              <w14:schemeClr w14:val="tx1"/>
            </w14:solidFill>
          </w14:textFill>
        </w:rPr>
        <w:t>2.3.3</w:t>
      </w:r>
      <w:r>
        <w:rPr>
          <w:rFonts w:hint="eastAsia" w:ascii="Times New Roman" w:hAnsi="Times New Roman"/>
          <w:color w:val="000000" w:themeColor="text1"/>
          <w:szCs w:val="21"/>
          <w14:textFill>
            <w14:solidFill>
              <w14:schemeClr w14:val="tx1"/>
            </w14:solidFill>
          </w14:textFill>
        </w:rPr>
        <w:t>条相关约定的财政审核确认的为准。</w:t>
      </w:r>
    </w:p>
    <w:p>
      <w:pPr>
        <w:spacing w:line="360" w:lineRule="auto"/>
        <w:ind w:left="1134" w:leftChars="270" w:hanging="567" w:hangingChars="27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4</w:t>
      </w:r>
      <w:r>
        <w:rPr>
          <w:rFonts w:hint="eastAsia" w:ascii="Times New Roman" w:hAnsi="Times New Roman"/>
          <w:color w:val="000000" w:themeColor="text1"/>
          <w:szCs w:val="21"/>
          <w14:textFill>
            <w14:solidFill>
              <w14:schemeClr w14:val="tx1"/>
            </w14:solidFill>
          </w14:textFill>
        </w:rPr>
        <w:t>）工程建设其他费用建设期投资收益计算</w:t>
      </w:r>
    </w:p>
    <w:p>
      <w:pPr>
        <w:spacing w:line="360" w:lineRule="auto"/>
        <w:ind w:left="987" w:leftChars="47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乙方向甲方或其指定机构支付的工程建设其他费用则以中标投资回报率，按实际到款额度、时间计息至建设期末（扣减社会资本和项目公司延误工期）。</w:t>
      </w:r>
    </w:p>
    <w:p>
      <w:pPr>
        <w:spacing w:line="360" w:lineRule="auto"/>
        <w:ind w:left="1134" w:leftChars="270" w:hanging="567" w:hangingChars="27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5</w:t>
      </w:r>
      <w:r>
        <w:rPr>
          <w:rFonts w:hint="eastAsia" w:ascii="Times New Roman" w:hAnsi="Times New Roman"/>
          <w:color w:val="000000" w:themeColor="text1"/>
          <w:szCs w:val="21"/>
          <w14:textFill>
            <w14:solidFill>
              <w14:schemeClr w14:val="tx1"/>
            </w14:solidFill>
          </w14:textFill>
        </w:rPr>
        <w:t>）工程建设完成后，由</w:t>
      </w:r>
      <w:bookmarkStart w:id="632" w:name="_Hlk523230618"/>
      <w:r>
        <w:rPr>
          <w:rFonts w:hint="eastAsia" w:ascii="Times New Roman" w:hAnsi="Times New Roman"/>
          <w:color w:val="000000" w:themeColor="text1"/>
          <w:szCs w:val="21"/>
          <w14:textFill>
            <w14:solidFill>
              <w14:schemeClr w14:val="tx1"/>
            </w14:solidFill>
          </w14:textFill>
        </w:rPr>
        <w:t>审计（价）机构</w:t>
      </w:r>
      <w:bookmarkEnd w:id="632"/>
      <w:r>
        <w:rPr>
          <w:rFonts w:hint="eastAsia" w:ascii="Times New Roman" w:hAnsi="Times New Roman"/>
          <w:color w:val="000000" w:themeColor="text1"/>
          <w:szCs w:val="21"/>
          <w14:textFill>
            <w14:solidFill>
              <w14:schemeClr w14:val="tx1"/>
            </w14:solidFill>
          </w14:textFill>
        </w:rPr>
        <w:t>按照</w:t>
      </w:r>
      <w:r>
        <w:rPr>
          <w:rFonts w:ascii="Times New Roman" w:hAnsi="Times New Roman"/>
          <w:color w:val="000000" w:themeColor="text1"/>
          <w:szCs w:val="21"/>
          <w14:textFill>
            <w14:solidFill>
              <w14:schemeClr w14:val="tx1"/>
            </w14:solidFill>
          </w14:textFill>
        </w:rPr>
        <w:t>PPP</w:t>
      </w:r>
      <w:r>
        <w:rPr>
          <w:rFonts w:hint="eastAsia" w:ascii="Times New Roman" w:hAnsi="Times New Roman"/>
          <w:color w:val="000000" w:themeColor="text1"/>
          <w:szCs w:val="21"/>
          <w14:textFill>
            <w14:solidFill>
              <w14:schemeClr w14:val="tx1"/>
            </w14:solidFill>
          </w14:textFill>
        </w:rPr>
        <w:t>项目合同约定的相关投资结算约定开展造价审核和审计，以最终财政部门审核结果认定项目公司实际完成投资额。</w:t>
      </w:r>
    </w:p>
    <w:p>
      <w:pPr>
        <w:spacing w:line="360" w:lineRule="auto"/>
        <w:ind w:left="1134" w:leftChars="270" w:hanging="567" w:hangingChars="27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6</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运营维护工作由乙方负责，运营成本由乙方承担，中标年运营维护成本</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万元。除触发本合同约定的运营维养成本调整机制外，按中标运营维护成本金额纳入第</w:t>
      </w:r>
      <w:r>
        <w:rPr>
          <w:rFonts w:ascii="Times New Roman" w:hAnsi="Times New Roman"/>
          <w:color w:val="000000" w:themeColor="text1"/>
          <w14:textFill>
            <w14:solidFill>
              <w14:schemeClr w14:val="tx1"/>
            </w14:solidFill>
          </w14:textFill>
        </w:rPr>
        <w:t>10.2.1</w:t>
      </w:r>
      <w:r>
        <w:rPr>
          <w:rFonts w:hint="eastAsia" w:ascii="Times New Roman" w:hAnsi="Times New Roman"/>
          <w:color w:val="000000" w:themeColor="text1"/>
          <w14:textFill>
            <w14:solidFill>
              <w14:schemeClr w14:val="tx1"/>
            </w14:solidFill>
          </w14:textFill>
        </w:rPr>
        <w:t>条款的计算公式核算可行性缺口补助。</w:t>
      </w:r>
    </w:p>
    <w:p>
      <w:pPr>
        <w:spacing w:line="360" w:lineRule="auto"/>
        <w:ind w:left="1134" w:leftChars="270" w:hanging="567" w:hangingChars="27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7</w:t>
      </w:r>
      <w:r>
        <w:rPr>
          <w:rFonts w:hint="eastAsia" w:ascii="Times New Roman" w:hAnsi="Times New Roman"/>
          <w:color w:val="000000" w:themeColor="text1"/>
          <w:szCs w:val="21"/>
          <w14:textFill>
            <w14:solidFill>
              <w14:schemeClr w14:val="tx1"/>
            </w14:solidFill>
          </w14:textFill>
        </w:rPr>
        <w:t>）若可行性缺口补助支付时点前尚未完成竣工财务决算审核，则暂以可行性缺口补助初始值取用，在竣工结算审计和竣工财务决算审核均完成后的最近一期可行性缺口补助支付时，将此前由于建设投资调整引起的已支付的可行性缺口补助调整的差额部分以多退少补的原则一次性调整到位。若由于非乙方及其承包商原因造成竣工结算审计和竣工财务决算审核完成时间超过一年以上的且差额为正值（即建设投资增加），甲方对差额增付部分按中国人民银行发布的相应期限的贷款利率计息补偿乙方。若由于乙方及其承包商原因造成竣工结算审计和竣工财务决算审核完成时间超过一年以上的且差额为负值（即建设投资减少），甲方对差额扣回部分按中国人民银行发布的五年以上期贷款利率计息同时扣回。</w:t>
      </w:r>
    </w:p>
    <w:p>
      <w:pPr>
        <w:spacing w:line="360" w:lineRule="auto"/>
        <w:ind w:left="630" w:leftChars="270" w:hanging="63" w:hangingChars="30"/>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b</w:t>
      </w:r>
      <w:r>
        <w:rPr>
          <w:rFonts w:hint="eastAsia"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kern w:val="0"/>
          <w:szCs w:val="21"/>
          <w14:textFill>
            <w14:solidFill>
              <w14:schemeClr w14:val="tx1"/>
            </w14:solidFill>
          </w14:textFill>
        </w:rPr>
        <w:t>银行贷款利率变化引起的调整</w:t>
      </w:r>
    </w:p>
    <w:p>
      <w:pPr>
        <w:spacing w:line="360" w:lineRule="auto"/>
        <w:ind w:left="1081" w:leftChars="515"/>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投资回报率变化每年一调整，根据中国人民银行</w:t>
      </w:r>
      <w:r>
        <w:rPr>
          <w:rFonts w:ascii="Times New Roman" w:hAnsi="Times New Roman"/>
          <w:color w:val="000000" w:themeColor="text1"/>
          <w:kern w:val="0"/>
          <w:szCs w:val="21"/>
          <w14:textFill>
            <w14:solidFill>
              <w14:schemeClr w14:val="tx1"/>
            </w14:solidFill>
          </w14:textFill>
        </w:rPr>
        <w:t>1</w:t>
      </w:r>
      <w:r>
        <w:rPr>
          <w:rFonts w:hint="eastAsia" w:ascii="Times New Roman" w:hAnsi="Times New Roman"/>
          <w:color w:val="000000" w:themeColor="text1"/>
          <w:kern w:val="0"/>
          <w:szCs w:val="21"/>
          <w14:textFill>
            <w14:solidFill>
              <w14:schemeClr w14:val="tx1"/>
            </w14:solidFill>
          </w14:textFill>
        </w:rPr>
        <w:t>月</w:t>
      </w:r>
      <w:r>
        <w:rPr>
          <w:rFonts w:ascii="Times New Roman" w:hAnsi="Times New Roman"/>
          <w:color w:val="000000" w:themeColor="text1"/>
          <w:kern w:val="0"/>
          <w:szCs w:val="21"/>
          <w14:textFill>
            <w14:solidFill>
              <w14:schemeClr w14:val="tx1"/>
            </w14:solidFill>
          </w14:textFill>
        </w:rPr>
        <w:t>1</w:t>
      </w:r>
      <w:r>
        <w:rPr>
          <w:rFonts w:hint="eastAsia" w:ascii="Times New Roman" w:hAnsi="Times New Roman"/>
          <w:color w:val="000000" w:themeColor="text1"/>
          <w:kern w:val="0"/>
          <w:szCs w:val="21"/>
          <w14:textFill>
            <w14:solidFill>
              <w14:schemeClr w14:val="tx1"/>
            </w14:solidFill>
          </w14:textFill>
        </w:rPr>
        <w:t>日公布的五年期以上银行贷款基准利率浮动对应中标上浮率按实调整。投资回报率只调整利率调整发生之日后的资金回报率，不调整该时点前已执行或发生的投资回报率及相关款项计算。</w:t>
      </w:r>
    </w:p>
    <w:p>
      <w:pPr>
        <w:spacing w:line="360" w:lineRule="auto"/>
        <w:ind w:left="1081" w:leftChars="515"/>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鉴于本合同签署生效时处于中国利率市场化改革期间，如本项目合作期内，中国人民银行不再公布基准利率，则前款中的中国人民银行五年期以上贷款基准利率以未来金融市场较贴近于本项目合作期的资金使用成本的参照指标取用。</w:t>
      </w:r>
      <w:r>
        <w:rPr>
          <w:rFonts w:hint="eastAsia" w:ascii="Times New Roman" w:hAnsi="Times New Roman"/>
          <w:color w:val="000000" w:themeColor="text1"/>
          <w:szCs w:val="21"/>
          <w14:textFill>
            <w14:solidFill>
              <w14:schemeClr w14:val="tx1"/>
            </w14:solidFill>
          </w14:textFill>
        </w:rPr>
        <w:t>若未来中国人民银行取消发布基准贷款利率，则双方协商另行选择与融资利率相关的其他指标作为调整的计算依据。</w:t>
      </w:r>
    </w:p>
    <w:p>
      <w:pPr>
        <w:spacing w:line="360" w:lineRule="auto"/>
        <w:ind w:firstLine="567" w:firstLineChars="270"/>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c</w:t>
      </w:r>
      <w:r>
        <w:rPr>
          <w:rFonts w:hint="eastAsia"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kern w:val="0"/>
          <w:szCs w:val="21"/>
          <w14:textFill>
            <w14:solidFill>
              <w14:schemeClr w14:val="tx1"/>
            </w14:solidFill>
          </w14:textFill>
        </w:rPr>
        <w:t>税率或税种变化引起的调整</w:t>
      </w:r>
    </w:p>
    <w:p>
      <w:pPr>
        <w:pStyle w:val="310"/>
        <w:spacing w:line="360" w:lineRule="auto"/>
        <w:ind w:left="1134" w:leftChars="54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项目涉及的所有应由项目公司承担的增值税、所得税等所有税收均由项目公司承担。本项目合同涉及的税费根据当期国家相关税收政策执行。鉴于目前项目公司取得可行性缺口补助销项增值税的税务处理方式不明确，本项目可行性缺口补助（含税），税率暂按</w:t>
      </w:r>
      <w:r>
        <w:rPr>
          <w:rFonts w:ascii="Times New Roman" w:eastAsia="宋体" w:cs="Times New Roman"/>
          <w:color w:val="000000" w:themeColor="text1"/>
          <w:sz w:val="21"/>
          <w:szCs w:val="21"/>
          <w14:textFill>
            <w14:solidFill>
              <w14:schemeClr w14:val="tx1"/>
            </w14:solidFill>
          </w14:textFill>
        </w:rPr>
        <w:t>6%</w:t>
      </w:r>
      <w:r>
        <w:rPr>
          <w:rFonts w:hint="eastAsia" w:ascii="Times New Roman" w:eastAsia="宋体" w:cs="Times New Roman"/>
          <w:color w:val="000000" w:themeColor="text1"/>
          <w:sz w:val="21"/>
          <w:szCs w:val="21"/>
          <w14:textFill>
            <w14:solidFill>
              <w14:schemeClr w14:val="tx1"/>
            </w14:solidFill>
          </w14:textFill>
        </w:rPr>
        <w:t>计取。若合作期间项目公司产生的可行性缺口补助销项增值税与前述约定不一致，由此引起的项目公司实际产生的可行性缺口补助销项增值税的增减，由政府方承担或享有，在政府支付的可行性缺口补助中相应增减（项目公司所有应税进项未抵扣完的除外）。乙方应就其应纳税额的的实际税负增加举证，若由于乙方自身税务筹划或财务管理原因造成的税负增加应由其自行承担。</w:t>
      </w:r>
    </w:p>
    <w:p>
      <w:pPr>
        <w:pStyle w:val="310"/>
        <w:spacing w:line="360" w:lineRule="auto"/>
        <w:ind w:left="1134" w:leftChars="54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若合作期间税务制度调整引起项目公司实际应缴税负（不含所得税）变化，由双方协商解决。</w:t>
      </w:r>
    </w:p>
    <w:p>
      <w:pPr>
        <w:pStyle w:val="310"/>
        <w:spacing w:line="360" w:lineRule="auto"/>
        <w:ind w:left="708" w:leftChars="337" w:hanging="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d</w:t>
      </w:r>
      <w:r>
        <w:rPr>
          <w:rFonts w:hint="eastAsia" w:ascii="Times New Roman" w:eastAsia="宋体" w:cs="Times New Roman"/>
          <w:color w:val="000000" w:themeColor="text1"/>
          <w:sz w:val="21"/>
          <w:szCs w:val="21"/>
          <w14:textFill>
            <w14:solidFill>
              <w14:schemeClr w14:val="tx1"/>
            </w14:solidFill>
          </w14:textFill>
        </w:rPr>
        <w:t>）运营维养成本的调整</w:t>
      </w:r>
    </w:p>
    <w:p>
      <w:pPr>
        <w:pStyle w:val="310"/>
        <w:spacing w:line="360" w:lineRule="auto"/>
        <w:ind w:left="1134" w:leftChars="540"/>
        <w:jc w:val="both"/>
        <w:rPr>
          <w:rFonts w:ascii="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运营维养成本包含隧道和管廊的运营维养成本，具体包含日常小修保养、大中修及管理费等，基期价格按照中标社会资本的报价时提供的数据为基准，此为调整项。</w:t>
      </w:r>
    </w:p>
    <w:p>
      <w:pPr>
        <w:pStyle w:val="310"/>
        <w:spacing w:line="360" w:lineRule="auto"/>
        <w:ind w:left="1134" w:leftChars="540"/>
        <w:jc w:val="both"/>
        <w:rPr>
          <w:rFonts w:ascii="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运营维养成本以每</w:t>
      </w:r>
      <w:r>
        <w:rPr>
          <w:rFonts w:ascii="Times New Roman" w:eastAsia="宋体" w:cs="Times New Roman"/>
          <w:color w:val="000000" w:themeColor="text1"/>
          <w:sz w:val="21"/>
          <w:szCs w:val="21"/>
          <w14:textFill>
            <w14:solidFill>
              <w14:schemeClr w14:val="tx1"/>
            </w14:solidFill>
          </w14:textFill>
        </w:rPr>
        <w:t>3</w:t>
      </w:r>
      <w:r>
        <w:rPr>
          <w:rFonts w:hint="eastAsia" w:ascii="Times New Roman" w:eastAsia="宋体" w:cs="Times New Roman"/>
          <w:color w:val="000000" w:themeColor="text1"/>
          <w:sz w:val="21"/>
          <w:szCs w:val="21"/>
          <w14:textFill>
            <w14:solidFill>
              <w14:schemeClr w14:val="tx1"/>
            </w14:solidFill>
          </w14:textFill>
        </w:rPr>
        <w:t>年为一个调整周期进行调整，周期调整系数计算公式：</w:t>
      </w:r>
    </w:p>
    <w:p>
      <w:pPr>
        <w:pStyle w:val="310"/>
        <w:spacing w:line="360" w:lineRule="auto"/>
        <w:ind w:left="1134" w:leftChars="540"/>
        <w:jc w:val="both"/>
        <w:rPr>
          <w:rFonts w:ascii="Times New Roman"/>
          <w:color w:val="000000" w:themeColor="text1"/>
          <w:sz w:val="21"/>
          <w:szCs w:val="21"/>
          <w14:textFill>
            <w14:solidFill>
              <w14:schemeClr w14:val="tx1"/>
            </w14:solidFill>
          </w14:textFill>
        </w:rPr>
      </w:pPr>
      <m:oMath>
        <m:sSub>
          <m:sSubPr>
            <m:ctrlPr>
              <w:rPr>
                <w:rFonts w:ascii="Cambria Math" w:hAnsi="Cambria Math" w:eastAsia="宋体" w:cs="Times New Roman"/>
                <w:color w:val="000000" w:themeColor="text1"/>
                <w:sz w:val="21"/>
                <w:szCs w:val="21"/>
                <w14:textFill>
                  <w14:solidFill>
                    <w14:schemeClr w14:val="tx1"/>
                  </w14:solidFill>
                </w14:textFill>
              </w:rPr>
            </m:ctrlPr>
          </m:sSubPr>
          <m:e>
            <m:r>
              <m:rPr>
                <m:sty m:val="p"/>
              </m:rPr>
              <w:rPr>
                <w:rFonts w:ascii="Cambria Math" w:hAnsi="Cambria Math" w:eastAsia="宋体" w:cs="Times New Roman"/>
                <w:color w:val="000000" w:themeColor="text1"/>
                <w:sz w:val="21"/>
                <w:szCs w:val="21"/>
                <w14:textFill>
                  <w14:solidFill>
                    <w14:schemeClr w14:val="tx1"/>
                  </w14:solidFill>
                </w14:textFill>
              </w:rPr>
              <m:t>K</m:t>
            </m:r>
            <m:ctrlPr>
              <w:rPr>
                <w:rFonts w:ascii="Cambria Math" w:hAnsi="Cambria Math" w:eastAsia="宋体" w:cs="Times New Roman"/>
                <w:color w:val="000000" w:themeColor="text1"/>
                <w:sz w:val="21"/>
                <w:szCs w:val="21"/>
                <w14:textFill>
                  <w14:solidFill>
                    <w14:schemeClr w14:val="tx1"/>
                  </w14:solidFill>
                </w14:textFill>
              </w:rPr>
            </m:ctrlPr>
          </m:e>
          <m:sub>
            <m:r>
              <m:rPr>
                <m:sty m:val="p"/>
              </m:rPr>
              <w:rPr>
                <w:rFonts w:ascii="Cambria Math" w:hAnsi="Cambria Math" w:eastAsia="宋体" w:cs="Times New Roman"/>
                <w:color w:val="000000" w:themeColor="text1"/>
                <w:sz w:val="21"/>
                <w:szCs w:val="21"/>
                <w14:textFill>
                  <w14:solidFill>
                    <w14:schemeClr w14:val="tx1"/>
                  </w14:solidFill>
                </w14:textFill>
              </w:rPr>
              <m:t>n</m:t>
            </m:r>
            <m:ctrlPr>
              <w:rPr>
                <w:rFonts w:ascii="Cambria Math" w:hAnsi="Cambria Math" w:eastAsia="宋体" w:cs="Times New Roman"/>
                <w:color w:val="000000" w:themeColor="text1"/>
                <w:sz w:val="21"/>
                <w:szCs w:val="21"/>
                <w14:textFill>
                  <w14:solidFill>
                    <w14:schemeClr w14:val="tx1"/>
                  </w14:solidFill>
                </w14:textFill>
              </w:rPr>
            </m:ctrlPr>
          </m:sub>
        </m:sSub>
      </m:oMath>
      <w:r>
        <w:rPr>
          <w:rFonts w:ascii="Times New Roman" w:eastAsia="宋体" w:cs="Times New Roman"/>
          <w:color w:val="000000" w:themeColor="text1"/>
          <w:sz w:val="21"/>
          <w:szCs w:val="21"/>
          <w14:textFill>
            <w14:solidFill>
              <w14:schemeClr w14:val="tx1"/>
            </w14:solidFill>
          </w14:textFill>
        </w:rPr>
        <w:t>=</w:t>
      </w:r>
      <m:oMath>
        <m:d>
          <m:dPr>
            <m:begChr m:val="["/>
            <m:endChr m:val="]"/>
            <m:ctrlPr>
              <w:rPr>
                <w:rFonts w:ascii="Cambria Math" w:hAnsi="Cambria Math" w:eastAsia="宋体" w:cs="Times New Roman"/>
                <w:color w:val="000000" w:themeColor="text1"/>
                <w:sz w:val="21"/>
                <w:szCs w:val="21"/>
                <w14:textFill>
                  <w14:solidFill>
                    <w14:schemeClr w14:val="tx1"/>
                  </w14:solidFill>
                </w14:textFill>
              </w:rPr>
            </m:ctrlPr>
          </m:dPr>
          <m:e>
            <m:d>
              <m:dPr>
                <m:ctrlPr>
                  <w:rPr>
                    <w:rFonts w:ascii="Cambria Math" w:hAnsi="Cambria Math" w:eastAsia="宋体" w:cs="Times New Roman"/>
                    <w:color w:val="000000" w:themeColor="text1"/>
                    <w:sz w:val="21"/>
                    <w:szCs w:val="21"/>
                    <w14:textFill>
                      <w14:solidFill>
                        <w14:schemeClr w14:val="tx1"/>
                      </w14:solidFill>
                    </w14:textFill>
                  </w:rPr>
                </m:ctrlPr>
              </m:dPr>
              <m:e>
                <m:r>
                  <m:rPr>
                    <m:sty m:val="p"/>
                  </m:rPr>
                  <w:rPr>
                    <w:rFonts w:ascii="Cambria Math" w:hAnsi="Cambria Math" w:eastAsia="宋体" w:cs="Times New Roman"/>
                    <w:color w:val="000000" w:themeColor="text1"/>
                    <w:sz w:val="21"/>
                    <w:szCs w:val="21"/>
                    <w14:textFill>
                      <w14:solidFill>
                        <w14:schemeClr w14:val="tx1"/>
                      </w14:solidFill>
                    </w14:textFill>
                  </w:rPr>
                  <m:t>1+</m:t>
                </m:r>
                <m:sSub>
                  <m:sSubPr>
                    <m:ctrlPr>
                      <w:rPr>
                        <w:rFonts w:ascii="Cambria Math" w:hAnsi="Cambria Math" w:eastAsia="宋体" w:cs="Times New Roman"/>
                        <w:color w:val="000000" w:themeColor="text1"/>
                        <w:sz w:val="21"/>
                        <w:szCs w:val="21"/>
                        <w14:textFill>
                          <w14:solidFill>
                            <w14:schemeClr w14:val="tx1"/>
                          </w14:solidFill>
                        </w14:textFill>
                      </w:rPr>
                    </m:ctrlPr>
                  </m:sSubPr>
                  <m:e>
                    <m:r>
                      <w:rPr>
                        <w:rFonts w:ascii="Cambria Math" w:hAnsi="Cambria Math" w:eastAsia="宋体" w:cs="Times New Roman"/>
                        <w:color w:val="000000" w:themeColor="text1"/>
                        <w:sz w:val="21"/>
                        <w:szCs w:val="21"/>
                        <w14:textFill>
                          <w14:solidFill>
                            <w14:schemeClr w14:val="tx1"/>
                          </w14:solidFill>
                        </w14:textFill>
                      </w:rPr>
                      <m:t>U</m:t>
                    </m:r>
                    <m:ctrlPr>
                      <w:rPr>
                        <w:rFonts w:ascii="Cambria Math" w:hAnsi="Cambria Math" w:eastAsia="宋体" w:cs="Times New Roman"/>
                        <w:color w:val="000000" w:themeColor="text1"/>
                        <w:sz w:val="21"/>
                        <w:szCs w:val="21"/>
                        <w14:textFill>
                          <w14:solidFill>
                            <w14:schemeClr w14:val="tx1"/>
                          </w14:solidFill>
                        </w14:textFill>
                      </w:rPr>
                    </m:ctrlPr>
                  </m:e>
                  <m:sub>
                    <m:r>
                      <w:rPr>
                        <w:rFonts w:ascii="Cambria Math" w:hAnsi="Cambria Math" w:eastAsia="宋体" w:cs="Times New Roman"/>
                        <w:color w:val="000000" w:themeColor="text1"/>
                        <w:sz w:val="21"/>
                        <w:szCs w:val="21"/>
                        <w14:textFill>
                          <w14:solidFill>
                            <w14:schemeClr w14:val="tx1"/>
                          </w14:solidFill>
                        </w14:textFill>
                      </w:rPr>
                      <m:t>n</m:t>
                    </m:r>
                    <m:r>
                      <m:rPr>
                        <m:sty m:val="p"/>
                      </m:rPr>
                      <w:rPr>
                        <w:rFonts w:ascii="Cambria Math" w:hAnsi="Cambria Math" w:eastAsia="宋体" w:cs="Times New Roman"/>
                        <w:color w:val="000000" w:themeColor="text1"/>
                        <w:sz w:val="21"/>
                        <w:szCs w:val="21"/>
                        <w14:textFill>
                          <w14:solidFill>
                            <w14:schemeClr w14:val="tx1"/>
                          </w14:solidFill>
                        </w14:textFill>
                      </w:rPr>
                      <m:t>-3</m:t>
                    </m:r>
                    <m:ctrlPr>
                      <w:rPr>
                        <w:rFonts w:ascii="Cambria Math" w:hAnsi="Cambria Math" w:eastAsia="宋体" w:cs="Times New Roman"/>
                        <w:color w:val="000000" w:themeColor="text1"/>
                        <w:sz w:val="21"/>
                        <w:szCs w:val="21"/>
                        <w14:textFill>
                          <w14:solidFill>
                            <w14:schemeClr w14:val="tx1"/>
                          </w14:solidFill>
                        </w14:textFill>
                      </w:rPr>
                    </m:ctrlPr>
                  </m:sub>
                </m:sSub>
                <m:ctrlPr>
                  <w:rPr>
                    <w:rFonts w:ascii="Cambria Math" w:hAnsi="Cambria Math" w:eastAsia="宋体" w:cs="Times New Roman"/>
                    <w:color w:val="000000" w:themeColor="text1"/>
                    <w:sz w:val="21"/>
                    <w:szCs w:val="21"/>
                    <w14:textFill>
                      <w14:solidFill>
                        <w14:schemeClr w14:val="tx1"/>
                      </w14:solidFill>
                    </w14:textFill>
                  </w:rPr>
                </m:ctrlPr>
              </m:e>
            </m:d>
            <m:r>
              <m:rPr>
                <m:sty m:val="p"/>
              </m:rPr>
              <w:rPr>
                <w:rFonts w:hint="eastAsia" w:ascii="Cambria Math" w:hAnsi="Cambria Math" w:eastAsia="宋体" w:cs="Times New Roman"/>
                <w:color w:val="000000" w:themeColor="text1"/>
                <w:sz w:val="21"/>
                <w:szCs w:val="21"/>
                <w14:textFill>
                  <w14:solidFill>
                    <w14:schemeClr w14:val="tx1"/>
                  </w14:solidFill>
                </w14:textFill>
              </w:rPr>
              <m:t>×</m:t>
            </m:r>
            <m:d>
              <m:dPr>
                <m:ctrlPr>
                  <w:rPr>
                    <w:rFonts w:ascii="Cambria Math" w:hAnsi="Cambria Math" w:eastAsia="宋体" w:cs="Times New Roman"/>
                    <w:color w:val="000000" w:themeColor="text1"/>
                    <w:sz w:val="21"/>
                    <w:szCs w:val="21"/>
                    <w14:textFill>
                      <w14:solidFill>
                        <w14:schemeClr w14:val="tx1"/>
                      </w14:solidFill>
                    </w14:textFill>
                  </w:rPr>
                </m:ctrlPr>
              </m:dPr>
              <m:e>
                <m:r>
                  <m:rPr>
                    <m:sty m:val="p"/>
                  </m:rPr>
                  <w:rPr>
                    <w:rFonts w:ascii="Cambria Math" w:hAnsi="Cambria Math" w:eastAsia="宋体" w:cs="Times New Roman"/>
                    <w:color w:val="000000" w:themeColor="text1"/>
                    <w:sz w:val="21"/>
                    <w:szCs w:val="21"/>
                    <w14:textFill>
                      <w14:solidFill>
                        <w14:schemeClr w14:val="tx1"/>
                      </w14:solidFill>
                    </w14:textFill>
                  </w:rPr>
                  <m:t>1+</m:t>
                </m:r>
                <m:sSub>
                  <m:sSubPr>
                    <m:ctrlPr>
                      <w:rPr>
                        <w:rFonts w:ascii="Cambria Math" w:hAnsi="Cambria Math" w:eastAsia="宋体" w:cs="Times New Roman"/>
                        <w:color w:val="000000" w:themeColor="text1"/>
                        <w:sz w:val="21"/>
                        <w:szCs w:val="21"/>
                        <w14:textFill>
                          <w14:solidFill>
                            <w14:schemeClr w14:val="tx1"/>
                          </w14:solidFill>
                        </w14:textFill>
                      </w:rPr>
                    </m:ctrlPr>
                  </m:sSubPr>
                  <m:e>
                    <m:r>
                      <w:rPr>
                        <w:rFonts w:ascii="Cambria Math" w:hAnsi="Cambria Math" w:eastAsia="宋体" w:cs="Times New Roman"/>
                        <w:color w:val="000000" w:themeColor="text1"/>
                        <w:sz w:val="21"/>
                        <w:szCs w:val="21"/>
                        <w14:textFill>
                          <w14:solidFill>
                            <w14:schemeClr w14:val="tx1"/>
                          </w14:solidFill>
                        </w14:textFill>
                      </w:rPr>
                      <m:t>U</m:t>
                    </m:r>
                    <m:ctrlPr>
                      <w:rPr>
                        <w:rFonts w:ascii="Cambria Math" w:hAnsi="Cambria Math" w:eastAsia="宋体" w:cs="Times New Roman"/>
                        <w:color w:val="000000" w:themeColor="text1"/>
                        <w:sz w:val="21"/>
                        <w:szCs w:val="21"/>
                        <w14:textFill>
                          <w14:solidFill>
                            <w14:schemeClr w14:val="tx1"/>
                          </w14:solidFill>
                        </w14:textFill>
                      </w:rPr>
                    </m:ctrlPr>
                  </m:e>
                  <m:sub>
                    <m:r>
                      <w:rPr>
                        <w:rFonts w:ascii="Cambria Math" w:hAnsi="Cambria Math" w:eastAsia="宋体" w:cs="Times New Roman"/>
                        <w:color w:val="000000" w:themeColor="text1"/>
                        <w:sz w:val="21"/>
                        <w:szCs w:val="21"/>
                        <w14:textFill>
                          <w14:solidFill>
                            <w14:schemeClr w14:val="tx1"/>
                          </w14:solidFill>
                        </w14:textFill>
                      </w:rPr>
                      <m:t>n</m:t>
                    </m:r>
                    <m:r>
                      <m:rPr>
                        <m:sty m:val="p"/>
                      </m:rPr>
                      <w:rPr>
                        <w:rFonts w:ascii="Cambria Math" w:hAnsi="Cambria Math" w:eastAsia="宋体" w:cs="Times New Roman"/>
                        <w:color w:val="000000" w:themeColor="text1"/>
                        <w:sz w:val="21"/>
                        <w:szCs w:val="21"/>
                        <w14:textFill>
                          <w14:solidFill>
                            <w14:schemeClr w14:val="tx1"/>
                          </w14:solidFill>
                        </w14:textFill>
                      </w:rPr>
                      <m:t>-2</m:t>
                    </m:r>
                    <m:ctrlPr>
                      <w:rPr>
                        <w:rFonts w:ascii="Cambria Math" w:hAnsi="Cambria Math" w:eastAsia="宋体" w:cs="Times New Roman"/>
                        <w:color w:val="000000" w:themeColor="text1"/>
                        <w:sz w:val="21"/>
                        <w:szCs w:val="21"/>
                        <w14:textFill>
                          <w14:solidFill>
                            <w14:schemeClr w14:val="tx1"/>
                          </w14:solidFill>
                        </w14:textFill>
                      </w:rPr>
                    </m:ctrlPr>
                  </m:sub>
                </m:sSub>
                <m:ctrlPr>
                  <w:rPr>
                    <w:rFonts w:ascii="Cambria Math" w:hAnsi="Cambria Math" w:eastAsia="宋体" w:cs="Times New Roman"/>
                    <w:color w:val="000000" w:themeColor="text1"/>
                    <w:sz w:val="21"/>
                    <w:szCs w:val="21"/>
                    <w14:textFill>
                      <w14:solidFill>
                        <w14:schemeClr w14:val="tx1"/>
                      </w14:solidFill>
                    </w14:textFill>
                  </w:rPr>
                </m:ctrlPr>
              </m:e>
            </m:d>
            <m:r>
              <m:rPr>
                <m:sty m:val="p"/>
              </m:rPr>
              <w:rPr>
                <w:rFonts w:hint="eastAsia" w:ascii="Cambria Math" w:hAnsi="Cambria Math" w:eastAsia="宋体" w:cs="Times New Roman"/>
                <w:color w:val="000000" w:themeColor="text1"/>
                <w:sz w:val="21"/>
                <w:szCs w:val="21"/>
                <w14:textFill>
                  <w14:solidFill>
                    <w14:schemeClr w14:val="tx1"/>
                  </w14:solidFill>
                </w14:textFill>
              </w:rPr>
              <m:t>×</m:t>
            </m:r>
            <m:d>
              <m:dPr>
                <m:ctrlPr>
                  <w:rPr>
                    <w:rFonts w:ascii="Cambria Math" w:hAnsi="Cambria Math" w:eastAsia="宋体" w:cs="Times New Roman"/>
                    <w:color w:val="000000" w:themeColor="text1"/>
                    <w:sz w:val="21"/>
                    <w:szCs w:val="21"/>
                    <w14:textFill>
                      <w14:solidFill>
                        <w14:schemeClr w14:val="tx1"/>
                      </w14:solidFill>
                    </w14:textFill>
                  </w:rPr>
                </m:ctrlPr>
              </m:dPr>
              <m:e>
                <m:r>
                  <m:rPr>
                    <m:sty m:val="p"/>
                  </m:rPr>
                  <w:rPr>
                    <w:rFonts w:ascii="Cambria Math" w:hAnsi="Cambria Math" w:eastAsia="宋体" w:cs="Times New Roman"/>
                    <w:color w:val="000000" w:themeColor="text1"/>
                    <w:sz w:val="21"/>
                    <w:szCs w:val="21"/>
                    <w14:textFill>
                      <w14:solidFill>
                        <w14:schemeClr w14:val="tx1"/>
                      </w14:solidFill>
                    </w14:textFill>
                  </w:rPr>
                  <m:t>1+</m:t>
                </m:r>
                <m:sSub>
                  <m:sSubPr>
                    <m:ctrlPr>
                      <w:rPr>
                        <w:rFonts w:ascii="Cambria Math" w:hAnsi="Cambria Math" w:eastAsia="宋体" w:cs="Times New Roman"/>
                        <w:color w:val="000000" w:themeColor="text1"/>
                        <w:sz w:val="21"/>
                        <w:szCs w:val="21"/>
                        <w14:textFill>
                          <w14:solidFill>
                            <w14:schemeClr w14:val="tx1"/>
                          </w14:solidFill>
                        </w14:textFill>
                      </w:rPr>
                    </m:ctrlPr>
                  </m:sSubPr>
                  <m:e>
                    <m:r>
                      <w:rPr>
                        <w:rFonts w:ascii="Cambria Math" w:hAnsi="Cambria Math" w:eastAsia="宋体" w:cs="Times New Roman"/>
                        <w:color w:val="000000" w:themeColor="text1"/>
                        <w:sz w:val="21"/>
                        <w:szCs w:val="21"/>
                        <w14:textFill>
                          <w14:solidFill>
                            <w14:schemeClr w14:val="tx1"/>
                          </w14:solidFill>
                        </w14:textFill>
                      </w:rPr>
                      <m:t>U</m:t>
                    </m:r>
                    <m:ctrlPr>
                      <w:rPr>
                        <w:rFonts w:ascii="Cambria Math" w:hAnsi="Cambria Math" w:eastAsia="宋体" w:cs="Times New Roman"/>
                        <w:color w:val="000000" w:themeColor="text1"/>
                        <w:sz w:val="21"/>
                        <w:szCs w:val="21"/>
                        <w14:textFill>
                          <w14:solidFill>
                            <w14:schemeClr w14:val="tx1"/>
                          </w14:solidFill>
                        </w14:textFill>
                      </w:rPr>
                    </m:ctrlPr>
                  </m:e>
                  <m:sub>
                    <m:r>
                      <w:rPr>
                        <w:rFonts w:ascii="Cambria Math" w:hAnsi="Cambria Math" w:eastAsia="宋体" w:cs="Times New Roman"/>
                        <w:color w:val="000000" w:themeColor="text1"/>
                        <w:sz w:val="21"/>
                        <w:szCs w:val="21"/>
                        <w14:textFill>
                          <w14:solidFill>
                            <w14:schemeClr w14:val="tx1"/>
                          </w14:solidFill>
                        </w14:textFill>
                      </w:rPr>
                      <m:t>n</m:t>
                    </m:r>
                    <m:r>
                      <m:rPr>
                        <m:sty m:val="p"/>
                      </m:rPr>
                      <w:rPr>
                        <w:rFonts w:ascii="Cambria Math" w:hAnsi="Cambria Math" w:eastAsia="宋体" w:cs="Times New Roman"/>
                        <w:color w:val="000000" w:themeColor="text1"/>
                        <w:sz w:val="21"/>
                        <w:szCs w:val="21"/>
                        <w14:textFill>
                          <w14:solidFill>
                            <w14:schemeClr w14:val="tx1"/>
                          </w14:solidFill>
                        </w14:textFill>
                      </w:rPr>
                      <m:t>-1</m:t>
                    </m:r>
                    <m:ctrlPr>
                      <w:rPr>
                        <w:rFonts w:ascii="Cambria Math" w:hAnsi="Cambria Math" w:eastAsia="宋体" w:cs="Times New Roman"/>
                        <w:color w:val="000000" w:themeColor="text1"/>
                        <w:sz w:val="21"/>
                        <w:szCs w:val="21"/>
                        <w14:textFill>
                          <w14:solidFill>
                            <w14:schemeClr w14:val="tx1"/>
                          </w14:solidFill>
                        </w14:textFill>
                      </w:rPr>
                    </m:ctrlPr>
                  </m:sub>
                </m:sSub>
                <m:ctrlPr>
                  <w:rPr>
                    <w:rFonts w:ascii="Cambria Math" w:hAnsi="Cambria Math" w:eastAsia="宋体" w:cs="Times New Roman"/>
                    <w:color w:val="000000" w:themeColor="text1"/>
                    <w:sz w:val="21"/>
                    <w:szCs w:val="21"/>
                    <w14:textFill>
                      <w14:solidFill>
                        <w14:schemeClr w14:val="tx1"/>
                      </w14:solidFill>
                    </w14:textFill>
                  </w:rPr>
                </m:ctrlPr>
              </m:e>
            </m:d>
            <m:ctrlPr>
              <w:rPr>
                <w:rFonts w:ascii="Cambria Math" w:hAnsi="Cambria Math" w:eastAsia="宋体" w:cs="Times New Roman"/>
                <w:color w:val="000000" w:themeColor="text1"/>
                <w:sz w:val="21"/>
                <w:szCs w:val="21"/>
                <w14:textFill>
                  <w14:solidFill>
                    <w14:schemeClr w14:val="tx1"/>
                  </w14:solidFill>
                </w14:textFill>
              </w:rPr>
            </m:ctrlPr>
          </m:e>
        </m:d>
      </m:oMath>
    </w:p>
    <w:p>
      <w:pPr>
        <w:pStyle w:val="310"/>
        <w:spacing w:line="360" w:lineRule="auto"/>
        <w:ind w:left="1134" w:leftChars="540"/>
        <w:jc w:val="both"/>
        <w:rPr>
          <w:rFonts w:ascii="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(n=4</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7</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10</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13</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16</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19</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22)</w:t>
      </w:r>
      <w:r>
        <w:rPr>
          <w:rFonts w:hint="eastAsia" w:ascii="Times New Roman" w:eastAsia="宋体" w:cs="Times New Roman"/>
          <w:color w:val="000000" w:themeColor="text1"/>
          <w:sz w:val="21"/>
          <w:szCs w:val="21"/>
          <w14:textFill>
            <w14:solidFill>
              <w14:schemeClr w14:val="tx1"/>
            </w14:solidFill>
          </w14:textFill>
        </w:rPr>
        <w:t>（暂定）</w:t>
      </w:r>
    </w:p>
    <w:p>
      <w:pPr>
        <w:pStyle w:val="310"/>
        <w:spacing w:line="360" w:lineRule="auto"/>
        <w:ind w:left="1134" w:leftChars="540"/>
        <w:jc w:val="both"/>
        <w:rPr>
          <w:rFonts w:ascii="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其中</w:t>
      </w:r>
      <m:oMath>
        <m:sSub>
          <m:sSubPr>
            <m:ctrlPr>
              <w:rPr>
                <w:rFonts w:ascii="Cambria Math" w:hAnsi="Cambria Math" w:eastAsia="宋体" w:cs="Times New Roman"/>
                <w:color w:val="000000" w:themeColor="text1"/>
                <w:sz w:val="21"/>
                <w:szCs w:val="21"/>
                <w14:textFill>
                  <w14:solidFill>
                    <w14:schemeClr w14:val="tx1"/>
                  </w14:solidFill>
                </w14:textFill>
              </w:rPr>
            </m:ctrlPr>
          </m:sSubPr>
          <m:e>
            <m:r>
              <m:rPr>
                <m:sty m:val="p"/>
              </m:rPr>
              <w:rPr>
                <w:rFonts w:ascii="Cambria Math" w:hAnsi="Cambria Math" w:eastAsia="宋体" w:cs="Times New Roman"/>
                <w:color w:val="000000" w:themeColor="text1"/>
                <w:sz w:val="21"/>
                <w:szCs w:val="21"/>
                <w14:textFill>
                  <w14:solidFill>
                    <w14:schemeClr w14:val="tx1"/>
                  </w14:solidFill>
                </w14:textFill>
              </w:rPr>
              <m:t>K</m:t>
            </m:r>
            <m:ctrlPr>
              <w:rPr>
                <w:rFonts w:ascii="Cambria Math" w:hAnsi="Cambria Math" w:eastAsia="宋体" w:cs="Times New Roman"/>
                <w:color w:val="000000" w:themeColor="text1"/>
                <w:sz w:val="21"/>
                <w:szCs w:val="21"/>
                <w14:textFill>
                  <w14:solidFill>
                    <w14:schemeClr w14:val="tx1"/>
                  </w14:solidFill>
                </w14:textFill>
              </w:rPr>
            </m:ctrlPr>
          </m:e>
          <m:sub>
            <m:r>
              <m:rPr>
                <m:sty m:val="p"/>
              </m:rPr>
              <w:rPr>
                <w:rFonts w:ascii="Cambria Math" w:hAnsi="Cambria Math" w:eastAsia="宋体" w:cs="Times New Roman"/>
                <w:color w:val="000000" w:themeColor="text1"/>
                <w:sz w:val="21"/>
                <w:szCs w:val="21"/>
                <w14:textFill>
                  <w14:solidFill>
                    <w14:schemeClr w14:val="tx1"/>
                  </w14:solidFill>
                </w14:textFill>
              </w:rPr>
              <m:t>n</m:t>
            </m:r>
            <m:ctrlPr>
              <w:rPr>
                <w:rFonts w:ascii="Cambria Math" w:hAnsi="Cambria Math" w:eastAsia="宋体" w:cs="Times New Roman"/>
                <w:color w:val="000000" w:themeColor="text1"/>
                <w:sz w:val="21"/>
                <w:szCs w:val="21"/>
                <w14:textFill>
                  <w14:solidFill>
                    <w14:schemeClr w14:val="tx1"/>
                  </w14:solidFill>
                </w14:textFill>
              </w:rPr>
            </m:ctrlPr>
          </m:sub>
        </m:sSub>
      </m:oMath>
      <w:r>
        <w:rPr>
          <w:rFonts w:hint="eastAsia" w:ascii="Times New Roman" w:eastAsia="宋体" w:cs="Times New Roman"/>
          <w:color w:val="000000" w:themeColor="text1"/>
          <w:sz w:val="21"/>
          <w:szCs w:val="21"/>
          <w14:textFill>
            <w14:solidFill>
              <w14:schemeClr w14:val="tx1"/>
            </w14:solidFill>
          </w14:textFill>
        </w:rPr>
        <w:t>为调整系数</w:t>
      </w:r>
      <w:r>
        <w:rPr>
          <w:rFonts w:ascii="Times New Roman" w:eastAsia="宋体" w:cs="Times New Roman"/>
          <w:color w:val="000000" w:themeColor="text1"/>
          <w:sz w:val="21"/>
          <w:szCs w:val="21"/>
          <w14:textFill>
            <w14:solidFill>
              <w14:schemeClr w14:val="tx1"/>
            </w14:solidFill>
          </w14:textFill>
        </w:rPr>
        <w:t>,</w:t>
      </w:r>
      <m:oMath>
        <m:r>
          <m:rPr>
            <m:sty m:val="p"/>
          </m:rPr>
          <w:rPr>
            <w:rFonts w:ascii="Cambria Math" w:hAnsi="Cambria Math" w:eastAsia="宋体" w:cs="Times New Roman"/>
            <w:color w:val="000000" w:themeColor="text1"/>
            <w:sz w:val="21"/>
            <w:szCs w:val="21"/>
            <w14:textFill>
              <w14:solidFill>
                <w14:schemeClr w14:val="tx1"/>
              </w14:solidFill>
            </w14:textFill>
          </w:rPr>
          <m:t xml:space="preserve"> </m:t>
        </m:r>
        <m:sSub>
          <m:sSubPr>
            <m:ctrlPr>
              <w:rPr>
                <w:rFonts w:ascii="Cambria Math" w:hAnsi="Cambria Math" w:eastAsia="宋体" w:cs="Times New Roman"/>
                <w:color w:val="000000" w:themeColor="text1"/>
                <w:sz w:val="21"/>
                <w:szCs w:val="21"/>
                <w14:textFill>
                  <w14:solidFill>
                    <w14:schemeClr w14:val="tx1"/>
                  </w14:solidFill>
                </w14:textFill>
              </w:rPr>
            </m:ctrlPr>
          </m:sSubPr>
          <m:e>
            <m:r>
              <m:rPr>
                <m:sty m:val="p"/>
              </m:rPr>
              <w:rPr>
                <w:rFonts w:ascii="Cambria Math" w:hAnsi="Cambria Math" w:eastAsia="宋体" w:cs="Times New Roman"/>
                <w:color w:val="000000" w:themeColor="text1"/>
                <w:sz w:val="21"/>
                <w:szCs w:val="21"/>
                <w14:textFill>
                  <w14:solidFill>
                    <w14:schemeClr w14:val="tx1"/>
                  </w14:solidFill>
                </w14:textFill>
              </w:rPr>
              <m:t>K</m:t>
            </m:r>
            <m:ctrlPr>
              <w:rPr>
                <w:rFonts w:ascii="Cambria Math" w:hAnsi="Cambria Math" w:eastAsia="宋体" w:cs="Times New Roman"/>
                <w:color w:val="000000" w:themeColor="text1"/>
                <w:sz w:val="21"/>
                <w:szCs w:val="21"/>
                <w14:textFill>
                  <w14:solidFill>
                    <w14:schemeClr w14:val="tx1"/>
                  </w14:solidFill>
                </w14:textFill>
              </w:rPr>
            </m:ctrlPr>
          </m:e>
          <m:sub>
            <m:r>
              <m:rPr>
                <m:sty m:val="p"/>
              </m:rPr>
              <w:rPr>
                <w:rFonts w:ascii="Cambria Math" w:hAnsi="Cambria Math" w:eastAsia="宋体" w:cs="Times New Roman"/>
                <w:color w:val="000000" w:themeColor="text1"/>
                <w:sz w:val="21"/>
                <w:szCs w:val="21"/>
                <w14:textFill>
                  <w14:solidFill>
                    <w14:schemeClr w14:val="tx1"/>
                  </w14:solidFill>
                </w14:textFill>
              </w:rPr>
              <m:t>n</m:t>
            </m:r>
            <m:ctrlPr>
              <w:rPr>
                <w:rFonts w:ascii="Cambria Math" w:hAnsi="Cambria Math" w:eastAsia="宋体" w:cs="Times New Roman"/>
                <w:color w:val="000000" w:themeColor="text1"/>
                <w:sz w:val="21"/>
                <w:szCs w:val="21"/>
                <w14:textFill>
                  <w14:solidFill>
                    <w14:schemeClr w14:val="tx1"/>
                  </w14:solidFill>
                </w14:textFill>
              </w:rPr>
            </m:ctrlPr>
          </m:sub>
        </m:sSub>
      </m:oMath>
      <w:r>
        <w:rPr>
          <w:rFonts w:hint="eastAsia" w:ascii="Times New Roman" w:eastAsia="宋体" w:cs="Times New Roman"/>
          <w:color w:val="000000" w:themeColor="text1"/>
          <w:sz w:val="21"/>
          <w:szCs w:val="21"/>
          <w14:textFill>
            <w14:solidFill>
              <w14:schemeClr w14:val="tx1"/>
            </w14:solidFill>
          </w14:textFill>
        </w:rPr>
        <w:t>值满足</w:t>
      </w:r>
      <m:oMath>
        <m:sSub>
          <m:sSubPr>
            <m:ctrlPr>
              <w:rPr>
                <w:rFonts w:ascii="Cambria Math" w:hAnsi="Cambria Math" w:eastAsia="宋体" w:cs="Times New Roman"/>
                <w:color w:val="000000" w:themeColor="text1"/>
                <w:sz w:val="21"/>
                <w:szCs w:val="21"/>
                <w14:textFill>
                  <w14:solidFill>
                    <w14:schemeClr w14:val="tx1"/>
                  </w14:solidFill>
                </w14:textFill>
              </w:rPr>
            </m:ctrlPr>
          </m:sSubPr>
          <m:e>
            <m:r>
              <m:rPr>
                <m:sty m:val="p"/>
              </m:rPr>
              <w:rPr>
                <w:rFonts w:ascii="Cambria Math" w:hAnsi="Cambria Math" w:eastAsia="宋体" w:cs="Times New Roman"/>
                <w:color w:val="000000" w:themeColor="text1"/>
                <w:sz w:val="21"/>
                <w:szCs w:val="21"/>
                <w14:textFill>
                  <w14:solidFill>
                    <w14:schemeClr w14:val="tx1"/>
                  </w14:solidFill>
                </w14:textFill>
              </w:rPr>
              <m:t>K</m:t>
            </m:r>
            <m:ctrlPr>
              <w:rPr>
                <w:rFonts w:ascii="Cambria Math" w:hAnsi="Cambria Math" w:eastAsia="宋体" w:cs="Times New Roman"/>
                <w:color w:val="000000" w:themeColor="text1"/>
                <w:sz w:val="21"/>
                <w:szCs w:val="21"/>
                <w14:textFill>
                  <w14:solidFill>
                    <w14:schemeClr w14:val="tx1"/>
                  </w14:solidFill>
                </w14:textFill>
              </w:rPr>
            </m:ctrlPr>
          </m:e>
          <m:sub>
            <m:r>
              <m:rPr>
                <m:sty m:val="p"/>
              </m:rPr>
              <w:rPr>
                <w:rFonts w:ascii="Cambria Math" w:hAnsi="Cambria Math" w:eastAsia="宋体" w:cs="Times New Roman"/>
                <w:color w:val="000000" w:themeColor="text1"/>
                <w:sz w:val="21"/>
                <w:szCs w:val="21"/>
                <w14:textFill>
                  <w14:solidFill>
                    <w14:schemeClr w14:val="tx1"/>
                  </w14:solidFill>
                </w14:textFill>
              </w:rPr>
              <m:t>n</m:t>
            </m:r>
            <m:ctrlPr>
              <w:rPr>
                <w:rFonts w:ascii="Cambria Math" w:hAnsi="Cambria Math" w:eastAsia="宋体" w:cs="Times New Roman"/>
                <w:color w:val="000000" w:themeColor="text1"/>
                <w:sz w:val="21"/>
                <w:szCs w:val="21"/>
                <w14:textFill>
                  <w14:solidFill>
                    <w14:schemeClr w14:val="tx1"/>
                  </w14:solidFill>
                </w14:textFill>
              </w:rPr>
            </m:ctrlPr>
          </m:sub>
        </m:sSub>
      </m:oMath>
      <w:r>
        <w:rPr>
          <w:rFonts w:ascii="Times New Roman" w:eastAsia="宋体" w:cs="Times New Roman"/>
          <w:color w:val="000000" w:themeColor="text1"/>
          <w:sz w:val="21"/>
          <w:szCs w:val="21"/>
          <w14:textFill>
            <w14:solidFill>
              <w14:schemeClr w14:val="tx1"/>
            </w14:solidFill>
          </w14:textFill>
        </w:rPr>
        <w:t>&lt;0.95</w:t>
      </w:r>
      <w:r>
        <w:rPr>
          <w:rFonts w:hint="eastAsia" w:ascii="Times New Roman" w:eastAsia="宋体" w:cs="Times New Roman"/>
          <w:color w:val="000000" w:themeColor="text1"/>
          <w:sz w:val="21"/>
          <w:szCs w:val="21"/>
          <w14:textFill>
            <w14:solidFill>
              <w14:schemeClr w14:val="tx1"/>
            </w14:solidFill>
          </w14:textFill>
        </w:rPr>
        <w:t>或</w:t>
      </w:r>
      <m:oMath>
        <m:sSub>
          <m:sSubPr>
            <m:ctrlPr>
              <w:rPr>
                <w:rFonts w:ascii="Cambria Math" w:hAnsi="Cambria Math" w:eastAsia="宋体" w:cs="Times New Roman"/>
                <w:color w:val="000000" w:themeColor="text1"/>
                <w:sz w:val="21"/>
                <w:szCs w:val="21"/>
                <w14:textFill>
                  <w14:solidFill>
                    <w14:schemeClr w14:val="tx1"/>
                  </w14:solidFill>
                </w14:textFill>
              </w:rPr>
            </m:ctrlPr>
          </m:sSubPr>
          <m:e>
            <m:r>
              <m:rPr>
                <m:sty m:val="p"/>
              </m:rPr>
              <w:rPr>
                <w:rFonts w:ascii="Cambria Math" w:hAnsi="Cambria Math" w:eastAsia="宋体" w:cs="Times New Roman"/>
                <w:color w:val="000000" w:themeColor="text1"/>
                <w:sz w:val="21"/>
                <w:szCs w:val="21"/>
                <w14:textFill>
                  <w14:solidFill>
                    <w14:schemeClr w14:val="tx1"/>
                  </w14:solidFill>
                </w14:textFill>
              </w:rPr>
              <m:t>K</m:t>
            </m:r>
            <m:ctrlPr>
              <w:rPr>
                <w:rFonts w:ascii="Cambria Math" w:hAnsi="Cambria Math" w:eastAsia="宋体" w:cs="Times New Roman"/>
                <w:color w:val="000000" w:themeColor="text1"/>
                <w:sz w:val="21"/>
                <w:szCs w:val="21"/>
                <w14:textFill>
                  <w14:solidFill>
                    <w14:schemeClr w14:val="tx1"/>
                  </w14:solidFill>
                </w14:textFill>
              </w:rPr>
            </m:ctrlPr>
          </m:e>
          <m:sub>
            <m:r>
              <m:rPr>
                <m:sty m:val="p"/>
              </m:rPr>
              <w:rPr>
                <w:rFonts w:ascii="Cambria Math" w:hAnsi="Cambria Math" w:eastAsia="宋体" w:cs="Times New Roman"/>
                <w:color w:val="000000" w:themeColor="text1"/>
                <w:sz w:val="21"/>
                <w:szCs w:val="21"/>
                <w14:textFill>
                  <w14:solidFill>
                    <w14:schemeClr w14:val="tx1"/>
                  </w14:solidFill>
                </w14:textFill>
              </w:rPr>
              <m:t>n</m:t>
            </m:r>
            <m:ctrlPr>
              <w:rPr>
                <w:rFonts w:ascii="Cambria Math" w:hAnsi="Cambria Math" w:eastAsia="宋体" w:cs="Times New Roman"/>
                <w:color w:val="000000" w:themeColor="text1"/>
                <w:sz w:val="21"/>
                <w:szCs w:val="21"/>
                <w14:textFill>
                  <w14:solidFill>
                    <w14:schemeClr w14:val="tx1"/>
                  </w14:solidFill>
                </w14:textFill>
              </w:rPr>
            </m:ctrlPr>
          </m:sub>
        </m:sSub>
      </m:oMath>
      <w:r>
        <w:rPr>
          <w:rFonts w:ascii="Times New Roman" w:eastAsia="宋体" w:cs="Times New Roman"/>
          <w:color w:val="000000" w:themeColor="text1"/>
          <w:sz w:val="21"/>
          <w:szCs w:val="21"/>
          <w14:textFill>
            <w14:solidFill>
              <w14:schemeClr w14:val="tx1"/>
            </w14:solidFill>
          </w14:textFill>
        </w:rPr>
        <w:t>&gt;1.05</w:t>
      </w:r>
      <w:r>
        <w:rPr>
          <w:rFonts w:hint="eastAsia" w:ascii="Times New Roman" w:eastAsia="宋体" w:cs="Times New Roman"/>
          <w:color w:val="000000" w:themeColor="text1"/>
          <w:sz w:val="21"/>
          <w:szCs w:val="21"/>
          <w14:textFill>
            <w14:solidFill>
              <w14:schemeClr w14:val="tx1"/>
            </w14:solidFill>
          </w14:textFill>
        </w:rPr>
        <w:t>时，调价机制方可被触发，超过±</w:t>
      </w:r>
      <w:r>
        <w:rPr>
          <w:rFonts w:ascii="Times New Roman" w:eastAsia="宋体" w:cs="Times New Roman"/>
          <w:color w:val="000000" w:themeColor="text1"/>
          <w:sz w:val="21"/>
          <w:szCs w:val="21"/>
          <w14:textFill>
            <w14:solidFill>
              <w14:schemeClr w14:val="tx1"/>
            </w14:solidFill>
          </w14:textFill>
        </w:rPr>
        <w:t>0.05</w:t>
      </w:r>
      <w:r>
        <w:rPr>
          <w:rFonts w:hint="eastAsia" w:ascii="Times New Roman" w:eastAsia="宋体" w:cs="Times New Roman"/>
          <w:color w:val="000000" w:themeColor="text1"/>
          <w:sz w:val="21"/>
          <w:szCs w:val="21"/>
          <w14:textFill>
            <w14:solidFill>
              <w14:schemeClr w14:val="tx1"/>
            </w14:solidFill>
          </w14:textFill>
        </w:rPr>
        <w:t>部分予以调整，否则不予以调价。</w:t>
      </w:r>
    </w:p>
    <w:p>
      <w:pPr>
        <w:pStyle w:val="310"/>
        <w:spacing w:line="360" w:lineRule="auto"/>
        <w:ind w:left="1134" w:leftChars="540"/>
        <w:jc w:val="both"/>
        <w:rPr>
          <w:rFonts w:ascii="Times New Roman"/>
          <w:color w:val="000000" w:themeColor="text1"/>
          <w:sz w:val="21"/>
          <w:szCs w:val="21"/>
          <w14:textFill>
            <w14:solidFill>
              <w14:schemeClr w14:val="tx1"/>
            </w14:solidFill>
          </w14:textFill>
        </w:rPr>
      </w:pPr>
      <m:oMath>
        <m:sSub>
          <m:sSubPr>
            <m:ctrlPr>
              <w:rPr>
                <w:rFonts w:ascii="Cambria Math" w:hAnsi="Cambria Math" w:eastAsia="宋体" w:cs="Times New Roman"/>
                <w:color w:val="000000" w:themeColor="text1"/>
                <w:sz w:val="21"/>
                <w:szCs w:val="21"/>
                <w14:textFill>
                  <w14:solidFill>
                    <w14:schemeClr w14:val="tx1"/>
                  </w14:solidFill>
                </w14:textFill>
              </w:rPr>
            </m:ctrlPr>
          </m:sSubPr>
          <m:e>
            <m:r>
              <w:rPr>
                <w:rFonts w:ascii="Cambria Math" w:hAnsi="Cambria Math" w:eastAsia="宋体" w:cs="Times New Roman"/>
                <w:color w:val="000000" w:themeColor="text1"/>
                <w:sz w:val="21"/>
                <w:szCs w:val="21"/>
                <w14:textFill>
                  <w14:solidFill>
                    <w14:schemeClr w14:val="tx1"/>
                  </w14:solidFill>
                </w14:textFill>
              </w:rPr>
              <m:t>U</m:t>
            </m:r>
            <m:ctrlPr>
              <w:rPr>
                <w:rFonts w:ascii="Cambria Math" w:hAnsi="Cambria Math" w:eastAsia="宋体" w:cs="Times New Roman"/>
                <w:color w:val="000000" w:themeColor="text1"/>
                <w:sz w:val="21"/>
                <w:szCs w:val="21"/>
                <w14:textFill>
                  <w14:solidFill>
                    <w14:schemeClr w14:val="tx1"/>
                  </w14:solidFill>
                </w14:textFill>
              </w:rPr>
            </m:ctrlPr>
          </m:e>
          <m:sub>
            <m:r>
              <w:rPr>
                <w:rFonts w:ascii="Cambria Math" w:hAnsi="Cambria Math" w:eastAsia="宋体" w:cs="Times New Roman"/>
                <w:color w:val="000000" w:themeColor="text1"/>
                <w:sz w:val="21"/>
                <w:szCs w:val="21"/>
                <w14:textFill>
                  <w14:solidFill>
                    <w14:schemeClr w14:val="tx1"/>
                  </w14:solidFill>
                </w14:textFill>
              </w:rPr>
              <m:t>n</m:t>
            </m:r>
            <m:ctrlPr>
              <w:rPr>
                <w:rFonts w:ascii="Cambria Math" w:hAnsi="Cambria Math" w:eastAsia="宋体" w:cs="Times New Roman"/>
                <w:color w:val="000000" w:themeColor="text1"/>
                <w:sz w:val="21"/>
                <w:szCs w:val="21"/>
                <w14:textFill>
                  <w14:solidFill>
                    <w14:schemeClr w14:val="tx1"/>
                  </w14:solidFill>
                </w14:textFill>
              </w:rPr>
            </m:ctrlPr>
          </m:sub>
        </m:sSub>
      </m:oMath>
      <w:r>
        <w:rPr>
          <w:rFonts w:hint="eastAsia" w:ascii="Times New Roman" w:eastAsia="宋体" w:cs="Times New Roman"/>
          <w:color w:val="000000" w:themeColor="text1"/>
          <w:sz w:val="21"/>
          <w:szCs w:val="21"/>
          <w14:textFill>
            <w14:solidFill>
              <w14:schemeClr w14:val="tx1"/>
            </w14:solidFill>
          </w14:textFill>
        </w:rPr>
        <w:t>为第</w:t>
      </w:r>
      <w:r>
        <w:rPr>
          <w:rFonts w:ascii="Times New Roman" w:eastAsia="宋体" w:cs="Times New Roman"/>
          <w:color w:val="000000" w:themeColor="text1"/>
          <w:sz w:val="21"/>
          <w:szCs w:val="21"/>
          <w14:textFill>
            <w14:solidFill>
              <w14:schemeClr w14:val="tx1"/>
            </w14:solidFill>
          </w14:textFill>
        </w:rPr>
        <w:t>n</w:t>
      </w:r>
      <w:r>
        <w:rPr>
          <w:rFonts w:hint="eastAsia" w:ascii="Times New Roman" w:eastAsia="宋体" w:cs="Times New Roman"/>
          <w:color w:val="000000" w:themeColor="text1"/>
          <w:sz w:val="21"/>
          <w:szCs w:val="21"/>
          <w14:textFill>
            <w14:solidFill>
              <w14:schemeClr w14:val="tx1"/>
            </w14:solidFill>
          </w14:textFill>
        </w:rPr>
        <w:t>个合作期年度项目公司运营维养成本变化率，运营维养成本变化率</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（当年</w:t>
      </w:r>
      <w:r>
        <w:rPr>
          <w:rFonts w:ascii="Times New Roman" w:eastAsia="宋体" w:cs="Times New Roman"/>
          <w:color w:val="000000" w:themeColor="text1"/>
          <w:sz w:val="21"/>
          <w:szCs w:val="21"/>
          <w14:textFill>
            <w14:solidFill>
              <w14:schemeClr w14:val="tx1"/>
            </w14:solidFill>
          </w14:textFill>
        </w:rPr>
        <w:t>PPI</w:t>
      </w:r>
      <w:r>
        <w:rPr>
          <w:rFonts w:hint="eastAsia" w:ascii="Times New Roman" w:eastAsia="宋体" w:cs="Times New Roman"/>
          <w:color w:val="000000" w:themeColor="text1"/>
          <w:sz w:val="21"/>
          <w:szCs w:val="21"/>
          <w14:textFill>
            <w14:solidFill>
              <w14:schemeClr w14:val="tx1"/>
            </w14:solidFill>
          </w14:textFill>
        </w:rPr>
        <w:t>指数</w:t>
      </w:r>
      <m:oMath>
        <m:r>
          <m:rPr>
            <m:sty m:val="p"/>
          </m:rPr>
          <w:rPr>
            <w:rFonts w:hint="eastAsia" w:ascii="Cambria Math" w:hAnsi="Cambria Math" w:eastAsia="宋体" w:cs="Times New Roman"/>
            <w:color w:val="000000" w:themeColor="text1"/>
            <w:sz w:val="21"/>
            <w:szCs w:val="21"/>
            <w14:textFill>
              <w14:solidFill>
                <w14:schemeClr w14:val="tx1"/>
              </w14:solidFill>
            </w14:textFill>
          </w:rPr>
          <m:t>×</m:t>
        </m:r>
      </m:oMath>
      <w:r>
        <w:rPr>
          <w:rFonts w:ascii="Times New Roman" w:eastAsia="宋体" w:cs="Times New Roman"/>
          <w:color w:val="000000" w:themeColor="text1"/>
          <w:sz w:val="21"/>
          <w:szCs w:val="21"/>
          <w14:textFill>
            <w14:solidFill>
              <w14:schemeClr w14:val="tx1"/>
            </w14:solidFill>
          </w14:textFill>
        </w:rPr>
        <w:t>70%+</w:t>
      </w:r>
      <w:r>
        <w:rPr>
          <w:rFonts w:hint="eastAsia" w:ascii="Times New Roman" w:eastAsia="宋体" w:cs="Times New Roman"/>
          <w:color w:val="000000" w:themeColor="text1"/>
          <w:sz w:val="21"/>
          <w:szCs w:val="21"/>
          <w14:textFill>
            <w14:solidFill>
              <w14:schemeClr w14:val="tx1"/>
            </w14:solidFill>
          </w14:textFill>
        </w:rPr>
        <w:t>当年</w:t>
      </w:r>
      <w:r>
        <w:rPr>
          <w:rFonts w:ascii="Times New Roman" w:eastAsia="宋体" w:cs="Times New Roman"/>
          <w:color w:val="000000" w:themeColor="text1"/>
          <w:sz w:val="21"/>
          <w:szCs w:val="21"/>
          <w14:textFill>
            <w14:solidFill>
              <w14:schemeClr w14:val="tx1"/>
            </w14:solidFill>
          </w14:textFill>
        </w:rPr>
        <w:t>CPI</w:t>
      </w:r>
      <w:r>
        <w:rPr>
          <w:rFonts w:hint="eastAsia" w:ascii="Times New Roman" w:eastAsia="宋体" w:cs="Times New Roman"/>
          <w:color w:val="000000" w:themeColor="text1"/>
          <w:sz w:val="21"/>
          <w:szCs w:val="21"/>
          <w14:textFill>
            <w14:solidFill>
              <w14:schemeClr w14:val="tx1"/>
            </w14:solidFill>
          </w14:textFill>
        </w:rPr>
        <w:t>指数</w:t>
      </w:r>
      <m:oMath>
        <m:r>
          <m:rPr>
            <m:sty m:val="p"/>
          </m:rPr>
          <w:rPr>
            <w:rFonts w:hint="eastAsia" w:ascii="Cambria Math" w:hAnsi="Cambria Math" w:eastAsia="宋体" w:cs="Times New Roman"/>
            <w:color w:val="000000" w:themeColor="text1"/>
            <w:sz w:val="21"/>
            <w:szCs w:val="21"/>
            <w14:textFill>
              <w14:solidFill>
                <w14:schemeClr w14:val="tx1"/>
              </w14:solidFill>
            </w14:textFill>
          </w:rPr>
          <m:t>×</m:t>
        </m:r>
      </m:oMath>
      <w:r>
        <w:rPr>
          <w:rFonts w:ascii="Times New Roman" w:eastAsia="宋体" w:cs="Times New Roman"/>
          <w:color w:val="000000" w:themeColor="text1"/>
          <w:sz w:val="21"/>
          <w:szCs w:val="21"/>
          <w14:textFill>
            <w14:solidFill>
              <w14:schemeClr w14:val="tx1"/>
            </w14:solidFill>
          </w14:textFill>
        </w:rPr>
        <w:t>30%-100</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/100</w:t>
      </w:r>
      <m:oMath>
        <m:r>
          <m:rPr>
            <m:sty m:val="p"/>
          </m:rPr>
          <w:rPr>
            <w:rFonts w:hint="eastAsia" w:ascii="Cambria Math" w:hAnsi="Cambria Math" w:eastAsia="宋体" w:cs="Times New Roman"/>
            <w:color w:val="000000" w:themeColor="text1"/>
            <w:sz w:val="21"/>
            <w:szCs w:val="21"/>
            <w14:textFill>
              <w14:solidFill>
                <w14:schemeClr w14:val="tx1"/>
              </w14:solidFill>
            </w14:textFill>
          </w:rPr>
          <m:t>×</m:t>
        </m:r>
      </m:oMath>
      <w:r>
        <w:rPr>
          <w:rFonts w:ascii="Times New Roman" w:eastAsia="宋体" w:cs="Times New Roman"/>
          <w:color w:val="000000" w:themeColor="text1"/>
          <w:sz w:val="21"/>
          <w:szCs w:val="21"/>
          <w14:textFill>
            <w14:solidFill>
              <w14:schemeClr w14:val="tx1"/>
            </w14:solidFill>
          </w14:textFill>
        </w:rPr>
        <w:t>100%;</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PPI</w:t>
      </w:r>
      <w:r>
        <w:rPr>
          <w:rFonts w:hint="eastAsia" w:ascii="Times New Roman" w:eastAsia="宋体" w:cs="Times New Roman"/>
          <w:color w:val="000000" w:themeColor="text1"/>
          <w:sz w:val="21"/>
          <w:szCs w:val="21"/>
          <w14:textFill>
            <w14:solidFill>
              <w14:schemeClr w14:val="tx1"/>
            </w14:solidFill>
          </w14:textFill>
        </w:rPr>
        <w:t>和</w:t>
      </w:r>
      <w:r>
        <w:rPr>
          <w:rFonts w:ascii="Times New Roman" w:eastAsia="宋体" w:cs="Times New Roman"/>
          <w:color w:val="000000" w:themeColor="text1"/>
          <w:sz w:val="21"/>
          <w:szCs w:val="21"/>
          <w14:textFill>
            <w14:solidFill>
              <w14:schemeClr w14:val="tx1"/>
            </w14:solidFill>
          </w14:textFill>
        </w:rPr>
        <w:t>CPI</w:t>
      </w:r>
      <w:r>
        <w:rPr>
          <w:rFonts w:hint="eastAsia" w:ascii="Times New Roman" w:eastAsia="宋体" w:cs="Times New Roman"/>
          <w:color w:val="000000" w:themeColor="text1"/>
          <w:sz w:val="21"/>
          <w:szCs w:val="21"/>
          <w14:textFill>
            <w14:solidFill>
              <w14:schemeClr w14:val="tx1"/>
            </w14:solidFill>
          </w14:textFill>
        </w:rPr>
        <w:t>指数以国家统计局公布数据为准）</w:t>
      </w:r>
    </w:p>
    <w:p>
      <w:pPr>
        <w:pStyle w:val="310"/>
        <w:spacing w:line="360" w:lineRule="auto"/>
        <w:ind w:left="1134" w:leftChars="540"/>
        <w:jc w:val="both"/>
        <w:rPr>
          <w:rFonts w:ascii="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调整后的运营维养成本：</w:t>
      </w:r>
    </w:p>
    <w:p>
      <w:pPr>
        <w:pStyle w:val="310"/>
        <w:spacing w:line="360" w:lineRule="auto"/>
        <w:ind w:left="1134" w:leftChars="540"/>
        <w:jc w:val="both"/>
        <w:rPr>
          <w:rFonts w:ascii="Times New Roman"/>
          <w:color w:val="000000" w:themeColor="text1"/>
          <w:sz w:val="21"/>
          <w:szCs w:val="21"/>
          <w14:textFill>
            <w14:solidFill>
              <w14:schemeClr w14:val="tx1"/>
            </w14:solidFill>
          </w14:textFill>
        </w:rPr>
      </w:pPr>
      <m:oMath>
        <m:sSub>
          <m:sSubPr>
            <m:ctrlPr>
              <w:rPr>
                <w:rFonts w:ascii="Cambria Math" w:hAnsi="Cambria Math" w:eastAsia="宋体" w:cs="Times New Roman"/>
                <w:color w:val="000000" w:themeColor="text1"/>
                <w:sz w:val="21"/>
                <w:szCs w:val="21"/>
                <w14:textFill>
                  <w14:solidFill>
                    <w14:schemeClr w14:val="tx1"/>
                  </w14:solidFill>
                </w14:textFill>
              </w:rPr>
            </m:ctrlPr>
          </m:sSubPr>
          <m:e>
            <m:r>
              <w:rPr>
                <w:rFonts w:ascii="Cambria Math" w:hAnsi="Cambria Math" w:eastAsia="宋体" w:cs="Times New Roman"/>
                <w:color w:val="000000" w:themeColor="text1"/>
                <w:sz w:val="21"/>
                <w:szCs w:val="21"/>
                <w14:textFill>
                  <w14:solidFill>
                    <w14:schemeClr w14:val="tx1"/>
                  </w14:solidFill>
                </w14:textFill>
              </w:rPr>
              <m:t>C</m:t>
            </m:r>
            <m:ctrlPr>
              <w:rPr>
                <w:rFonts w:ascii="Cambria Math" w:hAnsi="Cambria Math" w:eastAsia="宋体" w:cs="Times New Roman"/>
                <w:color w:val="000000" w:themeColor="text1"/>
                <w:sz w:val="21"/>
                <w:szCs w:val="21"/>
                <w14:textFill>
                  <w14:solidFill>
                    <w14:schemeClr w14:val="tx1"/>
                  </w14:solidFill>
                </w14:textFill>
              </w:rPr>
            </m:ctrlPr>
          </m:e>
          <m:sub>
            <m:r>
              <w:rPr>
                <w:rFonts w:ascii="Cambria Math" w:hAnsi="Cambria Math" w:eastAsia="宋体" w:cs="Times New Roman"/>
                <w:color w:val="000000" w:themeColor="text1"/>
                <w:sz w:val="21"/>
                <w:szCs w:val="21"/>
                <w14:textFill>
                  <w14:solidFill>
                    <w14:schemeClr w14:val="tx1"/>
                  </w14:solidFill>
                </w14:textFill>
              </w:rPr>
              <m:t>n</m:t>
            </m:r>
            <m:ctrlPr>
              <w:rPr>
                <w:rFonts w:ascii="Cambria Math" w:hAnsi="Cambria Math" w:eastAsia="宋体" w:cs="Times New Roman"/>
                <w:color w:val="000000" w:themeColor="text1"/>
                <w:sz w:val="21"/>
                <w:szCs w:val="21"/>
                <w14:textFill>
                  <w14:solidFill>
                    <w14:schemeClr w14:val="tx1"/>
                  </w14:solidFill>
                </w14:textFill>
              </w:rPr>
            </m:ctrlPr>
          </m:sub>
        </m:sSub>
      </m:oMath>
      <w:r>
        <w:rPr>
          <w:rFonts w:ascii="Times New Roman" w:eastAsia="宋体" w:cs="Times New Roman"/>
          <w:color w:val="000000" w:themeColor="text1"/>
          <w:sz w:val="21"/>
          <w:szCs w:val="21"/>
          <w14:textFill>
            <w14:solidFill>
              <w14:schemeClr w14:val="tx1"/>
            </w14:solidFill>
          </w14:textFill>
        </w:rPr>
        <w:t>=</w:t>
      </w:r>
      <m:oMath>
        <m:sSub>
          <m:sSubPr>
            <m:ctrlPr>
              <w:rPr>
                <w:rFonts w:ascii="Cambria Math" w:hAnsi="Cambria Math" w:eastAsia="宋体" w:cs="Times New Roman"/>
                <w:color w:val="000000" w:themeColor="text1"/>
                <w:sz w:val="21"/>
                <w:szCs w:val="21"/>
                <w14:textFill>
                  <w14:solidFill>
                    <w14:schemeClr w14:val="tx1"/>
                  </w14:solidFill>
                </w14:textFill>
              </w:rPr>
            </m:ctrlPr>
          </m:sSubPr>
          <m:e>
            <m:r>
              <w:rPr>
                <w:rFonts w:ascii="Cambria Math" w:hAnsi="Cambria Math" w:eastAsia="宋体" w:cs="Times New Roman"/>
                <w:color w:val="000000" w:themeColor="text1"/>
                <w:sz w:val="21"/>
                <w:szCs w:val="21"/>
                <w14:textFill>
                  <w14:solidFill>
                    <w14:schemeClr w14:val="tx1"/>
                  </w14:solidFill>
                </w14:textFill>
              </w:rPr>
              <m:t>C</m:t>
            </m:r>
            <m:ctrlPr>
              <w:rPr>
                <w:rFonts w:ascii="Cambria Math" w:hAnsi="Cambria Math" w:eastAsia="宋体" w:cs="Times New Roman"/>
                <w:color w:val="000000" w:themeColor="text1"/>
                <w:sz w:val="21"/>
                <w:szCs w:val="21"/>
                <w14:textFill>
                  <w14:solidFill>
                    <w14:schemeClr w14:val="tx1"/>
                  </w14:solidFill>
                </w14:textFill>
              </w:rPr>
            </m:ctrlPr>
          </m:e>
          <m:sub>
            <m:r>
              <w:rPr>
                <w:rFonts w:ascii="Cambria Math" w:hAnsi="Cambria Math" w:eastAsia="宋体" w:cs="Times New Roman"/>
                <w:color w:val="000000" w:themeColor="text1"/>
                <w:sz w:val="21"/>
                <w:szCs w:val="21"/>
                <w14:textFill>
                  <w14:solidFill>
                    <w14:schemeClr w14:val="tx1"/>
                  </w14:solidFill>
                </w14:textFill>
              </w:rPr>
              <m:t>n</m:t>
            </m:r>
            <m:r>
              <m:rPr>
                <m:sty m:val="p"/>
              </m:rPr>
              <w:rPr>
                <w:rFonts w:ascii="Cambria Math" w:hAnsi="Cambria Math" w:eastAsia="宋体" w:cs="Times New Roman"/>
                <w:color w:val="000000" w:themeColor="text1"/>
                <w:sz w:val="21"/>
                <w:szCs w:val="21"/>
                <w14:textFill>
                  <w14:solidFill>
                    <w14:schemeClr w14:val="tx1"/>
                  </w14:solidFill>
                </w14:textFill>
              </w:rPr>
              <m:t>-3</m:t>
            </m:r>
            <m:ctrlPr>
              <w:rPr>
                <w:rFonts w:ascii="Cambria Math" w:hAnsi="Cambria Math" w:eastAsia="宋体" w:cs="Times New Roman"/>
                <w:color w:val="000000" w:themeColor="text1"/>
                <w:sz w:val="21"/>
                <w:szCs w:val="21"/>
                <w14:textFill>
                  <w14:solidFill>
                    <w14:schemeClr w14:val="tx1"/>
                  </w14:solidFill>
                </w14:textFill>
              </w:rPr>
            </m:ctrlPr>
          </m:sub>
        </m:sSub>
        <m:r>
          <m:rPr>
            <m:sty m:val="p"/>
          </m:rPr>
          <w:rPr>
            <w:rFonts w:hint="eastAsia" w:ascii="Cambria Math" w:hAnsi="Cambria Math" w:eastAsia="宋体" w:cs="Times New Roman"/>
            <w:color w:val="000000" w:themeColor="text1"/>
            <w:sz w:val="21"/>
            <w:szCs w:val="21"/>
            <w14:textFill>
              <w14:solidFill>
                <w14:schemeClr w14:val="tx1"/>
              </w14:solidFill>
            </w14:textFill>
          </w:rPr>
          <m:t>×</m:t>
        </m:r>
        <m:sSub>
          <m:sSubPr>
            <m:ctrlPr>
              <w:rPr>
                <w:rFonts w:ascii="Cambria Math" w:hAnsi="Cambria Math" w:eastAsia="宋体" w:cs="Times New Roman"/>
                <w:color w:val="000000" w:themeColor="text1"/>
                <w:sz w:val="21"/>
                <w:szCs w:val="21"/>
                <w14:textFill>
                  <w14:solidFill>
                    <w14:schemeClr w14:val="tx1"/>
                  </w14:solidFill>
                </w14:textFill>
              </w:rPr>
            </m:ctrlPr>
          </m:sSubPr>
          <m:e>
            <m:r>
              <m:rPr>
                <m:sty m:val="p"/>
              </m:rPr>
              <w:rPr>
                <w:rFonts w:hint="eastAsia" w:ascii="Cambria Math" w:hAnsi="Cambria Math" w:eastAsia="宋体" w:cs="Times New Roman"/>
                <w:color w:val="000000" w:themeColor="text1"/>
                <w:sz w:val="21"/>
                <w:szCs w:val="21"/>
                <w14:textFill>
                  <w14:solidFill>
                    <w14:schemeClr w14:val="tx1"/>
                  </w14:solidFill>
                </w14:textFill>
              </w:rPr>
              <m:t>（</m:t>
            </m:r>
            <m:sSub>
              <m:sSubPr>
                <m:ctrlPr>
                  <w:rPr>
                    <w:rFonts w:ascii="Cambria Math" w:hAnsi="Cambria Math" w:eastAsia="宋体" w:cs="Times New Roman"/>
                    <w:color w:val="000000" w:themeColor="text1"/>
                    <w:sz w:val="21"/>
                    <w:szCs w:val="21"/>
                    <w14:textFill>
                      <w14:solidFill>
                        <w14:schemeClr w14:val="tx1"/>
                      </w14:solidFill>
                    </w14:textFill>
                  </w:rPr>
                </m:ctrlPr>
              </m:sSubPr>
              <m:e>
                <m:r>
                  <m:rPr>
                    <m:sty m:val="p"/>
                  </m:rPr>
                  <w:rPr>
                    <w:rFonts w:ascii="Cambria Math" w:hAnsi="Cambria Math" w:eastAsia="宋体" w:cs="Times New Roman"/>
                    <w:color w:val="000000" w:themeColor="text1"/>
                    <w:sz w:val="21"/>
                    <w:szCs w:val="21"/>
                    <w14:textFill>
                      <w14:solidFill>
                        <w14:schemeClr w14:val="tx1"/>
                      </w14:solidFill>
                    </w14:textFill>
                  </w:rPr>
                  <m:t>K</m:t>
                </m:r>
                <m:ctrlPr>
                  <w:rPr>
                    <w:rFonts w:ascii="Cambria Math" w:hAnsi="Cambria Math" w:eastAsia="宋体" w:cs="Times New Roman"/>
                    <w:color w:val="000000" w:themeColor="text1"/>
                    <w:sz w:val="21"/>
                    <w:szCs w:val="21"/>
                    <w14:textFill>
                      <w14:solidFill>
                        <w14:schemeClr w14:val="tx1"/>
                      </w14:solidFill>
                    </w14:textFill>
                  </w:rPr>
                </m:ctrlPr>
              </m:e>
              <m:sub>
                <m:r>
                  <m:rPr>
                    <m:sty m:val="p"/>
                  </m:rPr>
                  <w:rPr>
                    <w:rFonts w:ascii="Cambria Math" w:hAnsi="Cambria Math" w:eastAsia="宋体" w:cs="Times New Roman"/>
                    <w:color w:val="000000" w:themeColor="text1"/>
                    <w:sz w:val="21"/>
                    <w:szCs w:val="21"/>
                    <w14:textFill>
                      <w14:solidFill>
                        <w14:schemeClr w14:val="tx1"/>
                      </w14:solidFill>
                    </w14:textFill>
                  </w:rPr>
                  <m:t>n</m:t>
                </m:r>
                <m:ctrlPr>
                  <w:rPr>
                    <w:rFonts w:ascii="Cambria Math" w:hAnsi="Cambria Math" w:eastAsia="宋体" w:cs="Times New Roman"/>
                    <w:color w:val="000000" w:themeColor="text1"/>
                    <w:sz w:val="21"/>
                    <w:szCs w:val="21"/>
                    <w14:textFill>
                      <w14:solidFill>
                        <w14:schemeClr w14:val="tx1"/>
                      </w14:solidFill>
                    </w14:textFill>
                  </w:rPr>
                </m:ctrlPr>
              </m:sub>
            </m:sSub>
            <m:r>
              <m:rPr>
                <m:sty m:val="p"/>
              </m:rPr>
              <w:rPr>
                <w:rFonts w:hint="eastAsia" w:ascii="Cambria Math" w:hAnsi="Cambria Math" w:eastAsia="宋体" w:cs="Times New Roman"/>
                <w:color w:val="000000" w:themeColor="text1"/>
                <w:sz w:val="21"/>
                <w:szCs w:val="21"/>
                <w14:textFill>
                  <w14:solidFill>
                    <w14:schemeClr w14:val="tx1"/>
                  </w14:solidFill>
                </w14:textFill>
              </w:rPr>
              <m:t>±</m:t>
            </m:r>
            <m:r>
              <m:rPr>
                <m:sty m:val="p"/>
              </m:rPr>
              <w:rPr>
                <w:rFonts w:ascii="Cambria Math" w:hAnsi="Cambria Math" w:eastAsia="宋体" w:cs="Times New Roman"/>
                <w:color w:val="000000" w:themeColor="text1"/>
                <w:sz w:val="21"/>
                <w:szCs w:val="21"/>
                <w14:textFill>
                  <w14:solidFill>
                    <w14:schemeClr w14:val="tx1"/>
                  </w14:solidFill>
                </w14:textFill>
              </w:rPr>
              <m:t>0.05</m:t>
            </m:r>
            <m:r>
              <m:rPr>
                <m:sty m:val="p"/>
              </m:rPr>
              <w:rPr>
                <w:rFonts w:hint="eastAsia" w:ascii="Cambria Math" w:hAnsi="Cambria Math" w:eastAsia="宋体" w:cs="Times New Roman"/>
                <w:color w:val="000000" w:themeColor="text1"/>
                <w:sz w:val="21"/>
                <w:szCs w:val="21"/>
                <w14:textFill>
                  <w14:solidFill>
                    <w14:schemeClr w14:val="tx1"/>
                  </w14:solidFill>
                </w14:textFill>
              </w:rPr>
              <m:t>）</m:t>
            </m:r>
            <m:ctrlPr>
              <w:rPr>
                <w:rFonts w:ascii="Cambria Math" w:hAnsi="Cambria Math" w:eastAsia="宋体" w:cs="Times New Roman"/>
                <w:color w:val="000000" w:themeColor="text1"/>
                <w:sz w:val="21"/>
                <w:szCs w:val="21"/>
                <w14:textFill>
                  <w14:solidFill>
                    <w14:schemeClr w14:val="tx1"/>
                  </w14:solidFill>
                </w14:textFill>
              </w:rPr>
            </m:ctrlPr>
          </m:e>
          <m:sub>
            <m:ctrlPr>
              <w:rPr>
                <w:rFonts w:ascii="Cambria Math" w:hAnsi="Cambria Math" w:eastAsia="宋体" w:cs="Times New Roman"/>
                <w:color w:val="000000" w:themeColor="text1"/>
                <w:sz w:val="21"/>
                <w:szCs w:val="21"/>
                <w14:textFill>
                  <w14:solidFill>
                    <w14:schemeClr w14:val="tx1"/>
                  </w14:solidFill>
                </w14:textFill>
              </w:rPr>
            </m:ctrlPr>
          </m:sub>
        </m:sSub>
      </m:oMath>
    </w:p>
    <w:p>
      <w:pPr>
        <w:pStyle w:val="310"/>
        <w:spacing w:line="360" w:lineRule="auto"/>
        <w:ind w:left="1134" w:leftChars="540"/>
        <w:jc w:val="both"/>
        <w:rPr>
          <w:rFonts w:ascii="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(n=4</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7</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10</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13</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16</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19</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22)</w:t>
      </w:r>
      <w:r>
        <w:rPr>
          <w:rFonts w:hint="eastAsia" w:ascii="Times New Roman" w:eastAsia="宋体" w:cs="Times New Roman"/>
          <w:color w:val="000000" w:themeColor="text1"/>
          <w:sz w:val="21"/>
          <w:szCs w:val="21"/>
          <w14:textFill>
            <w14:solidFill>
              <w14:schemeClr w14:val="tx1"/>
            </w14:solidFill>
          </w14:textFill>
        </w:rPr>
        <w:t>（暂定）</w:t>
      </w:r>
    </w:p>
    <w:p>
      <w:pPr>
        <w:pStyle w:val="310"/>
        <w:spacing w:line="360" w:lineRule="auto"/>
        <w:ind w:left="1134" w:leftChars="540"/>
        <w:jc w:val="both"/>
        <w:rPr>
          <w:rFonts w:ascii="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此项调整后作为结算依据。</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10.2.3 </w:t>
      </w:r>
      <w:r>
        <w:rPr>
          <w:rFonts w:hint="eastAsia"/>
          <w:color w:val="000000" w:themeColor="text1"/>
          <w14:textFill>
            <w14:solidFill>
              <w14:schemeClr w14:val="tx1"/>
            </w14:solidFill>
          </w14:textFill>
        </w:rPr>
        <w:t>支付时点安排</w:t>
      </w:r>
    </w:p>
    <w:p>
      <w:pPr>
        <w:pStyle w:val="310"/>
        <w:spacing w:line="360" w:lineRule="auto"/>
        <w:ind w:left="630" w:leftChars="300" w:firstLine="12" w:firstLineChars="6"/>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可行性缺口补助在运营期的每周年末支付，共分二十期。第一次支付可行性缺口补助支付时点为自运营开始日起满一（</w:t>
      </w:r>
      <w:r>
        <w:rPr>
          <w:rFonts w:ascii="Times New Roman" w:eastAsia="宋体" w:cs="Times New Roman"/>
          <w:color w:val="000000" w:themeColor="text1"/>
          <w:sz w:val="21"/>
          <w:szCs w:val="21"/>
          <w14:textFill>
            <w14:solidFill>
              <w14:schemeClr w14:val="tx1"/>
            </w14:solidFill>
          </w14:textFill>
        </w:rPr>
        <w:t>1</w:t>
      </w:r>
      <w:r>
        <w:rPr>
          <w:rFonts w:hint="eastAsia" w:ascii="Times New Roman" w:eastAsia="宋体" w:cs="Times New Roman"/>
          <w:color w:val="000000" w:themeColor="text1"/>
          <w:sz w:val="21"/>
          <w:szCs w:val="21"/>
          <w14:textFill>
            <w14:solidFill>
              <w14:schemeClr w14:val="tx1"/>
            </w14:solidFill>
          </w14:textFill>
        </w:rPr>
        <w:t>）年之日。第二次支付可行性缺口补助支付时点为自运营开始日起满二（</w:t>
      </w:r>
      <w:r>
        <w:rPr>
          <w:rFonts w:ascii="Times New Roman" w:eastAsia="宋体" w:cs="Times New Roman"/>
          <w:color w:val="000000" w:themeColor="text1"/>
          <w:sz w:val="21"/>
          <w:szCs w:val="21"/>
          <w14:textFill>
            <w14:solidFill>
              <w14:schemeClr w14:val="tx1"/>
            </w14:solidFill>
          </w14:textFill>
        </w:rPr>
        <w:t>2</w:t>
      </w:r>
      <w:r>
        <w:rPr>
          <w:rFonts w:hint="eastAsia" w:ascii="Times New Roman" w:eastAsia="宋体" w:cs="Times New Roman"/>
          <w:color w:val="000000" w:themeColor="text1"/>
          <w:sz w:val="21"/>
          <w:szCs w:val="21"/>
          <w14:textFill>
            <w14:solidFill>
              <w14:schemeClr w14:val="tx1"/>
            </w14:solidFill>
          </w14:textFill>
        </w:rPr>
        <w:t>）年之日，以此类推。运营期届满</w:t>
      </w:r>
      <w:r>
        <w:rPr>
          <w:rFonts w:ascii="Times New Roman" w:eastAsia="宋体" w:cs="Times New Roman"/>
          <w:color w:val="000000" w:themeColor="text1"/>
          <w:sz w:val="21"/>
          <w:szCs w:val="21"/>
          <w14:textFill>
            <w14:solidFill>
              <w14:schemeClr w14:val="tx1"/>
            </w14:solidFill>
          </w14:textFill>
        </w:rPr>
        <w:t>3</w:t>
      </w:r>
      <w:r>
        <w:rPr>
          <w:rFonts w:hint="eastAsia" w:ascii="Times New Roman" w:eastAsia="宋体" w:cs="Times New Roman"/>
          <w:color w:val="000000" w:themeColor="text1"/>
          <w:sz w:val="21"/>
          <w:szCs w:val="21"/>
          <w14:textFill>
            <w14:solidFill>
              <w14:schemeClr w14:val="tx1"/>
            </w14:solidFill>
          </w14:textFill>
        </w:rPr>
        <w:t>个月前，乙方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项目公司应提交一份金融机构（县级及以上国有或股份制商业银行的支行或分行）出具的移交维护保函，保函额度</w:t>
      </w:r>
      <w:r>
        <w:rPr>
          <w:rFonts w:ascii="Times New Roman" w:eastAsia="宋体" w:cs="Times New Roman"/>
          <w:color w:val="000000" w:themeColor="text1"/>
          <w:sz w:val="21"/>
          <w:szCs w:val="21"/>
          <w14:textFill>
            <w14:solidFill>
              <w14:schemeClr w14:val="tx1"/>
            </w14:solidFill>
          </w14:textFill>
        </w:rPr>
        <w:t>5000</w:t>
      </w:r>
      <w:r>
        <w:rPr>
          <w:rFonts w:hint="eastAsia" w:ascii="Times New Roman" w:eastAsia="宋体" w:cs="Times New Roman"/>
          <w:color w:val="000000" w:themeColor="text1"/>
          <w:sz w:val="21"/>
          <w:szCs w:val="21"/>
          <w14:textFill>
            <w14:solidFill>
              <w14:schemeClr w14:val="tx1"/>
            </w14:solidFill>
          </w14:textFill>
        </w:rPr>
        <w:t>万元，担保至移交完毕且质量保证期满后。若由于乙方原因造成未能在计划移交日完成移交，相应的可行性缺口补助支付时点顺延，直至移交完成或甲方自行组织完成项目的质量整改并验收后十五个工作日支付最后一期可行性缺口补助。</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10.2.4 </w:t>
      </w:r>
      <w:r>
        <w:rPr>
          <w:rFonts w:hint="eastAsia"/>
          <w:color w:val="000000" w:themeColor="text1"/>
          <w14:textFill>
            <w14:solidFill>
              <w14:schemeClr w14:val="tx1"/>
            </w14:solidFill>
          </w14:textFill>
        </w:rPr>
        <w:t>绩效考核</w:t>
      </w:r>
    </w:p>
    <w:p>
      <w:pPr>
        <w:pStyle w:val="310"/>
        <w:spacing w:line="360" w:lineRule="auto"/>
        <w:ind w:left="657" w:leftChars="300" w:hanging="27" w:hangingChars="1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甲方对乙方运营维护及服务情况每个运营年中按年度考核，运营绩效考核系数根据当年考核结果的得分核算。具体考核办法及考核方案详见附件三。</w:t>
      </w:r>
    </w:p>
    <w:p>
      <w:pPr>
        <w:pStyle w:val="310"/>
        <w:spacing w:line="360" w:lineRule="auto"/>
        <w:ind w:left="657" w:leftChars="300" w:hanging="27" w:hangingChars="1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绩效考核基数由可用性服务费基数、运营维养成本基数组成。其中可用性服务费基数按可用性服务费的</w:t>
      </w:r>
      <w:r>
        <w:rPr>
          <w:rFonts w:ascii="Times New Roman" w:eastAsia="宋体" w:cs="Times New Roman"/>
          <w:color w:val="000000" w:themeColor="text1"/>
          <w:sz w:val="21"/>
          <w:szCs w:val="21"/>
          <w14:textFill>
            <w14:solidFill>
              <w14:schemeClr w14:val="tx1"/>
            </w14:solidFill>
          </w14:textFill>
        </w:rPr>
        <w:t>30%</w:t>
      </w:r>
      <w:r>
        <w:rPr>
          <w:rFonts w:hint="eastAsia" w:ascii="Times New Roman" w:eastAsia="宋体" w:cs="Times New Roman"/>
          <w:color w:val="000000" w:themeColor="text1"/>
          <w:sz w:val="21"/>
          <w:szCs w:val="21"/>
          <w14:textFill>
            <w14:solidFill>
              <w14:schemeClr w14:val="tx1"/>
            </w14:solidFill>
          </w14:textFill>
        </w:rPr>
        <w:t>计取；运营维养成本基数按中标运营维养成本核算。</w:t>
      </w:r>
    </w:p>
    <w:p>
      <w:pPr>
        <w:pStyle w:val="310"/>
        <w:spacing w:line="360" w:lineRule="auto"/>
        <w:ind w:left="657" w:leftChars="300" w:hanging="27" w:hangingChars="1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甲方应考虑当年考核时点以及绩效考核系数结果核算，以确保支付核算和资金支付申请审批流程在支付时点前完成。甲方应将每年度考核结果及相关涉及问题通知乙方。</w:t>
      </w:r>
    </w:p>
    <w:p>
      <w:pPr>
        <w:pStyle w:val="3"/>
        <w:jc w:val="center"/>
        <w:rPr>
          <w:rFonts w:ascii="Times New Roman" w:hAnsi="Times New Roman" w:eastAsia="黑体"/>
          <w:color w:val="000000" w:themeColor="text1"/>
          <w:sz w:val="21"/>
          <w:szCs w:val="21"/>
          <w14:textFill>
            <w14:solidFill>
              <w14:schemeClr w14:val="tx1"/>
            </w14:solidFill>
          </w14:textFill>
        </w:rPr>
      </w:pPr>
      <w:bookmarkStart w:id="633" w:name="_Toc491857619"/>
      <w:bookmarkStart w:id="634" w:name="_Toc495846021"/>
      <w:bookmarkStart w:id="635" w:name="_Toc496299628"/>
      <w:bookmarkStart w:id="636" w:name="_Toc516399786"/>
      <w:bookmarkStart w:id="637" w:name="_Toc522635562"/>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11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开票和付款</w:t>
      </w:r>
      <w:bookmarkEnd w:id="633"/>
      <w:bookmarkEnd w:id="634"/>
      <w:bookmarkEnd w:id="635"/>
      <w:bookmarkEnd w:id="636"/>
      <w:bookmarkEnd w:id="637"/>
      <w:r>
        <w:rPr>
          <w:rFonts w:ascii="Times New Roman" w:hAnsi="Times New Roman" w:eastAsia="黑体"/>
          <w:color w:val="000000" w:themeColor="text1"/>
          <w:sz w:val="21"/>
          <w:szCs w:val="21"/>
          <w14:textFill>
            <w14:solidFill>
              <w14:schemeClr w14:val="tx1"/>
            </w14:solidFill>
          </w14:textFill>
        </w:rPr>
        <w:t xml:space="preserve"> </w:t>
      </w:r>
    </w:p>
    <w:p>
      <w:pPr>
        <w:pStyle w:val="4"/>
        <w:rPr>
          <w:color w:val="000000" w:themeColor="text1"/>
          <w14:textFill>
            <w14:solidFill>
              <w14:schemeClr w14:val="tx1"/>
            </w14:solidFill>
          </w14:textFill>
        </w:rPr>
      </w:pPr>
      <w:bookmarkStart w:id="638" w:name="_Toc491857620"/>
      <w:bookmarkStart w:id="639" w:name="_Toc495846022"/>
      <w:bookmarkStart w:id="640" w:name="_Toc496299629"/>
      <w:bookmarkStart w:id="641" w:name="_Toc516399787"/>
      <w:bookmarkStart w:id="642" w:name="_Toc522635563"/>
      <w:r>
        <w:rPr>
          <w:color w:val="000000" w:themeColor="text1"/>
          <w14:textFill>
            <w14:solidFill>
              <w14:schemeClr w14:val="tx1"/>
            </w14:solidFill>
          </w14:textFill>
        </w:rPr>
        <w:t xml:space="preserve">11.1 </w:t>
      </w:r>
      <w:r>
        <w:rPr>
          <w:rFonts w:hint="eastAsia"/>
          <w:color w:val="000000" w:themeColor="text1"/>
          <w14:textFill>
            <w14:solidFill>
              <w14:schemeClr w14:val="tx1"/>
            </w14:solidFill>
          </w14:textFill>
        </w:rPr>
        <w:t>付款和开票</w:t>
      </w:r>
      <w:bookmarkEnd w:id="638"/>
      <w:bookmarkEnd w:id="639"/>
      <w:bookmarkEnd w:id="640"/>
      <w:bookmarkEnd w:id="641"/>
      <w:bookmarkEnd w:id="642"/>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11.1.1 </w:t>
      </w:r>
      <w:r>
        <w:rPr>
          <w:rFonts w:hint="eastAsia"/>
          <w:color w:val="000000" w:themeColor="text1"/>
          <w14:textFill>
            <w14:solidFill>
              <w14:schemeClr w14:val="tx1"/>
            </w14:solidFill>
          </w14:textFill>
        </w:rPr>
        <w:t>乙方应在杭州大江东产业聚集区开设专为收取可行性缺口补助的银行账户，并于生效日后三十（</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）日内告知甲方该银行账户。如需改变账户，应提前至少七（</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）个工作日书面通知甲方。</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11.1.2 </w:t>
      </w:r>
      <w:r>
        <w:rPr>
          <w:rFonts w:hint="eastAsia"/>
          <w:color w:val="000000" w:themeColor="text1"/>
          <w14:textFill>
            <w14:solidFill>
              <w14:schemeClr w14:val="tx1"/>
            </w14:solidFill>
          </w14:textFill>
        </w:rPr>
        <w:t>甲方应按照第</w:t>
      </w:r>
      <w:r>
        <w:rPr>
          <w:color w:val="000000" w:themeColor="text1"/>
          <w14:textFill>
            <w14:solidFill>
              <w14:schemeClr w14:val="tx1"/>
            </w14:solidFill>
          </w14:textFill>
        </w:rPr>
        <w:t>10.2.3</w:t>
      </w:r>
      <w:r>
        <w:rPr>
          <w:rFonts w:hint="eastAsia"/>
          <w:color w:val="000000" w:themeColor="text1"/>
          <w14:textFill>
            <w14:solidFill>
              <w14:schemeClr w14:val="tx1"/>
            </w14:solidFill>
          </w14:textFill>
        </w:rPr>
        <w:t>条款规定的付款进度向乙方支付可行性缺口补助。</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11.1.3 </w:t>
      </w:r>
      <w:r>
        <w:rPr>
          <w:rFonts w:hint="eastAsia"/>
          <w:color w:val="000000" w:themeColor="text1"/>
          <w14:textFill>
            <w14:solidFill>
              <w14:schemeClr w14:val="tx1"/>
            </w14:solidFill>
          </w14:textFill>
        </w:rPr>
        <w:t>每次付费前二（</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）个月，乙方应向甲方开具可行性缺口补助账单（下称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付款通知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），同时应提供所有相应的证明记录和资料以便甲方能够核实上述计算。</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11.1.4 </w:t>
      </w:r>
      <w:r>
        <w:rPr>
          <w:rFonts w:hint="eastAsia"/>
          <w:color w:val="000000" w:themeColor="text1"/>
          <w14:textFill>
            <w14:solidFill>
              <w14:schemeClr w14:val="tx1"/>
            </w14:solidFill>
          </w14:textFill>
        </w:rPr>
        <w:t>甲方在收到第</w:t>
      </w:r>
      <w:r>
        <w:rPr>
          <w:color w:val="000000" w:themeColor="text1"/>
          <w14:textFill>
            <w14:solidFill>
              <w14:schemeClr w14:val="tx1"/>
            </w14:solidFill>
          </w14:textFill>
        </w:rPr>
        <w:t>11.1.3</w:t>
      </w:r>
      <w:r>
        <w:rPr>
          <w:rFonts w:hint="eastAsia"/>
          <w:color w:val="000000" w:themeColor="text1"/>
          <w14:textFill>
            <w14:solidFill>
              <w14:schemeClr w14:val="tx1"/>
            </w14:solidFill>
          </w14:textFill>
        </w:rPr>
        <w:t>条款的付款通知后十五（</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）个工作日内将经审核后无异议的金额通知乙方和财政局。</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11.1.5 </w:t>
      </w:r>
      <w:r>
        <w:rPr>
          <w:rFonts w:hint="eastAsia"/>
          <w:color w:val="000000" w:themeColor="text1"/>
          <w14:textFill>
            <w14:solidFill>
              <w14:schemeClr w14:val="tx1"/>
            </w14:solidFill>
          </w14:textFill>
        </w:rPr>
        <w:t>如果甲方对付款通知持有任何异议，应在收到付款通知后十五（</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）个工作日内通知乙方，否则即视为认可该等付款通知。乙方应在收到甲方通知后及时给予解答，积极配合甲方重新核定上述计算，双方应在十五（</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）日内为解决争议进行协商。</w:t>
      </w:r>
    </w:p>
    <w:p>
      <w:pPr>
        <w:pStyle w:val="5"/>
        <w:rPr>
          <w:color w:val="000000" w:themeColor="text1"/>
          <w14:textFill>
            <w14:solidFill>
              <w14:schemeClr w14:val="tx1"/>
            </w14:solidFill>
          </w14:textFill>
        </w:rPr>
      </w:pPr>
      <w:r>
        <w:rPr>
          <w:color w:val="000000" w:themeColor="text1"/>
          <w14:textFill>
            <w14:solidFill>
              <w14:schemeClr w14:val="tx1"/>
            </w14:solidFill>
          </w14:textFill>
        </w:rPr>
        <w:t>11.1.6</w:t>
      </w:r>
      <w:r>
        <w:rPr>
          <w:rFonts w:hint="eastAsia"/>
          <w:color w:val="000000" w:themeColor="text1"/>
          <w14:textFill>
            <w14:solidFill>
              <w14:schemeClr w14:val="tx1"/>
            </w14:solidFill>
          </w14:textFill>
        </w:rPr>
        <w:t>合作期内，税率及税种的调整引起乙方应缴增值税及附加增减的，变化（增减）在政府可行性缺口补助支付时调整（对应增减）。乙方需提供有效的税负变化证明及依据。</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11.1.7 </w:t>
      </w:r>
      <w:r>
        <w:rPr>
          <w:rFonts w:hint="eastAsia"/>
          <w:color w:val="000000" w:themeColor="text1"/>
          <w14:textFill>
            <w14:solidFill>
              <w14:schemeClr w14:val="tx1"/>
            </w14:solidFill>
          </w14:textFill>
        </w:rPr>
        <w:t>甲方应在收到第</w:t>
      </w:r>
      <w:r>
        <w:rPr>
          <w:color w:val="000000" w:themeColor="text1"/>
          <w14:textFill>
            <w14:solidFill>
              <w14:schemeClr w14:val="tx1"/>
            </w14:solidFill>
          </w14:textFill>
        </w:rPr>
        <w:t>11.1.6</w:t>
      </w:r>
      <w:r>
        <w:rPr>
          <w:rFonts w:hint="eastAsia"/>
          <w:color w:val="000000" w:themeColor="text1"/>
          <w14:textFill>
            <w14:solidFill>
              <w14:schemeClr w14:val="tx1"/>
            </w14:solidFill>
          </w14:textFill>
        </w:rPr>
        <w:t>条款规定的票据后十五（</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）个工作日内向乙方支付可行性缺口补助。</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11.1.8 </w:t>
      </w:r>
      <w:r>
        <w:rPr>
          <w:rFonts w:hint="eastAsia"/>
          <w:color w:val="000000" w:themeColor="text1"/>
          <w14:textFill>
            <w14:solidFill>
              <w14:schemeClr w14:val="tx1"/>
            </w14:solidFill>
          </w14:textFill>
        </w:rPr>
        <w:t>考虑甲方办理可行性缺口补助款项确认、通知、支付的流程相对复杂，支付宽限期设定为二十（</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）个工作日。甲方在支付宽限期内付款不认定为逾期付款。</w:t>
      </w:r>
    </w:p>
    <w:p>
      <w:pPr>
        <w:pStyle w:val="4"/>
        <w:rPr>
          <w:color w:val="000000" w:themeColor="text1"/>
          <w14:textFill>
            <w14:solidFill>
              <w14:schemeClr w14:val="tx1"/>
            </w14:solidFill>
          </w14:textFill>
        </w:rPr>
      </w:pPr>
      <w:bookmarkStart w:id="643" w:name="_Toc491857621"/>
      <w:bookmarkStart w:id="644" w:name="_Toc495846023"/>
      <w:bookmarkStart w:id="645" w:name="_Toc496299630"/>
      <w:bookmarkStart w:id="646" w:name="_Toc516399788"/>
      <w:bookmarkStart w:id="647" w:name="_Toc522635564"/>
      <w:r>
        <w:rPr>
          <w:color w:val="000000" w:themeColor="text1"/>
          <w14:textFill>
            <w14:solidFill>
              <w14:schemeClr w14:val="tx1"/>
            </w14:solidFill>
          </w14:textFill>
        </w:rPr>
        <w:t xml:space="preserve">11.2 </w:t>
      </w:r>
      <w:r>
        <w:rPr>
          <w:rFonts w:hint="eastAsia"/>
          <w:color w:val="000000" w:themeColor="text1"/>
          <w14:textFill>
            <w14:solidFill>
              <w14:schemeClr w14:val="tx1"/>
            </w14:solidFill>
          </w14:textFill>
        </w:rPr>
        <w:t>逾期付款</w:t>
      </w:r>
      <w:bookmarkEnd w:id="643"/>
      <w:bookmarkEnd w:id="644"/>
      <w:bookmarkEnd w:id="645"/>
      <w:bookmarkEnd w:id="646"/>
      <w:bookmarkEnd w:id="647"/>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11.2.1 </w:t>
      </w:r>
      <w:r>
        <w:rPr>
          <w:rFonts w:hint="eastAsia"/>
          <w:color w:val="000000" w:themeColor="text1"/>
          <w14:textFill>
            <w14:solidFill>
              <w14:schemeClr w14:val="tx1"/>
            </w14:solidFill>
          </w14:textFill>
        </w:rPr>
        <w:t>本合同项下任何逾期未付款项，应从到期应付之日超出宽限期起至收款方实际收到款项之日止，按违约利率计算违约金。</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11.2.2 </w:t>
      </w:r>
      <w:r>
        <w:rPr>
          <w:rFonts w:hint="eastAsia"/>
          <w:color w:val="000000" w:themeColor="text1"/>
          <w14:textFill>
            <w14:solidFill>
              <w14:schemeClr w14:val="tx1"/>
            </w14:solidFill>
          </w14:textFill>
        </w:rPr>
        <w:t>任何有争议的款项，经双方达成一致意见或根据第</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条作出终局判决，实属到期应付的，甲方应支付给乙方，并从原到期应付之日起按违约利率计算违约金；不属到期应付的，如已由甲方支付，则乙方应立即归还给甲方，或由甲方选择从应支付的服务费中扣除，并应从甲方通知乙方返还之日起到实际返还差额之日止按违约利率计算违约金。</w:t>
      </w:r>
    </w:p>
    <w:p>
      <w:pPr>
        <w:pStyle w:val="4"/>
        <w:rPr>
          <w:color w:val="000000" w:themeColor="text1"/>
          <w14:textFill>
            <w14:solidFill>
              <w14:schemeClr w14:val="tx1"/>
            </w14:solidFill>
          </w14:textFill>
        </w:rPr>
      </w:pPr>
      <w:bookmarkStart w:id="648" w:name="_Toc491857622"/>
      <w:bookmarkStart w:id="649" w:name="_Toc495846024"/>
      <w:bookmarkStart w:id="650" w:name="_Toc496299631"/>
      <w:bookmarkStart w:id="651" w:name="_Toc516399789"/>
      <w:bookmarkStart w:id="652" w:name="_Toc522635565"/>
      <w:r>
        <w:rPr>
          <w:color w:val="000000" w:themeColor="text1"/>
          <w14:textFill>
            <w14:solidFill>
              <w14:schemeClr w14:val="tx1"/>
            </w14:solidFill>
          </w14:textFill>
        </w:rPr>
        <w:t xml:space="preserve">11.3 </w:t>
      </w:r>
      <w:r>
        <w:rPr>
          <w:rFonts w:hint="eastAsia"/>
          <w:color w:val="000000" w:themeColor="text1"/>
          <w14:textFill>
            <w14:solidFill>
              <w14:schemeClr w14:val="tx1"/>
            </w14:solidFill>
          </w14:textFill>
        </w:rPr>
        <w:t>货币</w:t>
      </w:r>
      <w:bookmarkEnd w:id="648"/>
      <w:bookmarkEnd w:id="649"/>
      <w:bookmarkEnd w:id="650"/>
      <w:bookmarkEnd w:id="651"/>
      <w:bookmarkEnd w:id="652"/>
    </w:p>
    <w:p>
      <w:pPr>
        <w:pStyle w:val="310"/>
        <w:spacing w:line="360" w:lineRule="auto"/>
        <w:ind w:firstLine="657" w:firstLineChars="313"/>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本合同下的任何应付款项，一律以人民币支付。</w:t>
      </w:r>
    </w:p>
    <w:p>
      <w:pPr>
        <w:pStyle w:val="310"/>
        <w:spacing w:line="360" w:lineRule="auto"/>
        <w:ind w:firstLine="657" w:firstLineChars="313"/>
        <w:rPr>
          <w:rFonts w:ascii="Times New Roman" w:eastAsia="宋体" w:cs="Times New Roman"/>
          <w:color w:val="000000" w:themeColor="text1"/>
          <w:sz w:val="21"/>
          <w:szCs w:val="21"/>
          <w14:textFill>
            <w14:solidFill>
              <w14:schemeClr w14:val="tx1"/>
            </w14:solidFill>
          </w14:textFill>
        </w:rPr>
      </w:pPr>
    </w:p>
    <w:p>
      <w:pPr>
        <w:pStyle w:val="3"/>
        <w:jc w:val="center"/>
        <w:rPr>
          <w:rFonts w:ascii="Times New Roman" w:hAnsi="Times New Roman" w:eastAsia="黑体"/>
          <w:color w:val="000000" w:themeColor="text1"/>
          <w:sz w:val="21"/>
          <w:szCs w:val="21"/>
          <w14:textFill>
            <w14:solidFill>
              <w14:schemeClr w14:val="tx1"/>
            </w14:solidFill>
          </w14:textFill>
        </w:rPr>
      </w:pPr>
      <w:bookmarkStart w:id="653" w:name="_Toc491857623"/>
      <w:bookmarkStart w:id="654" w:name="_Toc495846025"/>
      <w:bookmarkStart w:id="655" w:name="_Toc496299632"/>
      <w:bookmarkStart w:id="656" w:name="_Toc516399790"/>
      <w:bookmarkStart w:id="657" w:name="_Toc522635566"/>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12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合作期的项目设施移交</w:t>
      </w:r>
      <w:bookmarkEnd w:id="653"/>
      <w:bookmarkEnd w:id="654"/>
      <w:bookmarkEnd w:id="655"/>
      <w:bookmarkEnd w:id="656"/>
      <w:bookmarkEnd w:id="657"/>
    </w:p>
    <w:p>
      <w:pPr>
        <w:pStyle w:val="4"/>
        <w:rPr>
          <w:color w:val="000000" w:themeColor="text1"/>
          <w14:textFill>
            <w14:solidFill>
              <w14:schemeClr w14:val="tx1"/>
            </w14:solidFill>
          </w14:textFill>
        </w:rPr>
      </w:pPr>
      <w:bookmarkStart w:id="658" w:name="_Toc491857624"/>
      <w:bookmarkStart w:id="659" w:name="_Toc495846026"/>
      <w:bookmarkStart w:id="660" w:name="_Toc496299635"/>
      <w:bookmarkStart w:id="661" w:name="_Toc516399791"/>
      <w:bookmarkStart w:id="662" w:name="_Toc522635567"/>
      <w:r>
        <w:rPr>
          <w:color w:val="000000" w:themeColor="text1"/>
          <w14:textFill>
            <w14:solidFill>
              <w14:schemeClr w14:val="tx1"/>
            </w14:solidFill>
          </w14:textFill>
        </w:rPr>
        <w:t xml:space="preserve">12.1 </w:t>
      </w:r>
      <w:r>
        <w:rPr>
          <w:rFonts w:hint="eastAsia"/>
          <w:color w:val="000000" w:themeColor="text1"/>
          <w14:textFill>
            <w14:solidFill>
              <w14:schemeClr w14:val="tx1"/>
            </w14:solidFill>
          </w14:textFill>
        </w:rPr>
        <w:t>移交范围</w:t>
      </w:r>
      <w:bookmarkEnd w:id="658"/>
      <w:bookmarkEnd w:id="659"/>
      <w:bookmarkEnd w:id="660"/>
      <w:bookmarkEnd w:id="661"/>
      <w:bookmarkEnd w:id="662"/>
    </w:p>
    <w:p>
      <w:pPr>
        <w:pStyle w:val="5"/>
        <w:rPr>
          <w:color w:val="000000" w:themeColor="text1"/>
          <w:lang w:val="en-US"/>
          <w14:textFill>
            <w14:solidFill>
              <w14:schemeClr w14:val="tx1"/>
            </w14:solidFill>
          </w14:textFill>
        </w:rPr>
      </w:pPr>
      <w:r>
        <w:rPr>
          <w:color w:val="000000" w:themeColor="text1"/>
          <w14:textFill>
            <w14:solidFill>
              <w14:schemeClr w14:val="tx1"/>
            </w14:solidFill>
          </w14:textFill>
        </w:rPr>
        <w:t>12.1.1</w:t>
      </w:r>
      <w:r>
        <w:rPr>
          <w:rFonts w:hint="eastAsia"/>
          <w:color w:val="000000" w:themeColor="text1"/>
          <w14:textFill>
            <w14:solidFill>
              <w14:schemeClr w14:val="tx1"/>
            </w14:solidFill>
          </w14:textFill>
        </w:rPr>
        <w:t>移交日，乙方应向接收方完好无偿移交项目设施的所有权益，包括：</w:t>
      </w:r>
    </w:p>
    <w:p>
      <w:pPr>
        <w:pStyle w:val="310"/>
        <w:numPr>
          <w:ilvl w:val="0"/>
          <w:numId w:val="86"/>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使用项目设施所占有土地的权利；</w:t>
      </w:r>
    </w:p>
    <w:p>
      <w:pPr>
        <w:pStyle w:val="310"/>
        <w:numPr>
          <w:ilvl w:val="0"/>
          <w:numId w:val="86"/>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乙方对项目设施的相关权益，包括：</w:t>
      </w:r>
    </w:p>
    <w:p>
      <w:pPr>
        <w:pStyle w:val="310"/>
        <w:numPr>
          <w:ilvl w:val="0"/>
          <w:numId w:val="87"/>
        </w:numPr>
        <w:spacing w:line="360" w:lineRule="auto"/>
        <w:ind w:left="1484" w:hanging="633"/>
        <w:jc w:val="both"/>
        <w:rPr>
          <w:rFonts w:ascii="Times New Roman" w:eastAsia="宋体" w:cs="Times New Roman"/>
          <w:color w:val="000000" w:themeColor="text1"/>
          <w:sz w:val="21"/>
          <w:szCs w:val="21"/>
          <w14:textFill>
            <w14:solidFill>
              <w14:schemeClr w14:val="tx1"/>
            </w14:solidFill>
          </w14:textFill>
        </w:rPr>
      </w:pPr>
      <w:bookmarkStart w:id="663" w:name="_Hlk496303807"/>
      <w:r>
        <w:rPr>
          <w:rFonts w:hint="eastAsia" w:ascii="Times New Roman" w:eastAsia="宋体" w:cs="Times New Roman"/>
          <w:color w:val="000000" w:themeColor="text1"/>
          <w:sz w:val="21"/>
          <w:szCs w:val="21"/>
          <w14:textFill>
            <w14:solidFill>
              <w14:schemeClr w14:val="tx1"/>
            </w14:solidFill>
          </w14:textFill>
        </w:rPr>
        <w:t>项目设施</w:t>
      </w:r>
      <w:bookmarkEnd w:id="663"/>
      <w:r>
        <w:rPr>
          <w:rFonts w:hint="eastAsia" w:ascii="Times New Roman" w:eastAsia="宋体" w:cs="Times New Roman"/>
          <w:color w:val="000000" w:themeColor="text1"/>
          <w:sz w:val="21"/>
          <w:szCs w:val="21"/>
          <w14:textFill>
            <w14:solidFill>
              <w14:schemeClr w14:val="tx1"/>
            </w14:solidFill>
          </w14:textFill>
        </w:rPr>
        <w:t>；</w:t>
      </w:r>
    </w:p>
    <w:p>
      <w:pPr>
        <w:pStyle w:val="310"/>
        <w:numPr>
          <w:ilvl w:val="0"/>
          <w:numId w:val="87"/>
        </w:numPr>
        <w:spacing w:line="360" w:lineRule="auto"/>
        <w:ind w:left="1484" w:hanging="63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与项目设施相关的所有设备及备品备件等；</w:t>
      </w:r>
    </w:p>
    <w:p>
      <w:pPr>
        <w:pStyle w:val="310"/>
        <w:numPr>
          <w:ilvl w:val="0"/>
          <w:numId w:val="87"/>
        </w:numPr>
        <w:spacing w:line="360" w:lineRule="auto"/>
        <w:ind w:left="1484" w:hanging="63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与项目设施相关的所有尚未到期的保证、保险和其它协议的利益。</w:t>
      </w:r>
    </w:p>
    <w:p>
      <w:pPr>
        <w:pStyle w:val="310"/>
        <w:numPr>
          <w:ilvl w:val="0"/>
          <w:numId w:val="86"/>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管理和维护项目设施所必需的技术文件和技术诀窍，以及所有的维护手册、维护记录、设计图纸、工程档案、设备、资产清册、质量保修书等有关资料，以使其能够直接或经由其指定机构继续管理和维护项目设施；</w:t>
      </w:r>
    </w:p>
    <w:p>
      <w:pPr>
        <w:pStyle w:val="310"/>
        <w:numPr>
          <w:ilvl w:val="0"/>
          <w:numId w:val="86"/>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bookmarkStart w:id="664" w:name="_Hlk496303921"/>
      <w:r>
        <w:rPr>
          <w:rFonts w:hint="eastAsia" w:ascii="Times New Roman" w:eastAsia="宋体" w:cs="Times New Roman"/>
          <w:color w:val="000000" w:themeColor="text1"/>
          <w:sz w:val="21"/>
          <w:szCs w:val="21"/>
          <w14:textFill>
            <w14:solidFill>
              <w14:schemeClr w14:val="tx1"/>
            </w14:solidFill>
          </w14:textFill>
        </w:rPr>
        <w:t>为移交项目设施的所有权所需的文件</w:t>
      </w:r>
      <w:bookmarkEnd w:id="664"/>
      <w:r>
        <w:rPr>
          <w:rFonts w:hint="eastAsia" w:ascii="Times New Roman" w:eastAsia="宋体" w:cs="Times New Roman"/>
          <w:color w:val="000000" w:themeColor="text1"/>
          <w:sz w:val="21"/>
          <w:szCs w:val="21"/>
          <w14:textFill>
            <w14:solidFill>
              <w14:schemeClr w14:val="tx1"/>
            </w14:solidFill>
          </w14:textFill>
        </w:rPr>
        <w:t>；</w:t>
      </w:r>
    </w:p>
    <w:p>
      <w:pPr>
        <w:pStyle w:val="310"/>
        <w:numPr>
          <w:ilvl w:val="0"/>
          <w:numId w:val="86"/>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bookmarkStart w:id="665" w:name="_Hlk496303936"/>
      <w:r>
        <w:rPr>
          <w:rFonts w:hint="eastAsia" w:ascii="Times New Roman" w:eastAsia="宋体" w:cs="Times New Roman"/>
          <w:color w:val="000000" w:themeColor="text1"/>
          <w:sz w:val="21"/>
          <w:szCs w:val="21"/>
          <w14:textFill>
            <w14:solidFill>
              <w14:schemeClr w14:val="tx1"/>
            </w14:solidFill>
          </w14:textFill>
        </w:rPr>
        <w:t>甲方合理要求的其它物品与资料</w:t>
      </w:r>
      <w:bookmarkEnd w:id="665"/>
      <w:r>
        <w:rPr>
          <w:rFonts w:hint="eastAsia" w:ascii="Times New Roman" w:eastAsia="宋体" w:cs="Times New Roman"/>
          <w:color w:val="000000" w:themeColor="text1"/>
          <w:sz w:val="21"/>
          <w:szCs w:val="21"/>
          <w14:textFill>
            <w14:solidFill>
              <w14:schemeClr w14:val="tx1"/>
            </w14:solidFill>
          </w14:textFill>
        </w:rPr>
        <w:t>。</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12.1.2 </w:t>
      </w:r>
      <w:r>
        <w:rPr>
          <w:rFonts w:hint="eastAsia"/>
          <w:color w:val="000000" w:themeColor="text1"/>
          <w14:textFill>
            <w14:solidFill>
              <w14:schemeClr w14:val="tx1"/>
            </w14:solidFill>
          </w14:textFill>
        </w:rPr>
        <w:t>上述移交不应附带任何负债或违约、侵权责任。所有与移交的设施、权益、文件等有关的负债或违约、侵权责任及任何第三人的权利主张，应在移交日的十（</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）日前由乙方全部清偿或赔偿或妥善处理完毕。乙方未清偿或赔偿及妥善处理完毕以及未及时为之，致接收方损失的，乙方应予赔偿，并自接收方损失之日起按本合同约定的违约利率向接收方支付违约金。</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12.1.3 </w:t>
      </w:r>
      <w:bookmarkStart w:id="666" w:name="_Hlk496304157"/>
      <w:r>
        <w:rPr>
          <w:rFonts w:hint="eastAsia"/>
          <w:color w:val="000000" w:themeColor="text1"/>
          <w14:textFill>
            <w14:solidFill>
              <w14:schemeClr w14:val="tx1"/>
            </w14:solidFill>
          </w14:textFill>
        </w:rPr>
        <w:t>移交开始之前，乙方应按照接收方的要求提交所有资产清册，资产清册应包括该项目所有资产应列名目</w:t>
      </w:r>
      <w:bookmarkEnd w:id="666"/>
      <w:r>
        <w:rPr>
          <w:rFonts w:hint="eastAsia"/>
          <w:color w:val="000000" w:themeColor="text1"/>
          <w14:textFill>
            <w14:solidFill>
              <w14:schemeClr w14:val="tx1"/>
            </w14:solidFill>
          </w14:textFill>
        </w:rPr>
        <w:t>。</w:t>
      </w:r>
    </w:p>
    <w:p>
      <w:pPr>
        <w:pStyle w:val="4"/>
        <w:rPr>
          <w:color w:val="000000" w:themeColor="text1"/>
          <w14:textFill>
            <w14:solidFill>
              <w14:schemeClr w14:val="tx1"/>
            </w14:solidFill>
          </w14:textFill>
        </w:rPr>
      </w:pPr>
      <w:bookmarkStart w:id="667" w:name="_Toc491857625"/>
      <w:bookmarkStart w:id="668" w:name="_Toc495846027"/>
      <w:bookmarkStart w:id="669" w:name="_Toc496299636"/>
      <w:bookmarkStart w:id="670" w:name="_Toc516399792"/>
      <w:bookmarkStart w:id="671" w:name="_Toc522635568"/>
      <w:r>
        <w:rPr>
          <w:color w:val="000000" w:themeColor="text1"/>
          <w14:textFill>
            <w14:solidFill>
              <w14:schemeClr w14:val="tx1"/>
            </w14:solidFill>
          </w14:textFill>
        </w:rPr>
        <w:t xml:space="preserve">12.2 </w:t>
      </w:r>
      <w:r>
        <w:rPr>
          <w:rFonts w:hint="eastAsia"/>
          <w:color w:val="000000" w:themeColor="text1"/>
          <w14:textFill>
            <w14:solidFill>
              <w14:schemeClr w14:val="tx1"/>
            </w14:solidFill>
          </w14:textFill>
        </w:rPr>
        <w:t>移交委员会和移交程序</w:t>
      </w:r>
      <w:bookmarkEnd w:id="667"/>
      <w:bookmarkEnd w:id="668"/>
      <w:bookmarkEnd w:id="669"/>
      <w:bookmarkEnd w:id="670"/>
      <w:bookmarkEnd w:id="671"/>
      <w:r>
        <w:rPr>
          <w:color w:val="000000" w:themeColor="text1"/>
          <w14:textFill>
            <w14:solidFill>
              <w14:schemeClr w14:val="tx1"/>
            </w14:solidFill>
          </w14:textFill>
        </w:rPr>
        <w:t xml:space="preserve"> </w:t>
      </w:r>
    </w:p>
    <w:p>
      <w:pPr>
        <w:pStyle w:val="310"/>
        <w:spacing w:line="360" w:lineRule="auto"/>
        <w:ind w:left="517" w:leftChars="246" w:hanging="1"/>
        <w:jc w:val="both"/>
        <w:rPr>
          <w:rFonts w:ascii="Times New Roman" w:eastAsia="宋体" w:cs="Times New Roman"/>
          <w:color w:val="000000" w:themeColor="text1"/>
          <w:sz w:val="21"/>
          <w:szCs w:val="21"/>
          <w14:textFill>
            <w14:solidFill>
              <w14:schemeClr w14:val="tx1"/>
            </w14:solidFill>
          </w14:textFill>
        </w:rPr>
      </w:pPr>
      <w:bookmarkStart w:id="672" w:name="_Hlk496304500"/>
      <w:r>
        <w:rPr>
          <w:rFonts w:hint="eastAsia" w:ascii="Times New Roman" w:eastAsia="宋体" w:cs="Times New Roman"/>
          <w:color w:val="000000" w:themeColor="text1"/>
          <w:sz w:val="21"/>
          <w:szCs w:val="21"/>
          <w14:textFill>
            <w14:solidFill>
              <w14:schemeClr w14:val="tx1"/>
            </w14:solidFill>
          </w14:textFill>
        </w:rPr>
        <w:t>合作期届满九（</w:t>
      </w:r>
      <w:r>
        <w:rPr>
          <w:rFonts w:ascii="Times New Roman" w:eastAsia="宋体" w:cs="Times New Roman"/>
          <w:color w:val="000000" w:themeColor="text1"/>
          <w:sz w:val="21"/>
          <w:szCs w:val="21"/>
          <w14:textFill>
            <w14:solidFill>
              <w14:schemeClr w14:val="tx1"/>
            </w14:solidFill>
          </w14:textFill>
        </w:rPr>
        <w:t>9</w:t>
      </w:r>
      <w:r>
        <w:rPr>
          <w:rFonts w:hint="eastAsia" w:ascii="Times New Roman" w:eastAsia="宋体" w:cs="Times New Roman"/>
          <w:color w:val="000000" w:themeColor="text1"/>
          <w:sz w:val="21"/>
          <w:szCs w:val="21"/>
          <w14:textFill>
            <w14:solidFill>
              <w14:schemeClr w14:val="tx1"/>
            </w14:solidFill>
          </w14:textFill>
        </w:rPr>
        <w:t>）个月前，甲方和乙方应成立移交委员会，移交委员会由甲方三（</w:t>
      </w:r>
      <w:r>
        <w:rPr>
          <w:rFonts w:ascii="Times New Roman" w:eastAsia="宋体" w:cs="Times New Roman"/>
          <w:color w:val="000000" w:themeColor="text1"/>
          <w:sz w:val="21"/>
          <w:szCs w:val="21"/>
          <w14:textFill>
            <w14:solidFill>
              <w14:schemeClr w14:val="tx1"/>
            </w14:solidFill>
          </w14:textFill>
        </w:rPr>
        <w:t>3</w:t>
      </w:r>
      <w:r>
        <w:rPr>
          <w:rFonts w:hint="eastAsia" w:ascii="Times New Roman" w:eastAsia="宋体" w:cs="Times New Roman"/>
          <w:color w:val="000000" w:themeColor="text1"/>
          <w:sz w:val="21"/>
          <w:szCs w:val="21"/>
          <w14:textFill>
            <w14:solidFill>
              <w14:schemeClr w14:val="tx1"/>
            </w14:solidFill>
          </w14:textFill>
        </w:rPr>
        <w:t>）名授权代表和乙方三（</w:t>
      </w:r>
      <w:r>
        <w:rPr>
          <w:rFonts w:ascii="Times New Roman" w:eastAsia="宋体" w:cs="Times New Roman"/>
          <w:color w:val="000000" w:themeColor="text1"/>
          <w:sz w:val="21"/>
          <w:szCs w:val="21"/>
          <w14:textFill>
            <w14:solidFill>
              <w14:schemeClr w14:val="tx1"/>
            </w14:solidFill>
          </w14:textFill>
        </w:rPr>
        <w:t>3</w:t>
      </w:r>
      <w:r>
        <w:rPr>
          <w:rFonts w:hint="eastAsia" w:ascii="Times New Roman" w:eastAsia="宋体" w:cs="Times New Roman"/>
          <w:color w:val="000000" w:themeColor="text1"/>
          <w:sz w:val="21"/>
          <w:szCs w:val="21"/>
          <w14:textFill>
            <w14:solidFill>
              <w14:schemeClr w14:val="tx1"/>
            </w14:solidFill>
          </w14:textFill>
        </w:rPr>
        <w:t>）名授权代表组成。移交委员会应在双方同意的时间举行会谈并商定项目设施移交的详尽程序以及按照</w:t>
      </w:r>
      <w:r>
        <w:rPr>
          <w:rFonts w:ascii="Times New Roman" w:eastAsia="宋体" w:cs="Times New Roman"/>
          <w:color w:val="000000" w:themeColor="text1"/>
          <w:sz w:val="21"/>
          <w:szCs w:val="21"/>
          <w14:textFill>
            <w14:solidFill>
              <w14:schemeClr w14:val="tx1"/>
            </w14:solidFill>
          </w14:textFill>
        </w:rPr>
        <w:t>12.1</w:t>
      </w:r>
      <w:r>
        <w:rPr>
          <w:rFonts w:hint="eastAsia" w:ascii="Times New Roman" w:eastAsia="宋体" w:cs="Times New Roman"/>
          <w:color w:val="000000" w:themeColor="text1"/>
          <w:sz w:val="21"/>
          <w:szCs w:val="21"/>
          <w14:textFill>
            <w14:solidFill>
              <w14:schemeClr w14:val="tx1"/>
            </w14:solidFill>
          </w14:textFill>
        </w:rPr>
        <w:t>条款规定的移交范围的详细清单</w:t>
      </w:r>
      <w:bookmarkEnd w:id="672"/>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 xml:space="preserve"> </w:t>
      </w:r>
    </w:p>
    <w:p>
      <w:pPr>
        <w:pStyle w:val="4"/>
        <w:rPr>
          <w:color w:val="000000" w:themeColor="text1"/>
          <w14:textFill>
            <w14:solidFill>
              <w14:schemeClr w14:val="tx1"/>
            </w14:solidFill>
          </w14:textFill>
        </w:rPr>
      </w:pPr>
      <w:bookmarkStart w:id="673" w:name="_Toc491857626"/>
      <w:bookmarkStart w:id="674" w:name="_Toc495846028"/>
      <w:bookmarkStart w:id="675" w:name="_Toc496299637"/>
      <w:bookmarkStart w:id="676" w:name="_Toc516399793"/>
      <w:bookmarkStart w:id="677" w:name="_Toc522635569"/>
      <w:r>
        <w:rPr>
          <w:color w:val="000000" w:themeColor="text1"/>
          <w14:textFill>
            <w14:solidFill>
              <w14:schemeClr w14:val="tx1"/>
            </w14:solidFill>
          </w14:textFill>
        </w:rPr>
        <w:t xml:space="preserve">12.3 </w:t>
      </w:r>
      <w:r>
        <w:rPr>
          <w:rFonts w:hint="eastAsia"/>
          <w:color w:val="000000" w:themeColor="text1"/>
          <w14:textFill>
            <w14:solidFill>
              <w14:schemeClr w14:val="tx1"/>
            </w14:solidFill>
          </w14:textFill>
        </w:rPr>
        <w:t>保证、保险和技术的转让</w:t>
      </w:r>
      <w:bookmarkEnd w:id="673"/>
      <w:bookmarkEnd w:id="674"/>
      <w:bookmarkEnd w:id="675"/>
      <w:bookmarkEnd w:id="676"/>
      <w:bookmarkEnd w:id="677"/>
      <w:r>
        <w:rPr>
          <w:color w:val="000000" w:themeColor="text1"/>
          <w14:textFill>
            <w14:solidFill>
              <w14:schemeClr w14:val="tx1"/>
            </w14:solidFill>
          </w14:textFill>
        </w:rPr>
        <w:t xml:space="preserve"> </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12.3.1 </w:t>
      </w:r>
      <w:r>
        <w:rPr>
          <w:rFonts w:hint="eastAsia"/>
          <w:color w:val="000000" w:themeColor="text1"/>
          <w14:textFill>
            <w14:solidFill>
              <w14:schemeClr w14:val="tx1"/>
            </w14:solidFill>
          </w14:textFill>
        </w:rPr>
        <w:t>移交时，乙方应将所有项目设施的承包商、制造商和供应商提供的尚未期满的担保及保证，全部无偿转让给甲方。乙方应当通过与所有项目设施的承包商、制造商和供应商以合同安排或者其他方式确保原承包商、制造商和供应商的担保在所有项目设施转移给甲方后仍对甲方有效。</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12.3.2 </w:t>
      </w:r>
      <w:bookmarkStart w:id="678" w:name="_Hlk496304832"/>
      <w:r>
        <w:rPr>
          <w:rFonts w:hint="eastAsia"/>
          <w:color w:val="000000" w:themeColor="text1"/>
          <w14:textFill>
            <w14:solidFill>
              <w14:schemeClr w14:val="tx1"/>
            </w14:solidFill>
          </w14:textFill>
        </w:rPr>
        <w:t>在移交时，乙方应将所有保险单、暂保单和保险单批单无偿转让给甲方</w:t>
      </w:r>
      <w:bookmarkEnd w:id="678"/>
      <w:r>
        <w:rPr>
          <w:rFonts w:hint="eastAsia"/>
          <w:color w:val="000000" w:themeColor="text1"/>
          <w14:textFill>
            <w14:solidFill>
              <w14:schemeClr w14:val="tx1"/>
            </w14:solidFill>
          </w14:textFill>
        </w:rPr>
        <w:t>。</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12.3.3 </w:t>
      </w:r>
      <w:r>
        <w:rPr>
          <w:rFonts w:hint="eastAsia"/>
          <w:color w:val="000000" w:themeColor="text1"/>
          <w14:textFill>
            <w14:solidFill>
              <w14:schemeClr w14:val="tx1"/>
            </w14:solidFill>
          </w14:textFill>
        </w:rPr>
        <w:t>乙方应在移交日将届时使用的管理和维护项目设施所需要的所有技术和技术诀窍（包括以任何许可方式取得的），全部无偿移交给甲方，并确保甲方不会因使用这些技术或技术诀窍而遭受侵权索赔。如果上述技术和技术诀窍的使用权到移交日已期满，乙方有义务协助甲方以不高于乙方取得此等技术和技术诀窍时所付出的代价取得这些技术和技术诀窍的使用权。甲方因使用这些技术或者技术诀窍而遭受侵权索赔导致甲方损失的，该损失应当由乙方承担赔偿责任。</w:t>
      </w:r>
    </w:p>
    <w:p>
      <w:pPr>
        <w:pStyle w:val="4"/>
        <w:rPr>
          <w:color w:val="000000" w:themeColor="text1"/>
          <w14:textFill>
            <w14:solidFill>
              <w14:schemeClr w14:val="tx1"/>
            </w14:solidFill>
          </w14:textFill>
        </w:rPr>
      </w:pPr>
      <w:bookmarkStart w:id="679" w:name="_Toc491857627"/>
      <w:bookmarkStart w:id="680" w:name="_Toc495846029"/>
      <w:bookmarkStart w:id="681" w:name="_Toc496299638"/>
      <w:bookmarkStart w:id="682" w:name="_Toc516399794"/>
      <w:bookmarkStart w:id="683" w:name="_Toc522635570"/>
      <w:r>
        <w:rPr>
          <w:color w:val="000000" w:themeColor="text1"/>
          <w14:textFill>
            <w14:solidFill>
              <w14:schemeClr w14:val="tx1"/>
            </w14:solidFill>
          </w14:textFill>
        </w:rPr>
        <w:t xml:space="preserve">12.4 </w:t>
      </w:r>
      <w:r>
        <w:rPr>
          <w:rFonts w:hint="eastAsia"/>
          <w:color w:val="000000" w:themeColor="text1"/>
          <w14:textFill>
            <w14:solidFill>
              <w14:schemeClr w14:val="tx1"/>
            </w14:solidFill>
          </w14:textFill>
        </w:rPr>
        <w:t>合同的取消和转让</w:t>
      </w:r>
      <w:bookmarkEnd w:id="679"/>
      <w:bookmarkEnd w:id="680"/>
      <w:bookmarkEnd w:id="681"/>
      <w:bookmarkEnd w:id="682"/>
      <w:bookmarkEnd w:id="683"/>
    </w:p>
    <w:p>
      <w:pPr>
        <w:pStyle w:val="310"/>
        <w:spacing w:line="360" w:lineRule="auto"/>
        <w:ind w:left="517" w:leftChars="246" w:hanging="1"/>
        <w:jc w:val="both"/>
        <w:rPr>
          <w:rFonts w:ascii="Times New Roman" w:eastAsia="宋体" w:cs="Times New Roman"/>
          <w:color w:val="000000" w:themeColor="text1"/>
          <w:sz w:val="21"/>
          <w:szCs w:val="21"/>
          <w14:textFill>
            <w14:solidFill>
              <w14:schemeClr w14:val="tx1"/>
            </w14:solidFill>
          </w14:textFill>
        </w:rPr>
      </w:pPr>
      <w:bookmarkStart w:id="684" w:name="_Hlk496305003"/>
      <w:r>
        <w:rPr>
          <w:rFonts w:hint="eastAsia" w:ascii="Times New Roman" w:eastAsia="宋体" w:cs="Times New Roman"/>
          <w:color w:val="000000" w:themeColor="text1"/>
          <w:sz w:val="21"/>
          <w:szCs w:val="21"/>
          <w14:textFill>
            <w14:solidFill>
              <w14:schemeClr w14:val="tx1"/>
            </w14:solidFill>
          </w14:textFill>
        </w:rPr>
        <w:t>以第</w:t>
      </w:r>
      <w:r>
        <w:rPr>
          <w:rFonts w:ascii="Times New Roman" w:eastAsia="宋体" w:cs="Times New Roman"/>
          <w:color w:val="000000" w:themeColor="text1"/>
          <w:sz w:val="21"/>
          <w:szCs w:val="21"/>
          <w14:textFill>
            <w14:solidFill>
              <w14:schemeClr w14:val="tx1"/>
            </w14:solidFill>
          </w14:textFill>
        </w:rPr>
        <w:t>12.3</w:t>
      </w:r>
      <w:r>
        <w:rPr>
          <w:rFonts w:hint="eastAsia" w:ascii="Times New Roman" w:eastAsia="宋体" w:cs="Times New Roman"/>
          <w:color w:val="000000" w:themeColor="text1"/>
          <w:sz w:val="21"/>
          <w:szCs w:val="21"/>
          <w14:textFill>
            <w14:solidFill>
              <w14:schemeClr w14:val="tx1"/>
            </w14:solidFill>
          </w14:textFill>
        </w:rPr>
        <w:t>条款为前提，如果甲方合理要求，乙方应取消其签订的、于移交时仍有效的维护合同（如有）、设备合同、供货合同和任何其他合同。甲方对于取消合同所发生的任何费用不负责任，同时乙方应尽全部合理义务保护甲方免受任何此类损害。若该等合同对项目的管理和维护是必需的，经甲方要求，乙方应向甲方无偿转让上述合同的权利和义务</w:t>
      </w:r>
      <w:bookmarkEnd w:id="684"/>
      <w:r>
        <w:rPr>
          <w:rFonts w:hint="eastAsia" w:ascii="Times New Roman" w:eastAsia="宋体" w:cs="Times New Roman"/>
          <w:color w:val="000000" w:themeColor="text1"/>
          <w:sz w:val="21"/>
          <w:szCs w:val="21"/>
          <w14:textFill>
            <w14:solidFill>
              <w14:schemeClr w14:val="tx1"/>
            </w14:solidFill>
          </w14:textFill>
        </w:rPr>
        <w:t>。</w:t>
      </w:r>
    </w:p>
    <w:p>
      <w:pPr>
        <w:pStyle w:val="4"/>
        <w:rPr>
          <w:color w:val="000000" w:themeColor="text1"/>
          <w14:textFill>
            <w14:solidFill>
              <w14:schemeClr w14:val="tx1"/>
            </w14:solidFill>
          </w14:textFill>
        </w:rPr>
      </w:pPr>
      <w:bookmarkStart w:id="685" w:name="_Toc491857628"/>
      <w:bookmarkStart w:id="686" w:name="_Toc495846030"/>
      <w:bookmarkStart w:id="687" w:name="_Toc496299639"/>
      <w:bookmarkStart w:id="688" w:name="_Toc516399795"/>
      <w:bookmarkStart w:id="689" w:name="_Toc522635571"/>
      <w:r>
        <w:rPr>
          <w:color w:val="000000" w:themeColor="text1"/>
          <w14:textFill>
            <w14:solidFill>
              <w14:schemeClr w14:val="tx1"/>
            </w14:solidFill>
          </w14:textFill>
        </w:rPr>
        <w:t xml:space="preserve">12.5 </w:t>
      </w:r>
      <w:r>
        <w:rPr>
          <w:rFonts w:hint="eastAsia"/>
          <w:color w:val="000000" w:themeColor="text1"/>
          <w14:textFill>
            <w14:solidFill>
              <w14:schemeClr w14:val="tx1"/>
            </w14:solidFill>
          </w14:textFill>
        </w:rPr>
        <w:t>人员和人员培训</w:t>
      </w:r>
      <w:bookmarkEnd w:id="685"/>
      <w:bookmarkEnd w:id="686"/>
      <w:bookmarkEnd w:id="687"/>
      <w:bookmarkEnd w:id="688"/>
      <w:bookmarkEnd w:id="689"/>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12.5.1 </w:t>
      </w:r>
      <w:r>
        <w:rPr>
          <w:rFonts w:hint="eastAsia"/>
          <w:color w:val="000000" w:themeColor="text1"/>
          <w14:textFill>
            <w14:solidFill>
              <w14:schemeClr w14:val="tx1"/>
            </w14:solidFill>
          </w14:textFill>
        </w:rPr>
        <w:t>不迟于移交日前三（</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个月，乙方将向甲方提交一份当时乙方雇佣的雇员名单，包括每个雇员的资格、职位、收入和福利等的详细资料。乙方同时将说明在移交日之后哪些雇员将可供甲方聘用。但甲方不保证该等人员会被甲方所聘用，在移交日前甲方未明确该等人员被留聘的情况下，乙方需自行负责相关人员的处置。</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12.5.2 </w:t>
      </w:r>
      <w:r>
        <w:rPr>
          <w:rFonts w:hint="eastAsia"/>
          <w:color w:val="000000" w:themeColor="text1"/>
          <w14:textFill>
            <w14:solidFill>
              <w14:schemeClr w14:val="tx1"/>
            </w14:solidFill>
          </w14:textFill>
        </w:rPr>
        <w:t>甲方需要在移交日之前派驻人员到乙方所在地进行培训或学习的，应不迟于移交日前二（</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）个月向乙方说明情况及拟派驻人员名单并提供详细简历。乙方免费负责为上述人员提供培训。移交日之前，甲方和乙方将组织对上述人员进行考核，以确定乙方的培训目标是否完成。</w:t>
      </w:r>
    </w:p>
    <w:p>
      <w:pPr>
        <w:pStyle w:val="4"/>
        <w:rPr>
          <w:color w:val="000000" w:themeColor="text1"/>
          <w14:textFill>
            <w14:solidFill>
              <w14:schemeClr w14:val="tx1"/>
            </w14:solidFill>
          </w14:textFill>
        </w:rPr>
      </w:pPr>
      <w:bookmarkStart w:id="690" w:name="_Toc491857629"/>
      <w:bookmarkStart w:id="691" w:name="_Toc495846031"/>
      <w:bookmarkStart w:id="692" w:name="_Toc496299640"/>
      <w:bookmarkStart w:id="693" w:name="_Toc516399796"/>
      <w:bookmarkStart w:id="694" w:name="_Toc522635572"/>
      <w:r>
        <w:rPr>
          <w:color w:val="000000" w:themeColor="text1"/>
          <w14:textFill>
            <w14:solidFill>
              <w14:schemeClr w14:val="tx1"/>
            </w14:solidFill>
          </w14:textFill>
        </w:rPr>
        <w:t xml:space="preserve">12.6 </w:t>
      </w:r>
      <w:r>
        <w:rPr>
          <w:rFonts w:hint="eastAsia"/>
          <w:color w:val="000000" w:themeColor="text1"/>
          <w14:textFill>
            <w14:solidFill>
              <w14:schemeClr w14:val="tx1"/>
            </w14:solidFill>
          </w14:textFill>
        </w:rPr>
        <w:t>移交标准与缺陷修复</w:t>
      </w:r>
      <w:bookmarkEnd w:id="690"/>
      <w:bookmarkEnd w:id="691"/>
      <w:bookmarkEnd w:id="692"/>
      <w:bookmarkEnd w:id="693"/>
      <w:bookmarkEnd w:id="694"/>
    </w:p>
    <w:p>
      <w:pPr>
        <w:pStyle w:val="5"/>
        <w:rPr>
          <w:color w:val="000000" w:themeColor="text1"/>
          <w14:textFill>
            <w14:solidFill>
              <w14:schemeClr w14:val="tx1"/>
            </w14:solidFill>
          </w14:textFill>
        </w:rPr>
      </w:pPr>
      <w:r>
        <w:rPr>
          <w:color w:val="000000" w:themeColor="text1"/>
          <w14:textFill>
            <w14:solidFill>
              <w14:schemeClr w14:val="tx1"/>
            </w14:solidFill>
          </w14:textFill>
        </w:rPr>
        <w:t>12.6.1</w:t>
      </w:r>
      <w:bookmarkStart w:id="695" w:name="_Hlk496305136"/>
      <w:r>
        <w:rPr>
          <w:rFonts w:hint="eastAsia"/>
          <w:color w:val="000000" w:themeColor="text1"/>
          <w14:textFill>
            <w14:solidFill>
              <w14:schemeClr w14:val="tx1"/>
            </w14:solidFill>
          </w14:textFill>
        </w:rPr>
        <w:t>移交日，乙方应保证本项目处于良好的管理和维护状况（正常损耗除外）、处于正常使用状态、符合适用法律和本合同所规定的设计使用功能、安全和环境等有关标准（下称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移交标准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pStyle w:val="5"/>
        <w:rPr>
          <w:color w:val="000000" w:themeColor="text1"/>
          <w14:textFill>
            <w14:solidFill>
              <w14:schemeClr w14:val="tx1"/>
            </w14:solidFill>
          </w14:textFill>
        </w:rPr>
      </w:pPr>
      <w:r>
        <w:rPr>
          <w:color w:val="000000" w:themeColor="text1"/>
          <w14:textFill>
            <w14:solidFill>
              <w14:schemeClr w14:val="tx1"/>
            </w14:solidFill>
          </w14:textFill>
        </w:rPr>
        <w:t>12.6.2</w:t>
      </w:r>
      <w:r>
        <w:rPr>
          <w:rFonts w:hint="eastAsia"/>
          <w:color w:val="000000" w:themeColor="text1"/>
          <w14:textFill>
            <w14:solidFill>
              <w14:schemeClr w14:val="tx1"/>
            </w14:solidFill>
          </w14:textFill>
        </w:rPr>
        <w:t>乙方应确保合作期最后一年的维（养）护绩效考核指标达到移交标准。</w:t>
      </w:r>
    </w:p>
    <w:p>
      <w:pPr>
        <w:pStyle w:val="5"/>
        <w:ind w:hangingChars="300"/>
        <w:rPr>
          <w:color w:val="000000" w:themeColor="text1"/>
          <w14:textFill>
            <w14:solidFill>
              <w14:schemeClr w14:val="tx1"/>
            </w14:solidFill>
          </w14:textFill>
        </w:rPr>
      </w:pPr>
      <w:r>
        <w:rPr>
          <w:color w:val="000000" w:themeColor="text1"/>
          <w14:textFill>
            <w14:solidFill>
              <w14:schemeClr w14:val="tx1"/>
            </w14:solidFill>
          </w14:textFill>
        </w:rPr>
        <w:t xml:space="preserve">12.6.3 </w:t>
      </w:r>
      <w:r>
        <w:rPr>
          <w:rFonts w:hint="eastAsia"/>
          <w:color w:val="000000" w:themeColor="text1"/>
          <w14:textFill>
            <w14:solidFill>
              <w14:schemeClr w14:val="tx1"/>
            </w14:solidFill>
          </w14:textFill>
        </w:rPr>
        <w:t>在移交日之前，甲方应在乙方代表在场时对本项目进行移交验收。如发现存在缺陷、未能达到移交标准的，则乙方应及时修复。如乙方拒绝修复，则甲方有权扣除当年全部运营维养成本或从最后一期可行性缺口补助中扣除用于修复的全部费用。如任一方对是否达到移交标准有异议的，则由移交委员会聘请第三方机构进行评定。如果评定结果达到移交标准，聘请费用由甲方承担；如果评定结果未达到移交标准，则聘请费用由乙方承担。</w:t>
      </w:r>
    </w:p>
    <w:p>
      <w:pPr>
        <w:pStyle w:val="5"/>
        <w:rPr>
          <w:color w:val="000000" w:themeColor="text1"/>
          <w14:textFill>
            <w14:solidFill>
              <w14:schemeClr w14:val="tx1"/>
            </w14:solidFill>
          </w14:textFill>
        </w:rPr>
      </w:pPr>
      <w:r>
        <w:rPr>
          <w:color w:val="000000" w:themeColor="text1"/>
          <w14:textFill>
            <w14:solidFill>
              <w14:schemeClr w14:val="tx1"/>
            </w14:solidFill>
          </w14:textFill>
        </w:rPr>
        <w:t>12.6.4</w:t>
      </w:r>
      <w:r>
        <w:rPr>
          <w:rFonts w:hint="eastAsia"/>
          <w:color w:val="000000" w:themeColor="text1"/>
          <w14:textFill>
            <w14:solidFill>
              <w14:schemeClr w14:val="tx1"/>
            </w14:solidFill>
          </w14:textFill>
        </w:rPr>
        <w:t>如果未能达到移交标准（含异议情形下，经第三方机构认定未能达到移交标准的），且乙方不能自前次验收日起三十（</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日或双方同意的更长时间内修复任何上述缺陷，则甲方可以自行修正，由乙方承担风险和费用。甲方应有权提取或扣留最后一期可行性缺口补助的部分或全额额度以补偿修复上述缺陷的支出，但是需将发生的详细支出记录提交给乙方。</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12.6.5 </w:t>
      </w:r>
      <w:r>
        <w:rPr>
          <w:rFonts w:hint="eastAsia"/>
          <w:color w:val="000000" w:themeColor="text1"/>
          <w14:textFill>
            <w14:solidFill>
              <w14:schemeClr w14:val="tx1"/>
            </w14:solidFill>
          </w14:textFill>
        </w:rPr>
        <w:t>由于非乙方原因，甲方未能在移交日起三十（</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）日内进行移交验收，则视为通过移交验收。</w:t>
      </w:r>
    </w:p>
    <w:bookmarkEnd w:id="695"/>
    <w:p>
      <w:pPr>
        <w:pStyle w:val="4"/>
        <w:rPr>
          <w:color w:val="000000" w:themeColor="text1"/>
          <w14:textFill>
            <w14:solidFill>
              <w14:schemeClr w14:val="tx1"/>
            </w14:solidFill>
          </w14:textFill>
        </w:rPr>
      </w:pPr>
      <w:bookmarkStart w:id="696" w:name="_Toc491857630"/>
      <w:bookmarkStart w:id="697" w:name="_Toc495846032"/>
      <w:bookmarkStart w:id="698" w:name="_Toc496299641"/>
      <w:bookmarkStart w:id="699" w:name="_Toc516399797"/>
      <w:bookmarkStart w:id="700" w:name="_Toc522635573"/>
      <w:r>
        <w:rPr>
          <w:color w:val="000000" w:themeColor="text1"/>
          <w14:textFill>
            <w14:solidFill>
              <w14:schemeClr w14:val="tx1"/>
            </w14:solidFill>
          </w14:textFill>
        </w:rPr>
        <w:t xml:space="preserve">12.7 </w:t>
      </w:r>
      <w:r>
        <w:rPr>
          <w:rFonts w:hint="eastAsia"/>
          <w:color w:val="000000" w:themeColor="text1"/>
          <w14:textFill>
            <w14:solidFill>
              <w14:schemeClr w14:val="tx1"/>
            </w14:solidFill>
          </w14:textFill>
        </w:rPr>
        <w:t>质保期</w:t>
      </w:r>
      <w:bookmarkEnd w:id="696"/>
      <w:bookmarkEnd w:id="697"/>
      <w:bookmarkEnd w:id="698"/>
      <w:bookmarkEnd w:id="699"/>
      <w:bookmarkEnd w:id="700"/>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12.7.1 </w:t>
      </w:r>
      <w:r>
        <w:rPr>
          <w:rFonts w:hint="eastAsia"/>
          <w:color w:val="000000" w:themeColor="text1"/>
          <w14:textFill>
            <w14:solidFill>
              <w14:schemeClr w14:val="tx1"/>
            </w14:solidFill>
          </w14:textFill>
        </w:rPr>
        <w:t>运营期届满</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个月前乙方</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项目公司</w:t>
      </w:r>
      <w:r>
        <w:rPr>
          <w:rFonts w:hint="eastAsia"/>
          <w:color w:val="000000" w:themeColor="text1"/>
          <w14:textFill>
            <w14:solidFill>
              <w14:schemeClr w14:val="tx1"/>
            </w14:solidFill>
          </w14:textFill>
        </w:rPr>
        <w:t>向甲方提交一份金融机构（地级市及以上国有或股份制商业银行的支行或分行）出具的移交维护保函，保函额度伍仟万元（</w:t>
      </w:r>
      <w:r>
        <w:rPr>
          <w:color w:val="000000" w:themeColor="text1"/>
          <w14:textFill>
            <w14:solidFill>
              <w14:schemeClr w14:val="tx1"/>
            </w14:solidFill>
          </w14:textFill>
        </w:rPr>
        <w:t>5000</w:t>
      </w:r>
      <w:r>
        <w:rPr>
          <w:rFonts w:hint="eastAsia"/>
          <w:color w:val="000000" w:themeColor="text1"/>
          <w14:textFill>
            <w14:solidFill>
              <w14:schemeClr w14:val="tx1"/>
            </w14:solidFill>
          </w14:textFill>
        </w:rPr>
        <w:t>万元）人民币。</w:t>
      </w:r>
    </w:p>
    <w:p>
      <w:pPr>
        <w:pStyle w:val="5"/>
        <w:rPr>
          <w:color w:val="000000" w:themeColor="text1"/>
          <w14:textFill>
            <w14:solidFill>
              <w14:schemeClr w14:val="tx1"/>
            </w14:solidFill>
          </w14:textFill>
        </w:rPr>
      </w:pPr>
      <w:r>
        <w:rPr>
          <w:color w:val="000000" w:themeColor="text1"/>
          <w14:textFill>
            <w14:solidFill>
              <w14:schemeClr w14:val="tx1"/>
            </w14:solidFill>
          </w14:textFill>
        </w:rPr>
        <w:t>12.7.2</w:t>
      </w:r>
      <w:r>
        <w:rPr>
          <w:rFonts w:hint="eastAsia"/>
          <w:color w:val="000000" w:themeColor="text1"/>
          <w14:textFill>
            <w14:solidFill>
              <w14:schemeClr w14:val="tx1"/>
            </w14:solidFill>
          </w14:textFill>
        </w:rPr>
        <w:t>移交后项目设施质保期为移交日后一（</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个年。质保期内，乙方须按国家规定履行保修义务（因接受移交的单位使用不当造成的损坏除外），修复项目设施的任何部分在合作期内出现的任何缺陷或损坏，并提供满足正常生产需要的技术咨询服务。移交后且质保期满，项目公司方可清算撤销。</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12.7.3 </w:t>
      </w:r>
      <w:r>
        <w:rPr>
          <w:rFonts w:hint="eastAsia"/>
          <w:color w:val="000000" w:themeColor="text1"/>
          <w14:textFill>
            <w14:solidFill>
              <w14:schemeClr w14:val="tx1"/>
            </w14:solidFill>
          </w14:textFill>
        </w:rPr>
        <w:t>甲方发现任何上述缺陷或损坏后应及时通知乙方。在任何情况下，甲方必须最迟于质保期结束前通知乙方。收到该通知后，乙方应尽快自费修正缺陷或损坏。</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12.7.4 </w:t>
      </w:r>
      <w:r>
        <w:rPr>
          <w:rFonts w:hint="eastAsia"/>
          <w:color w:val="000000" w:themeColor="text1"/>
          <w14:textFill>
            <w14:solidFill>
              <w14:schemeClr w14:val="tx1"/>
            </w14:solidFill>
          </w14:textFill>
        </w:rPr>
        <w:t>如果乙方在收到甲方上述通知后合理的时间内不能或拒绝修正缺陷，甲方有权自行或请第三方修正上述缺陷。在这种情况下，乙方应为此向甲方支付合理且必要的修理费用，否则甲方有权从移交维护保函中兑取。若甲方已兑取</w:t>
      </w:r>
      <w:bookmarkStart w:id="701" w:name="OLE_LINK4"/>
      <w:r>
        <w:rPr>
          <w:rFonts w:hint="eastAsia"/>
          <w:color w:val="000000" w:themeColor="text1"/>
          <w14:textFill>
            <w14:solidFill>
              <w14:schemeClr w14:val="tx1"/>
            </w14:solidFill>
          </w14:textFill>
        </w:rPr>
        <w:t>移交维护保函额度</w:t>
      </w:r>
      <w:bookmarkEnd w:id="701"/>
      <w:r>
        <w:rPr>
          <w:rFonts w:hint="eastAsia"/>
          <w:color w:val="000000" w:themeColor="text1"/>
          <w14:textFill>
            <w14:solidFill>
              <w14:schemeClr w14:val="tx1"/>
            </w14:solidFill>
          </w14:textFill>
        </w:rPr>
        <w:t>，且移交维护保函余额不足，乙方</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项目公司</w:t>
      </w:r>
      <w:r>
        <w:rPr>
          <w:rFonts w:hint="eastAsia"/>
          <w:color w:val="000000" w:themeColor="text1"/>
          <w14:textFill>
            <w14:solidFill>
              <w14:schemeClr w14:val="tx1"/>
            </w14:solidFill>
          </w14:textFill>
        </w:rPr>
        <w:t>以现金形式向甲方进行支付。</w:t>
      </w:r>
    </w:p>
    <w:p>
      <w:pPr>
        <w:pStyle w:val="4"/>
        <w:rPr>
          <w:color w:val="000000" w:themeColor="text1"/>
          <w14:textFill>
            <w14:solidFill>
              <w14:schemeClr w14:val="tx1"/>
            </w14:solidFill>
          </w14:textFill>
        </w:rPr>
      </w:pPr>
      <w:bookmarkStart w:id="702" w:name="_Toc516399798"/>
      <w:bookmarkStart w:id="703" w:name="_Toc495846033"/>
      <w:bookmarkStart w:id="704" w:name="_Toc522635574"/>
      <w:bookmarkStart w:id="705" w:name="_Toc496299642"/>
      <w:bookmarkStart w:id="706" w:name="_Toc491857631"/>
      <w:r>
        <w:rPr>
          <w:color w:val="000000" w:themeColor="text1"/>
          <w14:textFill>
            <w14:solidFill>
              <w14:schemeClr w14:val="tx1"/>
            </w14:solidFill>
          </w14:textFill>
        </w:rPr>
        <w:t xml:space="preserve">12.8 </w:t>
      </w:r>
      <w:r>
        <w:rPr>
          <w:rFonts w:hint="eastAsia"/>
          <w:color w:val="000000" w:themeColor="text1"/>
          <w14:textFill>
            <w14:solidFill>
              <w14:schemeClr w14:val="tx1"/>
            </w14:solidFill>
          </w14:textFill>
        </w:rPr>
        <w:t>移交费用</w:t>
      </w:r>
      <w:bookmarkEnd w:id="702"/>
      <w:bookmarkEnd w:id="703"/>
      <w:bookmarkEnd w:id="704"/>
      <w:bookmarkEnd w:id="705"/>
      <w:bookmarkEnd w:id="706"/>
    </w:p>
    <w:p>
      <w:pPr>
        <w:pStyle w:val="310"/>
        <w:spacing w:line="360" w:lineRule="auto"/>
        <w:ind w:left="598" w:leftChars="285" w:firstLine="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乙方及甲方负责各自的因为移交发生的费用和支出。甲方应自费获得所有的批准并使之生效，并采取其他可能为移交所必需的措施。</w:t>
      </w:r>
    </w:p>
    <w:p>
      <w:pPr>
        <w:pStyle w:val="4"/>
        <w:rPr>
          <w:color w:val="000000" w:themeColor="text1"/>
          <w14:textFill>
            <w14:solidFill>
              <w14:schemeClr w14:val="tx1"/>
            </w14:solidFill>
          </w14:textFill>
        </w:rPr>
      </w:pPr>
      <w:bookmarkStart w:id="707" w:name="_Toc491857632"/>
      <w:bookmarkStart w:id="708" w:name="_Toc495846034"/>
      <w:bookmarkStart w:id="709" w:name="_Toc496299643"/>
      <w:bookmarkStart w:id="710" w:name="_Toc516399799"/>
      <w:bookmarkStart w:id="711" w:name="_Toc522635575"/>
      <w:r>
        <w:rPr>
          <w:color w:val="000000" w:themeColor="text1"/>
          <w14:textFill>
            <w14:solidFill>
              <w14:schemeClr w14:val="tx1"/>
            </w14:solidFill>
          </w14:textFill>
        </w:rPr>
        <w:t xml:space="preserve">12.9 </w:t>
      </w:r>
      <w:r>
        <w:rPr>
          <w:rFonts w:hint="eastAsia"/>
          <w:color w:val="000000" w:themeColor="text1"/>
          <w14:textFill>
            <w14:solidFill>
              <w14:schemeClr w14:val="tx1"/>
            </w14:solidFill>
          </w14:textFill>
        </w:rPr>
        <w:t>移交效力</w:t>
      </w:r>
      <w:bookmarkEnd w:id="707"/>
      <w:bookmarkEnd w:id="708"/>
      <w:bookmarkEnd w:id="709"/>
      <w:bookmarkEnd w:id="710"/>
      <w:bookmarkEnd w:id="711"/>
    </w:p>
    <w:p>
      <w:pPr>
        <w:pStyle w:val="5"/>
        <w:rPr>
          <w:color w:val="000000" w:themeColor="text1"/>
          <w14:textFill>
            <w14:solidFill>
              <w14:schemeClr w14:val="tx1"/>
            </w14:solidFill>
          </w14:textFill>
        </w:rPr>
      </w:pPr>
      <w:r>
        <w:rPr>
          <w:color w:val="000000" w:themeColor="text1"/>
          <w14:textFill>
            <w14:solidFill>
              <w14:schemeClr w14:val="tx1"/>
            </w14:solidFill>
          </w14:textFill>
        </w:rPr>
        <w:t>12.9.1</w:t>
      </w:r>
      <w:r>
        <w:rPr>
          <w:rFonts w:hint="eastAsia"/>
          <w:color w:val="000000" w:themeColor="text1"/>
          <w14:textFill>
            <w14:solidFill>
              <w14:schemeClr w14:val="tx1"/>
            </w14:solidFill>
          </w14:textFill>
        </w:rPr>
        <w:t>移交日起，乙方在本合同项下的经营权即行终止，乙方无权取得自移交日起的使用者付费。</w:t>
      </w:r>
    </w:p>
    <w:p>
      <w:pPr>
        <w:pStyle w:val="5"/>
        <w:rPr>
          <w:color w:val="000000" w:themeColor="text1"/>
          <w14:textFill>
            <w14:solidFill>
              <w14:schemeClr w14:val="tx1"/>
            </w14:solidFill>
          </w14:textFill>
        </w:rPr>
      </w:pPr>
      <w:r>
        <w:rPr>
          <w:color w:val="000000" w:themeColor="text1"/>
          <w14:textFill>
            <w14:solidFill>
              <w14:schemeClr w14:val="tx1"/>
            </w14:solidFill>
          </w14:textFill>
        </w:rPr>
        <w:t>12.9.2</w:t>
      </w:r>
      <w:r>
        <w:rPr>
          <w:rFonts w:hint="eastAsia"/>
          <w:color w:val="000000" w:themeColor="text1"/>
          <w14:textFill>
            <w14:solidFill>
              <w14:schemeClr w14:val="tx1"/>
            </w14:solidFill>
          </w14:textFill>
        </w:rPr>
        <w:t>移交日起，项目全部设施的管理使用权和其他相关权益均转移给甲方。</w:t>
      </w:r>
    </w:p>
    <w:p>
      <w:pPr>
        <w:pStyle w:val="5"/>
        <w:rPr>
          <w:color w:val="000000" w:themeColor="text1"/>
          <w14:textFill>
            <w14:solidFill>
              <w14:schemeClr w14:val="tx1"/>
            </w14:solidFill>
          </w14:textFill>
        </w:rPr>
      </w:pPr>
      <w:r>
        <w:rPr>
          <w:color w:val="000000" w:themeColor="text1"/>
          <w14:textFill>
            <w14:solidFill>
              <w14:schemeClr w14:val="tx1"/>
            </w14:solidFill>
          </w14:textFill>
        </w:rPr>
        <w:t>12.9.3</w:t>
      </w:r>
      <w:r>
        <w:rPr>
          <w:rFonts w:hint="eastAsia"/>
          <w:color w:val="000000" w:themeColor="text1"/>
          <w14:textFill>
            <w14:solidFill>
              <w14:schemeClr w14:val="tx1"/>
            </w14:solidFill>
          </w14:textFill>
        </w:rPr>
        <w:t>移交日起，由甲方全面负责项目设施的管理和维（养）护。</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12.9.4 </w:t>
      </w:r>
      <w:r>
        <w:rPr>
          <w:rFonts w:hint="eastAsia"/>
          <w:color w:val="000000" w:themeColor="text1"/>
          <w14:textFill>
            <w14:solidFill>
              <w14:schemeClr w14:val="tx1"/>
            </w14:solidFill>
          </w14:textFill>
        </w:rPr>
        <w:t>双方在本合同项下未履行完毕的其他权利和义务应当继续履行。</w:t>
      </w:r>
    </w:p>
    <w:p>
      <w:pPr>
        <w:pStyle w:val="4"/>
        <w:rPr>
          <w:color w:val="000000" w:themeColor="text1"/>
          <w14:textFill>
            <w14:solidFill>
              <w14:schemeClr w14:val="tx1"/>
            </w14:solidFill>
          </w14:textFill>
        </w:rPr>
      </w:pPr>
      <w:bookmarkStart w:id="712" w:name="_Toc491857633"/>
      <w:bookmarkStart w:id="713" w:name="_Toc495846035"/>
      <w:bookmarkStart w:id="714" w:name="_Toc496299644"/>
      <w:bookmarkStart w:id="715" w:name="_Toc516399800"/>
      <w:bookmarkStart w:id="716" w:name="_Toc522635576"/>
      <w:r>
        <w:rPr>
          <w:color w:val="000000" w:themeColor="text1"/>
          <w14:textFill>
            <w14:solidFill>
              <w14:schemeClr w14:val="tx1"/>
            </w14:solidFill>
          </w14:textFill>
        </w:rPr>
        <w:t xml:space="preserve">12.10 </w:t>
      </w:r>
      <w:r>
        <w:rPr>
          <w:rFonts w:hint="eastAsia"/>
          <w:color w:val="000000" w:themeColor="text1"/>
          <w14:textFill>
            <w14:solidFill>
              <w14:schemeClr w14:val="tx1"/>
            </w14:solidFill>
          </w14:textFill>
        </w:rPr>
        <w:t>移走乙方的其他无关物品</w:t>
      </w:r>
      <w:bookmarkEnd w:id="712"/>
      <w:bookmarkEnd w:id="713"/>
      <w:bookmarkEnd w:id="714"/>
      <w:bookmarkEnd w:id="715"/>
      <w:bookmarkEnd w:id="716"/>
    </w:p>
    <w:p>
      <w:pPr>
        <w:pStyle w:val="310"/>
        <w:spacing w:line="360" w:lineRule="auto"/>
        <w:ind w:left="598" w:leftChars="285" w:firstLine="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除非双方另有协议，乙方应于移交日起三十（</w:t>
      </w:r>
      <w:r>
        <w:rPr>
          <w:rFonts w:ascii="Times New Roman" w:eastAsia="宋体" w:cs="Times New Roman"/>
          <w:color w:val="000000" w:themeColor="text1"/>
          <w:sz w:val="21"/>
          <w:szCs w:val="21"/>
          <w14:textFill>
            <w14:solidFill>
              <w14:schemeClr w14:val="tx1"/>
            </w14:solidFill>
          </w14:textFill>
        </w:rPr>
        <w:t>30</w:t>
      </w:r>
      <w:r>
        <w:rPr>
          <w:rFonts w:hint="eastAsia" w:ascii="Times New Roman" w:eastAsia="宋体" w:cs="Times New Roman"/>
          <w:color w:val="000000" w:themeColor="text1"/>
          <w:sz w:val="21"/>
          <w:szCs w:val="21"/>
          <w14:textFill>
            <w14:solidFill>
              <w14:schemeClr w14:val="tx1"/>
            </w14:solidFill>
          </w14:textFill>
        </w:rPr>
        <w:t>）日内，自费从项目场地移走乙方雇员的个人用品以及与项目设施的维护和管理无关的物品。若乙方在上述时间内未能移走这些物品，视为乙方放弃该等物品所有权，甲方有权任意处置并不予乙方任何补偿。</w:t>
      </w:r>
    </w:p>
    <w:p>
      <w:pPr>
        <w:pStyle w:val="4"/>
        <w:rPr>
          <w:color w:val="000000" w:themeColor="text1"/>
          <w14:textFill>
            <w14:solidFill>
              <w14:schemeClr w14:val="tx1"/>
            </w14:solidFill>
          </w14:textFill>
        </w:rPr>
      </w:pPr>
      <w:bookmarkStart w:id="717" w:name="_Toc491857634"/>
      <w:bookmarkStart w:id="718" w:name="_Toc495846036"/>
      <w:bookmarkStart w:id="719" w:name="_Toc496299645"/>
      <w:bookmarkStart w:id="720" w:name="_Toc516399801"/>
      <w:bookmarkStart w:id="721" w:name="_Toc522635577"/>
      <w:r>
        <w:rPr>
          <w:color w:val="000000" w:themeColor="text1"/>
          <w14:textFill>
            <w14:solidFill>
              <w14:schemeClr w14:val="tx1"/>
            </w14:solidFill>
          </w14:textFill>
        </w:rPr>
        <w:t>12.11</w:t>
      </w:r>
      <w:r>
        <w:rPr>
          <w:rFonts w:hint="eastAsia"/>
          <w:color w:val="000000" w:themeColor="text1"/>
          <w14:textFill>
            <w14:solidFill>
              <w14:schemeClr w14:val="tx1"/>
            </w14:solidFill>
          </w14:textFill>
        </w:rPr>
        <w:t>逾期移交的违约责任</w:t>
      </w:r>
      <w:bookmarkEnd w:id="717"/>
      <w:bookmarkEnd w:id="718"/>
      <w:bookmarkEnd w:id="719"/>
      <w:bookmarkEnd w:id="720"/>
      <w:bookmarkEnd w:id="721"/>
    </w:p>
    <w:p>
      <w:pPr>
        <w:pStyle w:val="310"/>
        <w:spacing w:line="360" w:lineRule="auto"/>
        <w:ind w:left="598" w:leftChars="285" w:firstLine="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乙方逾期移交的，甲方有权强制清场、腾空，且自逾期之日起至甲方进场期间，乙方按每日贰万元（</w:t>
      </w:r>
      <w:r>
        <w:rPr>
          <w:rFonts w:ascii="Times New Roman" w:eastAsia="宋体" w:cs="Times New Roman"/>
          <w:color w:val="000000" w:themeColor="text1"/>
          <w:sz w:val="21"/>
          <w:szCs w:val="21"/>
          <w14:textFill>
            <w14:solidFill>
              <w14:schemeClr w14:val="tx1"/>
            </w14:solidFill>
          </w14:textFill>
        </w:rPr>
        <w:t>20000.00</w:t>
      </w:r>
      <w:r>
        <w:rPr>
          <w:rFonts w:hint="eastAsia" w:ascii="Times New Roman" w:eastAsia="宋体" w:cs="Times New Roman"/>
          <w:color w:val="000000" w:themeColor="text1"/>
          <w:sz w:val="21"/>
          <w:szCs w:val="21"/>
          <w14:textFill>
            <w14:solidFill>
              <w14:schemeClr w14:val="tx1"/>
            </w14:solidFill>
          </w14:textFill>
        </w:rPr>
        <w:t>元）向甲方支付违约金。</w:t>
      </w:r>
      <w:bookmarkStart w:id="722" w:name="_Hlk521432198"/>
      <w:r>
        <w:rPr>
          <w:rFonts w:hint="eastAsia" w:ascii="Times New Roman" w:eastAsia="宋体" w:cs="Times New Roman"/>
          <w:color w:val="000000" w:themeColor="text1"/>
          <w:sz w:val="21"/>
          <w:szCs w:val="21"/>
          <w14:textFill>
            <w14:solidFill>
              <w14:schemeClr w14:val="tx1"/>
            </w14:solidFill>
          </w14:textFill>
        </w:rPr>
        <w:t>逾期移交期间产生的运营费用由乙方承担，产生的运营收入归甲方所有。</w:t>
      </w:r>
    </w:p>
    <w:bookmarkEnd w:id="722"/>
    <w:p>
      <w:pPr>
        <w:pStyle w:val="3"/>
        <w:jc w:val="center"/>
        <w:rPr>
          <w:rFonts w:ascii="Times New Roman" w:hAnsi="Times New Roman" w:eastAsia="黑体"/>
          <w:color w:val="000000" w:themeColor="text1"/>
          <w:sz w:val="21"/>
          <w:szCs w:val="21"/>
          <w14:textFill>
            <w14:solidFill>
              <w14:schemeClr w14:val="tx1"/>
            </w14:solidFill>
          </w14:textFill>
        </w:rPr>
      </w:pPr>
      <w:bookmarkStart w:id="723" w:name="_Toc491857635"/>
      <w:bookmarkStart w:id="724" w:name="_Toc495846037"/>
      <w:bookmarkStart w:id="725" w:name="_Toc496299646"/>
      <w:bookmarkStart w:id="726" w:name="_Toc516399802"/>
      <w:bookmarkStart w:id="727" w:name="_Toc522635578"/>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13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不可抗力</w:t>
      </w:r>
      <w:bookmarkEnd w:id="723"/>
      <w:bookmarkEnd w:id="724"/>
      <w:bookmarkEnd w:id="725"/>
      <w:bookmarkEnd w:id="726"/>
      <w:bookmarkEnd w:id="727"/>
      <w:r>
        <w:rPr>
          <w:rFonts w:ascii="Times New Roman" w:hAnsi="Times New Roman" w:eastAsia="黑体"/>
          <w:color w:val="000000" w:themeColor="text1"/>
          <w:sz w:val="21"/>
          <w:szCs w:val="21"/>
          <w14:textFill>
            <w14:solidFill>
              <w14:schemeClr w14:val="tx1"/>
            </w14:solidFill>
          </w14:textFill>
        </w:rPr>
        <w:t xml:space="preserve"> </w:t>
      </w:r>
    </w:p>
    <w:p>
      <w:pPr>
        <w:pStyle w:val="4"/>
        <w:rPr>
          <w:color w:val="000000" w:themeColor="text1"/>
          <w14:textFill>
            <w14:solidFill>
              <w14:schemeClr w14:val="tx1"/>
            </w14:solidFill>
          </w14:textFill>
        </w:rPr>
      </w:pPr>
      <w:bookmarkStart w:id="728" w:name="_Toc491857636"/>
      <w:bookmarkStart w:id="729" w:name="_Toc495846038"/>
      <w:bookmarkStart w:id="730" w:name="_Toc496299647"/>
      <w:bookmarkStart w:id="731" w:name="_Toc516399803"/>
      <w:bookmarkStart w:id="732" w:name="_Toc522635579"/>
      <w:r>
        <w:rPr>
          <w:color w:val="000000" w:themeColor="text1"/>
          <w14:textFill>
            <w14:solidFill>
              <w14:schemeClr w14:val="tx1"/>
            </w14:solidFill>
          </w14:textFill>
        </w:rPr>
        <w:t xml:space="preserve">13.1 </w:t>
      </w:r>
      <w:r>
        <w:rPr>
          <w:rFonts w:hint="eastAsia"/>
          <w:color w:val="000000" w:themeColor="text1"/>
          <w14:textFill>
            <w14:solidFill>
              <w14:schemeClr w14:val="tx1"/>
            </w14:solidFill>
          </w14:textFill>
        </w:rPr>
        <w:t>不可抗力事件</w:t>
      </w:r>
      <w:bookmarkEnd w:id="728"/>
      <w:bookmarkEnd w:id="729"/>
      <w:bookmarkEnd w:id="730"/>
      <w:bookmarkEnd w:id="731"/>
      <w:bookmarkEnd w:id="732"/>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13.1.1 </w:t>
      </w:r>
      <w:r>
        <w:rPr>
          <w:rFonts w:hint="eastAsia"/>
          <w:color w:val="000000" w:themeColor="text1"/>
          <w14:textFill>
            <w14:solidFill>
              <w14:schemeClr w14:val="tx1"/>
            </w14:solidFill>
          </w14:textFill>
        </w:rPr>
        <w:t>不可抗力是指：</w:t>
      </w:r>
    </w:p>
    <w:p>
      <w:pPr>
        <w:pStyle w:val="310"/>
        <w:numPr>
          <w:ilvl w:val="1"/>
          <w:numId w:val="87"/>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在生效日时不能合理预见的；并且</w:t>
      </w:r>
    </w:p>
    <w:p>
      <w:pPr>
        <w:pStyle w:val="310"/>
        <w:numPr>
          <w:ilvl w:val="1"/>
          <w:numId w:val="87"/>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声称遭受不可抗力影响的一方对该事件及其后果不能克服和不能避免。</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13.1.2 </w:t>
      </w:r>
      <w:r>
        <w:rPr>
          <w:rFonts w:hint="eastAsia"/>
          <w:color w:val="000000" w:themeColor="text1"/>
          <w14:textFill>
            <w14:solidFill>
              <w14:schemeClr w14:val="tx1"/>
            </w14:solidFill>
          </w14:textFill>
        </w:rPr>
        <w:t>如果每一事件符合第</w:t>
      </w:r>
      <w:r>
        <w:rPr>
          <w:color w:val="000000" w:themeColor="text1"/>
          <w14:textFill>
            <w14:solidFill>
              <w14:schemeClr w14:val="tx1"/>
            </w14:solidFill>
          </w14:textFill>
        </w:rPr>
        <w:t>13.1.1</w:t>
      </w:r>
      <w:r>
        <w:rPr>
          <w:rFonts w:hint="eastAsia"/>
          <w:color w:val="000000" w:themeColor="text1"/>
          <w14:textFill>
            <w14:solidFill>
              <w14:schemeClr w14:val="tx1"/>
            </w14:solidFill>
          </w14:textFill>
        </w:rPr>
        <w:t>条款所规定的条件并对本项目实施形成实质影响，则视为不可抗力事件。不可抗力事件应包括下列事件：</w:t>
      </w:r>
    </w:p>
    <w:p>
      <w:pPr>
        <w:pStyle w:val="310"/>
        <w:numPr>
          <w:ilvl w:val="0"/>
          <w:numId w:val="88"/>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地震、火山爆发、海啸或任何其它自然灾害；</w:t>
      </w:r>
    </w:p>
    <w:p>
      <w:pPr>
        <w:pStyle w:val="310"/>
        <w:numPr>
          <w:ilvl w:val="0"/>
          <w:numId w:val="88"/>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大规模流行病、饥荒或瘟疫；</w:t>
      </w:r>
    </w:p>
    <w:p>
      <w:pPr>
        <w:pStyle w:val="310"/>
        <w:numPr>
          <w:ilvl w:val="0"/>
          <w:numId w:val="88"/>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战争行为（无论是宣战的或未宣战的）、入侵、武装冲突或敌对行为、封锁、暴乱、恐怖行为或军事力量的使用；</w:t>
      </w:r>
    </w:p>
    <w:p>
      <w:pPr>
        <w:pStyle w:val="310"/>
        <w:numPr>
          <w:ilvl w:val="0"/>
          <w:numId w:val="88"/>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全国性、地区性或行业性罢工；</w:t>
      </w:r>
    </w:p>
    <w:p>
      <w:pPr>
        <w:pStyle w:val="310"/>
        <w:numPr>
          <w:ilvl w:val="0"/>
          <w:numId w:val="88"/>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本级及以上任何政府部门对项目设施或其任何部分实行的没收、征用、国有化；</w:t>
      </w:r>
    </w:p>
    <w:p>
      <w:pPr>
        <w:pStyle w:val="310"/>
        <w:numPr>
          <w:ilvl w:val="0"/>
          <w:numId w:val="88"/>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超出本级政府可控范围内的政策变化、法律变更。</w:t>
      </w:r>
    </w:p>
    <w:p>
      <w:pPr>
        <w:pStyle w:val="4"/>
        <w:rPr>
          <w:color w:val="000000" w:themeColor="text1"/>
          <w14:textFill>
            <w14:solidFill>
              <w14:schemeClr w14:val="tx1"/>
            </w14:solidFill>
          </w14:textFill>
        </w:rPr>
      </w:pPr>
      <w:bookmarkStart w:id="733" w:name="_Toc491857637"/>
      <w:bookmarkStart w:id="734" w:name="_Toc495846039"/>
      <w:bookmarkStart w:id="735" w:name="_Toc496299648"/>
      <w:bookmarkStart w:id="736" w:name="_Toc516399804"/>
      <w:bookmarkStart w:id="737" w:name="_Toc522635580"/>
      <w:r>
        <w:rPr>
          <w:color w:val="000000" w:themeColor="text1"/>
          <w14:textFill>
            <w14:solidFill>
              <w14:schemeClr w14:val="tx1"/>
            </w14:solidFill>
          </w14:textFill>
        </w:rPr>
        <w:t xml:space="preserve">13.2 </w:t>
      </w:r>
      <w:r>
        <w:rPr>
          <w:rFonts w:hint="eastAsia"/>
          <w:color w:val="000000" w:themeColor="text1"/>
          <w14:textFill>
            <w14:solidFill>
              <w14:schemeClr w14:val="tx1"/>
            </w14:solidFill>
          </w14:textFill>
        </w:rPr>
        <w:t>免于履行</w:t>
      </w:r>
      <w:bookmarkEnd w:id="733"/>
      <w:bookmarkEnd w:id="734"/>
      <w:bookmarkEnd w:id="735"/>
      <w:bookmarkEnd w:id="736"/>
      <w:bookmarkEnd w:id="737"/>
    </w:p>
    <w:p>
      <w:pPr>
        <w:pStyle w:val="310"/>
        <w:spacing w:line="360" w:lineRule="auto"/>
        <w:ind w:left="598" w:leftChars="285" w:firstLine="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当生效日起发生的不可抗力情况全部地或部分地阻碍一方履行其在本合同的义务时，可在不可抗力影响的范围内，全部或部分免除该方在本合同项下的相应义务。</w:t>
      </w:r>
    </w:p>
    <w:p>
      <w:pPr>
        <w:pStyle w:val="4"/>
        <w:rPr>
          <w:color w:val="000000" w:themeColor="text1"/>
          <w14:textFill>
            <w14:solidFill>
              <w14:schemeClr w14:val="tx1"/>
            </w14:solidFill>
          </w14:textFill>
        </w:rPr>
      </w:pPr>
      <w:bookmarkStart w:id="738" w:name="_Toc516399805"/>
      <w:bookmarkStart w:id="739" w:name="_Toc522635581"/>
      <w:bookmarkStart w:id="740" w:name="_Toc496299649"/>
      <w:bookmarkStart w:id="741" w:name="_Toc491857638"/>
      <w:bookmarkStart w:id="742" w:name="_Toc495846040"/>
      <w:r>
        <w:rPr>
          <w:color w:val="000000" w:themeColor="text1"/>
          <w14:textFill>
            <w14:solidFill>
              <w14:schemeClr w14:val="tx1"/>
            </w14:solidFill>
          </w14:textFill>
        </w:rPr>
        <w:t xml:space="preserve">13.3 </w:t>
      </w:r>
      <w:r>
        <w:rPr>
          <w:rFonts w:hint="eastAsia"/>
          <w:color w:val="000000" w:themeColor="text1"/>
          <w14:textFill>
            <w14:solidFill>
              <w14:schemeClr w14:val="tx1"/>
            </w14:solidFill>
          </w14:textFill>
        </w:rPr>
        <w:t>适用于乙方的例外情况</w:t>
      </w:r>
      <w:bookmarkEnd w:id="738"/>
      <w:bookmarkEnd w:id="739"/>
      <w:bookmarkEnd w:id="740"/>
      <w:bookmarkEnd w:id="741"/>
      <w:bookmarkEnd w:id="742"/>
    </w:p>
    <w:p>
      <w:pPr>
        <w:pStyle w:val="310"/>
        <w:spacing w:line="360" w:lineRule="auto"/>
        <w:ind w:left="598" w:leftChars="285" w:firstLine="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在下述情况下，乙方不得声称遭受不可抗力影响而中止履行本合同或作为其不履行本合同项下义务的理由：</w:t>
      </w:r>
    </w:p>
    <w:p>
      <w:pPr>
        <w:pStyle w:val="310"/>
        <w:numPr>
          <w:ilvl w:val="0"/>
          <w:numId w:val="89"/>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项目设施的设备和机器的交付发生延误，除非并限于该延误是由于符合第</w:t>
      </w:r>
      <w:r>
        <w:rPr>
          <w:rFonts w:ascii="Times New Roman" w:eastAsia="宋体" w:cs="Times New Roman"/>
          <w:color w:val="000000" w:themeColor="text1"/>
          <w:sz w:val="21"/>
          <w:szCs w:val="21"/>
          <w14:textFill>
            <w14:solidFill>
              <w14:schemeClr w14:val="tx1"/>
            </w14:solidFill>
          </w14:textFill>
        </w:rPr>
        <w:t>13.1.1</w:t>
      </w:r>
      <w:r>
        <w:rPr>
          <w:rFonts w:hint="eastAsia" w:ascii="Times New Roman" w:eastAsia="宋体" w:cs="Times New Roman"/>
          <w:color w:val="000000" w:themeColor="text1"/>
          <w:sz w:val="21"/>
          <w:szCs w:val="21"/>
          <w14:textFill>
            <w14:solidFill>
              <w14:schemeClr w14:val="tx1"/>
            </w14:solidFill>
          </w14:textFill>
        </w:rPr>
        <w:t>条款规定的某一事件导致；</w:t>
      </w:r>
    </w:p>
    <w:p>
      <w:pPr>
        <w:pStyle w:val="310"/>
        <w:numPr>
          <w:ilvl w:val="0"/>
          <w:numId w:val="89"/>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项目设施的材料、设备、机器或零配件存在任何明显或潜在的缺陷或存在故障或正常磨损；</w:t>
      </w:r>
    </w:p>
    <w:p>
      <w:pPr>
        <w:pStyle w:val="310"/>
        <w:numPr>
          <w:ilvl w:val="0"/>
          <w:numId w:val="89"/>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乙方的工人或雇员或其承包商的工人或雇员的劳工骚乱、劳资纠纷或其它劳资行为。</w:t>
      </w:r>
    </w:p>
    <w:p>
      <w:pPr>
        <w:pStyle w:val="4"/>
        <w:rPr>
          <w:color w:val="000000" w:themeColor="text1"/>
          <w14:textFill>
            <w14:solidFill>
              <w14:schemeClr w14:val="tx1"/>
            </w14:solidFill>
          </w14:textFill>
        </w:rPr>
      </w:pPr>
      <w:bookmarkStart w:id="743" w:name="_Toc491857639"/>
      <w:bookmarkStart w:id="744" w:name="_Toc495846041"/>
      <w:bookmarkStart w:id="745" w:name="_Toc496299650"/>
      <w:bookmarkStart w:id="746" w:name="_Toc516399806"/>
      <w:bookmarkStart w:id="747" w:name="_Toc522635582"/>
      <w:r>
        <w:rPr>
          <w:color w:val="000000" w:themeColor="text1"/>
          <w14:textFill>
            <w14:solidFill>
              <w14:schemeClr w14:val="tx1"/>
            </w14:solidFill>
          </w14:textFill>
        </w:rPr>
        <w:t xml:space="preserve">13.4 </w:t>
      </w:r>
      <w:r>
        <w:rPr>
          <w:rFonts w:hint="eastAsia"/>
          <w:color w:val="000000" w:themeColor="text1"/>
          <w14:textFill>
            <w14:solidFill>
              <w14:schemeClr w14:val="tx1"/>
            </w14:solidFill>
          </w14:textFill>
        </w:rPr>
        <w:t>不可抗力发生后的处理程序</w:t>
      </w:r>
      <w:bookmarkEnd w:id="743"/>
      <w:bookmarkEnd w:id="744"/>
      <w:bookmarkEnd w:id="745"/>
      <w:bookmarkEnd w:id="746"/>
      <w:bookmarkEnd w:id="747"/>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13.4.1 </w:t>
      </w:r>
      <w:r>
        <w:rPr>
          <w:rFonts w:hint="eastAsia"/>
          <w:color w:val="000000" w:themeColor="text1"/>
          <w14:textFill>
            <w14:solidFill>
              <w14:schemeClr w14:val="tx1"/>
            </w14:solidFill>
          </w14:textFill>
        </w:rPr>
        <w:t>声称受到不可抗力影响的一方应在发生不可抗力或知道发生不可抗力之后及时书面通知另一方并详细描述不可抗力的发生情况和可能导致的后果，包括该不可抗力发生的时间和预计停止的时间，以及对该方履行在本合同项下义务的影响，并在另一方合理要求时提供证明。</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13.4.2 </w:t>
      </w:r>
      <w:r>
        <w:rPr>
          <w:rFonts w:hint="eastAsia"/>
          <w:color w:val="000000" w:themeColor="text1"/>
          <w14:textFill>
            <w14:solidFill>
              <w14:schemeClr w14:val="tx1"/>
            </w14:solidFill>
          </w14:textFill>
        </w:rPr>
        <w:t>发生不可抗力事件后，双方应本着诚信平等的原则，立即就此等不可抗力事件进行协商。</w:t>
      </w:r>
    </w:p>
    <w:p>
      <w:pPr>
        <w:pStyle w:val="4"/>
        <w:rPr>
          <w:color w:val="000000" w:themeColor="text1"/>
          <w14:textFill>
            <w14:solidFill>
              <w14:schemeClr w14:val="tx1"/>
            </w14:solidFill>
          </w14:textFill>
        </w:rPr>
      </w:pPr>
      <w:bookmarkStart w:id="748" w:name="_Toc491857640"/>
      <w:bookmarkStart w:id="749" w:name="_Toc495846042"/>
      <w:bookmarkStart w:id="750" w:name="_Toc496299651"/>
      <w:bookmarkStart w:id="751" w:name="_Toc516399807"/>
      <w:bookmarkStart w:id="752" w:name="_Toc522635583"/>
      <w:r>
        <w:rPr>
          <w:color w:val="000000" w:themeColor="text1"/>
          <w14:textFill>
            <w14:solidFill>
              <w14:schemeClr w14:val="tx1"/>
            </w14:solidFill>
          </w14:textFill>
        </w:rPr>
        <w:t xml:space="preserve">13.5 </w:t>
      </w:r>
      <w:r>
        <w:rPr>
          <w:rFonts w:hint="eastAsia"/>
          <w:color w:val="000000" w:themeColor="text1"/>
          <w14:textFill>
            <w14:solidFill>
              <w14:schemeClr w14:val="tx1"/>
            </w14:solidFill>
          </w14:textFill>
        </w:rPr>
        <w:t>费用及时间表的修改</w:t>
      </w:r>
      <w:bookmarkEnd w:id="748"/>
      <w:bookmarkEnd w:id="749"/>
      <w:bookmarkEnd w:id="750"/>
      <w:bookmarkEnd w:id="751"/>
      <w:bookmarkEnd w:id="752"/>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13.5.1 </w:t>
      </w:r>
      <w:r>
        <w:rPr>
          <w:rFonts w:hint="eastAsia"/>
          <w:color w:val="000000" w:themeColor="text1"/>
          <w14:textFill>
            <w14:solidFill>
              <w14:schemeClr w14:val="tx1"/>
            </w14:solidFill>
          </w14:textFill>
        </w:rPr>
        <w:t>除本合同或双方另有约定外，发生不可抗力时，双方应各自承担由于不可抗力对其造成的损失。</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13.5.2 </w:t>
      </w:r>
      <w:r>
        <w:rPr>
          <w:rFonts w:hint="eastAsia"/>
          <w:color w:val="000000" w:themeColor="text1"/>
          <w14:textFill>
            <w14:solidFill>
              <w14:schemeClr w14:val="tx1"/>
            </w14:solidFill>
          </w14:textFill>
        </w:rPr>
        <w:t>如果声称遭受不可抗力影响的一方已履行了通知程序，并且在不可抗力事件影响项目进展的情况下，已履行了请求延长进度日期的程序，则本合同中规定的履行某项义务的任何期限，经受到影响的一方请求，应根据不可抗力对履行该项义务产生影响的相同时间相应顺延。</w:t>
      </w:r>
    </w:p>
    <w:p>
      <w:pPr>
        <w:pStyle w:val="4"/>
        <w:rPr>
          <w:color w:val="000000" w:themeColor="text1"/>
          <w14:textFill>
            <w14:solidFill>
              <w14:schemeClr w14:val="tx1"/>
            </w14:solidFill>
          </w14:textFill>
        </w:rPr>
      </w:pPr>
      <w:bookmarkStart w:id="753" w:name="_Toc491857641"/>
      <w:bookmarkStart w:id="754" w:name="_Toc495846043"/>
      <w:bookmarkStart w:id="755" w:name="_Toc496299652"/>
      <w:bookmarkStart w:id="756" w:name="_Toc516399808"/>
      <w:bookmarkStart w:id="757" w:name="_Toc522635584"/>
      <w:r>
        <w:rPr>
          <w:color w:val="000000" w:themeColor="text1"/>
          <w14:textFill>
            <w14:solidFill>
              <w14:schemeClr w14:val="tx1"/>
            </w14:solidFill>
          </w14:textFill>
        </w:rPr>
        <w:t xml:space="preserve">13.6 </w:t>
      </w:r>
      <w:r>
        <w:rPr>
          <w:rFonts w:hint="eastAsia"/>
          <w:color w:val="000000" w:themeColor="text1"/>
          <w14:textFill>
            <w14:solidFill>
              <w14:schemeClr w14:val="tx1"/>
            </w14:solidFill>
          </w14:textFill>
        </w:rPr>
        <w:t>减少损失的责任和协商</w:t>
      </w:r>
      <w:bookmarkEnd w:id="753"/>
      <w:bookmarkEnd w:id="754"/>
      <w:bookmarkEnd w:id="755"/>
      <w:bookmarkEnd w:id="756"/>
      <w:bookmarkEnd w:id="757"/>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13.6.1 </w:t>
      </w:r>
      <w:r>
        <w:rPr>
          <w:rFonts w:hint="eastAsia"/>
          <w:color w:val="000000" w:themeColor="text1"/>
          <w14:textFill>
            <w14:solidFill>
              <w14:schemeClr w14:val="tx1"/>
            </w14:solidFill>
          </w14:textFill>
        </w:rPr>
        <w:t>受到不可抗力影响的一方应尽合理的努力减少不可抗力对其造成的影响，包括根据该等措施为可能产生的结果支付合理的金额。双方应协商制定并实施补救计划及合理的替代措施以消除不可抗力的影响，并决定为尽量减少不可抗力给每一方带来的损失应采取的合理的手段。</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13.6.2 </w:t>
      </w:r>
      <w:r>
        <w:rPr>
          <w:rFonts w:hint="eastAsia"/>
          <w:color w:val="000000" w:themeColor="text1"/>
          <w14:textFill>
            <w14:solidFill>
              <w14:schemeClr w14:val="tx1"/>
            </w14:solidFill>
          </w14:textFill>
        </w:rPr>
        <w:t>声称受到不可抗力影响的一方在不可抗力的影响消除之后应尽快恢复履行本合同项下的义务。</w:t>
      </w:r>
    </w:p>
    <w:p>
      <w:pPr>
        <w:pStyle w:val="4"/>
        <w:rPr>
          <w:color w:val="000000" w:themeColor="text1"/>
          <w14:textFill>
            <w14:solidFill>
              <w14:schemeClr w14:val="tx1"/>
            </w14:solidFill>
          </w14:textFill>
        </w:rPr>
      </w:pPr>
      <w:bookmarkStart w:id="758" w:name="_Toc491857642"/>
      <w:bookmarkStart w:id="759" w:name="_Toc495846044"/>
      <w:bookmarkStart w:id="760" w:name="_Toc496299653"/>
      <w:bookmarkStart w:id="761" w:name="_Toc516399809"/>
      <w:bookmarkStart w:id="762" w:name="_Toc522635585"/>
      <w:r>
        <w:rPr>
          <w:color w:val="000000" w:themeColor="text1"/>
          <w14:textFill>
            <w14:solidFill>
              <w14:schemeClr w14:val="tx1"/>
            </w14:solidFill>
          </w14:textFill>
        </w:rPr>
        <w:t xml:space="preserve">13.7 </w:t>
      </w:r>
      <w:r>
        <w:rPr>
          <w:rFonts w:hint="eastAsia"/>
          <w:color w:val="000000" w:themeColor="text1"/>
          <w14:textFill>
            <w14:solidFill>
              <w14:schemeClr w14:val="tx1"/>
            </w14:solidFill>
          </w14:textFill>
        </w:rPr>
        <w:t>不可抗力造成的终止</w:t>
      </w:r>
      <w:bookmarkEnd w:id="758"/>
      <w:bookmarkEnd w:id="759"/>
      <w:bookmarkEnd w:id="760"/>
      <w:bookmarkEnd w:id="761"/>
      <w:bookmarkEnd w:id="762"/>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13.7.1 </w:t>
      </w:r>
      <w:r>
        <w:rPr>
          <w:rFonts w:hint="eastAsia"/>
          <w:color w:val="000000" w:themeColor="text1"/>
          <w14:textFill>
            <w14:solidFill>
              <w14:schemeClr w14:val="tx1"/>
            </w14:solidFill>
          </w14:textFill>
        </w:rPr>
        <w:t>如果任何不可抗力事件阻止一方履行其义务且经过努力仍不可克服，自该不可抗力发生或知道发生之日起连续超过九十（</w:t>
      </w:r>
      <w:r>
        <w:rPr>
          <w:color w:val="000000" w:themeColor="text1"/>
          <w14:textFill>
            <w14:solidFill>
              <w14:schemeClr w14:val="tx1"/>
            </w14:solidFill>
          </w14:textFill>
        </w:rPr>
        <w:t>90</w:t>
      </w:r>
      <w:r>
        <w:rPr>
          <w:rFonts w:hint="eastAsia"/>
          <w:color w:val="000000" w:themeColor="text1"/>
          <w14:textFill>
            <w14:solidFill>
              <w14:schemeClr w14:val="tx1"/>
            </w14:solidFill>
          </w14:textFill>
        </w:rPr>
        <w:t>）日，双方应协商决定继续履行本合同的条件或者同意按照第</w:t>
      </w:r>
      <w:r>
        <w:rPr>
          <w:color w:val="000000" w:themeColor="text1"/>
          <w14:textFill>
            <w14:solidFill>
              <w14:schemeClr w14:val="tx1"/>
            </w14:solidFill>
          </w14:textFill>
        </w:rPr>
        <w:t xml:space="preserve"> 14 </w:t>
      </w:r>
      <w:r>
        <w:rPr>
          <w:rFonts w:hint="eastAsia"/>
          <w:color w:val="000000" w:themeColor="text1"/>
          <w14:textFill>
            <w14:solidFill>
              <w14:schemeClr w14:val="tx1"/>
            </w14:solidFill>
          </w14:textFill>
        </w:rPr>
        <w:t>条的规定终止本合同。</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13.7.2 </w:t>
      </w:r>
      <w:r>
        <w:rPr>
          <w:rFonts w:hint="eastAsia"/>
          <w:color w:val="000000" w:themeColor="text1"/>
          <w14:textFill>
            <w14:solidFill>
              <w14:schemeClr w14:val="tx1"/>
            </w14:solidFill>
          </w14:textFill>
        </w:rPr>
        <w:t>如果自该不可抗力发生或知道发生之日起一百八十（</w:t>
      </w:r>
      <w:r>
        <w:rPr>
          <w:color w:val="000000" w:themeColor="text1"/>
          <w14:textFill>
            <w14:solidFill>
              <w14:schemeClr w14:val="tx1"/>
            </w14:solidFill>
          </w14:textFill>
        </w:rPr>
        <w:t>180</w:t>
      </w:r>
      <w:r>
        <w:rPr>
          <w:rFonts w:hint="eastAsia"/>
          <w:color w:val="000000" w:themeColor="text1"/>
          <w14:textFill>
            <w14:solidFill>
              <w14:schemeClr w14:val="tx1"/>
            </w14:solidFill>
          </w14:textFill>
        </w:rPr>
        <w:t>）日之内双方不能就继续履行的条件或终止本合同达成一致意见，则任何一方有权根据本合同第</w:t>
      </w:r>
      <w:r>
        <w:rPr>
          <w:color w:val="000000" w:themeColor="text1"/>
          <w14:textFill>
            <w14:solidFill>
              <w14:schemeClr w14:val="tx1"/>
            </w14:solidFill>
          </w14:textFill>
        </w:rPr>
        <w:t xml:space="preserve"> 14 </w:t>
      </w:r>
      <w:r>
        <w:rPr>
          <w:rFonts w:hint="eastAsia"/>
          <w:color w:val="000000" w:themeColor="text1"/>
          <w14:textFill>
            <w14:solidFill>
              <w14:schemeClr w14:val="tx1"/>
            </w14:solidFill>
          </w14:textFill>
        </w:rPr>
        <w:t>条的规定向另一方发出提前终止意向通知。</w:t>
      </w:r>
    </w:p>
    <w:p>
      <w:pPr>
        <w:pStyle w:val="4"/>
        <w:rPr>
          <w:color w:val="000000" w:themeColor="text1"/>
          <w14:textFill>
            <w14:solidFill>
              <w14:schemeClr w14:val="tx1"/>
            </w14:solidFill>
          </w14:textFill>
        </w:rPr>
      </w:pPr>
      <w:bookmarkStart w:id="763" w:name="_Toc491857643"/>
      <w:bookmarkStart w:id="764" w:name="_Toc495846045"/>
      <w:bookmarkStart w:id="765" w:name="_Toc496299654"/>
      <w:bookmarkStart w:id="766" w:name="_Toc516399810"/>
      <w:bookmarkStart w:id="767" w:name="_Toc522635586"/>
      <w:r>
        <w:rPr>
          <w:color w:val="000000" w:themeColor="text1"/>
          <w14:textFill>
            <w14:solidFill>
              <w14:schemeClr w14:val="tx1"/>
            </w14:solidFill>
          </w14:textFill>
        </w:rPr>
        <w:t xml:space="preserve">13.8 </w:t>
      </w:r>
      <w:r>
        <w:rPr>
          <w:rFonts w:hint="eastAsia"/>
          <w:color w:val="000000" w:themeColor="text1"/>
          <w14:textFill>
            <w14:solidFill>
              <w14:schemeClr w14:val="tx1"/>
            </w14:solidFill>
          </w14:textFill>
        </w:rPr>
        <w:t>本级政府可控范围内的法律变更</w:t>
      </w:r>
      <w:bookmarkEnd w:id="763"/>
      <w:bookmarkEnd w:id="764"/>
      <w:bookmarkEnd w:id="765"/>
      <w:bookmarkEnd w:id="766"/>
      <w:bookmarkEnd w:id="767"/>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13.8.1 </w:t>
      </w:r>
      <w:r>
        <w:rPr>
          <w:rFonts w:hint="eastAsia"/>
          <w:color w:val="000000" w:themeColor="text1"/>
          <w14:textFill>
            <w14:solidFill>
              <w14:schemeClr w14:val="tx1"/>
            </w14:solidFill>
          </w14:textFill>
        </w:rPr>
        <w:t>在合作期内，如果因发生本级政府可控范围内的法律变更，乙方可要求甲方赔偿额外费用。</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13.8.2 </w:t>
      </w:r>
      <w:r>
        <w:rPr>
          <w:rFonts w:hint="eastAsia"/>
          <w:color w:val="000000" w:themeColor="text1"/>
          <w14:textFill>
            <w14:solidFill>
              <w14:schemeClr w14:val="tx1"/>
            </w14:solidFill>
          </w14:textFill>
        </w:rPr>
        <w:t>如果因本级政府可控的法律变更导致本合同无法继续履行，则视为甲方严重违约事件，乙方有权依据第</w:t>
      </w:r>
      <w:r>
        <w:rPr>
          <w:color w:val="000000" w:themeColor="text1"/>
          <w14:textFill>
            <w14:solidFill>
              <w14:schemeClr w14:val="tx1"/>
            </w14:solidFill>
          </w14:textFill>
        </w:rPr>
        <w:t>14.2</w:t>
      </w:r>
      <w:r>
        <w:rPr>
          <w:rFonts w:hint="eastAsia"/>
          <w:color w:val="000000" w:themeColor="text1"/>
          <w14:textFill>
            <w14:solidFill>
              <w14:schemeClr w14:val="tx1"/>
            </w14:solidFill>
          </w14:textFill>
        </w:rPr>
        <w:t>条款提出提前终止。</w:t>
      </w:r>
    </w:p>
    <w:p>
      <w:pPr>
        <w:pStyle w:val="3"/>
        <w:rPr>
          <w:rFonts w:ascii="Times New Roman" w:hAnsi="Times New Roman" w:eastAsia="黑体"/>
          <w:color w:val="000000" w:themeColor="text1"/>
          <w:sz w:val="21"/>
          <w:szCs w:val="21"/>
          <w14:textFill>
            <w14:solidFill>
              <w14:schemeClr w14:val="tx1"/>
            </w14:solidFill>
          </w14:textFill>
        </w:rPr>
      </w:pPr>
      <w:bookmarkStart w:id="768" w:name="_Toc491857644"/>
      <w:bookmarkStart w:id="769" w:name="_Toc495846046"/>
      <w:bookmarkStart w:id="770" w:name="_Toc496299655"/>
      <w:bookmarkStart w:id="771" w:name="_Toc516399811"/>
      <w:bookmarkStart w:id="772" w:name="_Toc522635587"/>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14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提前终止</w:t>
      </w:r>
      <w:bookmarkEnd w:id="768"/>
      <w:bookmarkEnd w:id="769"/>
      <w:bookmarkEnd w:id="770"/>
      <w:bookmarkEnd w:id="771"/>
      <w:bookmarkEnd w:id="772"/>
    </w:p>
    <w:p>
      <w:pPr>
        <w:pStyle w:val="4"/>
        <w:rPr>
          <w:color w:val="000000" w:themeColor="text1"/>
          <w14:textFill>
            <w14:solidFill>
              <w14:schemeClr w14:val="tx1"/>
            </w14:solidFill>
          </w14:textFill>
        </w:rPr>
      </w:pPr>
      <w:bookmarkStart w:id="773" w:name="_Toc491857645"/>
      <w:bookmarkStart w:id="774" w:name="_Toc495846047"/>
      <w:bookmarkStart w:id="775" w:name="_Toc496299656"/>
      <w:bookmarkStart w:id="776" w:name="_Toc516399812"/>
      <w:bookmarkStart w:id="777" w:name="_Toc522635588"/>
      <w:r>
        <w:rPr>
          <w:color w:val="000000" w:themeColor="text1"/>
          <w14:textFill>
            <w14:solidFill>
              <w14:schemeClr w14:val="tx1"/>
            </w14:solidFill>
          </w14:textFill>
        </w:rPr>
        <w:t xml:space="preserve">14.1 </w:t>
      </w:r>
      <w:r>
        <w:rPr>
          <w:rFonts w:hint="eastAsia"/>
          <w:color w:val="000000" w:themeColor="text1"/>
          <w14:textFill>
            <w14:solidFill>
              <w14:schemeClr w14:val="tx1"/>
            </w14:solidFill>
          </w14:textFill>
        </w:rPr>
        <w:t>由甲方提出的提前终止</w:t>
      </w:r>
      <w:bookmarkEnd w:id="773"/>
      <w:bookmarkEnd w:id="774"/>
      <w:bookmarkEnd w:id="775"/>
      <w:bookmarkEnd w:id="776"/>
      <w:bookmarkEnd w:id="777"/>
    </w:p>
    <w:p>
      <w:pPr>
        <w:pStyle w:val="310"/>
        <w:spacing w:line="360" w:lineRule="auto"/>
        <w:ind w:left="573" w:leftChars="270" w:hanging="6" w:hangingChars="3"/>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下述每一条款所述事件，如果不是由于不可抗力或甲方违约所致，如果有允许的纠正期限而在该期限内未能纠正，即构成乙方严重违约事件，甲方有权立即发出提前终止意向通知：</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14.1.1 </w:t>
      </w:r>
      <w:r>
        <w:rPr>
          <w:rFonts w:hint="eastAsia"/>
          <w:color w:val="000000" w:themeColor="text1"/>
          <w14:textFill>
            <w14:solidFill>
              <w14:schemeClr w14:val="tx1"/>
            </w14:solidFill>
          </w14:textFill>
        </w:rPr>
        <w:t>乙方在第</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条款中的任何声明被证明在做出时在实质方面不属实，使乙方履行本合同的能力受到严重的不利影响；</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14.1.2 </w:t>
      </w:r>
      <w:r>
        <w:rPr>
          <w:rFonts w:hint="eastAsia"/>
          <w:color w:val="000000" w:themeColor="text1"/>
          <w14:textFill>
            <w14:solidFill>
              <w14:schemeClr w14:val="tx1"/>
            </w14:solidFill>
          </w14:textFill>
        </w:rPr>
        <w:t>乙方未按第</w:t>
      </w:r>
      <w:r>
        <w:rPr>
          <w:color w:val="000000" w:themeColor="text1"/>
          <w14:textFill>
            <w14:solidFill>
              <w14:schemeClr w14:val="tx1"/>
            </w14:solidFill>
          </w14:textFill>
        </w:rPr>
        <w:t>5.2.3</w:t>
      </w:r>
      <w:r>
        <w:rPr>
          <w:rFonts w:hint="eastAsia"/>
          <w:color w:val="000000" w:themeColor="text1"/>
          <w14:textFill>
            <w14:solidFill>
              <w14:schemeClr w14:val="tx1"/>
            </w14:solidFill>
          </w14:textFill>
        </w:rPr>
        <w:t>条约定向甲方支付前期费用（工程建设其他费），并在甲方通知的二十（</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）日后仍拒不履行支付责任的；</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14.1.3 </w:t>
      </w:r>
      <w:r>
        <w:rPr>
          <w:rFonts w:hint="eastAsia"/>
          <w:color w:val="000000" w:themeColor="text1"/>
          <w14:textFill>
            <w14:solidFill>
              <w14:schemeClr w14:val="tx1"/>
            </w14:solidFill>
          </w14:textFill>
        </w:rPr>
        <w:t>乙方</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项目公司未能根据本合同约定提交建设期履约保函并保持其有效的；</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14.1.4 </w:t>
      </w:r>
      <w:r>
        <w:rPr>
          <w:rFonts w:hint="eastAsia"/>
          <w:color w:val="000000" w:themeColor="text1"/>
          <w14:textFill>
            <w14:solidFill>
              <w14:schemeClr w14:val="tx1"/>
            </w14:solidFill>
          </w14:textFill>
        </w:rPr>
        <w:t>项目公司原因造成工程总延误超过三（</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）个月的；</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14.1.5 </w:t>
      </w:r>
      <w:r>
        <w:rPr>
          <w:rFonts w:hint="eastAsia"/>
          <w:color w:val="000000" w:themeColor="text1"/>
          <w14:textFill>
            <w14:solidFill>
              <w14:schemeClr w14:val="tx1"/>
            </w14:solidFill>
          </w14:textFill>
        </w:rPr>
        <w:t>项目公司根据中国法律进行清算或不能清偿到期债务；</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14.1.6 </w:t>
      </w:r>
      <w:r>
        <w:rPr>
          <w:rFonts w:hint="eastAsia"/>
          <w:color w:val="000000" w:themeColor="text1"/>
          <w14:textFill>
            <w14:solidFill>
              <w14:schemeClr w14:val="tx1"/>
            </w14:solidFill>
          </w14:textFill>
        </w:rPr>
        <w:t>项目公司发生违法经营情节严重的有关情形的；</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14.1.7 </w:t>
      </w:r>
      <w:r>
        <w:rPr>
          <w:rFonts w:hint="eastAsia"/>
          <w:color w:val="000000" w:themeColor="text1"/>
          <w14:textFill>
            <w14:solidFill>
              <w14:schemeClr w14:val="tx1"/>
            </w14:solidFill>
          </w14:textFill>
        </w:rPr>
        <w:t>项目公司被吊销企业法人营业执照；</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14.1.8 </w:t>
      </w:r>
      <w:r>
        <w:rPr>
          <w:rFonts w:hint="eastAsia"/>
          <w:color w:val="000000" w:themeColor="text1"/>
          <w14:textFill>
            <w14:solidFill>
              <w14:schemeClr w14:val="tx1"/>
            </w14:solidFill>
          </w14:textFill>
        </w:rPr>
        <w:t>项目公司擅自转让、出租经营权的，擅自转让、出租等处分使用权、经营权的，擅自设置权利负担、对外担保的；</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14.1.9 </w:t>
      </w:r>
      <w:r>
        <w:rPr>
          <w:rFonts w:hint="eastAsia"/>
          <w:color w:val="000000" w:themeColor="text1"/>
          <w14:textFill>
            <w14:solidFill>
              <w14:schemeClr w14:val="tx1"/>
            </w14:solidFill>
          </w14:textFill>
        </w:rPr>
        <w:t>未经甲方事先书面同意，项目公司对项目设施的全部或部分擅自停止维护服务（如属紧急情况的除外，但应在发生的同时口头告知甲方，并应在发生后</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日内书面报告甲方）；</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14.1.10 </w:t>
      </w:r>
      <w:r>
        <w:rPr>
          <w:rFonts w:hint="eastAsia"/>
          <w:color w:val="000000" w:themeColor="text1"/>
          <w14:textFill>
            <w14:solidFill>
              <w14:schemeClr w14:val="tx1"/>
            </w14:solidFill>
          </w14:textFill>
        </w:rPr>
        <w:t>运营期内，项目公司连续三次常规考核得分低于六十（</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）分；</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14.1.11 </w:t>
      </w:r>
      <w:r>
        <w:rPr>
          <w:rFonts w:hint="eastAsia"/>
          <w:color w:val="000000" w:themeColor="text1"/>
          <w14:textFill>
            <w14:solidFill>
              <w14:schemeClr w14:val="tx1"/>
            </w14:solidFill>
          </w14:textFill>
        </w:rPr>
        <w:t>项目公司因经营管理不善，发生重大质量、安全事故（包括食品、消防、人身等）的；</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14.1.12 </w:t>
      </w:r>
      <w:r>
        <w:rPr>
          <w:rFonts w:hint="eastAsia"/>
          <w:color w:val="000000" w:themeColor="text1"/>
          <w14:textFill>
            <w14:solidFill>
              <w14:schemeClr w14:val="tx1"/>
            </w14:solidFill>
          </w14:textFill>
        </w:rPr>
        <w:t>项目公司未履行本合同项下的义务构成对本合同的实质性违约（上述第</w:t>
      </w:r>
      <w:r>
        <w:rPr>
          <w:color w:val="000000" w:themeColor="text1"/>
          <w14:textFill>
            <w14:solidFill>
              <w14:schemeClr w14:val="tx1"/>
            </w14:solidFill>
          </w14:textFill>
        </w:rPr>
        <w:t>14.1.1</w:t>
      </w:r>
      <w:r>
        <w:rPr>
          <w:rFonts w:hint="eastAsia"/>
          <w:color w:val="000000" w:themeColor="text1"/>
          <w14:textFill>
            <w14:solidFill>
              <w14:schemeClr w14:val="tx1"/>
            </w14:solidFill>
          </w14:textFill>
        </w:rPr>
        <w:t>至</w:t>
      </w:r>
      <w:r>
        <w:rPr>
          <w:color w:val="000000" w:themeColor="text1"/>
          <w14:textFill>
            <w14:solidFill>
              <w14:schemeClr w14:val="tx1"/>
            </w14:solidFill>
          </w14:textFill>
        </w:rPr>
        <w:t>14.1.11</w:t>
      </w:r>
      <w:r>
        <w:rPr>
          <w:rFonts w:hint="eastAsia"/>
          <w:color w:val="000000" w:themeColor="text1"/>
          <w14:textFill>
            <w14:solidFill>
              <w14:schemeClr w14:val="tx1"/>
            </w14:solidFill>
          </w14:textFill>
        </w:rPr>
        <w:t>条款所述情形除外），并且在收到甲方说明其违约并要求补救的书面通知后六十（</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）日内仍未能补救该实质性违约。</w:t>
      </w:r>
    </w:p>
    <w:p>
      <w:pPr>
        <w:pStyle w:val="4"/>
        <w:rPr>
          <w:color w:val="000000" w:themeColor="text1"/>
          <w14:textFill>
            <w14:solidFill>
              <w14:schemeClr w14:val="tx1"/>
            </w14:solidFill>
          </w14:textFill>
        </w:rPr>
      </w:pPr>
      <w:bookmarkStart w:id="778" w:name="_Toc491857646"/>
      <w:bookmarkStart w:id="779" w:name="_Toc495846048"/>
      <w:bookmarkStart w:id="780" w:name="_Toc496299657"/>
      <w:bookmarkStart w:id="781" w:name="_Toc516399813"/>
      <w:bookmarkStart w:id="782" w:name="_Toc522635589"/>
      <w:r>
        <w:rPr>
          <w:color w:val="000000" w:themeColor="text1"/>
          <w14:textFill>
            <w14:solidFill>
              <w14:schemeClr w14:val="tx1"/>
            </w14:solidFill>
          </w14:textFill>
        </w:rPr>
        <w:t xml:space="preserve">14.2 </w:t>
      </w:r>
      <w:r>
        <w:rPr>
          <w:rFonts w:hint="eastAsia"/>
          <w:color w:val="000000" w:themeColor="text1"/>
          <w14:textFill>
            <w14:solidFill>
              <w14:schemeClr w14:val="tx1"/>
            </w14:solidFill>
          </w14:textFill>
        </w:rPr>
        <w:t>由乙方和项目公司提出的提前终止</w:t>
      </w:r>
      <w:bookmarkEnd w:id="778"/>
      <w:bookmarkEnd w:id="779"/>
      <w:bookmarkEnd w:id="780"/>
      <w:bookmarkEnd w:id="781"/>
      <w:bookmarkEnd w:id="782"/>
    </w:p>
    <w:p>
      <w:pPr>
        <w:pStyle w:val="310"/>
        <w:spacing w:line="360" w:lineRule="auto"/>
        <w:ind w:left="573" w:leftChars="270" w:hanging="6" w:hangingChars="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下述每一条款所述事件，如果不是由于不可抗力或乙方和项目公司违约所致，如果有允许的纠正期限而在该期限内未能纠正，即构成甲方严重违约事件，乙方和项目公司有权立即发出提前终止意向通知：</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14.2.1 </w:t>
      </w:r>
      <w:r>
        <w:rPr>
          <w:rFonts w:hint="eastAsia"/>
          <w:color w:val="000000" w:themeColor="text1"/>
          <w14:textFill>
            <w14:solidFill>
              <w14:schemeClr w14:val="tx1"/>
            </w14:solidFill>
          </w14:textFill>
        </w:rPr>
        <w:t>甲方在第</w:t>
      </w:r>
      <w:r>
        <w:rPr>
          <w:color w:val="000000" w:themeColor="text1"/>
          <w14:textFill>
            <w14:solidFill>
              <w14:schemeClr w14:val="tx1"/>
            </w14:solidFill>
          </w14:textFill>
        </w:rPr>
        <w:t>3.1</w:t>
      </w:r>
      <w:r>
        <w:rPr>
          <w:rFonts w:hint="eastAsia"/>
          <w:color w:val="000000" w:themeColor="text1"/>
          <w14:textFill>
            <w14:solidFill>
              <w14:schemeClr w14:val="tx1"/>
            </w14:solidFill>
          </w14:textFill>
        </w:rPr>
        <w:t>条款中的任何声明被证明在做出时在实质方面不属实，使甲方履行本合同的能力受到严重的不利影响；</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14.2.2 </w:t>
      </w:r>
      <w:r>
        <w:rPr>
          <w:rFonts w:hint="eastAsia"/>
          <w:color w:val="000000" w:themeColor="text1"/>
          <w14:textFill>
            <w14:solidFill>
              <w14:schemeClr w14:val="tx1"/>
            </w14:solidFill>
          </w14:textFill>
        </w:rPr>
        <w:t>甲方未按第</w:t>
      </w:r>
      <w:r>
        <w:rPr>
          <w:color w:val="000000" w:themeColor="text1"/>
          <w14:textFill>
            <w14:solidFill>
              <w14:schemeClr w14:val="tx1"/>
            </w14:solidFill>
          </w14:textFill>
        </w:rPr>
        <w:t>11.1</w:t>
      </w:r>
      <w:r>
        <w:rPr>
          <w:rFonts w:hint="eastAsia"/>
          <w:color w:val="000000" w:themeColor="text1"/>
          <w14:textFill>
            <w14:solidFill>
              <w14:schemeClr w14:val="tx1"/>
            </w14:solidFill>
          </w14:textFill>
        </w:rPr>
        <w:t>条款规定支付可行性缺口补助，且在乙方和项目公司书面通知一百二十（</w:t>
      </w:r>
      <w:r>
        <w:rPr>
          <w:color w:val="000000" w:themeColor="text1"/>
          <w14:textFill>
            <w14:solidFill>
              <w14:schemeClr w14:val="tx1"/>
            </w14:solidFill>
          </w14:textFill>
        </w:rPr>
        <w:t>120</w:t>
      </w:r>
      <w:r>
        <w:rPr>
          <w:rFonts w:hint="eastAsia"/>
          <w:color w:val="000000" w:themeColor="text1"/>
          <w14:textFill>
            <w14:solidFill>
              <w14:schemeClr w14:val="tx1"/>
            </w14:solidFill>
          </w14:textFill>
        </w:rPr>
        <w:t>）日内仍未足额支付；</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14.2.3 </w:t>
      </w:r>
      <w:r>
        <w:rPr>
          <w:rFonts w:hint="eastAsia"/>
          <w:color w:val="000000" w:themeColor="text1"/>
          <w14:textFill>
            <w14:solidFill>
              <w14:schemeClr w14:val="tx1"/>
            </w14:solidFill>
          </w14:textFill>
        </w:rPr>
        <w:t>甲方未履行本合同项下的义务构成对本合同的实质性违约（上述第</w:t>
      </w:r>
      <w:r>
        <w:rPr>
          <w:color w:val="000000" w:themeColor="text1"/>
          <w14:textFill>
            <w14:solidFill>
              <w14:schemeClr w14:val="tx1"/>
            </w14:solidFill>
          </w14:textFill>
        </w:rPr>
        <w:t>14.2.1</w:t>
      </w:r>
      <w:r>
        <w:rPr>
          <w:rFonts w:hint="eastAsia"/>
          <w:color w:val="000000" w:themeColor="text1"/>
          <w14:textFill>
            <w14:solidFill>
              <w14:schemeClr w14:val="tx1"/>
            </w14:solidFill>
          </w14:textFill>
        </w:rPr>
        <w:t>至</w:t>
      </w:r>
      <w:r>
        <w:rPr>
          <w:color w:val="000000" w:themeColor="text1"/>
          <w14:textFill>
            <w14:solidFill>
              <w14:schemeClr w14:val="tx1"/>
            </w14:solidFill>
          </w14:textFill>
        </w:rPr>
        <w:t>14.2.2</w:t>
      </w:r>
      <w:r>
        <w:rPr>
          <w:rFonts w:hint="eastAsia"/>
          <w:color w:val="000000" w:themeColor="text1"/>
          <w14:textFill>
            <w14:solidFill>
              <w14:schemeClr w14:val="tx1"/>
            </w14:solidFill>
          </w14:textFill>
        </w:rPr>
        <w:t>条款所述情形除外），并且在收到</w:t>
      </w:r>
      <w:r>
        <w:rPr>
          <w:rFonts w:hint="eastAsia"/>
          <w:color w:val="000000" w:themeColor="text1"/>
          <w:szCs w:val="21"/>
          <w14:textFill>
            <w14:solidFill>
              <w14:schemeClr w14:val="tx1"/>
            </w14:solidFill>
          </w14:textFill>
        </w:rPr>
        <w:t>乙方和项目公司</w:t>
      </w:r>
      <w:r>
        <w:rPr>
          <w:rFonts w:hint="eastAsia"/>
          <w:color w:val="000000" w:themeColor="text1"/>
          <w14:textFill>
            <w14:solidFill>
              <w14:schemeClr w14:val="tx1"/>
            </w14:solidFill>
          </w14:textFill>
        </w:rPr>
        <w:t>说明其违约并要求补救的书面通知后六十（</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）日内仍未能补救该实质性违约。</w:t>
      </w:r>
    </w:p>
    <w:p>
      <w:pPr>
        <w:pStyle w:val="4"/>
        <w:rPr>
          <w:color w:val="000000" w:themeColor="text1"/>
          <w14:textFill>
            <w14:solidFill>
              <w14:schemeClr w14:val="tx1"/>
            </w14:solidFill>
          </w14:textFill>
        </w:rPr>
      </w:pPr>
      <w:bookmarkStart w:id="783" w:name="_Toc491857647"/>
      <w:bookmarkStart w:id="784" w:name="_Toc495846049"/>
      <w:bookmarkStart w:id="785" w:name="_Toc496299658"/>
      <w:bookmarkStart w:id="786" w:name="_Toc516399814"/>
      <w:bookmarkStart w:id="787" w:name="_Toc522635590"/>
      <w:r>
        <w:rPr>
          <w:color w:val="000000" w:themeColor="text1"/>
          <w14:textFill>
            <w14:solidFill>
              <w14:schemeClr w14:val="tx1"/>
            </w14:solidFill>
          </w14:textFill>
        </w:rPr>
        <w:t xml:space="preserve">14.3 </w:t>
      </w:r>
      <w:r>
        <w:rPr>
          <w:rFonts w:hint="eastAsia"/>
          <w:color w:val="000000" w:themeColor="text1"/>
          <w14:textFill>
            <w14:solidFill>
              <w14:schemeClr w14:val="tx1"/>
            </w14:solidFill>
          </w14:textFill>
        </w:rPr>
        <w:t>不可抗力导致的提前终止</w:t>
      </w:r>
      <w:bookmarkEnd w:id="783"/>
      <w:bookmarkEnd w:id="784"/>
      <w:bookmarkEnd w:id="785"/>
      <w:bookmarkEnd w:id="786"/>
      <w:bookmarkEnd w:id="787"/>
    </w:p>
    <w:p>
      <w:pPr>
        <w:pStyle w:val="310"/>
        <w:spacing w:line="360" w:lineRule="auto"/>
        <w:ind w:firstLine="424" w:firstLineChars="202"/>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任何一方有权根据本合同第</w:t>
      </w:r>
      <w:r>
        <w:rPr>
          <w:rFonts w:ascii="Times New Roman" w:eastAsia="宋体" w:cs="Times New Roman"/>
          <w:color w:val="000000" w:themeColor="text1"/>
          <w:sz w:val="21"/>
          <w:szCs w:val="21"/>
          <w14:textFill>
            <w14:solidFill>
              <w14:schemeClr w14:val="tx1"/>
            </w14:solidFill>
          </w14:textFill>
        </w:rPr>
        <w:t>13.7</w:t>
      </w:r>
      <w:r>
        <w:rPr>
          <w:rFonts w:hint="eastAsia" w:ascii="Times New Roman" w:eastAsia="宋体" w:cs="Times New Roman"/>
          <w:color w:val="000000" w:themeColor="text1"/>
          <w:sz w:val="21"/>
          <w:szCs w:val="21"/>
          <w14:textFill>
            <w14:solidFill>
              <w14:schemeClr w14:val="tx1"/>
            </w14:solidFill>
          </w14:textFill>
        </w:rPr>
        <w:t>条款有关不可抗力的规定向另一方发出提前终止通知。</w:t>
      </w:r>
      <w:r>
        <w:rPr>
          <w:rFonts w:ascii="Times New Roman" w:eastAsia="宋体" w:cs="Times New Roman"/>
          <w:color w:val="000000" w:themeColor="text1"/>
          <w:sz w:val="21"/>
          <w:szCs w:val="21"/>
          <w14:textFill>
            <w14:solidFill>
              <w14:schemeClr w14:val="tx1"/>
            </w14:solidFill>
          </w14:textFill>
        </w:rPr>
        <w:t xml:space="preserve"> </w:t>
      </w:r>
    </w:p>
    <w:p>
      <w:pPr>
        <w:pStyle w:val="4"/>
        <w:rPr>
          <w:color w:val="000000" w:themeColor="text1"/>
          <w14:textFill>
            <w14:solidFill>
              <w14:schemeClr w14:val="tx1"/>
            </w14:solidFill>
          </w14:textFill>
        </w:rPr>
      </w:pPr>
      <w:bookmarkStart w:id="788" w:name="_Toc491857648"/>
      <w:bookmarkStart w:id="789" w:name="_Toc495846050"/>
      <w:bookmarkStart w:id="790" w:name="_Toc496299659"/>
      <w:bookmarkStart w:id="791" w:name="_Toc516399815"/>
      <w:bookmarkStart w:id="792" w:name="_Toc522635591"/>
      <w:r>
        <w:rPr>
          <w:color w:val="000000" w:themeColor="text1"/>
          <w14:textFill>
            <w14:solidFill>
              <w14:schemeClr w14:val="tx1"/>
            </w14:solidFill>
          </w14:textFill>
        </w:rPr>
        <w:t xml:space="preserve">14.4 </w:t>
      </w:r>
      <w:r>
        <w:rPr>
          <w:rFonts w:hint="eastAsia"/>
          <w:color w:val="000000" w:themeColor="text1"/>
          <w14:textFill>
            <w14:solidFill>
              <w14:schemeClr w14:val="tx1"/>
            </w14:solidFill>
          </w14:textFill>
        </w:rPr>
        <w:t>提前终止意向通知和提前终止通知</w:t>
      </w:r>
      <w:bookmarkEnd w:id="788"/>
      <w:bookmarkEnd w:id="789"/>
      <w:bookmarkEnd w:id="790"/>
      <w:bookmarkEnd w:id="791"/>
      <w:bookmarkEnd w:id="792"/>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14.4.1 </w:t>
      </w:r>
      <w:r>
        <w:rPr>
          <w:rFonts w:hint="eastAsia"/>
          <w:color w:val="000000" w:themeColor="text1"/>
          <w14:textFill>
            <w14:solidFill>
              <w14:schemeClr w14:val="tx1"/>
            </w14:solidFill>
          </w14:textFill>
        </w:rPr>
        <w:t>提前终止意向通知</w:t>
      </w:r>
    </w:p>
    <w:p>
      <w:pPr>
        <w:pStyle w:val="310"/>
        <w:spacing w:line="360" w:lineRule="auto"/>
        <w:ind w:left="573" w:leftChars="270" w:hanging="6" w:hangingChars="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按照第</w:t>
      </w:r>
      <w:r>
        <w:rPr>
          <w:rFonts w:ascii="Times New Roman" w:eastAsia="宋体" w:cs="Times New Roman"/>
          <w:color w:val="000000" w:themeColor="text1"/>
          <w:sz w:val="21"/>
          <w:szCs w:val="21"/>
          <w14:textFill>
            <w14:solidFill>
              <w14:schemeClr w14:val="tx1"/>
            </w14:solidFill>
          </w14:textFill>
        </w:rPr>
        <w:t>14.1</w:t>
      </w:r>
      <w:r>
        <w:rPr>
          <w:rFonts w:hint="eastAsia" w:ascii="Times New Roman" w:eastAsia="宋体" w:cs="Times New Roman"/>
          <w:color w:val="000000" w:themeColor="text1"/>
          <w:sz w:val="21"/>
          <w:szCs w:val="21"/>
          <w14:textFill>
            <w14:solidFill>
              <w14:schemeClr w14:val="tx1"/>
            </w14:solidFill>
          </w14:textFill>
        </w:rPr>
        <w:t>条款或第</w:t>
      </w:r>
      <w:r>
        <w:rPr>
          <w:rFonts w:ascii="Times New Roman" w:eastAsia="宋体" w:cs="Times New Roman"/>
          <w:color w:val="000000" w:themeColor="text1"/>
          <w:sz w:val="21"/>
          <w:szCs w:val="21"/>
          <w14:textFill>
            <w14:solidFill>
              <w14:schemeClr w14:val="tx1"/>
            </w14:solidFill>
          </w14:textFill>
        </w:rPr>
        <w:t>14.2</w:t>
      </w:r>
      <w:r>
        <w:rPr>
          <w:rFonts w:hint="eastAsia" w:ascii="Times New Roman" w:eastAsia="宋体" w:cs="Times New Roman"/>
          <w:color w:val="000000" w:themeColor="text1"/>
          <w:sz w:val="21"/>
          <w:szCs w:val="21"/>
          <w14:textFill>
            <w14:solidFill>
              <w14:schemeClr w14:val="tx1"/>
            </w14:solidFill>
          </w14:textFill>
        </w:rPr>
        <w:t>条款发出的任何提前终止意向通知应表述引起发出该通知的乙方和项目公司严重违约事件或甲方严重违约事件的合理详情，按照</w:t>
      </w:r>
      <w:r>
        <w:rPr>
          <w:rFonts w:ascii="Times New Roman" w:eastAsia="宋体" w:cs="Times New Roman"/>
          <w:color w:val="000000" w:themeColor="text1"/>
          <w:sz w:val="21"/>
          <w:szCs w:val="21"/>
          <w14:textFill>
            <w14:solidFill>
              <w14:schemeClr w14:val="tx1"/>
            </w14:solidFill>
          </w14:textFill>
        </w:rPr>
        <w:t>14.3</w:t>
      </w:r>
      <w:r>
        <w:rPr>
          <w:rFonts w:hint="eastAsia" w:ascii="Times New Roman" w:eastAsia="宋体" w:cs="Times New Roman"/>
          <w:color w:val="000000" w:themeColor="text1"/>
          <w:sz w:val="21"/>
          <w:szCs w:val="21"/>
          <w14:textFill>
            <w14:solidFill>
              <w14:schemeClr w14:val="tx1"/>
            </w14:solidFill>
          </w14:textFill>
        </w:rPr>
        <w:t>条款发出的提前终止通知应说明终止的原因：</w:t>
      </w:r>
    </w:p>
    <w:p>
      <w:pPr>
        <w:pStyle w:val="310"/>
        <w:numPr>
          <w:ilvl w:val="0"/>
          <w:numId w:val="90"/>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在提前终止意向通知发出之后，双方应在二十（</w:t>
      </w:r>
      <w:r>
        <w:rPr>
          <w:rFonts w:ascii="Times New Roman" w:eastAsia="宋体" w:cs="Times New Roman"/>
          <w:color w:val="000000" w:themeColor="text1"/>
          <w:sz w:val="21"/>
          <w:szCs w:val="21"/>
          <w14:textFill>
            <w14:solidFill>
              <w14:schemeClr w14:val="tx1"/>
            </w14:solidFill>
          </w14:textFill>
        </w:rPr>
        <w:t>20</w:t>
      </w:r>
      <w:r>
        <w:rPr>
          <w:rFonts w:hint="eastAsia" w:ascii="Times New Roman" w:eastAsia="宋体" w:cs="Times New Roman"/>
          <w:color w:val="000000" w:themeColor="text1"/>
          <w:sz w:val="21"/>
          <w:szCs w:val="21"/>
          <w14:textFill>
            <w14:solidFill>
              <w14:schemeClr w14:val="tx1"/>
            </w14:solidFill>
          </w14:textFill>
        </w:rPr>
        <w:t>）个工作日之内或双方同意的更长时间内（下称</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协商期</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）协商避免本合同终止的措施。</w:t>
      </w:r>
    </w:p>
    <w:p>
      <w:pPr>
        <w:pStyle w:val="310"/>
        <w:numPr>
          <w:ilvl w:val="0"/>
          <w:numId w:val="90"/>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如果甲方和乙方或项目公司就将要采取的措施达成一致意见，并且</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或者甲方或乙方及项目公司（视情况而定）在协商期纠正了甲方严重违约事件或乙方和项目公司重违约事件，提前终止意向通知应立即自动失效。</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14.4.2 </w:t>
      </w:r>
      <w:r>
        <w:rPr>
          <w:rFonts w:hint="eastAsia"/>
          <w:color w:val="000000" w:themeColor="text1"/>
          <w14:textFill>
            <w14:solidFill>
              <w14:schemeClr w14:val="tx1"/>
            </w14:solidFill>
          </w14:textFill>
        </w:rPr>
        <w:t>提前终止通知</w:t>
      </w:r>
    </w:p>
    <w:p>
      <w:pPr>
        <w:pStyle w:val="310"/>
        <w:spacing w:line="360" w:lineRule="auto"/>
        <w:ind w:left="573" w:leftChars="270" w:hanging="6" w:hangingChars="3"/>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以第</w:t>
      </w:r>
      <w:r>
        <w:rPr>
          <w:rFonts w:ascii="Times New Roman" w:eastAsia="宋体" w:cs="Times New Roman"/>
          <w:color w:val="000000" w:themeColor="text1"/>
          <w:sz w:val="21"/>
          <w:szCs w:val="21"/>
          <w14:textFill>
            <w14:solidFill>
              <w14:schemeClr w14:val="tx1"/>
            </w14:solidFill>
          </w14:textFill>
        </w:rPr>
        <w:t>14.5</w:t>
      </w:r>
      <w:r>
        <w:rPr>
          <w:rFonts w:hint="eastAsia" w:ascii="Times New Roman" w:eastAsia="宋体" w:cs="Times New Roman"/>
          <w:color w:val="000000" w:themeColor="text1"/>
          <w:sz w:val="21"/>
          <w:szCs w:val="21"/>
          <w14:textFill>
            <w14:solidFill>
              <w14:schemeClr w14:val="tx1"/>
            </w14:solidFill>
          </w14:textFill>
        </w:rPr>
        <w:t>条款为前提，在协商期之后，除非：</w:t>
      </w:r>
    </w:p>
    <w:p>
      <w:pPr>
        <w:pStyle w:val="310"/>
        <w:numPr>
          <w:ilvl w:val="0"/>
          <w:numId w:val="91"/>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双方另外达成一致；或</w:t>
      </w:r>
    </w:p>
    <w:p>
      <w:pPr>
        <w:pStyle w:val="310"/>
        <w:numPr>
          <w:ilvl w:val="0"/>
          <w:numId w:val="91"/>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导致发出提前终止意向通知的甲方严重违约事件或乙方和项目公司严重违约事件得到纠正，</w:t>
      </w:r>
    </w:p>
    <w:p>
      <w:pPr>
        <w:pStyle w:val="310"/>
        <w:spacing w:line="360" w:lineRule="auto"/>
        <w:ind w:left="571" w:leftChars="272" w:firstLine="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发出提前终止意向通知的一方有权发出提前终止通知，该终止通知发出后，本合同即确认提前终止。</w:t>
      </w:r>
    </w:p>
    <w:p>
      <w:pPr>
        <w:pStyle w:val="4"/>
        <w:rPr>
          <w:color w:val="000000" w:themeColor="text1"/>
          <w14:textFill>
            <w14:solidFill>
              <w14:schemeClr w14:val="tx1"/>
            </w14:solidFill>
          </w14:textFill>
        </w:rPr>
      </w:pPr>
      <w:bookmarkStart w:id="793" w:name="_Toc491857649"/>
      <w:bookmarkStart w:id="794" w:name="_Toc495846051"/>
      <w:bookmarkStart w:id="795" w:name="_Toc496299660"/>
      <w:bookmarkStart w:id="796" w:name="_Toc516399816"/>
      <w:bookmarkStart w:id="797" w:name="_Toc522635592"/>
      <w:r>
        <w:rPr>
          <w:color w:val="000000" w:themeColor="text1"/>
          <w14:textFill>
            <w14:solidFill>
              <w14:schemeClr w14:val="tx1"/>
            </w14:solidFill>
          </w14:textFill>
        </w:rPr>
        <w:t xml:space="preserve">14.5 </w:t>
      </w:r>
      <w:r>
        <w:rPr>
          <w:rFonts w:hint="eastAsia"/>
          <w:color w:val="000000" w:themeColor="text1"/>
          <w14:textFill>
            <w14:solidFill>
              <w14:schemeClr w14:val="tx1"/>
            </w14:solidFill>
          </w14:textFill>
        </w:rPr>
        <w:t>提前终止的一般后果</w:t>
      </w:r>
      <w:bookmarkEnd w:id="793"/>
      <w:bookmarkEnd w:id="794"/>
      <w:bookmarkEnd w:id="795"/>
      <w:bookmarkEnd w:id="796"/>
      <w:bookmarkEnd w:id="797"/>
      <w:r>
        <w:rPr>
          <w:color w:val="000000" w:themeColor="text1"/>
          <w14:textFill>
            <w14:solidFill>
              <w14:schemeClr w14:val="tx1"/>
            </w14:solidFill>
          </w14:textFill>
        </w:rPr>
        <w:t xml:space="preserve"> </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14.5.1 </w:t>
      </w:r>
      <w:r>
        <w:rPr>
          <w:rFonts w:hint="eastAsia"/>
          <w:color w:val="000000" w:themeColor="text1"/>
          <w14:textFill>
            <w14:solidFill>
              <w14:schemeClr w14:val="tx1"/>
            </w14:solidFill>
          </w14:textFill>
        </w:rPr>
        <w:t>如果本合同提前终止，则自任何一方发出终止意向通知或终止通知（以较早发生为准）起，至双方商定的提前移交日止，双方应继续履行本协议项下的权利和义务。如双方无法就提前移交日达成一致，则自终止通知发出之日起满一百八十（</w:t>
      </w:r>
      <w:r>
        <w:rPr>
          <w:color w:val="000000" w:themeColor="text1"/>
          <w14:textFill>
            <w14:solidFill>
              <w14:schemeClr w14:val="tx1"/>
            </w14:solidFill>
          </w14:textFill>
        </w:rPr>
        <w:t>180</w:t>
      </w:r>
      <w:r>
        <w:rPr>
          <w:rFonts w:hint="eastAsia"/>
          <w:color w:val="000000" w:themeColor="text1"/>
          <w14:textFill>
            <w14:solidFill>
              <w14:schemeClr w14:val="tx1"/>
            </w14:solidFill>
          </w14:textFill>
        </w:rPr>
        <w:t>）日视为提前移交日。</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14.5.2 </w:t>
      </w:r>
      <w:r>
        <w:rPr>
          <w:rFonts w:hint="eastAsia"/>
          <w:color w:val="000000" w:themeColor="text1"/>
          <w14:textFill>
            <w14:solidFill>
              <w14:schemeClr w14:val="tx1"/>
            </w14:solidFill>
          </w14:textFill>
        </w:rPr>
        <w:t>自提前移交日起，甲方应立即自行承担费用负责项目设施的运行、维护和管理，并按照第</w:t>
      </w:r>
      <w:r>
        <w:rPr>
          <w:color w:val="000000" w:themeColor="text1"/>
          <w14:textFill>
            <w14:solidFill>
              <w14:schemeClr w14:val="tx1"/>
            </w14:solidFill>
          </w14:textFill>
        </w:rPr>
        <w:t>14.6</w:t>
      </w:r>
      <w:r>
        <w:rPr>
          <w:rFonts w:hint="eastAsia"/>
          <w:color w:val="000000" w:themeColor="text1"/>
          <w14:textFill>
            <w14:solidFill>
              <w14:schemeClr w14:val="tx1"/>
            </w14:solidFill>
          </w14:textFill>
        </w:rPr>
        <w:t>条款与项目公司进行提前移交。</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14.5.3 </w:t>
      </w:r>
      <w:r>
        <w:rPr>
          <w:rFonts w:hint="eastAsia"/>
          <w:color w:val="000000" w:themeColor="text1"/>
          <w14:textFill>
            <w14:solidFill>
              <w14:schemeClr w14:val="tx1"/>
            </w14:solidFill>
          </w14:textFill>
        </w:rPr>
        <w:t>自提前移交日起，双方在本合同项下未履行完毕的其他权利和义务应当继续履行，包括根据第</w:t>
      </w:r>
      <w:r>
        <w:rPr>
          <w:color w:val="000000" w:themeColor="text1"/>
          <w14:textFill>
            <w14:solidFill>
              <w14:schemeClr w14:val="tx1"/>
            </w14:solidFill>
          </w14:textFill>
        </w:rPr>
        <w:t>14.7</w:t>
      </w:r>
      <w:r>
        <w:rPr>
          <w:rFonts w:hint="eastAsia"/>
          <w:color w:val="000000" w:themeColor="text1"/>
          <w14:textFill>
            <w14:solidFill>
              <w14:schemeClr w14:val="tx1"/>
            </w14:solidFill>
          </w14:textFill>
        </w:rPr>
        <w:t>条款可能到期应付的任何款项；本合同的提前终止不影响本合同中争议解决条款和任何在本合同终止后仍然有效的其他条款的效力。</w:t>
      </w:r>
    </w:p>
    <w:p>
      <w:pPr>
        <w:pStyle w:val="4"/>
        <w:rPr>
          <w:color w:val="000000" w:themeColor="text1"/>
          <w14:textFill>
            <w14:solidFill>
              <w14:schemeClr w14:val="tx1"/>
            </w14:solidFill>
          </w14:textFill>
        </w:rPr>
      </w:pPr>
      <w:bookmarkStart w:id="798" w:name="_Toc491857650"/>
      <w:bookmarkStart w:id="799" w:name="_Toc495846052"/>
      <w:bookmarkStart w:id="800" w:name="_Toc496299661"/>
      <w:bookmarkStart w:id="801" w:name="_Toc516399817"/>
      <w:bookmarkStart w:id="802" w:name="_Toc522635593"/>
      <w:r>
        <w:rPr>
          <w:color w:val="000000" w:themeColor="text1"/>
          <w14:textFill>
            <w14:solidFill>
              <w14:schemeClr w14:val="tx1"/>
            </w14:solidFill>
          </w14:textFill>
        </w:rPr>
        <w:t xml:space="preserve">14.6 </w:t>
      </w:r>
      <w:r>
        <w:rPr>
          <w:rFonts w:hint="eastAsia"/>
          <w:color w:val="000000" w:themeColor="text1"/>
          <w14:textFill>
            <w14:solidFill>
              <w14:schemeClr w14:val="tx1"/>
            </w14:solidFill>
          </w14:textFill>
        </w:rPr>
        <w:t>提前终止后的提前移交</w:t>
      </w:r>
      <w:bookmarkEnd w:id="798"/>
      <w:bookmarkEnd w:id="799"/>
      <w:bookmarkEnd w:id="800"/>
      <w:bookmarkEnd w:id="801"/>
      <w:bookmarkEnd w:id="802"/>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14.6.1 </w:t>
      </w:r>
      <w:r>
        <w:rPr>
          <w:rFonts w:hint="eastAsia"/>
          <w:color w:val="000000" w:themeColor="text1"/>
          <w14:textFill>
            <w14:solidFill>
              <w14:schemeClr w14:val="tx1"/>
            </w14:solidFill>
          </w14:textFill>
        </w:rPr>
        <w:t>移交范围</w:t>
      </w:r>
    </w:p>
    <w:p>
      <w:pPr>
        <w:pStyle w:val="310"/>
        <w:numPr>
          <w:ilvl w:val="0"/>
          <w:numId w:val="92"/>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本合同任何一方根据第</w:t>
      </w:r>
      <w:r>
        <w:rPr>
          <w:rFonts w:ascii="Times New Roman" w:eastAsia="宋体" w:cs="Times New Roman"/>
          <w:color w:val="000000" w:themeColor="text1"/>
          <w:sz w:val="21"/>
          <w:szCs w:val="21"/>
          <w14:textFill>
            <w14:solidFill>
              <w14:schemeClr w14:val="tx1"/>
            </w14:solidFill>
          </w14:textFill>
        </w:rPr>
        <w:t>14.3</w:t>
      </w:r>
      <w:r>
        <w:rPr>
          <w:rFonts w:hint="eastAsia" w:ascii="Times New Roman" w:eastAsia="宋体" w:cs="Times New Roman"/>
          <w:color w:val="000000" w:themeColor="text1"/>
          <w:sz w:val="21"/>
          <w:szCs w:val="21"/>
          <w14:textFill>
            <w14:solidFill>
              <w14:schemeClr w14:val="tx1"/>
            </w14:solidFill>
          </w14:textFill>
        </w:rPr>
        <w:t>条款或第</w:t>
      </w:r>
      <w:r>
        <w:rPr>
          <w:rFonts w:ascii="Times New Roman" w:eastAsia="宋体" w:cs="Times New Roman"/>
          <w:color w:val="000000" w:themeColor="text1"/>
          <w:sz w:val="21"/>
          <w:szCs w:val="21"/>
          <w14:textFill>
            <w14:solidFill>
              <w14:schemeClr w14:val="tx1"/>
            </w14:solidFill>
          </w14:textFill>
        </w:rPr>
        <w:t>14.4</w:t>
      </w:r>
      <w:r>
        <w:rPr>
          <w:rFonts w:hint="eastAsia" w:ascii="Times New Roman" w:eastAsia="宋体" w:cs="Times New Roman"/>
          <w:color w:val="000000" w:themeColor="text1"/>
          <w:sz w:val="21"/>
          <w:szCs w:val="21"/>
          <w14:textFill>
            <w14:solidFill>
              <w14:schemeClr w14:val="tx1"/>
            </w14:solidFill>
          </w14:textFill>
        </w:rPr>
        <w:t>条款的规定发出提前终止通知后，项目公司应根据第</w:t>
      </w:r>
      <w:r>
        <w:rPr>
          <w:rFonts w:ascii="Times New Roman" w:eastAsia="宋体" w:cs="Times New Roman"/>
          <w:color w:val="000000" w:themeColor="text1"/>
          <w:sz w:val="21"/>
          <w:szCs w:val="21"/>
          <w14:textFill>
            <w14:solidFill>
              <w14:schemeClr w14:val="tx1"/>
            </w14:solidFill>
          </w14:textFill>
        </w:rPr>
        <w:t>14.6.2</w:t>
      </w:r>
      <w:r>
        <w:rPr>
          <w:rFonts w:hint="eastAsia" w:ascii="Times New Roman" w:eastAsia="宋体" w:cs="Times New Roman"/>
          <w:color w:val="000000" w:themeColor="text1"/>
          <w:sz w:val="21"/>
          <w:szCs w:val="21"/>
          <w14:textFill>
            <w14:solidFill>
              <w14:schemeClr w14:val="tx1"/>
            </w14:solidFill>
          </w14:textFill>
        </w:rPr>
        <w:t>条款规定的程序向甲方提前移交按照第</w:t>
      </w:r>
      <w:r>
        <w:rPr>
          <w:rFonts w:ascii="Times New Roman" w:eastAsia="宋体" w:cs="Times New Roman"/>
          <w:color w:val="000000" w:themeColor="text1"/>
          <w:sz w:val="21"/>
          <w:szCs w:val="21"/>
          <w14:textFill>
            <w14:solidFill>
              <w14:schemeClr w14:val="tx1"/>
            </w14:solidFill>
          </w14:textFill>
        </w:rPr>
        <w:t>12.1</w:t>
      </w:r>
      <w:r>
        <w:rPr>
          <w:rFonts w:hint="eastAsia" w:ascii="Times New Roman" w:eastAsia="宋体" w:cs="Times New Roman"/>
          <w:color w:val="000000" w:themeColor="text1"/>
          <w:sz w:val="21"/>
          <w:szCs w:val="21"/>
          <w14:textFill>
            <w14:solidFill>
              <w14:schemeClr w14:val="tx1"/>
            </w14:solidFill>
          </w14:textFill>
        </w:rPr>
        <w:t>条款要求的项目设施、相关文件资料和与项目设施相关的所有权利和权益。</w:t>
      </w:r>
    </w:p>
    <w:p>
      <w:pPr>
        <w:pStyle w:val="310"/>
        <w:numPr>
          <w:ilvl w:val="0"/>
          <w:numId w:val="92"/>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如根据第</w:t>
      </w:r>
      <w:r>
        <w:rPr>
          <w:rFonts w:ascii="Times New Roman" w:eastAsia="宋体" w:cs="Times New Roman"/>
          <w:color w:val="000000" w:themeColor="text1"/>
          <w:sz w:val="21"/>
          <w:szCs w:val="21"/>
          <w14:textFill>
            <w14:solidFill>
              <w14:schemeClr w14:val="tx1"/>
            </w14:solidFill>
          </w14:textFill>
        </w:rPr>
        <w:t>14.3</w:t>
      </w:r>
      <w:r>
        <w:rPr>
          <w:rFonts w:hint="eastAsia" w:ascii="Times New Roman" w:eastAsia="宋体" w:cs="Times New Roman"/>
          <w:color w:val="000000" w:themeColor="text1"/>
          <w:sz w:val="21"/>
          <w:szCs w:val="21"/>
          <w14:textFill>
            <w14:solidFill>
              <w14:schemeClr w14:val="tx1"/>
            </w14:solidFill>
          </w14:textFill>
        </w:rPr>
        <w:t>条款因不可抗力导致本合同提前终止，则第</w:t>
      </w:r>
      <w:r>
        <w:rPr>
          <w:rFonts w:ascii="Times New Roman" w:eastAsia="宋体" w:cs="Times New Roman"/>
          <w:color w:val="000000" w:themeColor="text1"/>
          <w:sz w:val="21"/>
          <w:szCs w:val="21"/>
          <w14:textFill>
            <w14:solidFill>
              <w14:schemeClr w14:val="tx1"/>
            </w14:solidFill>
          </w14:textFill>
        </w:rPr>
        <w:t>12.1</w:t>
      </w:r>
      <w:r>
        <w:rPr>
          <w:rFonts w:hint="eastAsia" w:ascii="Times New Roman" w:eastAsia="宋体" w:cs="Times New Roman"/>
          <w:color w:val="000000" w:themeColor="text1"/>
          <w:sz w:val="21"/>
          <w:szCs w:val="21"/>
          <w14:textFill>
            <w14:solidFill>
              <w14:schemeClr w14:val="tx1"/>
            </w14:solidFill>
          </w14:textFill>
        </w:rPr>
        <w:t>条款中所列的各项应按照在提前终止通知发出时的状态被移交。</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14.6.2 </w:t>
      </w:r>
      <w:r>
        <w:rPr>
          <w:rFonts w:hint="eastAsia"/>
          <w:color w:val="000000" w:themeColor="text1"/>
          <w14:textFill>
            <w14:solidFill>
              <w14:schemeClr w14:val="tx1"/>
            </w14:solidFill>
          </w14:textFill>
        </w:rPr>
        <w:t>移交程序</w:t>
      </w:r>
    </w:p>
    <w:p>
      <w:pPr>
        <w:pStyle w:val="310"/>
        <w:numPr>
          <w:ilvl w:val="0"/>
          <w:numId w:val="93"/>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自提前移交日，项目公司对项目设施的所有权益全部转移给甲方，甲方收回项目公司的经营权。</w:t>
      </w:r>
    </w:p>
    <w:p>
      <w:pPr>
        <w:pStyle w:val="310"/>
        <w:numPr>
          <w:ilvl w:val="0"/>
          <w:numId w:val="93"/>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双方于提前移交日后三十（</w:t>
      </w:r>
      <w:r>
        <w:rPr>
          <w:rFonts w:ascii="Times New Roman" w:eastAsia="宋体" w:cs="Times New Roman"/>
          <w:color w:val="000000" w:themeColor="text1"/>
          <w:sz w:val="21"/>
          <w:szCs w:val="21"/>
          <w14:textFill>
            <w14:solidFill>
              <w14:schemeClr w14:val="tx1"/>
            </w14:solidFill>
          </w14:textFill>
        </w:rPr>
        <w:t>30</w:t>
      </w:r>
      <w:r>
        <w:rPr>
          <w:rFonts w:hint="eastAsia" w:ascii="Times New Roman" w:eastAsia="宋体" w:cs="Times New Roman"/>
          <w:color w:val="000000" w:themeColor="text1"/>
          <w:sz w:val="21"/>
          <w:szCs w:val="21"/>
          <w14:textFill>
            <w14:solidFill>
              <w14:schemeClr w14:val="tx1"/>
            </w14:solidFill>
          </w14:textFill>
        </w:rPr>
        <w:t>）日内按第</w:t>
      </w:r>
      <w:r>
        <w:rPr>
          <w:rFonts w:ascii="Times New Roman" w:eastAsia="宋体" w:cs="Times New Roman"/>
          <w:color w:val="000000" w:themeColor="text1"/>
          <w:sz w:val="21"/>
          <w:szCs w:val="21"/>
          <w14:textFill>
            <w14:solidFill>
              <w14:schemeClr w14:val="tx1"/>
            </w14:solidFill>
          </w14:textFill>
        </w:rPr>
        <w:t>14.7</w:t>
      </w:r>
      <w:r>
        <w:rPr>
          <w:rFonts w:hint="eastAsia" w:ascii="Times New Roman" w:eastAsia="宋体" w:cs="Times New Roman"/>
          <w:color w:val="000000" w:themeColor="text1"/>
          <w:sz w:val="21"/>
          <w:szCs w:val="21"/>
          <w14:textFill>
            <w14:solidFill>
              <w14:schemeClr w14:val="tx1"/>
            </w14:solidFill>
          </w14:textFill>
        </w:rPr>
        <w:t>条款确定终止补偿金额，甲方应在确定终止补偿金额后一百二十（</w:t>
      </w:r>
      <w:r>
        <w:rPr>
          <w:rFonts w:ascii="Times New Roman" w:eastAsia="宋体" w:cs="Times New Roman"/>
          <w:color w:val="000000" w:themeColor="text1"/>
          <w:sz w:val="21"/>
          <w:szCs w:val="21"/>
          <w14:textFill>
            <w14:solidFill>
              <w14:schemeClr w14:val="tx1"/>
            </w14:solidFill>
          </w14:textFill>
        </w:rPr>
        <w:t>120</w:t>
      </w:r>
      <w:r>
        <w:rPr>
          <w:rFonts w:hint="eastAsia" w:ascii="Times New Roman" w:eastAsia="宋体" w:cs="Times New Roman"/>
          <w:color w:val="000000" w:themeColor="text1"/>
          <w:sz w:val="21"/>
          <w:szCs w:val="21"/>
          <w14:textFill>
            <w14:solidFill>
              <w14:schemeClr w14:val="tx1"/>
            </w14:solidFill>
          </w14:textFill>
        </w:rPr>
        <w:t>）日内或办理完毕全部法定手续的次日开始支付终止补偿金。</w:t>
      </w:r>
    </w:p>
    <w:p>
      <w:pPr>
        <w:pStyle w:val="4"/>
        <w:rPr>
          <w:color w:val="000000" w:themeColor="text1"/>
          <w14:textFill>
            <w14:solidFill>
              <w14:schemeClr w14:val="tx1"/>
            </w14:solidFill>
          </w14:textFill>
        </w:rPr>
      </w:pPr>
      <w:bookmarkStart w:id="803" w:name="_Toc491857651"/>
      <w:bookmarkStart w:id="804" w:name="_Toc495846053"/>
      <w:bookmarkStart w:id="805" w:name="_Toc496299662"/>
      <w:bookmarkStart w:id="806" w:name="_Toc516399818"/>
      <w:bookmarkStart w:id="807" w:name="_Toc522635594"/>
      <w:r>
        <w:rPr>
          <w:color w:val="000000" w:themeColor="text1"/>
          <w14:textFill>
            <w14:solidFill>
              <w14:schemeClr w14:val="tx1"/>
            </w14:solidFill>
          </w14:textFill>
        </w:rPr>
        <w:t xml:space="preserve">14.7 </w:t>
      </w:r>
      <w:r>
        <w:rPr>
          <w:rFonts w:hint="eastAsia"/>
          <w:color w:val="000000" w:themeColor="text1"/>
          <w14:textFill>
            <w14:solidFill>
              <w14:schemeClr w14:val="tx1"/>
            </w14:solidFill>
          </w14:textFill>
        </w:rPr>
        <w:t>提前终止后的补偿</w:t>
      </w:r>
      <w:bookmarkEnd w:id="803"/>
      <w:bookmarkEnd w:id="804"/>
      <w:bookmarkEnd w:id="805"/>
      <w:bookmarkEnd w:id="806"/>
      <w:bookmarkEnd w:id="807"/>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14.7.1 </w:t>
      </w:r>
      <w:r>
        <w:rPr>
          <w:rFonts w:hint="eastAsia"/>
          <w:color w:val="000000" w:themeColor="text1"/>
          <w14:textFill>
            <w14:solidFill>
              <w14:schemeClr w14:val="tx1"/>
            </w14:solidFill>
          </w14:textFill>
        </w:rPr>
        <w:t>若本合同根据第</w:t>
      </w:r>
      <w:r>
        <w:rPr>
          <w:color w:val="000000" w:themeColor="text1"/>
          <w14:textFill>
            <w14:solidFill>
              <w14:schemeClr w14:val="tx1"/>
            </w14:solidFill>
          </w14:textFill>
        </w:rPr>
        <w:t>14</w:t>
      </w:r>
      <w:r>
        <w:rPr>
          <w:rFonts w:hint="eastAsia"/>
          <w:color w:val="000000" w:themeColor="text1"/>
          <w14:textFill>
            <w14:solidFill>
              <w14:schemeClr w14:val="tx1"/>
            </w14:solidFill>
          </w14:textFill>
        </w:rPr>
        <w:t>条提前终止，则除非本合同另有约定，甲方将按照如下标准向项目公司支付补偿金（提前终止时，甲方对于项目公司的补偿须以项目公司还清其届时之所有负债为前提。双方协商一致确定项目提前终止时，由双方协商确定终止事宜）。</w:t>
      </w:r>
    </w:p>
    <w:p>
      <w:pPr>
        <w:rPr>
          <w:color w:val="000000" w:themeColor="text1"/>
          <w14:textFill>
            <w14:solidFill>
              <w14:schemeClr w14:val="tx1"/>
            </w14:solidFill>
          </w14:textFill>
        </w:rPr>
      </w:pPr>
    </w:p>
    <w:tbl>
      <w:tblPr>
        <w:tblStyle w:val="57"/>
        <w:tblW w:w="80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714"/>
        <w:gridCol w:w="3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exact"/>
          <w:jc w:val="center"/>
        </w:trPr>
        <w:tc>
          <w:tcPr>
            <w:tcW w:w="817" w:type="dxa"/>
            <w:vAlign w:val="center"/>
          </w:tcPr>
          <w:p>
            <w:pPr>
              <w:pStyle w:val="310"/>
              <w:jc w:val="center"/>
              <w:rPr>
                <w:rFonts w:ascii="Times New Roman" w:eastAsia="宋体" w:cs="Times New Roman"/>
                <w:color w:val="auto"/>
                <w:sz w:val="21"/>
                <w:szCs w:val="21"/>
              </w:rPr>
            </w:pPr>
            <w:r>
              <w:rPr>
                <w:rFonts w:hint="eastAsia" w:ascii="Times New Roman" w:eastAsia="宋体" w:cs="Times New Roman"/>
                <w:color w:val="auto"/>
                <w:sz w:val="21"/>
                <w:szCs w:val="21"/>
              </w:rPr>
              <w:t>序号</w:t>
            </w:r>
          </w:p>
        </w:tc>
        <w:tc>
          <w:tcPr>
            <w:tcW w:w="3714" w:type="dxa"/>
            <w:vAlign w:val="center"/>
          </w:tcPr>
          <w:p>
            <w:pPr>
              <w:pStyle w:val="310"/>
              <w:ind w:firstLine="420"/>
              <w:jc w:val="center"/>
              <w:rPr>
                <w:rFonts w:ascii="Times New Roman" w:eastAsia="宋体" w:cs="Times New Roman"/>
                <w:color w:val="auto"/>
                <w:sz w:val="21"/>
                <w:szCs w:val="21"/>
              </w:rPr>
            </w:pPr>
            <w:r>
              <w:rPr>
                <w:rFonts w:hint="eastAsia" w:ascii="Times New Roman" w:eastAsia="宋体" w:cs="Times New Roman"/>
                <w:color w:val="auto"/>
                <w:sz w:val="21"/>
                <w:szCs w:val="21"/>
              </w:rPr>
              <w:t>条款</w:t>
            </w:r>
          </w:p>
        </w:tc>
        <w:tc>
          <w:tcPr>
            <w:tcW w:w="3484" w:type="dxa"/>
            <w:vAlign w:val="center"/>
          </w:tcPr>
          <w:p>
            <w:pPr>
              <w:pStyle w:val="310"/>
              <w:jc w:val="center"/>
              <w:rPr>
                <w:rFonts w:ascii="Times New Roman" w:eastAsia="宋体" w:cs="Times New Roman"/>
                <w:color w:val="auto"/>
                <w:sz w:val="21"/>
                <w:szCs w:val="21"/>
              </w:rPr>
            </w:pPr>
            <w:r>
              <w:rPr>
                <w:rFonts w:hint="eastAsia" w:ascii="Times New Roman" w:eastAsia="宋体" w:cs="Times New Roman"/>
                <w:color w:val="auto"/>
                <w:sz w:val="21"/>
                <w:szCs w:val="21"/>
              </w:rPr>
              <w:t>补偿金额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exact"/>
          <w:jc w:val="center"/>
        </w:trPr>
        <w:tc>
          <w:tcPr>
            <w:tcW w:w="817" w:type="dxa"/>
            <w:vMerge w:val="restart"/>
            <w:vAlign w:val="center"/>
          </w:tcPr>
          <w:p>
            <w:pPr>
              <w:pStyle w:val="310"/>
              <w:jc w:val="center"/>
              <w:rPr>
                <w:rFonts w:ascii="Times New Roman" w:eastAsia="宋体" w:cs="Times New Roman"/>
                <w:color w:val="auto"/>
                <w:sz w:val="21"/>
                <w:szCs w:val="21"/>
              </w:rPr>
            </w:pPr>
            <w:r>
              <w:rPr>
                <w:rFonts w:ascii="Times New Roman" w:eastAsia="宋体" w:cs="Times New Roman"/>
                <w:color w:val="auto"/>
                <w:sz w:val="21"/>
                <w:szCs w:val="21"/>
              </w:rPr>
              <w:t>1</w:t>
            </w:r>
          </w:p>
        </w:tc>
        <w:tc>
          <w:tcPr>
            <w:tcW w:w="3714" w:type="dxa"/>
            <w:vMerge w:val="restart"/>
            <w:vAlign w:val="center"/>
          </w:tcPr>
          <w:p>
            <w:pPr>
              <w:pStyle w:val="310"/>
              <w:jc w:val="center"/>
              <w:rPr>
                <w:rFonts w:ascii="Times New Roman" w:eastAsia="宋体" w:cs="Times New Roman"/>
                <w:color w:val="auto"/>
                <w:sz w:val="21"/>
                <w:szCs w:val="21"/>
              </w:rPr>
            </w:pPr>
            <w:r>
              <w:rPr>
                <w:rFonts w:hint="eastAsia" w:ascii="Times New Roman" w:eastAsia="宋体" w:cs="Times New Roman"/>
                <w:color w:val="auto"/>
                <w:sz w:val="21"/>
                <w:szCs w:val="21"/>
              </w:rPr>
              <w:t>第</w:t>
            </w:r>
            <w:r>
              <w:rPr>
                <w:rFonts w:ascii="Times New Roman" w:eastAsia="宋体" w:cs="Times New Roman"/>
                <w:color w:val="auto"/>
                <w:sz w:val="21"/>
                <w:szCs w:val="21"/>
              </w:rPr>
              <w:t>14.1</w:t>
            </w:r>
            <w:r>
              <w:rPr>
                <w:rFonts w:hint="eastAsia" w:ascii="Times New Roman" w:eastAsia="宋体" w:cs="Times New Roman"/>
                <w:color w:val="auto"/>
                <w:sz w:val="21"/>
                <w:szCs w:val="21"/>
              </w:rPr>
              <w:t>条款</w:t>
            </w:r>
          </w:p>
        </w:tc>
        <w:tc>
          <w:tcPr>
            <w:tcW w:w="3484" w:type="dxa"/>
            <w:vAlign w:val="center"/>
          </w:tcPr>
          <w:p>
            <w:pPr>
              <w:pStyle w:val="310"/>
              <w:jc w:val="center"/>
              <w:rPr>
                <w:rFonts w:ascii="Times New Roman" w:eastAsia="宋体" w:cs="Times New Roman"/>
                <w:color w:val="auto"/>
                <w:sz w:val="21"/>
                <w:szCs w:val="21"/>
              </w:rPr>
            </w:pPr>
            <w:r>
              <w:rPr>
                <w:rFonts w:hint="eastAsia" w:ascii="Times New Roman" w:eastAsia="宋体" w:cs="Times New Roman"/>
                <w:color w:val="auto"/>
                <w:sz w:val="21"/>
                <w:szCs w:val="21"/>
              </w:rPr>
              <w:t>建设期内提前终止时，为</w:t>
            </w:r>
            <w:r>
              <w:rPr>
                <w:rFonts w:ascii="Times New Roman" w:eastAsia="宋体" w:cs="Times New Roman"/>
                <w:color w:val="auto"/>
                <w:sz w:val="21"/>
                <w:szCs w:val="21"/>
              </w:rPr>
              <w:t>P</w:t>
            </w:r>
            <w:r>
              <w:rPr>
                <w:rFonts w:ascii="Times New Roman" w:eastAsia="宋体" w:cs="Times New Roman"/>
                <w:color w:val="auto"/>
                <w:sz w:val="21"/>
                <w:szCs w:val="21"/>
                <w:vertAlign w:val="subscript"/>
              </w:rPr>
              <w:t>1</w:t>
            </w:r>
            <w:r>
              <w:rPr>
                <w:rFonts w:ascii="Times New Roman" w:eastAsia="宋体" w:cs="Times New Roman"/>
                <w:color w:val="auto"/>
                <w:sz w:val="21"/>
                <w:szCs w:val="21"/>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exact"/>
          <w:jc w:val="center"/>
        </w:trPr>
        <w:tc>
          <w:tcPr>
            <w:tcW w:w="817" w:type="dxa"/>
            <w:vMerge w:val="continue"/>
            <w:vAlign w:val="center"/>
          </w:tcPr>
          <w:p>
            <w:pPr>
              <w:pStyle w:val="310"/>
              <w:ind w:firstLine="420"/>
              <w:jc w:val="center"/>
              <w:rPr>
                <w:rFonts w:ascii="Times New Roman" w:eastAsia="宋体" w:cs="Times New Roman"/>
                <w:color w:val="auto"/>
                <w:sz w:val="21"/>
                <w:szCs w:val="21"/>
              </w:rPr>
            </w:pPr>
          </w:p>
        </w:tc>
        <w:tc>
          <w:tcPr>
            <w:tcW w:w="3714" w:type="dxa"/>
            <w:vMerge w:val="continue"/>
            <w:vAlign w:val="center"/>
          </w:tcPr>
          <w:p>
            <w:pPr>
              <w:pStyle w:val="310"/>
              <w:ind w:firstLine="420"/>
              <w:jc w:val="center"/>
              <w:rPr>
                <w:rFonts w:ascii="Times New Roman" w:eastAsia="宋体" w:cs="Times New Roman"/>
                <w:color w:val="auto"/>
                <w:sz w:val="21"/>
                <w:szCs w:val="21"/>
              </w:rPr>
            </w:pPr>
          </w:p>
        </w:tc>
        <w:tc>
          <w:tcPr>
            <w:tcW w:w="3484" w:type="dxa"/>
            <w:vAlign w:val="center"/>
          </w:tcPr>
          <w:p>
            <w:pPr>
              <w:pStyle w:val="310"/>
              <w:jc w:val="center"/>
              <w:rPr>
                <w:rFonts w:ascii="Times New Roman" w:eastAsia="宋体" w:cs="Times New Roman"/>
                <w:color w:val="auto"/>
                <w:sz w:val="21"/>
                <w:szCs w:val="21"/>
              </w:rPr>
            </w:pPr>
            <w:r>
              <w:rPr>
                <w:rFonts w:hint="eastAsia" w:ascii="Times New Roman" w:eastAsia="宋体" w:cs="Times New Roman"/>
                <w:color w:val="auto"/>
                <w:sz w:val="21"/>
                <w:szCs w:val="21"/>
              </w:rPr>
              <w:t>运营期内提前终止时，为</w:t>
            </w:r>
            <w:r>
              <w:rPr>
                <w:rFonts w:ascii="Times New Roman" w:eastAsia="宋体" w:cs="Times New Roman"/>
                <w:color w:val="auto"/>
                <w:sz w:val="21"/>
                <w:szCs w:val="21"/>
              </w:rPr>
              <w:t>P</w:t>
            </w:r>
            <w:r>
              <w:rPr>
                <w:rFonts w:ascii="Times New Roman" w:eastAsia="宋体" w:cs="Times New Roman"/>
                <w:color w:val="auto"/>
                <w:sz w:val="21"/>
                <w:szCs w:val="21"/>
                <w:vertAlign w:val="subscript"/>
              </w:rPr>
              <w:t>2</w:t>
            </w:r>
            <w:r>
              <w:rPr>
                <w:rFonts w:ascii="Times New Roman" w:eastAsia="宋体" w:cs="Times New Roman"/>
                <w:color w:val="auto"/>
                <w:sz w:val="21"/>
                <w:szCs w:val="21"/>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exact"/>
          <w:jc w:val="center"/>
        </w:trPr>
        <w:tc>
          <w:tcPr>
            <w:tcW w:w="817" w:type="dxa"/>
            <w:vMerge w:val="restart"/>
            <w:vAlign w:val="center"/>
          </w:tcPr>
          <w:p>
            <w:pPr>
              <w:pStyle w:val="310"/>
              <w:jc w:val="center"/>
              <w:rPr>
                <w:rFonts w:ascii="Times New Roman" w:eastAsia="宋体" w:cs="Times New Roman"/>
                <w:color w:val="auto"/>
                <w:sz w:val="21"/>
                <w:szCs w:val="21"/>
              </w:rPr>
            </w:pPr>
            <w:r>
              <w:rPr>
                <w:rFonts w:ascii="Times New Roman" w:eastAsia="宋体" w:cs="Times New Roman"/>
                <w:color w:val="auto"/>
                <w:sz w:val="21"/>
                <w:szCs w:val="21"/>
              </w:rPr>
              <w:t>2</w:t>
            </w:r>
          </w:p>
        </w:tc>
        <w:tc>
          <w:tcPr>
            <w:tcW w:w="3714" w:type="dxa"/>
            <w:vMerge w:val="restart"/>
            <w:vAlign w:val="center"/>
          </w:tcPr>
          <w:p>
            <w:pPr>
              <w:pStyle w:val="310"/>
              <w:jc w:val="center"/>
              <w:rPr>
                <w:rFonts w:ascii="Times New Roman" w:eastAsia="宋体" w:cs="Times New Roman"/>
                <w:color w:val="auto"/>
                <w:sz w:val="21"/>
                <w:szCs w:val="21"/>
              </w:rPr>
            </w:pPr>
            <w:r>
              <w:rPr>
                <w:rFonts w:hint="eastAsia" w:ascii="Times New Roman" w:eastAsia="宋体" w:cs="Times New Roman"/>
                <w:color w:val="auto"/>
                <w:sz w:val="21"/>
                <w:szCs w:val="21"/>
              </w:rPr>
              <w:t>第</w:t>
            </w:r>
            <w:r>
              <w:rPr>
                <w:rFonts w:ascii="Times New Roman" w:eastAsia="宋体" w:cs="Times New Roman"/>
                <w:color w:val="auto"/>
                <w:sz w:val="21"/>
                <w:szCs w:val="21"/>
              </w:rPr>
              <w:t>14.2</w:t>
            </w:r>
            <w:r>
              <w:rPr>
                <w:rFonts w:hint="eastAsia" w:ascii="Times New Roman" w:eastAsia="宋体" w:cs="Times New Roman"/>
                <w:color w:val="auto"/>
                <w:sz w:val="21"/>
                <w:szCs w:val="21"/>
              </w:rPr>
              <w:t>条款</w:t>
            </w:r>
          </w:p>
        </w:tc>
        <w:tc>
          <w:tcPr>
            <w:tcW w:w="3484" w:type="dxa"/>
            <w:vAlign w:val="center"/>
          </w:tcPr>
          <w:p>
            <w:pPr>
              <w:pStyle w:val="310"/>
              <w:jc w:val="center"/>
              <w:rPr>
                <w:rFonts w:ascii="Times New Roman" w:eastAsia="宋体" w:cs="Times New Roman"/>
                <w:color w:val="auto"/>
                <w:sz w:val="21"/>
                <w:szCs w:val="21"/>
              </w:rPr>
            </w:pPr>
            <w:r>
              <w:rPr>
                <w:rFonts w:hint="eastAsia" w:ascii="Times New Roman" w:eastAsia="宋体" w:cs="Times New Roman"/>
                <w:color w:val="auto"/>
                <w:sz w:val="21"/>
                <w:szCs w:val="21"/>
              </w:rPr>
              <w:t>建设期内提前终止时，为</w:t>
            </w:r>
            <w:r>
              <w:rPr>
                <w:rFonts w:ascii="Times New Roman" w:eastAsia="宋体" w:cs="Times New Roman"/>
                <w:color w:val="auto"/>
                <w:sz w:val="21"/>
                <w:szCs w:val="21"/>
              </w:rPr>
              <w:t>P</w:t>
            </w:r>
            <w:r>
              <w:rPr>
                <w:rFonts w:ascii="Times New Roman" w:eastAsia="宋体" w:cs="Times New Roman"/>
                <w:color w:val="auto"/>
                <w:sz w:val="21"/>
                <w:szCs w:val="21"/>
                <w:vertAlign w:val="subscript"/>
              </w:rPr>
              <w:t>1</w:t>
            </w:r>
            <w:r>
              <w:rPr>
                <w:rFonts w:ascii="Times New Roman" w:eastAsia="宋体" w:cs="Times New Roman"/>
                <w:color w:val="auto"/>
                <w:sz w:val="21"/>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exact"/>
          <w:jc w:val="center"/>
        </w:trPr>
        <w:tc>
          <w:tcPr>
            <w:tcW w:w="817" w:type="dxa"/>
            <w:vMerge w:val="continue"/>
            <w:vAlign w:val="center"/>
          </w:tcPr>
          <w:p>
            <w:pPr>
              <w:pStyle w:val="310"/>
              <w:ind w:firstLine="420"/>
              <w:jc w:val="center"/>
              <w:rPr>
                <w:rFonts w:ascii="Times New Roman" w:eastAsia="宋体" w:cs="Times New Roman"/>
                <w:color w:val="auto"/>
                <w:sz w:val="21"/>
                <w:szCs w:val="21"/>
              </w:rPr>
            </w:pPr>
          </w:p>
        </w:tc>
        <w:tc>
          <w:tcPr>
            <w:tcW w:w="3714" w:type="dxa"/>
            <w:vMerge w:val="continue"/>
            <w:vAlign w:val="center"/>
          </w:tcPr>
          <w:p>
            <w:pPr>
              <w:pStyle w:val="310"/>
              <w:ind w:firstLine="420"/>
              <w:jc w:val="both"/>
              <w:rPr>
                <w:rFonts w:ascii="Times New Roman" w:eastAsia="宋体" w:cs="Times New Roman"/>
                <w:color w:val="auto"/>
                <w:sz w:val="21"/>
                <w:szCs w:val="21"/>
              </w:rPr>
            </w:pPr>
          </w:p>
        </w:tc>
        <w:tc>
          <w:tcPr>
            <w:tcW w:w="3484" w:type="dxa"/>
            <w:vAlign w:val="center"/>
          </w:tcPr>
          <w:p>
            <w:pPr>
              <w:pStyle w:val="310"/>
              <w:jc w:val="center"/>
              <w:rPr>
                <w:rFonts w:ascii="Times New Roman" w:eastAsia="宋体" w:cs="Times New Roman"/>
                <w:color w:val="auto"/>
                <w:sz w:val="21"/>
                <w:szCs w:val="21"/>
              </w:rPr>
            </w:pPr>
            <w:r>
              <w:rPr>
                <w:rFonts w:hint="eastAsia" w:ascii="Times New Roman" w:eastAsia="宋体" w:cs="Times New Roman"/>
                <w:color w:val="auto"/>
                <w:sz w:val="21"/>
                <w:szCs w:val="21"/>
              </w:rPr>
              <w:t>运营期内提前终止时，为</w:t>
            </w:r>
            <w:r>
              <w:rPr>
                <w:rFonts w:ascii="Times New Roman" w:eastAsia="宋体" w:cs="Times New Roman"/>
                <w:color w:val="auto"/>
                <w:sz w:val="21"/>
                <w:szCs w:val="21"/>
              </w:rPr>
              <w:t>P</w:t>
            </w:r>
            <w:r>
              <w:rPr>
                <w:rFonts w:ascii="Times New Roman" w:eastAsia="宋体" w:cs="Times New Roman"/>
                <w:color w:val="auto"/>
                <w:sz w:val="21"/>
                <w:szCs w:val="21"/>
                <w:vertAlign w:val="subscript"/>
              </w:rPr>
              <w:t>2</w:t>
            </w:r>
            <w:r>
              <w:rPr>
                <w:rFonts w:ascii="Times New Roman" w:eastAsia="宋体" w:cs="Times New Roman"/>
                <w:color w:val="auto"/>
                <w:sz w:val="21"/>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5" w:hRule="exact"/>
          <w:jc w:val="center"/>
        </w:trPr>
        <w:tc>
          <w:tcPr>
            <w:tcW w:w="817" w:type="dxa"/>
            <w:vAlign w:val="center"/>
          </w:tcPr>
          <w:p>
            <w:pPr>
              <w:pStyle w:val="310"/>
              <w:jc w:val="center"/>
              <w:rPr>
                <w:rFonts w:ascii="Times New Roman" w:eastAsia="宋体" w:cs="Times New Roman"/>
                <w:color w:val="auto"/>
                <w:sz w:val="21"/>
                <w:szCs w:val="21"/>
              </w:rPr>
            </w:pPr>
            <w:r>
              <w:rPr>
                <w:rFonts w:ascii="Times New Roman" w:eastAsia="宋体" w:cs="Times New Roman"/>
                <w:color w:val="auto"/>
                <w:sz w:val="21"/>
                <w:szCs w:val="21"/>
              </w:rPr>
              <w:t>3</w:t>
            </w:r>
          </w:p>
        </w:tc>
        <w:tc>
          <w:tcPr>
            <w:tcW w:w="3714" w:type="dxa"/>
            <w:vAlign w:val="center"/>
          </w:tcPr>
          <w:p>
            <w:pPr>
              <w:pStyle w:val="310"/>
              <w:jc w:val="center"/>
              <w:rPr>
                <w:rFonts w:ascii="Times New Roman" w:eastAsia="宋体" w:cs="Times New Roman"/>
                <w:color w:val="auto"/>
                <w:sz w:val="21"/>
                <w:szCs w:val="21"/>
              </w:rPr>
            </w:pPr>
            <w:r>
              <w:rPr>
                <w:rFonts w:hint="eastAsia" w:ascii="Times New Roman" w:eastAsia="宋体" w:cs="Times New Roman"/>
                <w:color w:val="auto"/>
                <w:sz w:val="21"/>
                <w:szCs w:val="21"/>
              </w:rPr>
              <w:t>第</w:t>
            </w:r>
            <w:r>
              <w:rPr>
                <w:rFonts w:ascii="Times New Roman" w:eastAsia="宋体" w:cs="Times New Roman"/>
                <w:color w:val="auto"/>
                <w:sz w:val="21"/>
                <w:szCs w:val="21"/>
              </w:rPr>
              <w:t>13.1.2</w:t>
            </w:r>
            <w:r>
              <w:rPr>
                <w:rFonts w:hint="eastAsia" w:ascii="Times New Roman" w:eastAsia="宋体" w:cs="Times New Roman"/>
                <w:color w:val="auto"/>
                <w:sz w:val="21"/>
                <w:szCs w:val="21"/>
              </w:rPr>
              <w:t>（</w:t>
            </w:r>
            <w:r>
              <w:rPr>
                <w:rFonts w:ascii="Times New Roman" w:eastAsia="宋体" w:cs="Times New Roman"/>
                <w:color w:val="auto"/>
                <w:sz w:val="21"/>
                <w:szCs w:val="21"/>
              </w:rPr>
              <w:t>a</w:t>
            </w:r>
            <w:r>
              <w:rPr>
                <w:rFonts w:hint="eastAsia" w:ascii="Times New Roman" w:eastAsia="宋体" w:cs="Times New Roman"/>
                <w:color w:val="auto"/>
                <w:sz w:val="21"/>
                <w:szCs w:val="21"/>
              </w:rPr>
              <w:t>）条款、第</w:t>
            </w:r>
            <w:r>
              <w:rPr>
                <w:rFonts w:ascii="Times New Roman" w:eastAsia="宋体" w:cs="Times New Roman"/>
                <w:color w:val="auto"/>
                <w:sz w:val="21"/>
                <w:szCs w:val="21"/>
              </w:rPr>
              <w:t>13.1.2</w:t>
            </w:r>
            <w:r>
              <w:rPr>
                <w:rFonts w:hint="eastAsia" w:ascii="Times New Roman" w:eastAsia="宋体" w:cs="Times New Roman"/>
                <w:color w:val="auto"/>
                <w:sz w:val="21"/>
                <w:szCs w:val="21"/>
              </w:rPr>
              <w:t>（</w:t>
            </w:r>
            <w:r>
              <w:rPr>
                <w:rFonts w:ascii="Times New Roman" w:eastAsia="宋体" w:cs="Times New Roman"/>
                <w:color w:val="auto"/>
                <w:sz w:val="21"/>
                <w:szCs w:val="21"/>
              </w:rPr>
              <w:t>b</w:t>
            </w:r>
            <w:r>
              <w:rPr>
                <w:rFonts w:hint="eastAsia" w:ascii="Times New Roman" w:eastAsia="宋体" w:cs="Times New Roman"/>
                <w:color w:val="auto"/>
                <w:sz w:val="21"/>
                <w:szCs w:val="21"/>
              </w:rPr>
              <w:t>）条款、第</w:t>
            </w:r>
            <w:r>
              <w:rPr>
                <w:rFonts w:ascii="Times New Roman" w:eastAsia="宋体" w:cs="Times New Roman"/>
                <w:color w:val="auto"/>
                <w:sz w:val="21"/>
                <w:szCs w:val="21"/>
              </w:rPr>
              <w:t>13.1.2</w:t>
            </w:r>
            <w:r>
              <w:rPr>
                <w:rFonts w:hint="eastAsia" w:ascii="Times New Roman" w:eastAsia="宋体" w:cs="Times New Roman"/>
                <w:color w:val="auto"/>
                <w:sz w:val="21"/>
                <w:szCs w:val="21"/>
              </w:rPr>
              <w:t>（</w:t>
            </w:r>
            <w:r>
              <w:rPr>
                <w:rFonts w:ascii="Times New Roman" w:eastAsia="宋体" w:cs="Times New Roman"/>
                <w:color w:val="auto"/>
                <w:sz w:val="21"/>
                <w:szCs w:val="21"/>
              </w:rPr>
              <w:t>c</w:t>
            </w:r>
            <w:r>
              <w:rPr>
                <w:rFonts w:hint="eastAsia" w:ascii="Times New Roman" w:eastAsia="宋体" w:cs="Times New Roman"/>
                <w:color w:val="auto"/>
                <w:sz w:val="21"/>
                <w:szCs w:val="21"/>
              </w:rPr>
              <w:t>）条款、第</w:t>
            </w:r>
            <w:r>
              <w:rPr>
                <w:rFonts w:ascii="Times New Roman" w:eastAsia="宋体" w:cs="Times New Roman"/>
                <w:color w:val="auto"/>
                <w:sz w:val="21"/>
                <w:szCs w:val="21"/>
              </w:rPr>
              <w:t>13.1.2</w:t>
            </w:r>
            <w:r>
              <w:rPr>
                <w:rFonts w:hint="eastAsia" w:ascii="Times New Roman" w:eastAsia="宋体" w:cs="Times New Roman"/>
                <w:color w:val="auto"/>
                <w:sz w:val="21"/>
                <w:szCs w:val="21"/>
              </w:rPr>
              <w:t>（</w:t>
            </w:r>
            <w:r>
              <w:rPr>
                <w:rFonts w:ascii="Times New Roman" w:eastAsia="宋体" w:cs="Times New Roman"/>
                <w:color w:val="auto"/>
                <w:sz w:val="21"/>
                <w:szCs w:val="21"/>
              </w:rPr>
              <w:t>d</w:t>
            </w:r>
            <w:r>
              <w:rPr>
                <w:rFonts w:hint="eastAsia" w:ascii="Times New Roman" w:eastAsia="宋体" w:cs="Times New Roman"/>
                <w:color w:val="auto"/>
                <w:sz w:val="21"/>
                <w:szCs w:val="21"/>
              </w:rPr>
              <w:t>）条款、第</w:t>
            </w:r>
            <w:r>
              <w:rPr>
                <w:rFonts w:ascii="Times New Roman" w:eastAsia="宋体" w:cs="Times New Roman"/>
                <w:color w:val="auto"/>
                <w:sz w:val="21"/>
                <w:szCs w:val="21"/>
              </w:rPr>
              <w:t>13.1.2</w:t>
            </w:r>
            <w:r>
              <w:rPr>
                <w:rFonts w:hint="eastAsia" w:ascii="Times New Roman" w:eastAsia="宋体" w:cs="Times New Roman"/>
                <w:color w:val="auto"/>
                <w:sz w:val="21"/>
                <w:szCs w:val="21"/>
              </w:rPr>
              <w:t>（</w:t>
            </w:r>
            <w:r>
              <w:rPr>
                <w:rFonts w:ascii="Times New Roman" w:eastAsia="宋体" w:cs="Times New Roman"/>
                <w:color w:val="auto"/>
                <w:sz w:val="21"/>
                <w:szCs w:val="21"/>
              </w:rPr>
              <w:t>f</w:t>
            </w:r>
            <w:r>
              <w:rPr>
                <w:rFonts w:hint="eastAsia" w:ascii="Times New Roman" w:eastAsia="宋体" w:cs="Times New Roman"/>
                <w:color w:val="auto"/>
                <w:sz w:val="21"/>
                <w:szCs w:val="21"/>
              </w:rPr>
              <w:t>）条款</w:t>
            </w:r>
          </w:p>
        </w:tc>
        <w:tc>
          <w:tcPr>
            <w:tcW w:w="3484" w:type="dxa"/>
            <w:vAlign w:val="center"/>
          </w:tcPr>
          <w:p>
            <w:pPr>
              <w:pStyle w:val="310"/>
              <w:jc w:val="center"/>
              <w:rPr>
                <w:rFonts w:ascii="Times New Roman" w:eastAsia="宋体" w:cs="Times New Roman"/>
                <w:color w:val="auto"/>
                <w:sz w:val="21"/>
                <w:szCs w:val="21"/>
              </w:rPr>
            </w:pPr>
            <w:r>
              <w:rPr>
                <w:rFonts w:hint="eastAsia" w:ascii="Times New Roman" w:eastAsia="宋体" w:cs="Times New Roman"/>
                <w:color w:val="auto"/>
                <w:sz w:val="21"/>
                <w:szCs w:val="21"/>
              </w:rPr>
              <w:t>（</w:t>
            </w:r>
            <w:r>
              <w:rPr>
                <w:rFonts w:ascii="Times New Roman" w:eastAsia="宋体" w:cs="Times New Roman"/>
                <w:color w:val="auto"/>
                <w:sz w:val="21"/>
                <w:szCs w:val="21"/>
              </w:rPr>
              <w:t>P</w:t>
            </w:r>
            <w:r>
              <w:rPr>
                <w:rFonts w:ascii="Times New Roman" w:eastAsia="宋体" w:cs="Times New Roman"/>
                <w:color w:val="auto"/>
                <w:sz w:val="21"/>
                <w:szCs w:val="21"/>
                <w:vertAlign w:val="subscript"/>
              </w:rPr>
              <w:t>3</w:t>
            </w:r>
            <w:r>
              <w:rPr>
                <w:rFonts w:ascii="Times New Roman" w:eastAsia="宋体" w:cs="Times New Roman"/>
                <w:color w:val="auto"/>
                <w:sz w:val="21"/>
                <w:szCs w:val="21"/>
              </w:rPr>
              <w:t>-Q</w:t>
            </w:r>
            <w:r>
              <w:rPr>
                <w:rFonts w:hint="eastAsia" w:ascii="Times New Roman" w:eastAsia="宋体" w:cs="Times New Roman"/>
                <w:color w:val="auto"/>
                <w:sz w:val="21"/>
                <w:szCs w:val="21"/>
              </w:rPr>
              <w:t>）</w:t>
            </w:r>
            <w:r>
              <w:rPr>
                <w:rFonts w:ascii="Times New Roman" w:eastAsia="宋体" w:cs="Times New Roman"/>
                <w:color w:val="auto"/>
                <w:sz w:val="21"/>
                <w:szCs w:val="21"/>
              </w:rPr>
              <w:t>/2-W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exact"/>
          <w:jc w:val="center"/>
        </w:trPr>
        <w:tc>
          <w:tcPr>
            <w:tcW w:w="817" w:type="dxa"/>
            <w:vMerge w:val="restart"/>
            <w:vAlign w:val="center"/>
          </w:tcPr>
          <w:p>
            <w:pPr>
              <w:pStyle w:val="310"/>
              <w:jc w:val="center"/>
              <w:rPr>
                <w:rFonts w:ascii="Times New Roman" w:eastAsia="宋体" w:cs="Times New Roman"/>
                <w:color w:val="auto"/>
                <w:sz w:val="21"/>
                <w:szCs w:val="21"/>
              </w:rPr>
            </w:pPr>
            <w:r>
              <w:rPr>
                <w:rFonts w:ascii="Times New Roman" w:eastAsia="宋体" w:cs="Times New Roman"/>
                <w:color w:val="auto"/>
                <w:sz w:val="21"/>
                <w:szCs w:val="21"/>
              </w:rPr>
              <w:t>4</w:t>
            </w:r>
          </w:p>
        </w:tc>
        <w:tc>
          <w:tcPr>
            <w:tcW w:w="3714" w:type="dxa"/>
            <w:vMerge w:val="restart"/>
            <w:vAlign w:val="center"/>
          </w:tcPr>
          <w:p>
            <w:pPr>
              <w:pStyle w:val="310"/>
              <w:jc w:val="center"/>
              <w:rPr>
                <w:rFonts w:ascii="Times New Roman" w:eastAsia="宋体" w:cs="Times New Roman"/>
                <w:color w:val="auto"/>
                <w:sz w:val="21"/>
                <w:szCs w:val="21"/>
              </w:rPr>
            </w:pPr>
            <w:r>
              <w:rPr>
                <w:rFonts w:hint="eastAsia" w:ascii="Times New Roman" w:eastAsia="宋体" w:cs="Times New Roman"/>
                <w:color w:val="auto"/>
                <w:sz w:val="21"/>
                <w:szCs w:val="21"/>
              </w:rPr>
              <w:t>第</w:t>
            </w:r>
            <w:r>
              <w:rPr>
                <w:rFonts w:ascii="Times New Roman" w:eastAsia="宋体" w:cs="Times New Roman"/>
                <w:color w:val="auto"/>
                <w:sz w:val="21"/>
                <w:szCs w:val="21"/>
              </w:rPr>
              <w:t>13.1.2</w:t>
            </w:r>
            <w:r>
              <w:rPr>
                <w:rFonts w:hint="eastAsia" w:ascii="Times New Roman" w:eastAsia="宋体" w:cs="Times New Roman"/>
                <w:color w:val="auto"/>
                <w:sz w:val="21"/>
                <w:szCs w:val="21"/>
              </w:rPr>
              <w:t>（</w:t>
            </w:r>
            <w:r>
              <w:rPr>
                <w:rFonts w:ascii="Times New Roman" w:eastAsia="宋体" w:cs="Times New Roman"/>
                <w:color w:val="auto"/>
                <w:sz w:val="21"/>
                <w:szCs w:val="21"/>
              </w:rPr>
              <w:t>e</w:t>
            </w:r>
            <w:r>
              <w:rPr>
                <w:rFonts w:hint="eastAsia" w:ascii="Times New Roman" w:eastAsia="宋体" w:cs="Times New Roman"/>
                <w:color w:val="auto"/>
                <w:sz w:val="21"/>
                <w:szCs w:val="21"/>
              </w:rPr>
              <w:t>）条款</w:t>
            </w:r>
          </w:p>
        </w:tc>
        <w:tc>
          <w:tcPr>
            <w:tcW w:w="3484" w:type="dxa"/>
            <w:vAlign w:val="center"/>
          </w:tcPr>
          <w:p>
            <w:pPr>
              <w:pStyle w:val="310"/>
              <w:jc w:val="center"/>
              <w:rPr>
                <w:rFonts w:ascii="Times New Roman" w:eastAsia="宋体" w:cs="Times New Roman"/>
                <w:color w:val="auto"/>
                <w:sz w:val="21"/>
                <w:szCs w:val="21"/>
              </w:rPr>
            </w:pPr>
            <w:r>
              <w:rPr>
                <w:rFonts w:hint="eastAsia" w:ascii="Times New Roman" w:eastAsia="宋体" w:cs="Times New Roman"/>
                <w:color w:val="auto"/>
                <w:sz w:val="21"/>
                <w:szCs w:val="21"/>
              </w:rPr>
              <w:t>建设期内提前终止时，为</w:t>
            </w:r>
            <w:r>
              <w:rPr>
                <w:rFonts w:ascii="Times New Roman" w:eastAsia="宋体" w:cs="Times New Roman"/>
                <w:color w:val="auto"/>
                <w:sz w:val="21"/>
                <w:szCs w:val="21"/>
              </w:rPr>
              <w:t>P</w:t>
            </w:r>
            <w:r>
              <w:rPr>
                <w:rFonts w:ascii="Times New Roman" w:eastAsia="宋体" w:cs="Times New Roman"/>
                <w:color w:val="auto"/>
                <w:sz w:val="21"/>
                <w:szCs w:val="21"/>
                <w:vertAlign w:val="sub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exact"/>
          <w:jc w:val="center"/>
        </w:trPr>
        <w:tc>
          <w:tcPr>
            <w:tcW w:w="817" w:type="dxa"/>
            <w:vMerge w:val="continue"/>
            <w:vAlign w:val="center"/>
          </w:tcPr>
          <w:p>
            <w:pPr>
              <w:pStyle w:val="310"/>
              <w:ind w:firstLine="420"/>
              <w:jc w:val="center"/>
              <w:rPr>
                <w:rFonts w:ascii="Times New Roman" w:eastAsia="宋体" w:cs="Times New Roman"/>
                <w:color w:val="auto"/>
                <w:sz w:val="21"/>
                <w:szCs w:val="21"/>
              </w:rPr>
            </w:pPr>
          </w:p>
        </w:tc>
        <w:tc>
          <w:tcPr>
            <w:tcW w:w="3714" w:type="dxa"/>
            <w:vMerge w:val="continue"/>
            <w:vAlign w:val="center"/>
          </w:tcPr>
          <w:p>
            <w:pPr>
              <w:pStyle w:val="310"/>
              <w:ind w:firstLine="420"/>
              <w:jc w:val="center"/>
              <w:rPr>
                <w:rFonts w:ascii="Times New Roman" w:eastAsia="宋体" w:cs="Times New Roman"/>
                <w:color w:val="auto"/>
                <w:sz w:val="21"/>
                <w:szCs w:val="21"/>
              </w:rPr>
            </w:pPr>
          </w:p>
        </w:tc>
        <w:tc>
          <w:tcPr>
            <w:tcW w:w="3484" w:type="dxa"/>
            <w:vAlign w:val="center"/>
          </w:tcPr>
          <w:p>
            <w:pPr>
              <w:pStyle w:val="310"/>
              <w:jc w:val="center"/>
              <w:rPr>
                <w:rFonts w:ascii="Times New Roman" w:eastAsia="宋体" w:cs="Times New Roman"/>
                <w:color w:val="auto"/>
                <w:sz w:val="21"/>
                <w:szCs w:val="21"/>
              </w:rPr>
            </w:pPr>
            <w:r>
              <w:rPr>
                <w:rFonts w:hint="eastAsia" w:ascii="Times New Roman" w:eastAsia="宋体" w:cs="Times New Roman"/>
                <w:color w:val="auto"/>
                <w:sz w:val="21"/>
                <w:szCs w:val="21"/>
              </w:rPr>
              <w:t>运营期内提前终止时，为</w:t>
            </w:r>
            <w:r>
              <w:rPr>
                <w:rFonts w:ascii="Times New Roman" w:eastAsia="宋体" w:cs="Times New Roman"/>
                <w:color w:val="auto"/>
                <w:sz w:val="21"/>
                <w:szCs w:val="21"/>
              </w:rPr>
              <w:t>P</w:t>
            </w:r>
            <w:r>
              <w:rPr>
                <w:rFonts w:ascii="Times New Roman" w:eastAsia="宋体" w:cs="Times New Roman"/>
                <w:color w:val="auto"/>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exact"/>
          <w:jc w:val="center"/>
        </w:trPr>
        <w:tc>
          <w:tcPr>
            <w:tcW w:w="817" w:type="dxa"/>
            <w:vAlign w:val="center"/>
          </w:tcPr>
          <w:p>
            <w:pPr>
              <w:pStyle w:val="310"/>
              <w:jc w:val="center"/>
              <w:rPr>
                <w:rFonts w:ascii="Times New Roman" w:eastAsia="宋体" w:cs="Times New Roman"/>
                <w:color w:val="auto"/>
                <w:sz w:val="21"/>
                <w:szCs w:val="21"/>
              </w:rPr>
            </w:pPr>
            <w:r>
              <w:rPr>
                <w:rFonts w:ascii="Times New Roman" w:eastAsia="宋体" w:cs="Times New Roman"/>
                <w:color w:val="auto"/>
                <w:sz w:val="21"/>
                <w:szCs w:val="21"/>
              </w:rPr>
              <w:t>5</w:t>
            </w:r>
          </w:p>
        </w:tc>
        <w:tc>
          <w:tcPr>
            <w:tcW w:w="3714" w:type="dxa"/>
            <w:vAlign w:val="center"/>
          </w:tcPr>
          <w:p>
            <w:pPr>
              <w:pStyle w:val="310"/>
              <w:jc w:val="center"/>
              <w:rPr>
                <w:rFonts w:ascii="Times New Roman" w:eastAsia="宋体" w:cs="Times New Roman"/>
                <w:color w:val="auto"/>
                <w:sz w:val="21"/>
                <w:szCs w:val="21"/>
              </w:rPr>
            </w:pPr>
            <w:r>
              <w:rPr>
                <w:rFonts w:hint="eastAsia" w:ascii="Times New Roman" w:eastAsia="宋体" w:cs="Times New Roman"/>
                <w:color w:val="auto"/>
                <w:sz w:val="21"/>
                <w:szCs w:val="21"/>
              </w:rPr>
              <w:t>协商一致</w:t>
            </w:r>
          </w:p>
        </w:tc>
        <w:tc>
          <w:tcPr>
            <w:tcW w:w="3484" w:type="dxa"/>
            <w:vAlign w:val="center"/>
          </w:tcPr>
          <w:p>
            <w:pPr>
              <w:pStyle w:val="310"/>
              <w:jc w:val="center"/>
              <w:rPr>
                <w:rFonts w:ascii="Times New Roman" w:eastAsia="宋体" w:cs="Times New Roman"/>
                <w:color w:val="auto"/>
                <w:sz w:val="21"/>
                <w:szCs w:val="21"/>
              </w:rPr>
            </w:pPr>
            <w:r>
              <w:rPr>
                <w:rFonts w:hint="eastAsia" w:ascii="Times New Roman" w:eastAsia="宋体" w:cs="Times New Roman"/>
                <w:color w:val="auto"/>
                <w:sz w:val="21"/>
                <w:szCs w:val="21"/>
              </w:rPr>
              <w:t>根据协商</w:t>
            </w:r>
          </w:p>
        </w:tc>
      </w:tr>
    </w:tbl>
    <w:p>
      <w:pPr>
        <w:pStyle w:val="310"/>
        <w:spacing w:line="360" w:lineRule="auto"/>
        <w:ind w:left="1077" w:leftChars="270" w:hanging="510" w:hangingChars="243"/>
        <w:rPr>
          <w:rFonts w:ascii="Times New Roman" w:eastAsia="宋体" w:cs="Times New Roman"/>
          <w:color w:val="auto"/>
          <w:sz w:val="21"/>
          <w:szCs w:val="21"/>
        </w:rPr>
      </w:pPr>
      <w:r>
        <w:rPr>
          <w:rFonts w:hint="eastAsia" w:ascii="Times New Roman" w:eastAsia="宋体" w:cs="Times New Roman"/>
          <w:color w:val="auto"/>
          <w:sz w:val="21"/>
          <w:szCs w:val="21"/>
        </w:rPr>
        <w:t>其中：</w:t>
      </w:r>
    </w:p>
    <w:p>
      <w:pPr>
        <w:pStyle w:val="310"/>
        <w:spacing w:line="360" w:lineRule="auto"/>
        <w:ind w:left="1077" w:leftChars="270" w:hanging="510" w:hangingChars="243"/>
        <w:jc w:val="both"/>
        <w:rPr>
          <w:rFonts w:ascii="Times New Roman" w:eastAsia="宋体" w:cs="Times New Roman"/>
          <w:color w:val="auto"/>
          <w:sz w:val="21"/>
          <w:szCs w:val="21"/>
        </w:rPr>
      </w:pPr>
      <w:r>
        <w:rPr>
          <w:rFonts w:ascii="Times New Roman" w:eastAsia="宋体" w:cs="Times New Roman"/>
          <w:color w:val="auto"/>
          <w:sz w:val="21"/>
          <w:szCs w:val="21"/>
        </w:rPr>
        <w:t>P</w:t>
      </w:r>
      <w:r>
        <w:rPr>
          <w:rFonts w:ascii="Times New Roman" w:eastAsia="宋体" w:cs="Times New Roman"/>
          <w:color w:val="auto"/>
          <w:sz w:val="21"/>
          <w:szCs w:val="21"/>
          <w:vertAlign w:val="subscript"/>
        </w:rPr>
        <w:t>1</w:t>
      </w:r>
      <w:r>
        <w:rPr>
          <w:rFonts w:hint="eastAsia" w:ascii="Times New Roman" w:eastAsia="宋体" w:cs="Times New Roman"/>
          <w:color w:val="auto"/>
          <w:sz w:val="21"/>
          <w:szCs w:val="21"/>
        </w:rPr>
        <w:t>为经审计的乙方实际发生的有关本项目的投资支出和实质形成的项目有效设施资产</w:t>
      </w:r>
    </w:p>
    <w:p>
      <w:pPr>
        <w:pStyle w:val="310"/>
        <w:spacing w:line="360" w:lineRule="auto"/>
        <w:ind w:left="1074" w:leftChars="338" w:hanging="365" w:hangingChars="174"/>
        <w:jc w:val="both"/>
        <w:rPr>
          <w:rFonts w:ascii="Times New Roman" w:eastAsia="宋体" w:cs="Times New Roman"/>
          <w:color w:val="auto"/>
          <w:sz w:val="21"/>
          <w:szCs w:val="21"/>
        </w:rPr>
      </w:pPr>
      <w:r>
        <w:rPr>
          <w:rFonts w:hint="eastAsia" w:ascii="Times New Roman" w:eastAsia="宋体" w:cs="Times New Roman"/>
          <w:color w:val="auto"/>
          <w:sz w:val="21"/>
          <w:szCs w:val="21"/>
        </w:rPr>
        <w:t>价值（即经验收合格的可用设施的投资支出，需经双方共同委托的第三方审计机构审</w:t>
      </w:r>
    </w:p>
    <w:p>
      <w:pPr>
        <w:pStyle w:val="310"/>
        <w:spacing w:line="360" w:lineRule="auto"/>
        <w:ind w:left="1074" w:leftChars="338" w:hanging="365" w:hangingChars="174"/>
        <w:jc w:val="both"/>
        <w:rPr>
          <w:rFonts w:ascii="Times New Roman" w:eastAsia="宋体" w:cs="Times New Roman"/>
          <w:color w:val="auto"/>
          <w:sz w:val="21"/>
          <w:szCs w:val="21"/>
        </w:rPr>
      </w:pPr>
      <w:r>
        <w:rPr>
          <w:rFonts w:hint="eastAsia" w:ascii="Times New Roman" w:eastAsia="宋体" w:cs="Times New Roman"/>
          <w:color w:val="auto"/>
          <w:sz w:val="21"/>
          <w:szCs w:val="21"/>
        </w:rPr>
        <w:t>计）中的较小值；</w:t>
      </w:r>
    </w:p>
    <w:p>
      <w:pPr>
        <w:pStyle w:val="310"/>
        <w:spacing w:line="360" w:lineRule="auto"/>
        <w:ind w:left="1077" w:leftChars="270" w:hanging="510" w:hangingChars="243"/>
        <w:jc w:val="both"/>
        <w:rPr>
          <w:rFonts w:ascii="Times New Roman" w:eastAsia="宋体" w:cs="Times New Roman"/>
          <w:color w:val="auto"/>
          <w:sz w:val="21"/>
          <w:szCs w:val="21"/>
        </w:rPr>
      </w:pPr>
      <w:r>
        <w:rPr>
          <w:rFonts w:ascii="Times New Roman" w:eastAsia="宋体" w:cs="Times New Roman"/>
          <w:color w:val="auto"/>
          <w:sz w:val="21"/>
          <w:szCs w:val="21"/>
        </w:rPr>
        <w:t>P</w:t>
      </w:r>
      <w:r>
        <w:rPr>
          <w:rFonts w:ascii="Times New Roman" w:eastAsia="宋体" w:cs="Times New Roman"/>
          <w:color w:val="auto"/>
          <w:sz w:val="21"/>
          <w:szCs w:val="21"/>
          <w:vertAlign w:val="subscript"/>
        </w:rPr>
        <w:t>2</w:t>
      </w:r>
      <w:r>
        <w:rPr>
          <w:rFonts w:hint="eastAsia" w:ascii="Times New Roman" w:eastAsia="宋体" w:cs="Times New Roman"/>
          <w:color w:val="auto"/>
          <w:sz w:val="21"/>
          <w:szCs w:val="21"/>
        </w:rPr>
        <w:t>为乙方尚未收回的可用性服务费在提前终止当年的现值（按</w:t>
      </w:r>
      <w:r>
        <w:rPr>
          <w:rFonts w:ascii="Times New Roman" w:eastAsia="宋体" w:cs="Times New Roman"/>
          <w:color w:val="auto"/>
          <w:sz w:val="21"/>
          <w:szCs w:val="21"/>
          <w:u w:val="single"/>
        </w:rPr>
        <w:t xml:space="preserve">   </w:t>
      </w:r>
      <w:r>
        <w:rPr>
          <w:rFonts w:ascii="Times New Roman" w:eastAsia="宋体" w:cs="Times New Roman"/>
          <w:color w:val="auto"/>
          <w:sz w:val="21"/>
          <w:szCs w:val="21"/>
        </w:rPr>
        <w:t>%</w:t>
      </w:r>
      <w:r>
        <w:rPr>
          <w:rFonts w:hint="eastAsia" w:ascii="Times New Roman" w:eastAsia="宋体" w:cs="Times New Roman"/>
          <w:color w:val="auto"/>
          <w:sz w:val="21"/>
          <w:szCs w:val="21"/>
        </w:rPr>
        <w:t>的折现率）；</w:t>
      </w:r>
    </w:p>
    <w:p>
      <w:pPr>
        <w:pStyle w:val="310"/>
        <w:spacing w:line="360" w:lineRule="auto"/>
        <w:ind w:left="847" w:leftChars="269" w:hanging="283" w:hangingChars="135"/>
        <w:jc w:val="both"/>
        <w:rPr>
          <w:rFonts w:ascii="Times New Roman" w:eastAsia="宋体" w:cs="Times New Roman"/>
          <w:color w:val="auto"/>
          <w:sz w:val="21"/>
          <w:szCs w:val="21"/>
        </w:rPr>
      </w:pPr>
      <w:r>
        <w:rPr>
          <w:rFonts w:ascii="Times New Roman" w:eastAsia="宋体" w:cs="Times New Roman"/>
          <w:color w:val="auto"/>
          <w:sz w:val="21"/>
          <w:szCs w:val="21"/>
        </w:rPr>
        <w:t>P</w:t>
      </w:r>
      <w:r>
        <w:rPr>
          <w:rFonts w:ascii="Times New Roman" w:eastAsia="宋体" w:cs="Times New Roman"/>
          <w:color w:val="auto"/>
          <w:sz w:val="21"/>
          <w:szCs w:val="21"/>
          <w:vertAlign w:val="subscript"/>
        </w:rPr>
        <w:t>3</w:t>
      </w:r>
      <w:r>
        <w:rPr>
          <w:rFonts w:hint="eastAsia" w:ascii="Times New Roman" w:eastAsia="宋体" w:cs="Times New Roman"/>
          <w:color w:val="auto"/>
          <w:sz w:val="21"/>
          <w:szCs w:val="21"/>
        </w:rPr>
        <w:t>为提前终止通知发出日乙方固定资产及无形资产的账面净值（包括未转成固定资产的在建工程）；</w:t>
      </w:r>
    </w:p>
    <w:p>
      <w:pPr>
        <w:pStyle w:val="310"/>
        <w:spacing w:line="360" w:lineRule="auto"/>
        <w:ind w:left="847" w:leftChars="269" w:hanging="283" w:hangingChars="135"/>
        <w:jc w:val="both"/>
        <w:rPr>
          <w:rFonts w:ascii="Times New Roman" w:eastAsia="宋体" w:cs="Times New Roman"/>
          <w:color w:val="auto"/>
          <w:sz w:val="21"/>
          <w:szCs w:val="21"/>
        </w:rPr>
      </w:pPr>
      <w:r>
        <w:rPr>
          <w:rFonts w:ascii="Times New Roman" w:eastAsia="宋体" w:cs="Times New Roman"/>
          <w:color w:val="auto"/>
          <w:sz w:val="21"/>
          <w:szCs w:val="21"/>
        </w:rPr>
        <w:t>Q</w:t>
      </w:r>
      <w:r>
        <w:rPr>
          <w:rFonts w:hint="eastAsia" w:ascii="Times New Roman" w:eastAsia="宋体" w:cs="Times New Roman"/>
          <w:color w:val="auto"/>
          <w:sz w:val="21"/>
          <w:szCs w:val="21"/>
        </w:rPr>
        <w:t>为发生不可抗力事件时，如果乙方遵守本合同</w:t>
      </w:r>
      <w:r>
        <w:rPr>
          <w:rFonts w:ascii="Times New Roman" w:eastAsia="宋体" w:cs="Times New Roman"/>
          <w:color w:val="auto"/>
          <w:sz w:val="21"/>
          <w:szCs w:val="21"/>
        </w:rPr>
        <w:t>9.1</w:t>
      </w:r>
      <w:r>
        <w:rPr>
          <w:rFonts w:hint="eastAsia" w:ascii="Times New Roman" w:eastAsia="宋体" w:cs="Times New Roman"/>
          <w:color w:val="auto"/>
          <w:sz w:val="21"/>
          <w:szCs w:val="21"/>
        </w:rPr>
        <w:t>项下义务就有权获得的全部保险付款（包括认定保险赔款）；</w:t>
      </w:r>
    </w:p>
    <w:p>
      <w:pPr>
        <w:pStyle w:val="310"/>
        <w:spacing w:line="360" w:lineRule="auto"/>
        <w:ind w:left="990" w:leftChars="269" w:hanging="426" w:hangingChars="203"/>
        <w:jc w:val="both"/>
        <w:rPr>
          <w:rFonts w:ascii="Times New Roman" w:eastAsia="宋体" w:cs="Times New Roman"/>
          <w:color w:val="auto"/>
          <w:sz w:val="21"/>
          <w:szCs w:val="21"/>
        </w:rPr>
      </w:pPr>
      <w:r>
        <w:rPr>
          <w:rFonts w:ascii="Times New Roman" w:eastAsia="宋体" w:cs="Times New Roman"/>
          <w:color w:val="auto"/>
          <w:sz w:val="21"/>
          <w:szCs w:val="21"/>
        </w:rPr>
        <w:t>W</w:t>
      </w:r>
      <w:r>
        <w:rPr>
          <w:rFonts w:hint="eastAsia" w:ascii="Times New Roman" w:eastAsia="宋体" w:cs="Times New Roman"/>
          <w:color w:val="auto"/>
          <w:sz w:val="21"/>
          <w:szCs w:val="21"/>
        </w:rPr>
        <w:t>为发生不可抗力事件时，因乙方投保不足，导致所获保险赔款无法使项目设施恢复到出险前的正常状态和价值的恢复性建设费用缺额部分（如有）。</w:t>
      </w:r>
    </w:p>
    <w:p>
      <w:pPr>
        <w:pStyle w:val="5"/>
        <w:rPr>
          <w:color w:val="000000" w:themeColor="text1"/>
          <w14:textFill>
            <w14:solidFill>
              <w14:schemeClr w14:val="tx1"/>
            </w14:solidFill>
          </w14:textFill>
        </w:rPr>
      </w:pPr>
      <w:r>
        <w:rPr>
          <w:color w:val="000000" w:themeColor="text1"/>
          <w14:textFill>
            <w14:solidFill>
              <w14:schemeClr w14:val="tx1"/>
            </w14:solidFill>
          </w14:textFill>
        </w:rPr>
        <w:t>14.7.2</w:t>
      </w:r>
      <w:r>
        <w:rPr>
          <w:rFonts w:hint="eastAsia"/>
          <w:color w:val="000000" w:themeColor="text1"/>
          <w14:textFill>
            <w14:solidFill>
              <w14:schemeClr w14:val="tx1"/>
            </w14:solidFill>
          </w14:textFill>
        </w:rPr>
        <w:t>建设期内提前终止合同的，乙方已完成工程量必须经质量检测合格方可根据</w:t>
      </w:r>
      <w:r>
        <w:rPr>
          <w:color w:val="000000" w:themeColor="text1"/>
          <w14:textFill>
            <w14:solidFill>
              <w14:schemeClr w14:val="tx1"/>
            </w14:solidFill>
          </w14:textFill>
        </w:rPr>
        <w:t>14.7.1</w:t>
      </w:r>
      <w:r>
        <w:rPr>
          <w:rFonts w:hint="eastAsia"/>
          <w:color w:val="000000" w:themeColor="text1"/>
          <w14:textFill>
            <w14:solidFill>
              <w14:schemeClr w14:val="tx1"/>
            </w14:solidFill>
          </w14:textFill>
        </w:rPr>
        <w:t>约定计算补偿金额。若乙方已完成工程量质量检测不合格的，甲方不予任何补偿。</w:t>
      </w:r>
    </w:p>
    <w:p>
      <w:pPr>
        <w:pStyle w:val="4"/>
        <w:rPr>
          <w:color w:val="000000" w:themeColor="text1"/>
          <w14:textFill>
            <w14:solidFill>
              <w14:schemeClr w14:val="tx1"/>
            </w14:solidFill>
          </w14:textFill>
        </w:rPr>
      </w:pPr>
      <w:r>
        <w:rPr>
          <w:color w:val="000000" w:themeColor="text1"/>
          <w14:textFill>
            <w14:solidFill>
              <w14:schemeClr w14:val="tx1"/>
            </w14:solidFill>
          </w14:textFill>
        </w:rPr>
        <w:t xml:space="preserve"> </w:t>
      </w:r>
      <w:bookmarkStart w:id="808" w:name="_Toc491857652"/>
      <w:bookmarkStart w:id="809" w:name="_Toc495846054"/>
      <w:bookmarkStart w:id="810" w:name="_Toc496299663"/>
      <w:bookmarkStart w:id="811" w:name="_Toc516399819"/>
      <w:bookmarkStart w:id="812" w:name="_Toc522635595"/>
      <w:r>
        <w:rPr>
          <w:color w:val="000000" w:themeColor="text1"/>
          <w14:textFill>
            <w14:solidFill>
              <w14:schemeClr w14:val="tx1"/>
            </w14:solidFill>
          </w14:textFill>
        </w:rPr>
        <w:t xml:space="preserve">14.8 </w:t>
      </w:r>
      <w:r>
        <w:rPr>
          <w:rFonts w:hint="eastAsia"/>
          <w:color w:val="000000" w:themeColor="text1"/>
          <w14:textFill>
            <w14:solidFill>
              <w14:schemeClr w14:val="tx1"/>
            </w14:solidFill>
          </w14:textFill>
        </w:rPr>
        <w:t>提前终止</w:t>
      </w:r>
      <w:bookmarkEnd w:id="808"/>
      <w:bookmarkEnd w:id="809"/>
      <w:bookmarkEnd w:id="810"/>
      <w:bookmarkEnd w:id="811"/>
      <w:bookmarkEnd w:id="812"/>
    </w:p>
    <w:p>
      <w:pPr>
        <w:pStyle w:val="310"/>
        <w:spacing w:line="360" w:lineRule="auto"/>
        <w:ind w:firstLine="630" w:firstLineChars="30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发生第</w:t>
      </w:r>
      <w:r>
        <w:rPr>
          <w:rFonts w:ascii="Times New Roman" w:eastAsia="宋体" w:cs="Times New Roman"/>
          <w:color w:val="000000" w:themeColor="text1"/>
          <w:sz w:val="21"/>
          <w:szCs w:val="21"/>
          <w14:textFill>
            <w14:solidFill>
              <w14:schemeClr w14:val="tx1"/>
            </w14:solidFill>
          </w14:textFill>
        </w:rPr>
        <w:t>14</w:t>
      </w:r>
      <w:r>
        <w:rPr>
          <w:rFonts w:hint="eastAsia" w:ascii="Times New Roman" w:eastAsia="宋体" w:cs="Times New Roman"/>
          <w:color w:val="000000" w:themeColor="text1"/>
          <w:sz w:val="21"/>
          <w:szCs w:val="21"/>
          <w14:textFill>
            <w14:solidFill>
              <w14:schemeClr w14:val="tx1"/>
            </w14:solidFill>
          </w14:textFill>
        </w:rPr>
        <w:t>条项下事件，在以下事件全部履行完毕后，本合同自动提前终止：</w:t>
      </w:r>
    </w:p>
    <w:p>
      <w:pPr>
        <w:pStyle w:val="310"/>
        <w:spacing w:line="360" w:lineRule="auto"/>
        <w:ind w:firstLine="630" w:firstLineChars="30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1</w:t>
      </w:r>
      <w:r>
        <w:rPr>
          <w:rFonts w:hint="eastAsia" w:ascii="Times New Roman" w:eastAsia="宋体" w:cs="Times New Roman"/>
          <w:color w:val="000000" w:themeColor="text1"/>
          <w:sz w:val="21"/>
          <w:szCs w:val="21"/>
          <w14:textFill>
            <w14:solidFill>
              <w14:schemeClr w14:val="tx1"/>
            </w14:solidFill>
          </w14:textFill>
        </w:rPr>
        <w:t>）本合同项下的债务（若有）支付完毕；</w:t>
      </w:r>
    </w:p>
    <w:p>
      <w:pPr>
        <w:pStyle w:val="310"/>
        <w:spacing w:line="360" w:lineRule="auto"/>
        <w:ind w:firstLine="630" w:firstLineChars="30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2</w:t>
      </w:r>
      <w:r>
        <w:rPr>
          <w:rFonts w:hint="eastAsia" w:ascii="Times New Roman" w:eastAsia="宋体" w:cs="Times New Roman"/>
          <w:color w:val="000000" w:themeColor="text1"/>
          <w:sz w:val="21"/>
          <w:szCs w:val="21"/>
          <w14:textFill>
            <w14:solidFill>
              <w14:schemeClr w14:val="tx1"/>
            </w14:solidFill>
          </w14:textFill>
        </w:rPr>
        <w:t>）办理完毕全部产权过户手续以及其它法定手续；</w:t>
      </w:r>
    </w:p>
    <w:p>
      <w:pPr>
        <w:pStyle w:val="310"/>
        <w:spacing w:line="360" w:lineRule="auto"/>
        <w:ind w:firstLine="630" w:firstLineChars="30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3</w:t>
      </w:r>
      <w:r>
        <w:rPr>
          <w:rFonts w:hint="eastAsia" w:ascii="Times New Roman" w:eastAsia="宋体" w:cs="Times New Roman"/>
          <w:color w:val="000000" w:themeColor="text1"/>
          <w:sz w:val="21"/>
          <w:szCs w:val="21"/>
          <w14:textFill>
            <w14:solidFill>
              <w14:schemeClr w14:val="tx1"/>
            </w14:solidFill>
          </w14:textFill>
        </w:rPr>
        <w:t>）甲方向项目公司支付全部终止补偿金额。</w:t>
      </w:r>
    </w:p>
    <w:p>
      <w:pPr>
        <w:pStyle w:val="4"/>
        <w:rPr>
          <w:color w:val="000000" w:themeColor="text1"/>
          <w14:textFill>
            <w14:solidFill>
              <w14:schemeClr w14:val="tx1"/>
            </w14:solidFill>
          </w14:textFill>
        </w:rPr>
      </w:pPr>
      <w:bookmarkStart w:id="813" w:name="_Toc491857653"/>
      <w:bookmarkStart w:id="814" w:name="_Toc495846055"/>
      <w:bookmarkStart w:id="815" w:name="_Toc496299664"/>
      <w:bookmarkStart w:id="816" w:name="_Toc516399820"/>
      <w:bookmarkStart w:id="817" w:name="_Toc522635596"/>
      <w:r>
        <w:rPr>
          <w:color w:val="000000" w:themeColor="text1"/>
          <w14:textFill>
            <w14:solidFill>
              <w14:schemeClr w14:val="tx1"/>
            </w14:solidFill>
          </w14:textFill>
        </w:rPr>
        <w:t xml:space="preserve">14.9 </w:t>
      </w:r>
      <w:r>
        <w:rPr>
          <w:rFonts w:hint="eastAsia"/>
          <w:color w:val="000000" w:themeColor="text1"/>
          <w14:textFill>
            <w14:solidFill>
              <w14:schemeClr w14:val="tx1"/>
            </w14:solidFill>
          </w14:textFill>
        </w:rPr>
        <w:t>提前终止时履约保函的提交和解除</w:t>
      </w:r>
      <w:bookmarkEnd w:id="813"/>
      <w:bookmarkEnd w:id="814"/>
      <w:bookmarkEnd w:id="815"/>
      <w:bookmarkEnd w:id="816"/>
      <w:bookmarkEnd w:id="817"/>
    </w:p>
    <w:p>
      <w:pPr>
        <w:pStyle w:val="310"/>
        <w:spacing w:line="360" w:lineRule="auto"/>
        <w:ind w:left="708" w:leftChars="337" w:hanging="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在本合同因第</w:t>
      </w:r>
      <w:r>
        <w:rPr>
          <w:rFonts w:ascii="Times New Roman" w:eastAsia="宋体" w:cs="Times New Roman"/>
          <w:color w:val="000000" w:themeColor="text1"/>
          <w:sz w:val="21"/>
          <w:szCs w:val="21"/>
          <w14:textFill>
            <w14:solidFill>
              <w14:schemeClr w14:val="tx1"/>
            </w14:solidFill>
          </w14:textFill>
        </w:rPr>
        <w:t>14.1</w:t>
      </w:r>
      <w:r>
        <w:rPr>
          <w:rFonts w:hint="eastAsia" w:ascii="Times New Roman" w:eastAsia="宋体" w:cs="Times New Roman"/>
          <w:color w:val="000000" w:themeColor="text1"/>
          <w:sz w:val="21"/>
          <w:szCs w:val="21"/>
          <w14:textFill>
            <w14:solidFill>
              <w14:schemeClr w14:val="tx1"/>
            </w14:solidFill>
          </w14:textFill>
        </w:rPr>
        <w:t>条款和</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或第</w:t>
      </w:r>
      <w:r>
        <w:rPr>
          <w:rFonts w:ascii="Times New Roman" w:eastAsia="宋体" w:cs="Times New Roman"/>
          <w:color w:val="000000" w:themeColor="text1"/>
          <w:sz w:val="21"/>
          <w:szCs w:val="21"/>
          <w14:textFill>
            <w14:solidFill>
              <w14:schemeClr w14:val="tx1"/>
            </w14:solidFill>
          </w14:textFill>
        </w:rPr>
        <w:t>14.3</w:t>
      </w:r>
      <w:r>
        <w:rPr>
          <w:rFonts w:hint="eastAsia" w:ascii="Times New Roman" w:eastAsia="宋体" w:cs="Times New Roman"/>
          <w:color w:val="000000" w:themeColor="text1"/>
          <w:sz w:val="21"/>
          <w:szCs w:val="21"/>
          <w14:textFill>
            <w14:solidFill>
              <w14:schemeClr w14:val="tx1"/>
            </w14:solidFill>
          </w14:textFill>
        </w:rPr>
        <w:t>条款的规定而被提前终止的情况下，乙方或项目公司应参照附件格式向甲方提交一份有效期至提前终止日后十二（</w:t>
      </w:r>
      <w:r>
        <w:rPr>
          <w:rFonts w:ascii="Times New Roman" w:eastAsia="宋体" w:cs="Times New Roman"/>
          <w:color w:val="000000" w:themeColor="text1"/>
          <w:sz w:val="21"/>
          <w:szCs w:val="21"/>
          <w14:textFill>
            <w14:solidFill>
              <w14:schemeClr w14:val="tx1"/>
            </w14:solidFill>
          </w14:textFill>
        </w:rPr>
        <w:t>12</w:t>
      </w:r>
      <w:r>
        <w:rPr>
          <w:rFonts w:hint="eastAsia" w:ascii="Times New Roman" w:eastAsia="宋体" w:cs="Times New Roman"/>
          <w:color w:val="000000" w:themeColor="text1"/>
          <w:sz w:val="21"/>
          <w:szCs w:val="21"/>
          <w14:textFill>
            <w14:solidFill>
              <w14:schemeClr w14:val="tx1"/>
            </w14:solidFill>
          </w14:textFill>
        </w:rPr>
        <w:t>）个月届满的履约保函，该履约保函额度以伍仟万元（</w:t>
      </w:r>
      <w:r>
        <w:rPr>
          <w:rFonts w:ascii="Times New Roman" w:eastAsia="宋体" w:cs="Times New Roman"/>
          <w:color w:val="000000" w:themeColor="text1"/>
          <w:sz w:val="21"/>
          <w:szCs w:val="21"/>
          <w14:textFill>
            <w14:solidFill>
              <w14:schemeClr w14:val="tx1"/>
            </w14:solidFill>
          </w14:textFill>
        </w:rPr>
        <w:t>5000</w:t>
      </w:r>
      <w:r>
        <w:rPr>
          <w:rFonts w:hint="eastAsia" w:ascii="Times New Roman" w:eastAsia="宋体" w:cs="Times New Roman"/>
          <w:color w:val="000000" w:themeColor="text1"/>
          <w:sz w:val="21"/>
          <w:szCs w:val="21"/>
          <w14:textFill>
            <w14:solidFill>
              <w14:schemeClr w14:val="tx1"/>
            </w14:solidFill>
          </w14:textFill>
        </w:rPr>
        <w:t>万元）以确保在提前终止日后六（</w:t>
      </w:r>
      <w:r>
        <w:rPr>
          <w:rFonts w:ascii="Times New Roman" w:eastAsia="宋体" w:cs="Times New Roman"/>
          <w:color w:val="000000" w:themeColor="text1"/>
          <w:sz w:val="21"/>
          <w:szCs w:val="21"/>
          <w14:textFill>
            <w14:solidFill>
              <w14:schemeClr w14:val="tx1"/>
            </w14:solidFill>
          </w14:textFill>
        </w:rPr>
        <w:t>6</w:t>
      </w:r>
      <w:r>
        <w:rPr>
          <w:rFonts w:hint="eastAsia" w:ascii="Times New Roman" w:eastAsia="宋体" w:cs="Times New Roman"/>
          <w:color w:val="000000" w:themeColor="text1"/>
          <w:sz w:val="21"/>
          <w:szCs w:val="21"/>
          <w14:textFill>
            <w14:solidFill>
              <w14:schemeClr w14:val="tx1"/>
            </w14:solidFill>
          </w14:textFill>
        </w:rPr>
        <w:t>）个月内继续保持有效。在此期间，第</w:t>
      </w:r>
      <w:r>
        <w:rPr>
          <w:rFonts w:ascii="Times New Roman" w:eastAsia="宋体" w:cs="Times New Roman"/>
          <w:color w:val="000000" w:themeColor="text1"/>
          <w:sz w:val="21"/>
          <w:szCs w:val="21"/>
          <w14:textFill>
            <w14:solidFill>
              <w14:schemeClr w14:val="tx1"/>
            </w14:solidFill>
          </w14:textFill>
        </w:rPr>
        <w:t>12.7</w:t>
      </w:r>
      <w:r>
        <w:rPr>
          <w:rFonts w:hint="eastAsia" w:ascii="Times New Roman" w:eastAsia="宋体" w:cs="Times New Roman"/>
          <w:color w:val="000000" w:themeColor="text1"/>
          <w:sz w:val="21"/>
          <w:szCs w:val="21"/>
          <w14:textFill>
            <w14:solidFill>
              <w14:schemeClr w14:val="tx1"/>
            </w14:solidFill>
          </w14:textFill>
        </w:rPr>
        <w:t>条款项下有关项目公司履行修复缺陷或损坏（不包括不可抗力事件造成的缺陷或损坏）义务以及甲方相关权利的规定应适用。甲方应在提前终止日后六（</w:t>
      </w:r>
      <w:r>
        <w:rPr>
          <w:rFonts w:ascii="Times New Roman" w:eastAsia="宋体" w:cs="Times New Roman"/>
          <w:color w:val="000000" w:themeColor="text1"/>
          <w:sz w:val="21"/>
          <w:szCs w:val="21"/>
          <w14:textFill>
            <w14:solidFill>
              <w14:schemeClr w14:val="tx1"/>
            </w14:solidFill>
          </w14:textFill>
        </w:rPr>
        <w:t>6</w:t>
      </w:r>
      <w:r>
        <w:rPr>
          <w:rFonts w:hint="eastAsia" w:ascii="Times New Roman" w:eastAsia="宋体" w:cs="Times New Roman"/>
          <w:color w:val="000000" w:themeColor="text1"/>
          <w:sz w:val="21"/>
          <w:szCs w:val="21"/>
          <w14:textFill>
            <w14:solidFill>
              <w14:schemeClr w14:val="tx1"/>
            </w14:solidFill>
          </w14:textFill>
        </w:rPr>
        <w:t>）个月届满后的第一（</w:t>
      </w:r>
      <w:r>
        <w:rPr>
          <w:rFonts w:ascii="Times New Roman" w:eastAsia="宋体" w:cs="Times New Roman"/>
          <w:color w:val="000000" w:themeColor="text1"/>
          <w:sz w:val="21"/>
          <w:szCs w:val="21"/>
          <w14:textFill>
            <w14:solidFill>
              <w14:schemeClr w14:val="tx1"/>
            </w14:solidFill>
          </w14:textFill>
        </w:rPr>
        <w:t>1</w:t>
      </w:r>
      <w:r>
        <w:rPr>
          <w:rFonts w:hint="eastAsia" w:ascii="Times New Roman" w:eastAsia="宋体" w:cs="Times New Roman"/>
          <w:color w:val="000000" w:themeColor="text1"/>
          <w:sz w:val="21"/>
          <w:szCs w:val="21"/>
          <w14:textFill>
            <w14:solidFill>
              <w14:schemeClr w14:val="tx1"/>
            </w14:solidFill>
          </w14:textFill>
        </w:rPr>
        <w:t>）个工作日解除履约保函并退还该履约保函的剩余金额。</w:t>
      </w:r>
    </w:p>
    <w:p>
      <w:pPr>
        <w:pStyle w:val="4"/>
        <w:rPr>
          <w:color w:val="000000" w:themeColor="text1"/>
          <w14:textFill>
            <w14:solidFill>
              <w14:schemeClr w14:val="tx1"/>
            </w14:solidFill>
          </w14:textFill>
        </w:rPr>
      </w:pPr>
      <w:bookmarkStart w:id="818" w:name="_Toc522635597"/>
      <w:bookmarkStart w:id="819" w:name="_Toc516399821"/>
      <w:bookmarkStart w:id="820" w:name="_Toc496299665"/>
      <w:bookmarkStart w:id="821" w:name="_Toc495846056"/>
      <w:bookmarkStart w:id="822" w:name="_Toc491857654"/>
      <w:r>
        <w:rPr>
          <w:color w:val="000000" w:themeColor="text1"/>
          <w14:textFill>
            <w14:solidFill>
              <w14:schemeClr w14:val="tx1"/>
            </w14:solidFill>
          </w14:textFill>
        </w:rPr>
        <w:t xml:space="preserve">14.10 </w:t>
      </w:r>
      <w:r>
        <w:rPr>
          <w:rFonts w:hint="eastAsia"/>
          <w:color w:val="000000" w:themeColor="text1"/>
          <w14:textFill>
            <w14:solidFill>
              <w14:schemeClr w14:val="tx1"/>
            </w14:solidFill>
          </w14:textFill>
        </w:rPr>
        <w:t>责任限制</w:t>
      </w:r>
      <w:bookmarkEnd w:id="818"/>
      <w:bookmarkEnd w:id="819"/>
      <w:bookmarkEnd w:id="820"/>
      <w:bookmarkEnd w:id="821"/>
      <w:bookmarkEnd w:id="822"/>
    </w:p>
    <w:p>
      <w:pPr>
        <w:pStyle w:val="310"/>
        <w:spacing w:line="360" w:lineRule="auto"/>
        <w:ind w:left="708" w:leftChars="337" w:hanging="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本合同依据本第</w:t>
      </w:r>
      <w:r>
        <w:rPr>
          <w:rFonts w:ascii="Times New Roman" w:eastAsia="宋体" w:cs="Times New Roman"/>
          <w:color w:val="000000" w:themeColor="text1"/>
          <w:sz w:val="21"/>
          <w:szCs w:val="21"/>
          <w14:textFill>
            <w14:solidFill>
              <w14:schemeClr w14:val="tx1"/>
            </w14:solidFill>
          </w14:textFill>
        </w:rPr>
        <w:t>14</w:t>
      </w:r>
      <w:r>
        <w:rPr>
          <w:rFonts w:hint="eastAsia" w:ascii="Times New Roman" w:eastAsia="宋体" w:cs="Times New Roman"/>
          <w:color w:val="000000" w:themeColor="text1"/>
          <w:sz w:val="21"/>
          <w:szCs w:val="21"/>
          <w14:textFill>
            <w14:solidFill>
              <w14:schemeClr w14:val="tx1"/>
            </w14:solidFill>
          </w14:textFill>
        </w:rPr>
        <w:t>条提前终止后，除向项目公司支付补偿金额外，甲方不应就上述终止或导致上述终止的任何事件向项目公司承担任何义务，但甲方明确承担的或由于甲方违约引致的责任除外。</w:t>
      </w:r>
    </w:p>
    <w:p>
      <w:pPr>
        <w:pStyle w:val="3"/>
        <w:jc w:val="center"/>
        <w:rPr>
          <w:rFonts w:ascii="Times New Roman" w:hAnsi="Times New Roman" w:eastAsia="黑体"/>
          <w:color w:val="000000" w:themeColor="text1"/>
          <w:sz w:val="21"/>
          <w:szCs w:val="21"/>
          <w14:textFill>
            <w14:solidFill>
              <w14:schemeClr w14:val="tx1"/>
            </w14:solidFill>
          </w14:textFill>
        </w:rPr>
      </w:pPr>
      <w:bookmarkStart w:id="823" w:name="_Toc491857655"/>
      <w:bookmarkStart w:id="824" w:name="_Toc495846057"/>
      <w:bookmarkStart w:id="825" w:name="_Toc496299666"/>
      <w:bookmarkStart w:id="826" w:name="_Toc516399822"/>
      <w:bookmarkStart w:id="827" w:name="_Toc522635598"/>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15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转让和担保</w:t>
      </w:r>
      <w:bookmarkEnd w:id="823"/>
      <w:bookmarkEnd w:id="824"/>
      <w:bookmarkEnd w:id="825"/>
      <w:bookmarkEnd w:id="826"/>
      <w:bookmarkEnd w:id="827"/>
      <w:r>
        <w:rPr>
          <w:rFonts w:ascii="Times New Roman" w:hAnsi="Times New Roman" w:eastAsia="黑体"/>
          <w:color w:val="000000" w:themeColor="text1"/>
          <w:sz w:val="21"/>
          <w:szCs w:val="21"/>
          <w14:textFill>
            <w14:solidFill>
              <w14:schemeClr w14:val="tx1"/>
            </w14:solidFill>
          </w14:textFill>
        </w:rPr>
        <w:t xml:space="preserve"> </w:t>
      </w:r>
    </w:p>
    <w:p>
      <w:pPr>
        <w:pStyle w:val="4"/>
        <w:rPr>
          <w:color w:val="000000" w:themeColor="text1"/>
          <w14:textFill>
            <w14:solidFill>
              <w14:schemeClr w14:val="tx1"/>
            </w14:solidFill>
          </w14:textFill>
        </w:rPr>
      </w:pPr>
      <w:bookmarkStart w:id="828" w:name="_Toc491857656"/>
      <w:bookmarkStart w:id="829" w:name="_Toc495846058"/>
      <w:bookmarkStart w:id="830" w:name="_Toc496299667"/>
      <w:bookmarkStart w:id="831" w:name="_Toc516399823"/>
      <w:bookmarkStart w:id="832" w:name="_Toc522635599"/>
      <w:r>
        <w:rPr>
          <w:color w:val="000000" w:themeColor="text1"/>
          <w14:textFill>
            <w14:solidFill>
              <w14:schemeClr w14:val="tx1"/>
            </w14:solidFill>
          </w14:textFill>
        </w:rPr>
        <w:t xml:space="preserve">15.1 </w:t>
      </w:r>
      <w:r>
        <w:rPr>
          <w:rFonts w:hint="eastAsia"/>
          <w:color w:val="000000" w:themeColor="text1"/>
          <w14:textFill>
            <w14:solidFill>
              <w14:schemeClr w14:val="tx1"/>
            </w14:solidFill>
          </w14:textFill>
        </w:rPr>
        <w:t>甲方的转让</w:t>
      </w:r>
      <w:bookmarkEnd w:id="828"/>
      <w:bookmarkEnd w:id="829"/>
      <w:bookmarkEnd w:id="830"/>
      <w:bookmarkEnd w:id="831"/>
      <w:bookmarkEnd w:id="832"/>
      <w:r>
        <w:rPr>
          <w:color w:val="000000" w:themeColor="text1"/>
          <w14:textFill>
            <w14:solidFill>
              <w14:schemeClr w14:val="tx1"/>
            </w14:solidFill>
          </w14:textFill>
        </w:rPr>
        <w:t xml:space="preserve"> </w:t>
      </w:r>
    </w:p>
    <w:p>
      <w:pPr>
        <w:pStyle w:val="5"/>
        <w:ind w:left="658" w:hanging="658"/>
        <w:rPr>
          <w:color w:val="000000" w:themeColor="text1"/>
          <w14:textFill>
            <w14:solidFill>
              <w14:schemeClr w14:val="tx1"/>
            </w14:solidFill>
          </w14:textFill>
        </w:rPr>
      </w:pPr>
      <w:r>
        <w:rPr>
          <w:color w:val="000000" w:themeColor="text1"/>
          <w14:textFill>
            <w14:solidFill>
              <w14:schemeClr w14:val="tx1"/>
            </w14:solidFill>
          </w14:textFill>
        </w:rPr>
        <w:t xml:space="preserve">15.1.1 </w:t>
      </w:r>
      <w:r>
        <w:rPr>
          <w:rFonts w:hint="eastAsia"/>
          <w:color w:val="000000" w:themeColor="text1"/>
          <w14:textFill>
            <w14:solidFill>
              <w14:schemeClr w14:val="tx1"/>
            </w14:solidFill>
          </w14:textFill>
        </w:rPr>
        <w:t>未经乙方事先书面同意，甲方不得转让其本合同项下全部或部分的权利或义务。</w:t>
      </w:r>
    </w:p>
    <w:p>
      <w:pPr>
        <w:pStyle w:val="5"/>
        <w:ind w:left="658" w:hanging="658"/>
        <w:rPr>
          <w:color w:val="000000" w:themeColor="text1"/>
          <w14:textFill>
            <w14:solidFill>
              <w14:schemeClr w14:val="tx1"/>
            </w14:solidFill>
          </w14:textFill>
        </w:rPr>
      </w:pPr>
      <w:r>
        <w:rPr>
          <w:color w:val="000000" w:themeColor="text1"/>
          <w14:textFill>
            <w14:solidFill>
              <w14:schemeClr w14:val="tx1"/>
            </w14:solidFill>
          </w14:textFill>
        </w:rPr>
        <w:t xml:space="preserve">15.1.2 </w:t>
      </w:r>
      <w:r>
        <w:rPr>
          <w:rFonts w:hint="eastAsia"/>
          <w:color w:val="000000" w:themeColor="text1"/>
          <w14:textFill>
            <w14:solidFill>
              <w14:schemeClr w14:val="tx1"/>
            </w14:solidFill>
          </w14:textFill>
        </w:rPr>
        <w:t>本合同第</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条款的规定并不妨碍甲方与中国其他的政府部门或机构或具有行政管理职能的机构合并、分立或职能转移，条件是合并、分立或职能转移后的政府部门或机构：</w:t>
      </w:r>
    </w:p>
    <w:p>
      <w:pPr>
        <w:pStyle w:val="310"/>
        <w:numPr>
          <w:ilvl w:val="0"/>
          <w:numId w:val="94"/>
        </w:numPr>
        <w:spacing w:line="360" w:lineRule="auto"/>
        <w:ind w:left="1134" w:hanging="57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具有承担甲方在本合同项下所承担的所有权利、义务和责任的能力和授权；以及</w:t>
      </w:r>
    </w:p>
    <w:p>
      <w:pPr>
        <w:pStyle w:val="310"/>
        <w:numPr>
          <w:ilvl w:val="0"/>
          <w:numId w:val="94"/>
        </w:numPr>
        <w:spacing w:line="360" w:lineRule="auto"/>
        <w:ind w:left="1134" w:hanging="578"/>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接受并完全承担甲方在本合同项下义务的履行。</w:t>
      </w:r>
    </w:p>
    <w:p>
      <w:pPr>
        <w:pStyle w:val="4"/>
        <w:rPr>
          <w:color w:val="000000" w:themeColor="text1"/>
          <w14:textFill>
            <w14:solidFill>
              <w14:schemeClr w14:val="tx1"/>
            </w14:solidFill>
          </w14:textFill>
        </w:rPr>
      </w:pPr>
      <w:bookmarkStart w:id="833" w:name="_Toc491857657"/>
      <w:bookmarkStart w:id="834" w:name="_Toc495846059"/>
      <w:bookmarkStart w:id="835" w:name="_Toc496299668"/>
      <w:bookmarkStart w:id="836" w:name="_Toc516399824"/>
      <w:bookmarkStart w:id="837" w:name="_Toc522635600"/>
      <w:r>
        <w:rPr>
          <w:color w:val="000000" w:themeColor="text1"/>
          <w14:textFill>
            <w14:solidFill>
              <w14:schemeClr w14:val="tx1"/>
            </w14:solidFill>
          </w14:textFill>
        </w:rPr>
        <w:t xml:space="preserve">15.2 </w:t>
      </w:r>
      <w:r>
        <w:rPr>
          <w:rFonts w:hint="eastAsia"/>
          <w:color w:val="000000" w:themeColor="text1"/>
          <w14:textFill>
            <w14:solidFill>
              <w14:schemeClr w14:val="tx1"/>
            </w14:solidFill>
          </w14:textFill>
        </w:rPr>
        <w:t>乙方的转让</w:t>
      </w:r>
      <w:bookmarkEnd w:id="833"/>
      <w:bookmarkEnd w:id="834"/>
      <w:bookmarkEnd w:id="835"/>
      <w:bookmarkEnd w:id="836"/>
      <w:bookmarkEnd w:id="837"/>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15.2.1 </w:t>
      </w:r>
      <w:r>
        <w:rPr>
          <w:rFonts w:hint="eastAsia"/>
          <w:color w:val="000000" w:themeColor="text1"/>
          <w14:textFill>
            <w14:solidFill>
              <w14:schemeClr w14:val="tx1"/>
            </w14:solidFill>
          </w14:textFill>
        </w:rPr>
        <w:t>对协议权利义务的转让</w:t>
      </w:r>
    </w:p>
    <w:p>
      <w:pPr>
        <w:pStyle w:val="310"/>
        <w:numPr>
          <w:ilvl w:val="0"/>
          <w:numId w:val="95"/>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未经甲方事先书面同意，乙方不得转让或以其他方式转移本合同项下的权利和义务；</w:t>
      </w:r>
    </w:p>
    <w:p>
      <w:pPr>
        <w:pStyle w:val="310"/>
        <w:numPr>
          <w:ilvl w:val="0"/>
          <w:numId w:val="95"/>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经甲方事先书面同意，乙方可以将本合同项下的权利与义务转让给第三方，受让方应当在投资、建设或运营领域拥有不低于本项目投资规模或运营规模的项目经验。</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15.2.2 </w:t>
      </w:r>
      <w:r>
        <w:rPr>
          <w:rFonts w:hint="eastAsia"/>
          <w:color w:val="000000" w:themeColor="text1"/>
          <w14:textFill>
            <w14:solidFill>
              <w14:schemeClr w14:val="tx1"/>
            </w14:solidFill>
          </w14:textFill>
        </w:rPr>
        <w:t>乙方资产的转让和担保</w:t>
      </w:r>
    </w:p>
    <w:p>
      <w:pPr>
        <w:pStyle w:val="310"/>
        <w:numPr>
          <w:ilvl w:val="0"/>
          <w:numId w:val="96"/>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未经甲方事先书面同意，乙方在合作期内不得转让其用于项目的项目设施或任何其它重要资产。</w:t>
      </w:r>
    </w:p>
    <w:p>
      <w:pPr>
        <w:pStyle w:val="310"/>
        <w:numPr>
          <w:ilvl w:val="0"/>
          <w:numId w:val="96"/>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乙方为筹措项目工程建设资金，可以将项目收益权进行质押，但这种质押只能用于本项目。上述质押应事先征得甲方的书面同意，相应的融资文件应得到甲方的批准。</w:t>
      </w:r>
    </w:p>
    <w:p>
      <w:pPr>
        <w:pStyle w:val="4"/>
        <w:rPr>
          <w:color w:val="000000" w:themeColor="text1"/>
          <w14:textFill>
            <w14:solidFill>
              <w14:schemeClr w14:val="tx1"/>
            </w14:solidFill>
          </w14:textFill>
        </w:rPr>
      </w:pPr>
      <w:bookmarkStart w:id="838" w:name="_Toc491857658"/>
      <w:bookmarkStart w:id="839" w:name="_Toc495846060"/>
      <w:bookmarkStart w:id="840" w:name="_Toc496299669"/>
      <w:bookmarkStart w:id="841" w:name="_Toc516399825"/>
      <w:bookmarkStart w:id="842" w:name="_Toc522635601"/>
      <w:r>
        <w:rPr>
          <w:color w:val="000000" w:themeColor="text1"/>
          <w14:textFill>
            <w14:solidFill>
              <w14:schemeClr w14:val="tx1"/>
            </w14:solidFill>
          </w14:textFill>
        </w:rPr>
        <w:t xml:space="preserve">15.3 </w:t>
      </w:r>
      <w:r>
        <w:rPr>
          <w:rFonts w:hint="eastAsia"/>
          <w:color w:val="000000" w:themeColor="text1"/>
          <w14:textFill>
            <w14:solidFill>
              <w14:schemeClr w14:val="tx1"/>
            </w14:solidFill>
          </w14:textFill>
        </w:rPr>
        <w:t>乙方（项目公司）股权的转让</w:t>
      </w:r>
      <w:bookmarkEnd w:id="838"/>
      <w:bookmarkEnd w:id="839"/>
      <w:bookmarkEnd w:id="840"/>
      <w:bookmarkEnd w:id="841"/>
      <w:bookmarkEnd w:id="842"/>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15.3.1 </w:t>
      </w:r>
      <w:r>
        <w:rPr>
          <w:rFonts w:hint="eastAsia"/>
          <w:color w:val="000000" w:themeColor="text1"/>
          <w14:textFill>
            <w14:solidFill>
              <w14:schemeClr w14:val="tx1"/>
            </w14:solidFill>
          </w14:textFill>
        </w:rPr>
        <w:t>未经甲方事先书面同意，乙方（此处乙方特指项目公司）的股权结构不得发生变化。</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15.3.2 </w:t>
      </w:r>
      <w:r>
        <w:rPr>
          <w:rFonts w:hint="eastAsia"/>
          <w:color w:val="000000" w:themeColor="text1"/>
          <w14:textFill>
            <w14:solidFill>
              <w14:schemeClr w14:val="tx1"/>
            </w14:solidFill>
          </w14:textFill>
        </w:rPr>
        <w:t>转让时间的限制</w:t>
      </w:r>
    </w:p>
    <w:p>
      <w:pPr>
        <w:autoSpaceDE w:val="0"/>
        <w:autoSpaceDN w:val="0"/>
        <w:adjustRightInd w:val="0"/>
        <w:spacing w:line="360" w:lineRule="auto"/>
        <w:ind w:left="627" w:leftChars="299" w:firstLine="8" w:firstLineChars="4"/>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建设期内，乙方股东原则上不能转让乙方股份；运营期内，经杭州大江东产业集聚区政府事先书面同意，乙方股东可以转让乙方股份；乙方股东中协助乙方具体承担运营任务的一方合作期内不得转让股权。</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15.3.3 </w:t>
      </w:r>
      <w:r>
        <w:rPr>
          <w:rFonts w:hint="eastAsia"/>
          <w:color w:val="000000" w:themeColor="text1"/>
          <w14:textFill>
            <w14:solidFill>
              <w14:schemeClr w14:val="tx1"/>
            </w14:solidFill>
          </w14:textFill>
        </w:rPr>
        <w:t>受让方具备的条件：受让方财务状况应相当或优于项目公司股东在生效日时的状况。</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15.3.4 </w:t>
      </w:r>
      <w:r>
        <w:rPr>
          <w:rFonts w:hint="eastAsia"/>
          <w:color w:val="000000" w:themeColor="text1"/>
          <w14:textFill>
            <w14:solidFill>
              <w14:schemeClr w14:val="tx1"/>
            </w14:solidFill>
          </w14:textFill>
        </w:rPr>
        <w:t>受让方应出具书面声明，表明其已经完全理解本合同全部条款规定的内容。</w:t>
      </w:r>
    </w:p>
    <w:p>
      <w:pPr>
        <w:pStyle w:val="3"/>
        <w:jc w:val="center"/>
        <w:rPr>
          <w:rFonts w:ascii="Times New Roman" w:hAnsi="Times New Roman" w:eastAsia="黑体"/>
          <w:color w:val="000000" w:themeColor="text1"/>
          <w:sz w:val="21"/>
          <w:szCs w:val="21"/>
          <w14:textFill>
            <w14:solidFill>
              <w14:schemeClr w14:val="tx1"/>
            </w14:solidFill>
          </w14:textFill>
        </w:rPr>
      </w:pPr>
      <w:bookmarkStart w:id="843" w:name="_Toc491857659"/>
      <w:bookmarkStart w:id="844" w:name="_Toc495846061"/>
      <w:bookmarkStart w:id="845" w:name="_Toc496299670"/>
      <w:bookmarkStart w:id="846" w:name="_Toc516399826"/>
      <w:bookmarkStart w:id="847" w:name="_Toc522635602"/>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16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补偿</w:t>
      </w:r>
      <w:bookmarkEnd w:id="843"/>
      <w:bookmarkEnd w:id="844"/>
      <w:bookmarkEnd w:id="845"/>
      <w:bookmarkEnd w:id="846"/>
      <w:bookmarkEnd w:id="847"/>
    </w:p>
    <w:p>
      <w:pPr>
        <w:pStyle w:val="4"/>
        <w:rPr>
          <w:color w:val="000000" w:themeColor="text1"/>
          <w14:textFill>
            <w14:solidFill>
              <w14:schemeClr w14:val="tx1"/>
            </w14:solidFill>
          </w14:textFill>
        </w:rPr>
      </w:pPr>
      <w:bookmarkStart w:id="848" w:name="_Toc491857660"/>
      <w:bookmarkStart w:id="849" w:name="_Toc495846062"/>
      <w:bookmarkStart w:id="850" w:name="_Toc496299671"/>
      <w:bookmarkStart w:id="851" w:name="_Toc516399827"/>
      <w:bookmarkStart w:id="852" w:name="_Toc522635603"/>
      <w:r>
        <w:rPr>
          <w:color w:val="000000" w:themeColor="text1"/>
          <w14:textFill>
            <w14:solidFill>
              <w14:schemeClr w14:val="tx1"/>
            </w14:solidFill>
          </w14:textFill>
        </w:rPr>
        <w:t xml:space="preserve">16.1 </w:t>
      </w:r>
      <w:r>
        <w:rPr>
          <w:rFonts w:hint="eastAsia"/>
          <w:color w:val="000000" w:themeColor="text1"/>
          <w14:textFill>
            <w14:solidFill>
              <w14:schemeClr w14:val="tx1"/>
            </w14:solidFill>
          </w14:textFill>
        </w:rPr>
        <w:t>获得补偿的权利</w:t>
      </w:r>
      <w:bookmarkEnd w:id="848"/>
      <w:bookmarkEnd w:id="849"/>
      <w:bookmarkEnd w:id="850"/>
      <w:bookmarkEnd w:id="851"/>
      <w:bookmarkEnd w:id="852"/>
    </w:p>
    <w:p>
      <w:pPr>
        <w:pStyle w:val="310"/>
        <w:spacing w:line="360" w:lineRule="auto"/>
        <w:ind w:left="630" w:leftChars="300" w:firstLine="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合作期内，如发生下述事件（下称</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补偿事件</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），但双方仍希望继续履行本合同，经谈判达成一致后，甲方应依照第</w:t>
      </w:r>
      <w:r>
        <w:rPr>
          <w:rFonts w:ascii="Times New Roman" w:eastAsia="宋体" w:cs="Times New Roman"/>
          <w:color w:val="000000" w:themeColor="text1"/>
          <w:sz w:val="21"/>
          <w:szCs w:val="21"/>
          <w14:textFill>
            <w14:solidFill>
              <w14:schemeClr w14:val="tx1"/>
            </w14:solidFill>
          </w14:textFill>
        </w:rPr>
        <w:t>16</w:t>
      </w:r>
      <w:r>
        <w:rPr>
          <w:rFonts w:hint="eastAsia" w:ascii="Times New Roman" w:eastAsia="宋体" w:cs="Times New Roman"/>
          <w:color w:val="000000" w:themeColor="text1"/>
          <w:sz w:val="21"/>
          <w:szCs w:val="21"/>
          <w14:textFill>
            <w14:solidFill>
              <w14:schemeClr w14:val="tx1"/>
            </w14:solidFill>
          </w14:textFill>
        </w:rPr>
        <w:t>条的规定对乙方进行补偿：</w:t>
      </w:r>
    </w:p>
    <w:p>
      <w:pPr>
        <w:pStyle w:val="310"/>
        <w:numPr>
          <w:ilvl w:val="0"/>
          <w:numId w:val="97"/>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发生第</w:t>
      </w:r>
      <w:r>
        <w:rPr>
          <w:rFonts w:ascii="Times New Roman" w:eastAsia="宋体" w:cs="Times New Roman"/>
          <w:color w:val="000000" w:themeColor="text1"/>
          <w:sz w:val="21"/>
          <w:szCs w:val="21"/>
          <w14:textFill>
            <w14:solidFill>
              <w14:schemeClr w14:val="tx1"/>
            </w14:solidFill>
          </w14:textFill>
        </w:rPr>
        <w:t>13.1</w:t>
      </w:r>
      <w:r>
        <w:rPr>
          <w:rFonts w:hint="eastAsia" w:ascii="Times New Roman" w:eastAsia="宋体" w:cs="Times New Roman"/>
          <w:color w:val="000000" w:themeColor="text1"/>
          <w:sz w:val="21"/>
          <w:szCs w:val="21"/>
          <w14:textFill>
            <w14:solidFill>
              <w14:schemeClr w14:val="tx1"/>
            </w14:solidFill>
          </w14:textFill>
        </w:rPr>
        <w:t>条款项下不可抗力事件，导致乙方管理和维护成本或</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总投资增加；</w:t>
      </w:r>
    </w:p>
    <w:p>
      <w:pPr>
        <w:pStyle w:val="310"/>
        <w:numPr>
          <w:ilvl w:val="0"/>
          <w:numId w:val="97"/>
        </w:numPr>
        <w:spacing w:line="360" w:lineRule="auto"/>
        <w:ind w:left="1134"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法律变更使得乙方为符合新的法规政策要求调整建设标准导致运营成本增加超过</w:t>
      </w:r>
      <w:r>
        <w:rPr>
          <w:rFonts w:ascii="Times New Roman" w:eastAsia="宋体" w:cs="Times New Roman"/>
          <w:color w:val="000000" w:themeColor="text1"/>
          <w:sz w:val="21"/>
          <w:szCs w:val="21"/>
          <w14:textFill>
            <w14:solidFill>
              <w14:schemeClr w14:val="tx1"/>
            </w14:solidFill>
          </w14:textFill>
        </w:rPr>
        <w:t>10%</w:t>
      </w:r>
      <w:r>
        <w:rPr>
          <w:rFonts w:hint="eastAsia" w:ascii="Times New Roman" w:eastAsia="宋体" w:cs="Times New Roman"/>
          <w:color w:val="000000" w:themeColor="text1"/>
          <w:sz w:val="21"/>
          <w:szCs w:val="21"/>
          <w14:textFill>
            <w14:solidFill>
              <w14:schemeClr w14:val="tx1"/>
            </w14:solidFill>
          </w14:textFill>
        </w:rPr>
        <w:t>。</w:t>
      </w:r>
    </w:p>
    <w:p>
      <w:pPr>
        <w:pStyle w:val="4"/>
        <w:rPr>
          <w:color w:val="000000" w:themeColor="text1"/>
          <w14:textFill>
            <w14:solidFill>
              <w14:schemeClr w14:val="tx1"/>
            </w14:solidFill>
          </w14:textFill>
        </w:rPr>
      </w:pPr>
      <w:bookmarkStart w:id="853" w:name="_Toc491857661"/>
      <w:bookmarkStart w:id="854" w:name="_Toc495846063"/>
      <w:bookmarkStart w:id="855" w:name="_Toc496299672"/>
      <w:bookmarkStart w:id="856" w:name="_Toc516399828"/>
      <w:bookmarkStart w:id="857" w:name="_Toc522635604"/>
      <w:r>
        <w:rPr>
          <w:color w:val="000000" w:themeColor="text1"/>
          <w14:textFill>
            <w14:solidFill>
              <w14:schemeClr w14:val="tx1"/>
            </w14:solidFill>
          </w14:textFill>
        </w:rPr>
        <w:t xml:space="preserve">16.2 </w:t>
      </w:r>
      <w:r>
        <w:rPr>
          <w:rFonts w:hint="eastAsia"/>
          <w:color w:val="000000" w:themeColor="text1"/>
          <w14:textFill>
            <w14:solidFill>
              <w14:schemeClr w14:val="tx1"/>
            </w14:solidFill>
          </w14:textFill>
        </w:rPr>
        <w:t>补偿形式</w:t>
      </w:r>
      <w:bookmarkEnd w:id="853"/>
      <w:bookmarkEnd w:id="854"/>
      <w:bookmarkEnd w:id="855"/>
      <w:bookmarkEnd w:id="856"/>
      <w:bookmarkEnd w:id="857"/>
    </w:p>
    <w:p>
      <w:pPr>
        <w:pStyle w:val="310"/>
        <w:spacing w:line="360" w:lineRule="auto"/>
        <w:ind w:left="630" w:leftChars="300" w:firstLine="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补偿可采用以下两种方式，甲方可自行选择采用哪一种补偿方式：</w:t>
      </w:r>
    </w:p>
    <w:p>
      <w:pPr>
        <w:pStyle w:val="310"/>
        <w:numPr>
          <w:ilvl w:val="0"/>
          <w:numId w:val="98"/>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一次性现金补偿；</w:t>
      </w:r>
    </w:p>
    <w:p>
      <w:pPr>
        <w:pStyle w:val="310"/>
        <w:numPr>
          <w:ilvl w:val="0"/>
          <w:numId w:val="98"/>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调整可行性缺口补助金额或协助调整服务收费标准。</w:t>
      </w:r>
    </w:p>
    <w:p>
      <w:pPr>
        <w:pStyle w:val="4"/>
        <w:rPr>
          <w:color w:val="000000" w:themeColor="text1"/>
          <w14:textFill>
            <w14:solidFill>
              <w14:schemeClr w14:val="tx1"/>
            </w14:solidFill>
          </w14:textFill>
        </w:rPr>
      </w:pPr>
      <w:bookmarkStart w:id="858" w:name="_Toc491857662"/>
      <w:bookmarkStart w:id="859" w:name="_Toc495846064"/>
      <w:bookmarkStart w:id="860" w:name="_Toc496299673"/>
      <w:bookmarkStart w:id="861" w:name="_Toc516399829"/>
      <w:bookmarkStart w:id="862" w:name="_Toc522635605"/>
      <w:r>
        <w:rPr>
          <w:color w:val="000000" w:themeColor="text1"/>
          <w14:textFill>
            <w14:solidFill>
              <w14:schemeClr w14:val="tx1"/>
            </w14:solidFill>
          </w14:textFill>
        </w:rPr>
        <w:t xml:space="preserve">16.3 </w:t>
      </w:r>
      <w:r>
        <w:rPr>
          <w:rFonts w:hint="eastAsia"/>
          <w:color w:val="000000" w:themeColor="text1"/>
          <w14:textFill>
            <w14:solidFill>
              <w14:schemeClr w14:val="tx1"/>
            </w14:solidFill>
          </w14:textFill>
        </w:rPr>
        <w:t>一次性补偿</w:t>
      </w:r>
      <w:bookmarkEnd w:id="858"/>
      <w:bookmarkEnd w:id="859"/>
      <w:bookmarkEnd w:id="860"/>
      <w:bookmarkEnd w:id="861"/>
      <w:bookmarkEnd w:id="862"/>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16.3.1 </w:t>
      </w:r>
      <w:r>
        <w:rPr>
          <w:rFonts w:hint="eastAsia"/>
          <w:color w:val="000000" w:themeColor="text1"/>
          <w14:textFill>
            <w14:solidFill>
              <w14:schemeClr w14:val="tx1"/>
            </w14:solidFill>
          </w14:textFill>
        </w:rPr>
        <w:t>生效日后发生第</w:t>
      </w:r>
      <w:r>
        <w:rPr>
          <w:color w:val="000000" w:themeColor="text1"/>
          <w14:textFill>
            <w14:solidFill>
              <w14:schemeClr w14:val="tx1"/>
            </w14:solidFill>
          </w14:textFill>
        </w:rPr>
        <w:t>13.1.2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e</w:t>
      </w:r>
      <w:r>
        <w:rPr>
          <w:rFonts w:hint="eastAsia"/>
          <w:color w:val="000000" w:themeColor="text1"/>
          <w14:textFill>
            <w14:solidFill>
              <w14:schemeClr w14:val="tx1"/>
            </w14:solidFill>
          </w14:textFill>
        </w:rPr>
        <w:t>）条款和第</w:t>
      </w:r>
      <w:r>
        <w:rPr>
          <w:color w:val="000000" w:themeColor="text1"/>
          <w14:textFill>
            <w14:solidFill>
              <w14:schemeClr w14:val="tx1"/>
            </w14:solidFill>
          </w14:textFill>
        </w:rPr>
        <w:t>13.1.2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f</w:t>
      </w:r>
      <w:r>
        <w:rPr>
          <w:rFonts w:hint="eastAsia"/>
          <w:color w:val="000000" w:themeColor="text1"/>
          <w14:textFill>
            <w14:solidFill>
              <w14:schemeClr w14:val="tx1"/>
            </w14:solidFill>
          </w14:textFill>
        </w:rPr>
        <w:t>）条款项下的不可抗力事件时，若：</w:t>
      </w:r>
    </w:p>
    <w:p>
      <w:pPr>
        <w:pStyle w:val="310"/>
        <w:numPr>
          <w:ilvl w:val="0"/>
          <w:numId w:val="99"/>
        </w:numPr>
        <w:spacing w:line="360" w:lineRule="auto"/>
        <w:ind w:left="992"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此等不可抗力导致乙方每年运营成本增加不超过壹佰（</w:t>
      </w:r>
      <w:r>
        <w:rPr>
          <w:rFonts w:ascii="Times New Roman" w:eastAsia="宋体" w:cs="Times New Roman"/>
          <w:color w:val="000000" w:themeColor="text1"/>
          <w:sz w:val="21"/>
          <w:szCs w:val="21"/>
          <w14:textFill>
            <w14:solidFill>
              <w14:schemeClr w14:val="tx1"/>
            </w14:solidFill>
          </w14:textFill>
        </w:rPr>
        <w:t>100</w:t>
      </w:r>
      <w:r>
        <w:rPr>
          <w:rFonts w:hint="eastAsia" w:ascii="Times New Roman" w:eastAsia="宋体" w:cs="Times New Roman"/>
          <w:color w:val="000000" w:themeColor="text1"/>
          <w:sz w:val="21"/>
          <w:szCs w:val="21"/>
          <w14:textFill>
            <w14:solidFill>
              <w14:schemeClr w14:val="tx1"/>
            </w14:solidFill>
          </w14:textFill>
        </w:rPr>
        <w:t>）万元或每年资本性支出增加不超过贰佰（</w:t>
      </w:r>
      <w:r>
        <w:rPr>
          <w:rFonts w:ascii="Times New Roman" w:eastAsia="宋体" w:cs="Times New Roman"/>
          <w:color w:val="000000" w:themeColor="text1"/>
          <w:sz w:val="21"/>
          <w:szCs w:val="21"/>
          <w14:textFill>
            <w14:solidFill>
              <w14:schemeClr w14:val="tx1"/>
            </w14:solidFill>
          </w14:textFill>
        </w:rPr>
        <w:t>200</w:t>
      </w:r>
      <w:r>
        <w:rPr>
          <w:rFonts w:hint="eastAsia" w:ascii="Times New Roman" w:eastAsia="宋体" w:cs="Times New Roman"/>
          <w:color w:val="000000" w:themeColor="text1"/>
          <w:sz w:val="21"/>
          <w:szCs w:val="21"/>
          <w14:textFill>
            <w14:solidFill>
              <w14:schemeClr w14:val="tx1"/>
            </w14:solidFill>
          </w14:textFill>
        </w:rPr>
        <w:t>）万元时，乙方应自行承担增加部分，甲方不予补偿；</w:t>
      </w:r>
      <w:r>
        <w:rPr>
          <w:rFonts w:ascii="Times New Roman" w:eastAsia="宋体" w:cs="Times New Roman"/>
          <w:color w:val="000000" w:themeColor="text1"/>
          <w:sz w:val="21"/>
          <w:szCs w:val="21"/>
          <w14:textFill>
            <w14:solidFill>
              <w14:schemeClr w14:val="tx1"/>
            </w14:solidFill>
          </w14:textFill>
        </w:rPr>
        <w:t xml:space="preserve"> </w:t>
      </w:r>
    </w:p>
    <w:p>
      <w:pPr>
        <w:pStyle w:val="310"/>
        <w:numPr>
          <w:ilvl w:val="0"/>
          <w:numId w:val="99"/>
        </w:numPr>
        <w:spacing w:line="360" w:lineRule="auto"/>
        <w:ind w:left="992" w:hanging="567"/>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此等不可抗力导致乙方每年运营成本增加超过壹佰（</w:t>
      </w:r>
      <w:r>
        <w:rPr>
          <w:rFonts w:ascii="Times New Roman" w:eastAsia="宋体" w:cs="Times New Roman"/>
          <w:color w:val="000000" w:themeColor="text1"/>
          <w:sz w:val="21"/>
          <w:szCs w:val="21"/>
          <w14:textFill>
            <w14:solidFill>
              <w14:schemeClr w14:val="tx1"/>
            </w14:solidFill>
          </w14:textFill>
        </w:rPr>
        <w:t>100</w:t>
      </w:r>
      <w:r>
        <w:rPr>
          <w:rFonts w:hint="eastAsia" w:ascii="Times New Roman" w:eastAsia="宋体" w:cs="Times New Roman"/>
          <w:color w:val="000000" w:themeColor="text1"/>
          <w:sz w:val="21"/>
          <w:szCs w:val="21"/>
          <w14:textFill>
            <w14:solidFill>
              <w14:schemeClr w14:val="tx1"/>
            </w14:solidFill>
          </w14:textFill>
        </w:rPr>
        <w:t>）万元或资本性支出增加超过贰佰（</w:t>
      </w:r>
      <w:r>
        <w:rPr>
          <w:rFonts w:ascii="Times New Roman" w:eastAsia="宋体" w:cs="Times New Roman"/>
          <w:color w:val="000000" w:themeColor="text1"/>
          <w:sz w:val="21"/>
          <w:szCs w:val="21"/>
          <w14:textFill>
            <w14:solidFill>
              <w14:schemeClr w14:val="tx1"/>
            </w14:solidFill>
          </w14:textFill>
        </w:rPr>
        <w:t>200</w:t>
      </w:r>
      <w:r>
        <w:rPr>
          <w:rFonts w:hint="eastAsia" w:ascii="Times New Roman" w:eastAsia="宋体" w:cs="Times New Roman"/>
          <w:color w:val="000000" w:themeColor="text1"/>
          <w:sz w:val="21"/>
          <w:szCs w:val="21"/>
          <w14:textFill>
            <w14:solidFill>
              <w14:schemeClr w14:val="tx1"/>
            </w14:solidFill>
          </w14:textFill>
        </w:rPr>
        <w:t>）万元时，甲方将对增加的运营成本中超过壹佰（</w:t>
      </w:r>
      <w:r>
        <w:rPr>
          <w:rFonts w:ascii="Times New Roman" w:eastAsia="宋体" w:cs="Times New Roman"/>
          <w:color w:val="000000" w:themeColor="text1"/>
          <w:sz w:val="21"/>
          <w:szCs w:val="21"/>
          <w14:textFill>
            <w14:solidFill>
              <w14:schemeClr w14:val="tx1"/>
            </w14:solidFill>
          </w14:textFill>
        </w:rPr>
        <w:t>100</w:t>
      </w:r>
      <w:r>
        <w:rPr>
          <w:rFonts w:hint="eastAsia" w:ascii="Times New Roman" w:eastAsia="宋体" w:cs="Times New Roman"/>
          <w:color w:val="000000" w:themeColor="text1"/>
          <w:sz w:val="21"/>
          <w:szCs w:val="21"/>
          <w14:textFill>
            <w14:solidFill>
              <w14:schemeClr w14:val="tx1"/>
            </w14:solidFill>
          </w14:textFill>
        </w:rPr>
        <w:t>）万元的部分或资本性支出中超过贰佰（</w:t>
      </w:r>
      <w:r>
        <w:rPr>
          <w:rFonts w:ascii="Times New Roman" w:eastAsia="宋体" w:cs="Times New Roman"/>
          <w:color w:val="000000" w:themeColor="text1"/>
          <w:sz w:val="21"/>
          <w:szCs w:val="21"/>
          <w14:textFill>
            <w14:solidFill>
              <w14:schemeClr w14:val="tx1"/>
            </w14:solidFill>
          </w14:textFill>
        </w:rPr>
        <w:t>200</w:t>
      </w:r>
      <w:r>
        <w:rPr>
          <w:rFonts w:hint="eastAsia" w:ascii="Times New Roman" w:eastAsia="宋体" w:cs="Times New Roman"/>
          <w:color w:val="000000" w:themeColor="text1"/>
          <w:sz w:val="21"/>
          <w:szCs w:val="21"/>
          <w14:textFill>
            <w14:solidFill>
              <w14:schemeClr w14:val="tx1"/>
            </w14:solidFill>
          </w14:textFill>
        </w:rPr>
        <w:t>）万元的部分给予补偿。</w:t>
      </w:r>
    </w:p>
    <w:p>
      <w:pPr>
        <w:pStyle w:val="5"/>
        <w:rPr>
          <w:color w:val="000000" w:themeColor="text1"/>
          <w:szCs w:val="21"/>
          <w14:textFill>
            <w14:solidFill>
              <w14:schemeClr w14:val="tx1"/>
            </w14:solidFill>
          </w14:textFill>
        </w:rPr>
      </w:pPr>
      <w:r>
        <w:rPr>
          <w:rStyle w:val="62"/>
          <w:color w:val="000000" w:themeColor="text1"/>
          <w14:textFill>
            <w14:solidFill>
              <w14:schemeClr w14:val="tx1"/>
            </w14:solidFill>
          </w14:textFill>
        </w:rPr>
        <w:t xml:space="preserve">16.3.2 </w:t>
      </w:r>
      <w:r>
        <w:rPr>
          <w:rStyle w:val="62"/>
          <w:rFonts w:hint="eastAsia"/>
          <w:color w:val="000000" w:themeColor="text1"/>
          <w14:textFill>
            <w14:solidFill>
              <w14:schemeClr w14:val="tx1"/>
            </w14:solidFill>
          </w14:textFill>
        </w:rPr>
        <w:t>生效日后发生第</w:t>
      </w:r>
      <w:r>
        <w:rPr>
          <w:rStyle w:val="62"/>
          <w:color w:val="000000" w:themeColor="text1"/>
          <w14:textFill>
            <w14:solidFill>
              <w14:schemeClr w14:val="tx1"/>
            </w14:solidFill>
          </w14:textFill>
        </w:rPr>
        <w:t>13.1.2</w:t>
      </w:r>
      <w:r>
        <w:rPr>
          <w:rStyle w:val="62"/>
          <w:rFonts w:hint="eastAsia"/>
          <w:color w:val="000000" w:themeColor="text1"/>
          <w14:textFill>
            <w14:solidFill>
              <w14:schemeClr w14:val="tx1"/>
            </w14:solidFill>
          </w14:textFill>
        </w:rPr>
        <w:t>（</w:t>
      </w:r>
      <w:r>
        <w:rPr>
          <w:rStyle w:val="62"/>
          <w:color w:val="000000" w:themeColor="text1"/>
          <w14:textFill>
            <w14:solidFill>
              <w14:schemeClr w14:val="tx1"/>
            </w14:solidFill>
          </w14:textFill>
        </w:rPr>
        <w:t>a</w:t>
      </w:r>
      <w:r>
        <w:rPr>
          <w:rStyle w:val="62"/>
          <w:rFonts w:hint="eastAsia"/>
          <w:color w:val="000000" w:themeColor="text1"/>
          <w14:textFill>
            <w14:solidFill>
              <w14:schemeClr w14:val="tx1"/>
            </w14:solidFill>
          </w14:textFill>
        </w:rPr>
        <w:t>）、（</w:t>
      </w:r>
      <w:r>
        <w:rPr>
          <w:rStyle w:val="62"/>
          <w:color w:val="000000" w:themeColor="text1"/>
          <w14:textFill>
            <w14:solidFill>
              <w14:schemeClr w14:val="tx1"/>
            </w14:solidFill>
          </w14:textFill>
        </w:rPr>
        <w:t>b</w:t>
      </w:r>
      <w:r>
        <w:rPr>
          <w:rStyle w:val="62"/>
          <w:rFonts w:hint="eastAsia"/>
          <w:color w:val="000000" w:themeColor="text1"/>
          <w14:textFill>
            <w14:solidFill>
              <w14:schemeClr w14:val="tx1"/>
            </w14:solidFill>
          </w14:textFill>
        </w:rPr>
        <w:t>）、（</w:t>
      </w:r>
      <w:r>
        <w:rPr>
          <w:rStyle w:val="62"/>
          <w:color w:val="000000" w:themeColor="text1"/>
          <w14:textFill>
            <w14:solidFill>
              <w14:schemeClr w14:val="tx1"/>
            </w14:solidFill>
          </w14:textFill>
        </w:rPr>
        <w:t>c</w:t>
      </w:r>
      <w:r>
        <w:rPr>
          <w:rStyle w:val="62"/>
          <w:rFonts w:hint="eastAsia"/>
          <w:color w:val="000000" w:themeColor="text1"/>
          <w14:textFill>
            <w14:solidFill>
              <w14:schemeClr w14:val="tx1"/>
            </w14:solidFill>
          </w14:textFill>
        </w:rPr>
        <w:t>）、（</w:t>
      </w:r>
      <w:r>
        <w:rPr>
          <w:rStyle w:val="62"/>
          <w:color w:val="000000" w:themeColor="text1"/>
          <w14:textFill>
            <w14:solidFill>
              <w14:schemeClr w14:val="tx1"/>
            </w14:solidFill>
          </w14:textFill>
        </w:rPr>
        <w:t>d</w:t>
      </w:r>
      <w:r>
        <w:rPr>
          <w:rStyle w:val="62"/>
          <w:rFonts w:hint="eastAsia"/>
          <w:color w:val="000000" w:themeColor="text1"/>
          <w14:textFill>
            <w14:solidFill>
              <w14:schemeClr w14:val="tx1"/>
            </w14:solidFill>
          </w14:textFill>
        </w:rPr>
        <w:t>）条款项下的不可抗力事件时，</w:t>
      </w:r>
      <w:r>
        <w:rPr>
          <w:rFonts w:hint="eastAsia"/>
          <w:color w:val="000000" w:themeColor="text1"/>
          <w:szCs w:val="21"/>
          <w14:textFill>
            <w14:solidFill>
              <w14:schemeClr w14:val="tx1"/>
            </w14:solidFill>
          </w14:textFill>
        </w:rPr>
        <w:t>若：</w:t>
      </w:r>
    </w:p>
    <w:p>
      <w:pPr>
        <w:pStyle w:val="310"/>
        <w:numPr>
          <w:ilvl w:val="0"/>
          <w:numId w:val="100"/>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若此等不可抗力导致乙方每年运营成本增加不超过壹佰（</w:t>
      </w:r>
      <w:r>
        <w:rPr>
          <w:rFonts w:ascii="Times New Roman" w:eastAsia="宋体" w:cs="Times New Roman"/>
          <w:color w:val="000000" w:themeColor="text1"/>
          <w:sz w:val="21"/>
          <w:szCs w:val="21"/>
          <w14:textFill>
            <w14:solidFill>
              <w14:schemeClr w14:val="tx1"/>
            </w14:solidFill>
          </w14:textFill>
        </w:rPr>
        <w:t>100</w:t>
      </w:r>
      <w:r>
        <w:rPr>
          <w:rFonts w:hint="eastAsia" w:ascii="Times New Roman" w:eastAsia="宋体" w:cs="Times New Roman"/>
          <w:color w:val="000000" w:themeColor="text1"/>
          <w:sz w:val="21"/>
          <w:szCs w:val="21"/>
          <w14:textFill>
            <w14:solidFill>
              <w14:schemeClr w14:val="tx1"/>
            </w14:solidFill>
          </w14:textFill>
        </w:rPr>
        <w:t>）万元或资本性支出增加不超过贰佰（</w:t>
      </w:r>
      <w:r>
        <w:rPr>
          <w:rFonts w:ascii="Times New Roman" w:eastAsia="宋体" w:cs="Times New Roman"/>
          <w:color w:val="000000" w:themeColor="text1"/>
          <w:sz w:val="21"/>
          <w:szCs w:val="21"/>
          <w14:textFill>
            <w14:solidFill>
              <w14:schemeClr w14:val="tx1"/>
            </w14:solidFill>
          </w14:textFill>
        </w:rPr>
        <w:t>200</w:t>
      </w:r>
      <w:r>
        <w:rPr>
          <w:rFonts w:hint="eastAsia" w:ascii="Times New Roman" w:eastAsia="宋体" w:cs="Times New Roman"/>
          <w:color w:val="000000" w:themeColor="text1"/>
          <w:sz w:val="21"/>
          <w:szCs w:val="21"/>
          <w14:textFill>
            <w14:solidFill>
              <w14:schemeClr w14:val="tx1"/>
            </w14:solidFill>
          </w14:textFill>
        </w:rPr>
        <w:t>）万元时，乙方应自行承担增加部分，甲方不予补偿；</w:t>
      </w:r>
    </w:p>
    <w:p>
      <w:pPr>
        <w:pStyle w:val="310"/>
        <w:numPr>
          <w:ilvl w:val="0"/>
          <w:numId w:val="100"/>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若此等不可抗力导致乙方每年运营成本增加超过壹佰（</w:t>
      </w:r>
      <w:r>
        <w:rPr>
          <w:rFonts w:ascii="Times New Roman" w:eastAsia="宋体" w:cs="Times New Roman"/>
          <w:color w:val="000000" w:themeColor="text1"/>
          <w:sz w:val="21"/>
          <w:szCs w:val="21"/>
          <w14:textFill>
            <w14:solidFill>
              <w14:schemeClr w14:val="tx1"/>
            </w14:solidFill>
          </w14:textFill>
        </w:rPr>
        <w:t>100</w:t>
      </w:r>
      <w:r>
        <w:rPr>
          <w:rFonts w:hint="eastAsia" w:ascii="Times New Roman" w:eastAsia="宋体" w:cs="Times New Roman"/>
          <w:color w:val="000000" w:themeColor="text1"/>
          <w:sz w:val="21"/>
          <w:szCs w:val="21"/>
          <w14:textFill>
            <w14:solidFill>
              <w14:schemeClr w14:val="tx1"/>
            </w14:solidFill>
          </w14:textFill>
        </w:rPr>
        <w:t>）万元或资本性支出增加超过贰佰（</w:t>
      </w:r>
      <w:r>
        <w:rPr>
          <w:rFonts w:ascii="Times New Roman" w:eastAsia="宋体" w:cs="Times New Roman"/>
          <w:color w:val="000000" w:themeColor="text1"/>
          <w:sz w:val="21"/>
          <w:szCs w:val="21"/>
          <w14:textFill>
            <w14:solidFill>
              <w14:schemeClr w14:val="tx1"/>
            </w14:solidFill>
          </w14:textFill>
        </w:rPr>
        <w:t>200</w:t>
      </w:r>
      <w:r>
        <w:rPr>
          <w:rFonts w:hint="eastAsia" w:ascii="Times New Roman" w:eastAsia="宋体" w:cs="Times New Roman"/>
          <w:color w:val="000000" w:themeColor="text1"/>
          <w:sz w:val="21"/>
          <w:szCs w:val="21"/>
          <w14:textFill>
            <w14:solidFill>
              <w14:schemeClr w14:val="tx1"/>
            </w14:solidFill>
          </w14:textFill>
        </w:rPr>
        <w:t>）万元时，甲方将对增加的运营成本中超过壹佰（</w:t>
      </w:r>
      <w:r>
        <w:rPr>
          <w:rFonts w:ascii="Times New Roman" w:eastAsia="宋体" w:cs="Times New Roman"/>
          <w:color w:val="000000" w:themeColor="text1"/>
          <w:sz w:val="21"/>
          <w:szCs w:val="21"/>
          <w14:textFill>
            <w14:solidFill>
              <w14:schemeClr w14:val="tx1"/>
            </w14:solidFill>
          </w14:textFill>
        </w:rPr>
        <w:t>100</w:t>
      </w:r>
      <w:r>
        <w:rPr>
          <w:rFonts w:hint="eastAsia" w:ascii="Times New Roman" w:eastAsia="宋体" w:cs="Times New Roman"/>
          <w:color w:val="000000" w:themeColor="text1"/>
          <w:sz w:val="21"/>
          <w:szCs w:val="21"/>
          <w14:textFill>
            <w14:solidFill>
              <w14:schemeClr w14:val="tx1"/>
            </w14:solidFill>
          </w14:textFill>
        </w:rPr>
        <w:t>）万元或资本性支出增加超过贰佰（</w:t>
      </w:r>
      <w:r>
        <w:rPr>
          <w:rFonts w:ascii="Times New Roman" w:eastAsia="宋体" w:cs="Times New Roman"/>
          <w:color w:val="000000" w:themeColor="text1"/>
          <w:sz w:val="21"/>
          <w:szCs w:val="21"/>
          <w14:textFill>
            <w14:solidFill>
              <w14:schemeClr w14:val="tx1"/>
            </w14:solidFill>
          </w14:textFill>
        </w:rPr>
        <w:t>200</w:t>
      </w:r>
      <w:r>
        <w:rPr>
          <w:rFonts w:hint="eastAsia" w:ascii="Times New Roman" w:eastAsia="宋体" w:cs="Times New Roman"/>
          <w:color w:val="000000" w:themeColor="text1"/>
          <w:sz w:val="21"/>
          <w:szCs w:val="21"/>
          <w14:textFill>
            <w14:solidFill>
              <w14:schemeClr w14:val="tx1"/>
            </w14:solidFill>
          </w14:textFill>
        </w:rPr>
        <w:t>）万元的部分给予百分之五十（</w:t>
      </w:r>
      <w:r>
        <w:rPr>
          <w:rFonts w:ascii="Times New Roman" w:eastAsia="宋体" w:cs="Times New Roman"/>
          <w:color w:val="000000" w:themeColor="text1"/>
          <w:sz w:val="21"/>
          <w:szCs w:val="21"/>
          <w14:textFill>
            <w14:solidFill>
              <w14:schemeClr w14:val="tx1"/>
            </w14:solidFill>
          </w14:textFill>
        </w:rPr>
        <w:t>50%</w:t>
      </w:r>
      <w:r>
        <w:rPr>
          <w:rFonts w:hint="eastAsia" w:ascii="Times New Roman" w:eastAsia="宋体" w:cs="Times New Roman"/>
          <w:color w:val="000000" w:themeColor="text1"/>
          <w:sz w:val="21"/>
          <w:szCs w:val="21"/>
          <w14:textFill>
            <w14:solidFill>
              <w14:schemeClr w14:val="tx1"/>
            </w14:solidFill>
          </w14:textFill>
        </w:rPr>
        <w:t>）比例的补偿。</w:t>
      </w:r>
    </w:p>
    <w:p>
      <w:pPr>
        <w:pStyle w:val="4"/>
        <w:rPr>
          <w:color w:val="000000" w:themeColor="text1"/>
          <w14:textFill>
            <w14:solidFill>
              <w14:schemeClr w14:val="tx1"/>
            </w14:solidFill>
          </w14:textFill>
        </w:rPr>
      </w:pPr>
      <w:bookmarkStart w:id="863" w:name="_Toc491857663"/>
      <w:bookmarkStart w:id="864" w:name="_Toc495846065"/>
      <w:bookmarkStart w:id="865" w:name="_Toc496299674"/>
      <w:bookmarkStart w:id="866" w:name="_Toc516399830"/>
      <w:bookmarkStart w:id="867" w:name="_Toc522635606"/>
      <w:r>
        <w:rPr>
          <w:color w:val="000000" w:themeColor="text1"/>
          <w14:textFill>
            <w14:solidFill>
              <w14:schemeClr w14:val="tx1"/>
            </w14:solidFill>
          </w14:textFill>
        </w:rPr>
        <w:t xml:space="preserve">16.4 </w:t>
      </w:r>
      <w:r>
        <w:rPr>
          <w:rFonts w:hint="eastAsia"/>
          <w:color w:val="000000" w:themeColor="text1"/>
          <w14:textFill>
            <w14:solidFill>
              <w14:schemeClr w14:val="tx1"/>
            </w14:solidFill>
          </w14:textFill>
        </w:rPr>
        <w:t>以其他方式已补偿的损失</w:t>
      </w:r>
      <w:bookmarkEnd w:id="863"/>
      <w:bookmarkEnd w:id="864"/>
      <w:bookmarkEnd w:id="865"/>
      <w:bookmarkEnd w:id="866"/>
      <w:bookmarkEnd w:id="867"/>
    </w:p>
    <w:p>
      <w:pPr>
        <w:pStyle w:val="310"/>
        <w:spacing w:line="360" w:lineRule="auto"/>
        <w:ind w:left="630" w:leftChars="300" w:firstLine="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就乙方因补偿事件而发生的损失、损害或责任（包括增加的运营成本或资本性支出），甲方没有义务对乙方已从下列途径另行获取补偿或抵销的损失部分提供补偿：</w:t>
      </w:r>
    </w:p>
    <w:p>
      <w:pPr>
        <w:pStyle w:val="310"/>
        <w:numPr>
          <w:ilvl w:val="0"/>
          <w:numId w:val="101"/>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乙方有权获得的保险赔款（包括认定保险赔款）；</w:t>
      </w:r>
    </w:p>
    <w:p>
      <w:pPr>
        <w:pStyle w:val="310"/>
        <w:numPr>
          <w:ilvl w:val="0"/>
          <w:numId w:val="101"/>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乙方已从其他途径（通过其股东投资或股东提供其它融资的除外）获得补偿；</w:t>
      </w:r>
    </w:p>
    <w:p>
      <w:pPr>
        <w:pStyle w:val="310"/>
        <w:numPr>
          <w:ilvl w:val="0"/>
          <w:numId w:val="101"/>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甲方按照本合同其他规定或以其他方式提供补偿；</w:t>
      </w:r>
    </w:p>
    <w:p>
      <w:pPr>
        <w:pStyle w:val="310"/>
        <w:numPr>
          <w:ilvl w:val="0"/>
          <w:numId w:val="101"/>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法律变更使乙方的资本性支出或运营成本减少或以其它方式补偿了乙方。</w:t>
      </w:r>
    </w:p>
    <w:p>
      <w:pPr>
        <w:pStyle w:val="4"/>
        <w:rPr>
          <w:color w:val="000000" w:themeColor="text1"/>
          <w14:textFill>
            <w14:solidFill>
              <w14:schemeClr w14:val="tx1"/>
            </w14:solidFill>
          </w14:textFill>
        </w:rPr>
      </w:pPr>
      <w:bookmarkStart w:id="868" w:name="_Toc491857664"/>
      <w:bookmarkStart w:id="869" w:name="_Toc495846066"/>
      <w:bookmarkStart w:id="870" w:name="_Toc496299675"/>
      <w:bookmarkStart w:id="871" w:name="_Toc516399831"/>
      <w:bookmarkStart w:id="872" w:name="_Toc522635607"/>
      <w:r>
        <w:rPr>
          <w:color w:val="000000" w:themeColor="text1"/>
          <w14:textFill>
            <w14:solidFill>
              <w14:schemeClr w14:val="tx1"/>
            </w14:solidFill>
          </w14:textFill>
        </w:rPr>
        <w:t xml:space="preserve">16.5 </w:t>
      </w:r>
      <w:r>
        <w:rPr>
          <w:rFonts w:hint="eastAsia"/>
          <w:color w:val="000000" w:themeColor="text1"/>
          <w14:textFill>
            <w14:solidFill>
              <w14:schemeClr w14:val="tx1"/>
            </w14:solidFill>
          </w14:textFill>
        </w:rPr>
        <w:t>补偿事件的通知</w:t>
      </w:r>
      <w:bookmarkEnd w:id="868"/>
      <w:bookmarkEnd w:id="869"/>
      <w:bookmarkEnd w:id="870"/>
      <w:bookmarkEnd w:id="871"/>
      <w:bookmarkEnd w:id="872"/>
    </w:p>
    <w:p>
      <w:pPr>
        <w:pStyle w:val="310"/>
        <w:spacing w:line="360" w:lineRule="auto"/>
        <w:ind w:left="630" w:leftChars="300" w:firstLine="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当按照上述第</w:t>
      </w:r>
      <w:r>
        <w:rPr>
          <w:rFonts w:ascii="Times New Roman" w:eastAsia="宋体" w:cs="Times New Roman"/>
          <w:color w:val="000000" w:themeColor="text1"/>
          <w:sz w:val="21"/>
          <w:szCs w:val="21"/>
          <w14:textFill>
            <w14:solidFill>
              <w14:schemeClr w14:val="tx1"/>
            </w14:solidFill>
          </w14:textFill>
        </w:rPr>
        <w:t>16.1</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16.3</w:t>
      </w:r>
      <w:r>
        <w:rPr>
          <w:rFonts w:hint="eastAsia" w:ascii="Times New Roman" w:eastAsia="宋体" w:cs="Times New Roman"/>
          <w:color w:val="000000" w:themeColor="text1"/>
          <w:sz w:val="21"/>
          <w:szCs w:val="21"/>
          <w14:textFill>
            <w14:solidFill>
              <w14:schemeClr w14:val="tx1"/>
            </w14:solidFill>
          </w14:textFill>
        </w:rPr>
        <w:t>条款规定而使乙方有权获得补偿时，乙方应书面通知甲方补偿事件的发生及其可能之影响，包括有关损失的性质和估计数额（下称</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补偿通知</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w:t>
      </w:r>
    </w:p>
    <w:p>
      <w:pPr>
        <w:pStyle w:val="4"/>
        <w:rPr>
          <w:color w:val="000000" w:themeColor="text1"/>
          <w14:textFill>
            <w14:solidFill>
              <w14:schemeClr w14:val="tx1"/>
            </w14:solidFill>
          </w14:textFill>
        </w:rPr>
      </w:pPr>
      <w:bookmarkStart w:id="873" w:name="_Toc491857665"/>
      <w:bookmarkStart w:id="874" w:name="_Toc495846067"/>
      <w:bookmarkStart w:id="875" w:name="_Toc496299676"/>
      <w:bookmarkStart w:id="876" w:name="_Toc516399832"/>
      <w:bookmarkStart w:id="877" w:name="_Toc522635608"/>
      <w:r>
        <w:rPr>
          <w:color w:val="000000" w:themeColor="text1"/>
          <w14:textFill>
            <w14:solidFill>
              <w14:schemeClr w14:val="tx1"/>
            </w14:solidFill>
          </w14:textFill>
        </w:rPr>
        <w:t xml:space="preserve">16.6 </w:t>
      </w:r>
      <w:r>
        <w:rPr>
          <w:rFonts w:hint="eastAsia"/>
          <w:color w:val="000000" w:themeColor="text1"/>
          <w14:textFill>
            <w14:solidFill>
              <w14:schemeClr w14:val="tx1"/>
            </w14:solidFill>
          </w14:textFill>
        </w:rPr>
        <w:t>谈判期</w:t>
      </w:r>
      <w:bookmarkEnd w:id="873"/>
      <w:bookmarkEnd w:id="874"/>
      <w:bookmarkEnd w:id="875"/>
      <w:bookmarkEnd w:id="876"/>
      <w:bookmarkEnd w:id="877"/>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16.6.1 </w:t>
      </w:r>
      <w:r>
        <w:rPr>
          <w:rFonts w:hint="eastAsia"/>
          <w:color w:val="000000" w:themeColor="text1"/>
          <w14:textFill>
            <w14:solidFill>
              <w14:schemeClr w14:val="tx1"/>
            </w14:solidFill>
          </w14:textFill>
        </w:rPr>
        <w:t>甲方收到补偿通知后五（</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）个工作日内，双方应诚意进行谈判，尽其最大努力就补偿的形式、数额及时间达成一致；</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16.6.2 </w:t>
      </w:r>
      <w:r>
        <w:rPr>
          <w:rFonts w:hint="eastAsia"/>
          <w:color w:val="000000" w:themeColor="text1"/>
          <w14:textFill>
            <w14:solidFill>
              <w14:schemeClr w14:val="tx1"/>
            </w14:solidFill>
          </w14:textFill>
        </w:rPr>
        <w:t>若在补偿通知发出后三十（</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）日内双方未能就补偿达成一致，则按照本合同第</w:t>
      </w:r>
      <w:r>
        <w:rPr>
          <w:color w:val="000000" w:themeColor="text1"/>
          <w14:textFill>
            <w14:solidFill>
              <w14:schemeClr w14:val="tx1"/>
            </w14:solidFill>
          </w14:textFill>
        </w:rPr>
        <w:t xml:space="preserve"> 18 </w:t>
      </w:r>
      <w:r>
        <w:rPr>
          <w:rFonts w:hint="eastAsia"/>
          <w:color w:val="000000" w:themeColor="text1"/>
          <w14:textFill>
            <w14:solidFill>
              <w14:schemeClr w14:val="tx1"/>
            </w14:solidFill>
          </w14:textFill>
        </w:rPr>
        <w:t>条款的规定解决；</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16.6.3 </w:t>
      </w:r>
      <w:r>
        <w:rPr>
          <w:rFonts w:hint="eastAsia"/>
          <w:color w:val="000000" w:themeColor="text1"/>
          <w14:textFill>
            <w14:solidFill>
              <w14:schemeClr w14:val="tx1"/>
            </w14:solidFill>
          </w14:textFill>
        </w:rPr>
        <w:t>谈判期间及争议解决期间，乙方不应中止项目设施的正常运营维护。</w:t>
      </w:r>
    </w:p>
    <w:p>
      <w:pPr>
        <w:pStyle w:val="4"/>
        <w:rPr>
          <w:color w:val="000000" w:themeColor="text1"/>
          <w14:textFill>
            <w14:solidFill>
              <w14:schemeClr w14:val="tx1"/>
            </w14:solidFill>
          </w14:textFill>
        </w:rPr>
      </w:pPr>
      <w:bookmarkStart w:id="878" w:name="_Toc491857666"/>
      <w:bookmarkStart w:id="879" w:name="_Toc495846068"/>
      <w:bookmarkStart w:id="880" w:name="_Toc496299677"/>
      <w:bookmarkStart w:id="881" w:name="_Toc516399833"/>
      <w:bookmarkStart w:id="882" w:name="_Toc522635609"/>
      <w:r>
        <w:rPr>
          <w:color w:val="000000" w:themeColor="text1"/>
          <w14:textFill>
            <w14:solidFill>
              <w14:schemeClr w14:val="tx1"/>
            </w14:solidFill>
          </w14:textFill>
        </w:rPr>
        <w:t xml:space="preserve">16.7 </w:t>
      </w:r>
      <w:r>
        <w:rPr>
          <w:rFonts w:hint="eastAsia"/>
          <w:color w:val="000000" w:themeColor="text1"/>
          <w14:textFill>
            <w14:solidFill>
              <w14:schemeClr w14:val="tx1"/>
            </w14:solidFill>
          </w14:textFill>
        </w:rPr>
        <w:t>对责任的限制</w:t>
      </w:r>
      <w:bookmarkEnd w:id="878"/>
      <w:bookmarkEnd w:id="879"/>
      <w:bookmarkEnd w:id="880"/>
      <w:bookmarkEnd w:id="881"/>
      <w:bookmarkEnd w:id="882"/>
    </w:p>
    <w:p>
      <w:pPr>
        <w:pStyle w:val="310"/>
        <w:spacing w:line="360" w:lineRule="auto"/>
        <w:ind w:left="567" w:leftChars="27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乙方同意，如果甲方按照本合同第</w:t>
      </w:r>
      <w:r>
        <w:rPr>
          <w:rFonts w:ascii="Times New Roman" w:eastAsia="宋体" w:cs="Times New Roman"/>
          <w:color w:val="000000" w:themeColor="text1"/>
          <w:sz w:val="21"/>
          <w:szCs w:val="21"/>
          <w14:textFill>
            <w14:solidFill>
              <w14:schemeClr w14:val="tx1"/>
            </w14:solidFill>
          </w14:textFill>
        </w:rPr>
        <w:t>16.1</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16.3</w:t>
      </w:r>
      <w:r>
        <w:rPr>
          <w:rFonts w:hint="eastAsia" w:ascii="Times New Roman" w:eastAsia="宋体" w:cs="Times New Roman"/>
          <w:color w:val="000000" w:themeColor="text1"/>
          <w:sz w:val="21"/>
          <w:szCs w:val="21"/>
          <w14:textFill>
            <w14:solidFill>
              <w14:schemeClr w14:val="tx1"/>
            </w14:solidFill>
          </w14:textFill>
        </w:rPr>
        <w:t>条的规定提供补偿，甲方对乙方不再承担有关补偿事件的任何其它责任。</w:t>
      </w:r>
    </w:p>
    <w:p>
      <w:pPr>
        <w:pStyle w:val="3"/>
        <w:jc w:val="center"/>
        <w:rPr>
          <w:rFonts w:ascii="Times New Roman" w:hAnsi="Times New Roman" w:eastAsia="黑体"/>
          <w:color w:val="000000" w:themeColor="text1"/>
          <w:sz w:val="21"/>
          <w:szCs w:val="21"/>
          <w14:textFill>
            <w14:solidFill>
              <w14:schemeClr w14:val="tx1"/>
            </w14:solidFill>
          </w14:textFill>
        </w:rPr>
      </w:pPr>
      <w:bookmarkStart w:id="883" w:name="_Toc491857667"/>
      <w:bookmarkStart w:id="884" w:name="_Toc495846069"/>
      <w:bookmarkStart w:id="885" w:name="_Toc496299678"/>
      <w:bookmarkStart w:id="886" w:name="_Toc516399834"/>
      <w:bookmarkStart w:id="887" w:name="_Toc522635610"/>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17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违约赔偿</w:t>
      </w:r>
      <w:bookmarkEnd w:id="883"/>
      <w:bookmarkEnd w:id="884"/>
      <w:bookmarkEnd w:id="885"/>
      <w:bookmarkEnd w:id="886"/>
      <w:bookmarkEnd w:id="887"/>
    </w:p>
    <w:p>
      <w:pPr>
        <w:pStyle w:val="4"/>
        <w:rPr>
          <w:color w:val="000000" w:themeColor="text1"/>
          <w14:textFill>
            <w14:solidFill>
              <w14:schemeClr w14:val="tx1"/>
            </w14:solidFill>
          </w14:textFill>
        </w:rPr>
      </w:pPr>
      <w:bookmarkStart w:id="888" w:name="_Toc491857668"/>
      <w:bookmarkStart w:id="889" w:name="_Toc495846070"/>
      <w:bookmarkStart w:id="890" w:name="_Toc496299679"/>
      <w:bookmarkStart w:id="891" w:name="_Toc516399835"/>
      <w:bookmarkStart w:id="892" w:name="_Toc522635611"/>
      <w:r>
        <w:rPr>
          <w:color w:val="000000" w:themeColor="text1"/>
          <w14:textFill>
            <w14:solidFill>
              <w14:schemeClr w14:val="tx1"/>
            </w14:solidFill>
          </w14:textFill>
        </w:rPr>
        <w:t xml:space="preserve">17.1 </w:t>
      </w:r>
      <w:r>
        <w:rPr>
          <w:rFonts w:hint="eastAsia"/>
          <w:color w:val="000000" w:themeColor="text1"/>
          <w14:textFill>
            <w14:solidFill>
              <w14:schemeClr w14:val="tx1"/>
            </w14:solidFill>
          </w14:textFill>
        </w:rPr>
        <w:t>赔偿</w:t>
      </w:r>
      <w:bookmarkEnd w:id="888"/>
      <w:bookmarkEnd w:id="889"/>
      <w:bookmarkEnd w:id="890"/>
      <w:bookmarkEnd w:id="891"/>
      <w:bookmarkEnd w:id="892"/>
    </w:p>
    <w:p>
      <w:pPr>
        <w:pStyle w:val="310"/>
        <w:spacing w:line="360" w:lineRule="auto"/>
        <w:ind w:left="567" w:leftChars="27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受限于本合同的其他规定，每一方应有权获得因违约方违约而使该方遭受的任何损失、支出和费用的赔偿，该项赔偿由违约方支付。该项赔偿不应超过违约方在签订本合同时已经预见或应当预见到的因违反本合同可能造成的损失。本合同或者双方其他任何的协议对违约责任的赔偿有约定的依据相应的约定执行。双方未明确约定某种违约行为的赔偿方式的，违约方应当按照该违约行为给对方造成的实际损失给予赔偿。</w:t>
      </w:r>
    </w:p>
    <w:p>
      <w:pPr>
        <w:pStyle w:val="4"/>
        <w:rPr>
          <w:color w:val="000000" w:themeColor="text1"/>
          <w14:textFill>
            <w14:solidFill>
              <w14:schemeClr w14:val="tx1"/>
            </w14:solidFill>
          </w14:textFill>
        </w:rPr>
      </w:pPr>
      <w:bookmarkStart w:id="893" w:name="_Toc491857669"/>
      <w:bookmarkStart w:id="894" w:name="_Toc495846071"/>
      <w:bookmarkStart w:id="895" w:name="_Toc496299680"/>
      <w:bookmarkStart w:id="896" w:name="_Toc516399836"/>
      <w:bookmarkStart w:id="897" w:name="_Toc522635612"/>
      <w:r>
        <w:rPr>
          <w:color w:val="000000" w:themeColor="text1"/>
          <w14:textFill>
            <w14:solidFill>
              <w14:schemeClr w14:val="tx1"/>
            </w14:solidFill>
          </w14:textFill>
        </w:rPr>
        <w:t xml:space="preserve">17.2 </w:t>
      </w:r>
      <w:r>
        <w:rPr>
          <w:rFonts w:hint="eastAsia"/>
          <w:color w:val="000000" w:themeColor="text1"/>
          <w14:textFill>
            <w14:solidFill>
              <w14:schemeClr w14:val="tx1"/>
            </w14:solidFill>
          </w14:textFill>
        </w:rPr>
        <w:t>免责</w:t>
      </w:r>
      <w:bookmarkEnd w:id="893"/>
      <w:bookmarkEnd w:id="894"/>
      <w:bookmarkEnd w:id="895"/>
      <w:bookmarkEnd w:id="896"/>
      <w:bookmarkEnd w:id="897"/>
    </w:p>
    <w:p>
      <w:pPr>
        <w:pStyle w:val="310"/>
        <w:spacing w:line="360" w:lineRule="auto"/>
        <w:ind w:left="567" w:leftChars="27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如果一方证明其未履行义务是由于不可抗力造成的，则该方可根据第</w:t>
      </w:r>
      <w:r>
        <w:rPr>
          <w:rFonts w:ascii="Times New Roman" w:eastAsia="宋体" w:cs="Times New Roman"/>
          <w:color w:val="000000" w:themeColor="text1"/>
          <w:sz w:val="21"/>
          <w:szCs w:val="21"/>
          <w14:textFill>
            <w14:solidFill>
              <w14:schemeClr w14:val="tx1"/>
            </w14:solidFill>
          </w14:textFill>
        </w:rPr>
        <w:t>13</w:t>
      </w:r>
      <w:r>
        <w:rPr>
          <w:rFonts w:hint="eastAsia" w:ascii="Times New Roman" w:eastAsia="宋体" w:cs="Times New Roman"/>
          <w:color w:val="000000" w:themeColor="text1"/>
          <w:sz w:val="21"/>
          <w:szCs w:val="21"/>
          <w14:textFill>
            <w14:solidFill>
              <w14:schemeClr w14:val="tx1"/>
            </w14:solidFill>
          </w14:textFill>
        </w:rPr>
        <w:t>条规定免责。</w:t>
      </w:r>
    </w:p>
    <w:p>
      <w:pPr>
        <w:pStyle w:val="4"/>
        <w:rPr>
          <w:color w:val="000000" w:themeColor="text1"/>
          <w14:textFill>
            <w14:solidFill>
              <w14:schemeClr w14:val="tx1"/>
            </w14:solidFill>
          </w14:textFill>
        </w:rPr>
      </w:pPr>
      <w:bookmarkStart w:id="898" w:name="_Toc491857670"/>
      <w:bookmarkStart w:id="899" w:name="_Toc495846072"/>
      <w:bookmarkStart w:id="900" w:name="_Toc496299681"/>
      <w:bookmarkStart w:id="901" w:name="_Toc516399837"/>
      <w:bookmarkStart w:id="902" w:name="_Toc522635613"/>
      <w:r>
        <w:rPr>
          <w:color w:val="000000" w:themeColor="text1"/>
          <w14:textFill>
            <w14:solidFill>
              <w14:schemeClr w14:val="tx1"/>
            </w14:solidFill>
          </w14:textFill>
        </w:rPr>
        <w:t xml:space="preserve">17.3 </w:t>
      </w:r>
      <w:r>
        <w:rPr>
          <w:rFonts w:hint="eastAsia"/>
          <w:color w:val="000000" w:themeColor="text1"/>
          <w14:textFill>
            <w14:solidFill>
              <w14:schemeClr w14:val="tx1"/>
            </w14:solidFill>
          </w14:textFill>
        </w:rPr>
        <w:t>减轻损失的措施</w:t>
      </w:r>
      <w:bookmarkEnd w:id="898"/>
      <w:bookmarkEnd w:id="899"/>
      <w:bookmarkEnd w:id="900"/>
      <w:bookmarkEnd w:id="901"/>
      <w:bookmarkEnd w:id="902"/>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17.3.1 </w:t>
      </w:r>
      <w:r>
        <w:rPr>
          <w:rFonts w:hint="eastAsia"/>
          <w:color w:val="000000" w:themeColor="text1"/>
          <w14:textFill>
            <w14:solidFill>
              <w14:schemeClr w14:val="tx1"/>
            </w14:solidFill>
          </w14:textFill>
        </w:rPr>
        <w:t>由于另一方违约而遭受损失或可能会遭受损失的一方应采取合理行动减轻或最大程度地减少另一方违约引起的损失。</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17.3.2 </w:t>
      </w:r>
      <w:r>
        <w:rPr>
          <w:rFonts w:hint="eastAsia"/>
          <w:color w:val="000000" w:themeColor="text1"/>
          <w14:textFill>
            <w14:solidFill>
              <w14:schemeClr w14:val="tx1"/>
            </w14:solidFill>
          </w14:textFill>
        </w:rPr>
        <w:t>如果另一方未能采取此类措施，违约方可以请求从赔偿金额中扣除本应能够减轻或减少的损失金额。</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17.3.3 </w:t>
      </w:r>
      <w:r>
        <w:rPr>
          <w:rFonts w:hint="eastAsia"/>
          <w:color w:val="000000" w:themeColor="text1"/>
          <w14:textFill>
            <w14:solidFill>
              <w14:schemeClr w14:val="tx1"/>
            </w14:solidFill>
          </w14:textFill>
        </w:rPr>
        <w:t>受损害的一方有权从另一方获得其因试图减轻和减少损失而合理发生的任何费用。</w:t>
      </w:r>
    </w:p>
    <w:p>
      <w:pPr>
        <w:pStyle w:val="4"/>
        <w:rPr>
          <w:color w:val="000000" w:themeColor="text1"/>
          <w14:textFill>
            <w14:solidFill>
              <w14:schemeClr w14:val="tx1"/>
            </w14:solidFill>
          </w14:textFill>
        </w:rPr>
      </w:pPr>
      <w:bookmarkStart w:id="903" w:name="_Toc491857671"/>
      <w:bookmarkStart w:id="904" w:name="_Toc495846073"/>
      <w:bookmarkStart w:id="905" w:name="_Toc496299682"/>
      <w:bookmarkStart w:id="906" w:name="_Toc516399838"/>
      <w:bookmarkStart w:id="907" w:name="_Toc522635614"/>
      <w:r>
        <w:rPr>
          <w:color w:val="000000" w:themeColor="text1"/>
          <w14:textFill>
            <w14:solidFill>
              <w14:schemeClr w14:val="tx1"/>
            </w14:solidFill>
          </w14:textFill>
        </w:rPr>
        <w:t xml:space="preserve">17.4 </w:t>
      </w:r>
      <w:r>
        <w:rPr>
          <w:rFonts w:hint="eastAsia"/>
          <w:color w:val="000000" w:themeColor="text1"/>
          <w14:textFill>
            <w14:solidFill>
              <w14:schemeClr w14:val="tx1"/>
            </w14:solidFill>
          </w14:textFill>
        </w:rPr>
        <w:t>部分由于受损害方造成的损失</w:t>
      </w:r>
      <w:bookmarkEnd w:id="903"/>
      <w:bookmarkEnd w:id="904"/>
      <w:bookmarkEnd w:id="905"/>
      <w:bookmarkEnd w:id="906"/>
      <w:bookmarkEnd w:id="907"/>
    </w:p>
    <w:p>
      <w:pPr>
        <w:pStyle w:val="310"/>
        <w:spacing w:line="360" w:lineRule="auto"/>
        <w:ind w:left="567" w:leftChars="27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如果损失的一部分是由于受损害方的作为或不作为造成的，或产生于应由受损害方承担风险的另一事件，赔偿的数额应扣除这些因素造成的损失。</w:t>
      </w:r>
    </w:p>
    <w:p>
      <w:pPr>
        <w:pStyle w:val="4"/>
        <w:rPr>
          <w:color w:val="000000" w:themeColor="text1"/>
          <w14:textFill>
            <w14:solidFill>
              <w14:schemeClr w14:val="tx1"/>
            </w14:solidFill>
          </w14:textFill>
        </w:rPr>
      </w:pPr>
      <w:bookmarkStart w:id="908" w:name="_Toc491857672"/>
      <w:bookmarkStart w:id="909" w:name="_Toc495846074"/>
      <w:bookmarkStart w:id="910" w:name="_Toc496299683"/>
      <w:bookmarkStart w:id="911" w:name="_Toc516399839"/>
      <w:bookmarkStart w:id="912" w:name="_Toc522635615"/>
      <w:r>
        <w:rPr>
          <w:color w:val="000000" w:themeColor="text1"/>
          <w14:textFill>
            <w14:solidFill>
              <w14:schemeClr w14:val="tx1"/>
            </w14:solidFill>
          </w14:textFill>
        </w:rPr>
        <w:t xml:space="preserve">17.5 </w:t>
      </w:r>
      <w:r>
        <w:rPr>
          <w:rFonts w:hint="eastAsia"/>
          <w:color w:val="000000" w:themeColor="text1"/>
          <w14:textFill>
            <w14:solidFill>
              <w14:schemeClr w14:val="tx1"/>
            </w14:solidFill>
          </w14:textFill>
        </w:rPr>
        <w:t>对间接损失不负责任</w:t>
      </w:r>
      <w:bookmarkEnd w:id="908"/>
      <w:bookmarkEnd w:id="909"/>
      <w:bookmarkEnd w:id="910"/>
      <w:bookmarkEnd w:id="911"/>
      <w:bookmarkEnd w:id="912"/>
    </w:p>
    <w:p>
      <w:pPr>
        <w:pStyle w:val="310"/>
        <w:spacing w:line="360" w:lineRule="auto"/>
        <w:ind w:left="567" w:leftChars="27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除非本合同另有规定，各方均不应对由于或根据本合同产生的或与其相关的任何索赔为对方的任何间接、特殊或附带损失或惩罚性损害赔偿负责。</w:t>
      </w:r>
    </w:p>
    <w:p>
      <w:pPr>
        <w:pStyle w:val="4"/>
        <w:rPr>
          <w:color w:val="000000" w:themeColor="text1"/>
          <w14:textFill>
            <w14:solidFill>
              <w14:schemeClr w14:val="tx1"/>
            </w14:solidFill>
          </w14:textFill>
        </w:rPr>
      </w:pPr>
      <w:bookmarkStart w:id="913" w:name="_Toc491857673"/>
      <w:bookmarkStart w:id="914" w:name="_Toc495846075"/>
      <w:bookmarkStart w:id="915" w:name="_Toc496299684"/>
      <w:bookmarkStart w:id="916" w:name="_Toc516399840"/>
      <w:bookmarkStart w:id="917" w:name="_Toc522635616"/>
      <w:r>
        <w:rPr>
          <w:color w:val="000000" w:themeColor="text1"/>
          <w14:textFill>
            <w14:solidFill>
              <w14:schemeClr w14:val="tx1"/>
            </w14:solidFill>
          </w14:textFill>
        </w:rPr>
        <w:t xml:space="preserve">17.6 </w:t>
      </w:r>
      <w:r>
        <w:rPr>
          <w:rFonts w:hint="eastAsia"/>
          <w:color w:val="000000" w:themeColor="text1"/>
          <w14:textFill>
            <w14:solidFill>
              <w14:schemeClr w14:val="tx1"/>
            </w14:solidFill>
          </w14:textFill>
        </w:rPr>
        <w:t>补救之累积</w:t>
      </w:r>
      <w:bookmarkEnd w:id="913"/>
      <w:bookmarkEnd w:id="914"/>
      <w:bookmarkEnd w:id="915"/>
      <w:bookmarkEnd w:id="916"/>
      <w:bookmarkEnd w:id="917"/>
    </w:p>
    <w:p>
      <w:pPr>
        <w:pStyle w:val="310"/>
        <w:spacing w:line="360" w:lineRule="auto"/>
        <w:ind w:left="567" w:leftChars="27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本合同第</w:t>
      </w:r>
      <w:r>
        <w:rPr>
          <w:rFonts w:ascii="Times New Roman" w:eastAsia="宋体" w:cs="Times New Roman"/>
          <w:color w:val="000000" w:themeColor="text1"/>
          <w:sz w:val="21"/>
          <w:szCs w:val="21"/>
          <w14:textFill>
            <w14:solidFill>
              <w14:schemeClr w14:val="tx1"/>
            </w14:solidFill>
          </w14:textFill>
        </w:rPr>
        <w:t xml:space="preserve"> 17 </w:t>
      </w:r>
      <w:r>
        <w:rPr>
          <w:rFonts w:hint="eastAsia" w:ascii="Times New Roman" w:eastAsia="宋体" w:cs="Times New Roman"/>
          <w:color w:val="000000" w:themeColor="text1"/>
          <w:sz w:val="21"/>
          <w:szCs w:val="21"/>
          <w14:textFill>
            <w14:solidFill>
              <w14:schemeClr w14:val="tx1"/>
            </w14:solidFill>
          </w14:textFill>
        </w:rPr>
        <w:t>条款不得阻止任何一方行使本合同或法律提供的任何其他补救措施。一方因多项补救措施所获得的利益，不得高于其实际受到的损失。</w:t>
      </w:r>
    </w:p>
    <w:p>
      <w:pPr>
        <w:pStyle w:val="3"/>
        <w:jc w:val="center"/>
        <w:rPr>
          <w:rFonts w:ascii="Times New Roman" w:hAnsi="Times New Roman" w:eastAsia="黑体"/>
          <w:color w:val="000000" w:themeColor="text1"/>
          <w:sz w:val="21"/>
          <w:szCs w:val="21"/>
          <w14:textFill>
            <w14:solidFill>
              <w14:schemeClr w14:val="tx1"/>
            </w14:solidFill>
          </w14:textFill>
        </w:rPr>
      </w:pPr>
      <w:bookmarkStart w:id="918" w:name="_Toc491857674"/>
      <w:bookmarkStart w:id="919" w:name="_Toc495846076"/>
      <w:bookmarkStart w:id="920" w:name="_Toc496299685"/>
      <w:bookmarkStart w:id="921" w:name="_Toc516399841"/>
      <w:bookmarkStart w:id="922" w:name="_Toc522635617"/>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18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争议的解决</w:t>
      </w:r>
      <w:bookmarkEnd w:id="918"/>
      <w:bookmarkEnd w:id="919"/>
      <w:bookmarkEnd w:id="920"/>
      <w:bookmarkEnd w:id="921"/>
      <w:bookmarkEnd w:id="922"/>
    </w:p>
    <w:p>
      <w:pPr>
        <w:pStyle w:val="4"/>
        <w:rPr>
          <w:color w:val="000000" w:themeColor="text1"/>
          <w14:textFill>
            <w14:solidFill>
              <w14:schemeClr w14:val="tx1"/>
            </w14:solidFill>
          </w14:textFill>
        </w:rPr>
      </w:pPr>
      <w:bookmarkStart w:id="923" w:name="_Toc491857675"/>
      <w:bookmarkStart w:id="924" w:name="_Toc495846077"/>
      <w:bookmarkStart w:id="925" w:name="_Toc496299686"/>
      <w:bookmarkStart w:id="926" w:name="_Toc516399842"/>
      <w:bookmarkStart w:id="927" w:name="_Toc522635618"/>
      <w:r>
        <w:rPr>
          <w:color w:val="000000" w:themeColor="text1"/>
          <w14:textFill>
            <w14:solidFill>
              <w14:schemeClr w14:val="tx1"/>
            </w14:solidFill>
          </w14:textFill>
        </w:rPr>
        <w:t xml:space="preserve">18.1 </w:t>
      </w:r>
      <w:r>
        <w:rPr>
          <w:rFonts w:hint="eastAsia"/>
          <w:color w:val="000000" w:themeColor="text1"/>
          <w14:textFill>
            <w14:solidFill>
              <w14:schemeClr w14:val="tx1"/>
            </w14:solidFill>
          </w14:textFill>
        </w:rPr>
        <w:t>协商解决</w:t>
      </w:r>
      <w:bookmarkEnd w:id="923"/>
      <w:bookmarkEnd w:id="924"/>
      <w:bookmarkEnd w:id="925"/>
      <w:bookmarkEnd w:id="926"/>
      <w:bookmarkEnd w:id="927"/>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18.1.1 </w:t>
      </w:r>
      <w:r>
        <w:rPr>
          <w:rFonts w:hint="eastAsia"/>
          <w:color w:val="000000" w:themeColor="text1"/>
          <w14:textFill>
            <w14:solidFill>
              <w14:schemeClr w14:val="tx1"/>
            </w14:solidFill>
          </w14:textFill>
        </w:rPr>
        <w:t>若双方对于由于本合同条款或与本合同有关的条款的解释，包括关于其存在、有效或终止的任何问题产生任何争议、分歧或索赔，则应尽力通过协商友好解决该争议、分歧或索赔。</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18.1.2 </w:t>
      </w:r>
      <w:r>
        <w:rPr>
          <w:rFonts w:hint="eastAsia"/>
          <w:color w:val="000000" w:themeColor="text1"/>
          <w14:textFill>
            <w14:solidFill>
              <w14:schemeClr w14:val="tx1"/>
            </w14:solidFill>
          </w14:textFill>
        </w:rPr>
        <w:t>除本合同另有规定，若在尝试友好协商解决后六十（</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）日内该争议未能根据第</w:t>
      </w:r>
      <w:r>
        <w:rPr>
          <w:color w:val="000000" w:themeColor="text1"/>
          <w14:textFill>
            <w14:solidFill>
              <w14:schemeClr w14:val="tx1"/>
            </w14:solidFill>
          </w14:textFill>
        </w:rPr>
        <w:t>18.1.1</w:t>
      </w:r>
      <w:r>
        <w:rPr>
          <w:rFonts w:hint="eastAsia"/>
          <w:color w:val="000000" w:themeColor="text1"/>
          <w14:textFill>
            <w14:solidFill>
              <w14:schemeClr w14:val="tx1"/>
            </w14:solidFill>
          </w14:textFill>
        </w:rPr>
        <w:t>条款得到解决，则应适用第</w:t>
      </w:r>
      <w:r>
        <w:rPr>
          <w:color w:val="000000" w:themeColor="text1"/>
          <w14:textFill>
            <w14:solidFill>
              <w14:schemeClr w14:val="tx1"/>
            </w14:solidFill>
          </w14:textFill>
        </w:rPr>
        <w:t>18.2</w:t>
      </w:r>
      <w:r>
        <w:rPr>
          <w:rFonts w:hint="eastAsia"/>
          <w:color w:val="000000" w:themeColor="text1"/>
          <w14:textFill>
            <w14:solidFill>
              <w14:schemeClr w14:val="tx1"/>
            </w14:solidFill>
          </w14:textFill>
        </w:rPr>
        <w:t>条款的规定。</w:t>
      </w:r>
    </w:p>
    <w:p>
      <w:pPr>
        <w:pStyle w:val="4"/>
        <w:rPr>
          <w:color w:val="000000" w:themeColor="text1"/>
          <w14:textFill>
            <w14:solidFill>
              <w14:schemeClr w14:val="tx1"/>
            </w14:solidFill>
          </w14:textFill>
        </w:rPr>
      </w:pPr>
      <w:bookmarkStart w:id="928" w:name="_Toc491857676"/>
      <w:bookmarkStart w:id="929" w:name="_Toc495846078"/>
      <w:bookmarkStart w:id="930" w:name="_Toc496299687"/>
      <w:bookmarkStart w:id="931" w:name="_Toc516399843"/>
      <w:bookmarkStart w:id="932" w:name="_Toc522635619"/>
      <w:r>
        <w:rPr>
          <w:color w:val="000000" w:themeColor="text1"/>
          <w14:textFill>
            <w14:solidFill>
              <w14:schemeClr w14:val="tx1"/>
            </w14:solidFill>
          </w14:textFill>
        </w:rPr>
        <w:t xml:space="preserve">18.2 </w:t>
      </w:r>
      <w:r>
        <w:rPr>
          <w:rFonts w:hint="eastAsia"/>
          <w:color w:val="000000" w:themeColor="text1"/>
          <w14:textFill>
            <w14:solidFill>
              <w14:schemeClr w14:val="tx1"/>
            </w14:solidFill>
          </w14:textFill>
        </w:rPr>
        <w:t>诉讼</w:t>
      </w:r>
      <w:bookmarkEnd w:id="928"/>
      <w:bookmarkEnd w:id="929"/>
      <w:bookmarkEnd w:id="930"/>
      <w:bookmarkEnd w:id="931"/>
      <w:bookmarkEnd w:id="932"/>
    </w:p>
    <w:p>
      <w:pPr>
        <w:pStyle w:val="310"/>
        <w:spacing w:line="360" w:lineRule="auto"/>
        <w:ind w:left="567" w:leftChars="27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若双方未能根据第</w:t>
      </w:r>
      <w:r>
        <w:rPr>
          <w:rFonts w:ascii="Times New Roman" w:eastAsia="宋体" w:cs="Times New Roman"/>
          <w:color w:val="000000" w:themeColor="text1"/>
          <w:sz w:val="21"/>
          <w:szCs w:val="21"/>
          <w14:textFill>
            <w14:solidFill>
              <w14:schemeClr w14:val="tx1"/>
            </w14:solidFill>
          </w14:textFill>
        </w:rPr>
        <w:t>18.1</w:t>
      </w:r>
      <w:r>
        <w:rPr>
          <w:rFonts w:hint="eastAsia" w:ascii="Times New Roman" w:eastAsia="宋体" w:cs="Times New Roman"/>
          <w:color w:val="000000" w:themeColor="text1"/>
          <w:sz w:val="21"/>
          <w:szCs w:val="21"/>
          <w14:textFill>
            <w14:solidFill>
              <w14:schemeClr w14:val="tx1"/>
            </w14:solidFill>
          </w14:textFill>
        </w:rPr>
        <w:t>条款解决争议、分歧或索赔，则任何一方有权向有项目所在地人民法院提起诉讼。</w:t>
      </w:r>
    </w:p>
    <w:p>
      <w:pPr>
        <w:pStyle w:val="3"/>
        <w:jc w:val="center"/>
        <w:rPr>
          <w:rFonts w:ascii="Times New Roman" w:hAnsi="Times New Roman" w:eastAsia="黑体"/>
          <w:color w:val="000000" w:themeColor="text1"/>
          <w:sz w:val="21"/>
          <w:szCs w:val="21"/>
          <w14:textFill>
            <w14:solidFill>
              <w14:schemeClr w14:val="tx1"/>
            </w14:solidFill>
          </w14:textFill>
        </w:rPr>
      </w:pPr>
      <w:bookmarkStart w:id="933" w:name="_Toc491857677"/>
      <w:bookmarkStart w:id="934" w:name="_Toc495846079"/>
      <w:bookmarkStart w:id="935" w:name="_Toc496299688"/>
      <w:bookmarkStart w:id="936" w:name="_Toc516399844"/>
      <w:bookmarkStart w:id="937" w:name="_Toc522635620"/>
      <w:r>
        <w:rPr>
          <w:rFonts w:hint="eastAsia" w:ascii="Times New Roman" w:hAnsi="Times New Roman" w:eastAsia="黑体"/>
          <w:color w:val="000000" w:themeColor="text1"/>
          <w:sz w:val="21"/>
          <w:szCs w:val="21"/>
          <w14:textFill>
            <w14:solidFill>
              <w14:schemeClr w14:val="tx1"/>
            </w14:solidFill>
          </w14:textFill>
        </w:rPr>
        <w:t>第</w:t>
      </w:r>
      <w:r>
        <w:rPr>
          <w:rFonts w:ascii="Times New Roman" w:hAnsi="Times New Roman" w:eastAsia="黑体"/>
          <w:color w:val="000000" w:themeColor="text1"/>
          <w:sz w:val="21"/>
          <w:szCs w:val="21"/>
          <w14:textFill>
            <w14:solidFill>
              <w14:schemeClr w14:val="tx1"/>
            </w14:solidFill>
          </w14:textFill>
        </w:rPr>
        <w:t xml:space="preserve"> 19 </w:t>
      </w:r>
      <w:r>
        <w:rPr>
          <w:rFonts w:hint="eastAsia" w:ascii="Times New Roman" w:hAnsi="Times New Roman" w:eastAsia="黑体"/>
          <w:color w:val="000000" w:themeColor="text1"/>
          <w:sz w:val="21"/>
          <w:szCs w:val="21"/>
          <w14:textFill>
            <w14:solidFill>
              <w14:schemeClr w14:val="tx1"/>
            </w14:solidFill>
          </w14:textFill>
        </w:rPr>
        <w:t>条</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其他条款</w:t>
      </w:r>
      <w:bookmarkEnd w:id="933"/>
      <w:bookmarkEnd w:id="934"/>
      <w:bookmarkEnd w:id="935"/>
      <w:bookmarkEnd w:id="936"/>
      <w:bookmarkEnd w:id="937"/>
    </w:p>
    <w:p>
      <w:pPr>
        <w:pStyle w:val="4"/>
        <w:rPr>
          <w:color w:val="000000" w:themeColor="text1"/>
          <w14:textFill>
            <w14:solidFill>
              <w14:schemeClr w14:val="tx1"/>
            </w14:solidFill>
          </w14:textFill>
        </w:rPr>
      </w:pPr>
      <w:bookmarkStart w:id="938" w:name="_Toc491857678"/>
      <w:bookmarkStart w:id="939" w:name="_Toc495846080"/>
      <w:bookmarkStart w:id="940" w:name="_Toc496299689"/>
      <w:bookmarkStart w:id="941" w:name="_Toc516399845"/>
      <w:bookmarkStart w:id="942" w:name="_Toc522635621"/>
      <w:r>
        <w:rPr>
          <w:color w:val="000000" w:themeColor="text1"/>
          <w14:textFill>
            <w14:solidFill>
              <w14:schemeClr w14:val="tx1"/>
            </w14:solidFill>
          </w14:textFill>
        </w:rPr>
        <w:t xml:space="preserve">19.1 </w:t>
      </w:r>
      <w:r>
        <w:rPr>
          <w:rFonts w:hint="eastAsia"/>
          <w:color w:val="000000" w:themeColor="text1"/>
          <w14:textFill>
            <w14:solidFill>
              <w14:schemeClr w14:val="tx1"/>
            </w14:solidFill>
          </w14:textFill>
        </w:rPr>
        <w:t>协议的解释规则</w:t>
      </w:r>
      <w:bookmarkEnd w:id="938"/>
      <w:bookmarkEnd w:id="939"/>
      <w:bookmarkEnd w:id="940"/>
      <w:bookmarkEnd w:id="941"/>
      <w:bookmarkEnd w:id="942"/>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19.1.1 </w:t>
      </w:r>
      <w:r>
        <w:rPr>
          <w:rFonts w:hint="eastAsia"/>
          <w:color w:val="000000" w:themeColor="text1"/>
          <w14:textFill>
            <w14:solidFill>
              <w14:schemeClr w14:val="tx1"/>
            </w14:solidFill>
          </w14:textFill>
        </w:rPr>
        <w:t>合同文件构成及解释次序</w:t>
      </w:r>
    </w:p>
    <w:p>
      <w:pPr>
        <w:spacing w:line="360" w:lineRule="auto"/>
        <w:ind w:firstLine="420" w:firstLineChars="20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下列文件共同构成本合同文件，并应被视为合同文件的一部分进行阅读和理解。解释次序如下：</w:t>
      </w:r>
    </w:p>
    <w:p>
      <w:pPr>
        <w:pStyle w:val="188"/>
        <w:numPr>
          <w:ilvl w:val="0"/>
          <w:numId w:val="102"/>
        </w:numPr>
        <w:spacing w:line="360" w:lineRule="auto"/>
        <w:ind w:left="1106" w:hanging="626"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补充合同及附件（若有）</w:t>
      </w:r>
    </w:p>
    <w:p>
      <w:pPr>
        <w:pStyle w:val="188"/>
        <w:numPr>
          <w:ilvl w:val="0"/>
          <w:numId w:val="102"/>
        </w:numPr>
        <w:spacing w:line="360" w:lineRule="auto"/>
        <w:ind w:left="1106" w:hanging="626"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本项目合同及其附件；</w:t>
      </w:r>
    </w:p>
    <w:p>
      <w:pPr>
        <w:pStyle w:val="188"/>
        <w:numPr>
          <w:ilvl w:val="0"/>
          <w:numId w:val="102"/>
        </w:numPr>
        <w:spacing w:line="360" w:lineRule="auto"/>
        <w:ind w:left="1106" w:hanging="626"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中标通知书；</w:t>
      </w:r>
    </w:p>
    <w:p>
      <w:pPr>
        <w:pStyle w:val="188"/>
        <w:numPr>
          <w:ilvl w:val="0"/>
          <w:numId w:val="102"/>
        </w:numPr>
        <w:spacing w:line="360" w:lineRule="auto"/>
        <w:ind w:left="1106" w:hanging="626"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确认谈判纪要；</w:t>
      </w:r>
    </w:p>
    <w:p>
      <w:pPr>
        <w:pStyle w:val="188"/>
        <w:numPr>
          <w:ilvl w:val="0"/>
          <w:numId w:val="102"/>
        </w:numPr>
        <w:spacing w:line="360" w:lineRule="auto"/>
        <w:ind w:left="1106" w:hanging="626"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招标文件（含招标文件补遗书）；</w:t>
      </w:r>
      <w:r>
        <w:rPr>
          <w:color w:val="000000" w:themeColor="text1"/>
          <w14:textFill>
            <w14:solidFill>
              <w14:schemeClr w14:val="tx1"/>
            </w14:solidFill>
          </w14:textFill>
        </w:rPr>
        <w:t xml:space="preserve"> </w:t>
      </w:r>
    </w:p>
    <w:p>
      <w:pPr>
        <w:pStyle w:val="188"/>
        <w:numPr>
          <w:ilvl w:val="0"/>
          <w:numId w:val="102"/>
        </w:numPr>
        <w:spacing w:line="360" w:lineRule="auto"/>
        <w:ind w:left="1106" w:hanging="626"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技术标准和要求；</w:t>
      </w:r>
    </w:p>
    <w:p>
      <w:pPr>
        <w:pStyle w:val="188"/>
        <w:numPr>
          <w:ilvl w:val="0"/>
          <w:numId w:val="102"/>
        </w:numPr>
        <w:spacing w:line="360" w:lineRule="auto"/>
        <w:ind w:left="1106" w:hanging="626"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乙方投标文件；</w:t>
      </w:r>
    </w:p>
    <w:p>
      <w:pPr>
        <w:pStyle w:val="188"/>
        <w:numPr>
          <w:ilvl w:val="0"/>
          <w:numId w:val="102"/>
        </w:numPr>
        <w:spacing w:line="360" w:lineRule="auto"/>
        <w:ind w:left="1106" w:hanging="626"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图纸及技术规范；</w:t>
      </w:r>
    </w:p>
    <w:p>
      <w:pPr>
        <w:spacing w:line="360" w:lineRule="auto"/>
        <w:ind w:firstLine="420" w:firstLineChars="20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构成本合同组成部分的其他文件。</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19.1.2 </w:t>
      </w:r>
      <w:r>
        <w:rPr>
          <w:rFonts w:hint="eastAsia"/>
          <w:color w:val="000000" w:themeColor="text1"/>
          <w14:textFill>
            <w14:solidFill>
              <w14:schemeClr w14:val="tx1"/>
            </w14:solidFill>
          </w14:textFill>
        </w:rPr>
        <w:t>完整的协议</w:t>
      </w:r>
    </w:p>
    <w:p>
      <w:pPr>
        <w:pStyle w:val="310"/>
        <w:spacing w:line="360" w:lineRule="auto"/>
        <w:ind w:left="643" w:leftChars="306" w:hanging="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本合同构成双方对项目的完全的理解，取代双方以前所有的有关项目的书面和口头陈述、协议或安排。</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19.1.3 </w:t>
      </w:r>
      <w:r>
        <w:rPr>
          <w:rFonts w:hint="eastAsia"/>
          <w:color w:val="000000" w:themeColor="text1"/>
          <w14:textFill>
            <w14:solidFill>
              <w14:schemeClr w14:val="tx1"/>
            </w14:solidFill>
          </w14:textFill>
        </w:rPr>
        <w:t>合同修改、补充</w:t>
      </w:r>
    </w:p>
    <w:p>
      <w:pPr>
        <w:pStyle w:val="310"/>
        <w:spacing w:line="360" w:lineRule="auto"/>
        <w:ind w:left="643" w:leftChars="306" w:hanging="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本合同未尽事宜或双方协商一致，双方可作补充协议，补充协议与本合同具有同等法律效力。</w:t>
      </w:r>
    </w:p>
    <w:p>
      <w:pPr>
        <w:pStyle w:val="310"/>
        <w:spacing w:line="360" w:lineRule="auto"/>
        <w:ind w:left="643" w:leftChars="306" w:hanging="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本合同任何修改、补充或变更只有以书面形式并由双方法定代表人或授权代表签字方可生效并具约束力。</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19.1.4 </w:t>
      </w:r>
      <w:r>
        <w:rPr>
          <w:rFonts w:hint="eastAsia"/>
          <w:color w:val="000000" w:themeColor="text1"/>
          <w14:textFill>
            <w14:solidFill>
              <w14:schemeClr w14:val="tx1"/>
            </w14:solidFill>
          </w14:textFill>
        </w:rPr>
        <w:t>合同展期</w:t>
      </w:r>
    </w:p>
    <w:p>
      <w:pPr>
        <w:pStyle w:val="310"/>
        <w:spacing w:line="360" w:lineRule="auto"/>
        <w:ind w:left="643" w:leftChars="306" w:hanging="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本项目合作期届满后，确有必要延长的，按照有关规定经充分评估论证，双方协商一致，且经杭州大江东产业集聚区政府批准后，可以延长。</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19.1.5 </w:t>
      </w:r>
      <w:r>
        <w:rPr>
          <w:rFonts w:hint="eastAsia"/>
          <w:color w:val="000000" w:themeColor="text1"/>
          <w14:textFill>
            <w14:solidFill>
              <w14:schemeClr w14:val="tx1"/>
            </w14:solidFill>
          </w14:textFill>
        </w:rPr>
        <w:t>可分割性</w:t>
      </w:r>
    </w:p>
    <w:p>
      <w:pPr>
        <w:pStyle w:val="310"/>
        <w:spacing w:line="360" w:lineRule="auto"/>
        <w:ind w:left="643" w:leftChars="306" w:hanging="1"/>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如果本合同中任何条款不合法、无效或不能执行，或者被任何有管辖权的仲裁庭或法院宣布为不合法、无效或不能执行，则其他条款仍然有效和可执行；并且双方应商定对不合法、无效或不能执行的条款进行修改或更换，使之合法、有效并可执行，并且这些修改或更改应尽可能恰如其分地平衡双方之间的利益、权利和义务。</w:t>
      </w:r>
    </w:p>
    <w:p>
      <w:pPr>
        <w:pStyle w:val="4"/>
        <w:rPr>
          <w:color w:val="000000" w:themeColor="text1"/>
          <w14:textFill>
            <w14:solidFill>
              <w14:schemeClr w14:val="tx1"/>
            </w14:solidFill>
          </w14:textFill>
        </w:rPr>
      </w:pPr>
      <w:bookmarkStart w:id="943" w:name="_Toc491857679"/>
      <w:bookmarkStart w:id="944" w:name="_Toc495846081"/>
      <w:bookmarkStart w:id="945" w:name="_Toc496299690"/>
      <w:bookmarkStart w:id="946" w:name="_Toc516399846"/>
      <w:bookmarkStart w:id="947" w:name="_Toc522635622"/>
      <w:r>
        <w:rPr>
          <w:color w:val="000000" w:themeColor="text1"/>
          <w14:textFill>
            <w14:solidFill>
              <w14:schemeClr w14:val="tx1"/>
            </w14:solidFill>
          </w14:textFill>
        </w:rPr>
        <w:t xml:space="preserve">19.2 </w:t>
      </w:r>
      <w:r>
        <w:rPr>
          <w:rFonts w:hint="eastAsia"/>
          <w:color w:val="000000" w:themeColor="text1"/>
          <w14:textFill>
            <w14:solidFill>
              <w14:schemeClr w14:val="tx1"/>
            </w14:solidFill>
          </w14:textFill>
        </w:rPr>
        <w:t>保密</w:t>
      </w:r>
      <w:bookmarkEnd w:id="943"/>
      <w:bookmarkEnd w:id="944"/>
      <w:bookmarkEnd w:id="945"/>
      <w:bookmarkEnd w:id="946"/>
      <w:bookmarkEnd w:id="947"/>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19.2.1 </w:t>
      </w:r>
      <w:r>
        <w:rPr>
          <w:rFonts w:hint="eastAsia"/>
          <w:color w:val="000000" w:themeColor="text1"/>
          <w14:textFill>
            <w14:solidFill>
              <w14:schemeClr w14:val="tx1"/>
            </w14:solidFill>
          </w14:textFill>
        </w:rPr>
        <w:t>各方对本合同及相关文件均负有保密责任，但甲方为充分满足公共监督要求的情况除外。</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19.2.2 </w:t>
      </w:r>
      <w:r>
        <w:rPr>
          <w:rFonts w:hint="eastAsia"/>
          <w:color w:val="000000" w:themeColor="text1"/>
          <w14:textFill>
            <w14:solidFill>
              <w14:schemeClr w14:val="tx1"/>
            </w14:solidFill>
          </w14:textFill>
        </w:rPr>
        <w:t>甲方不得将乙方提供的财务报表和技术资料等内容向第三方公布，但为满足公共监督要求而必须公布的信息除外。各方对本合同及相关文件、资料以及各方在合作过程中知悉的对方商业秘密及政府方不宜公开的信息负保密义务。国家秘密的保密义务依照国家法律、法规的规定执行。</w:t>
      </w:r>
    </w:p>
    <w:p>
      <w:pPr>
        <w:pStyle w:val="4"/>
        <w:rPr>
          <w:color w:val="000000" w:themeColor="text1"/>
          <w14:textFill>
            <w14:solidFill>
              <w14:schemeClr w14:val="tx1"/>
            </w14:solidFill>
          </w14:textFill>
        </w:rPr>
      </w:pPr>
      <w:bookmarkStart w:id="948" w:name="_Toc491857680"/>
      <w:bookmarkStart w:id="949" w:name="_Toc495846082"/>
      <w:bookmarkStart w:id="950" w:name="_Toc496299691"/>
      <w:bookmarkStart w:id="951" w:name="_Toc516399847"/>
      <w:bookmarkStart w:id="952" w:name="_Toc522635623"/>
      <w:r>
        <w:rPr>
          <w:color w:val="000000" w:themeColor="text1"/>
          <w14:textFill>
            <w14:solidFill>
              <w14:schemeClr w14:val="tx1"/>
            </w14:solidFill>
          </w14:textFill>
        </w:rPr>
        <w:t xml:space="preserve">19.3 </w:t>
      </w:r>
      <w:r>
        <w:rPr>
          <w:rFonts w:hint="eastAsia"/>
          <w:color w:val="000000" w:themeColor="text1"/>
          <w14:textFill>
            <w14:solidFill>
              <w14:schemeClr w14:val="tx1"/>
            </w14:solidFill>
          </w14:textFill>
        </w:rPr>
        <w:t>合作义务和预先警告通知</w:t>
      </w:r>
      <w:bookmarkEnd w:id="948"/>
      <w:bookmarkEnd w:id="949"/>
      <w:bookmarkEnd w:id="950"/>
      <w:bookmarkEnd w:id="951"/>
      <w:bookmarkEnd w:id="952"/>
    </w:p>
    <w:p>
      <w:pPr>
        <w:pStyle w:val="310"/>
        <w:spacing w:line="360" w:lineRule="auto"/>
        <w:ind w:left="567" w:leftChars="270"/>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双方应相互合作以达到本合同的目的，并应善意地行使和履行其在本合同项下的权利和义务。在此前提下，双方同意：</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19.3.1 </w:t>
      </w:r>
      <w:r>
        <w:rPr>
          <w:rFonts w:hint="eastAsia"/>
          <w:color w:val="000000" w:themeColor="text1"/>
          <w14:textFill>
            <w14:solidFill>
              <w14:schemeClr w14:val="tx1"/>
            </w14:solidFill>
          </w14:textFill>
        </w:rPr>
        <w:t>当一方要求取得另一方的同意或批准时，被要求方不可以无理拒绝或迟延给予该等同意或批准；并且</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19.3.2 </w:t>
      </w:r>
      <w:r>
        <w:rPr>
          <w:rFonts w:hint="eastAsia"/>
          <w:color w:val="000000" w:themeColor="text1"/>
          <w14:textFill>
            <w14:solidFill>
              <w14:schemeClr w14:val="tx1"/>
            </w14:solidFill>
          </w14:textFill>
        </w:rPr>
        <w:t>如果任何一方获悉任何以下事件或情形：</w:t>
      </w:r>
    </w:p>
    <w:p>
      <w:pPr>
        <w:pStyle w:val="310"/>
        <w:numPr>
          <w:ilvl w:val="0"/>
          <w:numId w:val="103"/>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合理地预计该事件或情形将对任何一方履行其本合同项下的义务或实施项目的能力造成重大不利影响；并且</w:t>
      </w:r>
    </w:p>
    <w:p>
      <w:pPr>
        <w:pStyle w:val="310"/>
        <w:numPr>
          <w:ilvl w:val="0"/>
          <w:numId w:val="103"/>
        </w:numPr>
        <w:spacing w:line="360" w:lineRule="auto"/>
        <w:ind w:left="1134" w:hanging="56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合理地预计另一方不能获悉该事件或情形；</w:t>
      </w:r>
    </w:p>
    <w:p>
      <w:pPr>
        <w:pStyle w:val="310"/>
        <w:spacing w:line="360" w:lineRule="auto"/>
        <w:ind w:left="567" w:leftChars="270"/>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该一般事件或情形该方应在三个工作日内书面通知另一方；紧急事件、重大事件或其他严重情形应在一个工作日内书面通知另一方。</w:t>
      </w:r>
    </w:p>
    <w:p>
      <w:pPr>
        <w:pStyle w:val="4"/>
        <w:rPr>
          <w:color w:val="000000" w:themeColor="text1"/>
          <w14:textFill>
            <w14:solidFill>
              <w14:schemeClr w14:val="tx1"/>
            </w14:solidFill>
          </w14:textFill>
        </w:rPr>
      </w:pPr>
      <w:bookmarkStart w:id="953" w:name="_Toc491857681"/>
      <w:bookmarkStart w:id="954" w:name="_Toc495846083"/>
      <w:bookmarkStart w:id="955" w:name="_Toc496299692"/>
      <w:bookmarkStart w:id="956" w:name="_Toc516399848"/>
      <w:bookmarkStart w:id="957" w:name="_Toc522635624"/>
      <w:r>
        <w:rPr>
          <w:color w:val="000000" w:themeColor="text1"/>
          <w14:textFill>
            <w14:solidFill>
              <w14:schemeClr w14:val="tx1"/>
            </w14:solidFill>
          </w14:textFill>
        </w:rPr>
        <w:t xml:space="preserve">19.4 </w:t>
      </w:r>
      <w:r>
        <w:rPr>
          <w:rFonts w:hint="eastAsia"/>
          <w:color w:val="000000" w:themeColor="text1"/>
          <w14:textFill>
            <w14:solidFill>
              <w14:schemeClr w14:val="tx1"/>
            </w14:solidFill>
          </w14:textFill>
        </w:rPr>
        <w:t>通知</w:t>
      </w:r>
      <w:bookmarkEnd w:id="953"/>
      <w:bookmarkEnd w:id="954"/>
      <w:bookmarkEnd w:id="955"/>
      <w:bookmarkEnd w:id="956"/>
      <w:bookmarkEnd w:id="957"/>
      <w:r>
        <w:rPr>
          <w:color w:val="000000" w:themeColor="text1"/>
          <w14:textFill>
            <w14:solidFill>
              <w14:schemeClr w14:val="tx1"/>
            </w14:solidFill>
          </w14:textFill>
        </w:rPr>
        <w:t xml:space="preserve"> </w:t>
      </w:r>
    </w:p>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19.4.1 </w:t>
      </w:r>
      <w:r>
        <w:rPr>
          <w:rFonts w:hint="eastAsia"/>
          <w:color w:val="000000" w:themeColor="text1"/>
          <w14:textFill>
            <w14:solidFill>
              <w14:schemeClr w14:val="tx1"/>
            </w14:solidFill>
          </w14:textFill>
        </w:rPr>
        <w:t>地址</w:t>
      </w:r>
    </w:p>
    <w:p>
      <w:pPr>
        <w:pStyle w:val="310"/>
        <w:spacing w:line="360" w:lineRule="auto"/>
        <w:ind w:left="642" w:leftChars="300" w:hanging="12" w:hangingChars="6"/>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本合同项下的通知、同意或其他通讯联系必须以中文书写，并通过专人递交、公认的国际快递、挂号或传真按下述地址，或各方通知的其他地址或传真号码。</w:t>
      </w:r>
    </w:p>
    <w:tbl>
      <w:tblPr>
        <w:tblStyle w:val="57"/>
        <w:tblW w:w="8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827"/>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93" w:type="dxa"/>
            <w:vAlign w:val="center"/>
          </w:tcPr>
          <w:p>
            <w:pPr>
              <w:pStyle w:val="310"/>
              <w:jc w:val="center"/>
              <w:rPr>
                <w:rFonts w:ascii="Times New Roman" w:eastAsia="宋体" w:cs="Times New Roman"/>
                <w:color w:val="000000" w:themeColor="text1"/>
                <w:sz w:val="21"/>
                <w:szCs w:val="21"/>
                <w14:textFill>
                  <w14:solidFill>
                    <w14:schemeClr w14:val="tx1"/>
                  </w14:solidFill>
                </w14:textFill>
              </w:rPr>
            </w:pPr>
          </w:p>
        </w:tc>
        <w:tc>
          <w:tcPr>
            <w:tcW w:w="3827" w:type="dxa"/>
            <w:vAlign w:val="center"/>
          </w:tcPr>
          <w:p>
            <w:pPr>
              <w:pStyle w:val="310"/>
              <w:jc w:val="center"/>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w:t>
            </w:r>
          </w:p>
        </w:tc>
        <w:tc>
          <w:tcPr>
            <w:tcW w:w="3969" w:type="dxa"/>
            <w:vAlign w:val="center"/>
          </w:tcPr>
          <w:p>
            <w:pPr>
              <w:pStyle w:val="310"/>
              <w:jc w:val="center"/>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93" w:type="dxa"/>
            <w:vAlign w:val="center"/>
          </w:tcPr>
          <w:p>
            <w:pPr>
              <w:pStyle w:val="310"/>
              <w:jc w:val="center"/>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地址</w:t>
            </w:r>
          </w:p>
        </w:tc>
        <w:tc>
          <w:tcPr>
            <w:tcW w:w="3827" w:type="dxa"/>
            <w:vAlign w:val="center"/>
          </w:tcPr>
          <w:p>
            <w:pPr>
              <w:pStyle w:val="310"/>
              <w:jc w:val="center"/>
              <w:rPr>
                <w:rFonts w:ascii="Times New Roman" w:eastAsia="宋体" w:cs="Times New Roman"/>
                <w:color w:val="000000" w:themeColor="text1"/>
                <w:sz w:val="21"/>
                <w:szCs w:val="21"/>
                <w14:textFill>
                  <w14:solidFill>
                    <w14:schemeClr w14:val="tx1"/>
                  </w14:solidFill>
                </w14:textFill>
              </w:rPr>
            </w:pPr>
          </w:p>
        </w:tc>
        <w:tc>
          <w:tcPr>
            <w:tcW w:w="3969" w:type="dxa"/>
            <w:vAlign w:val="center"/>
          </w:tcPr>
          <w:p>
            <w:pPr>
              <w:pStyle w:val="310"/>
              <w:jc w:val="center"/>
              <w:rPr>
                <w:rFonts w:asci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93" w:type="dxa"/>
            <w:vAlign w:val="center"/>
          </w:tcPr>
          <w:p>
            <w:pPr>
              <w:pStyle w:val="310"/>
              <w:jc w:val="center"/>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收件人</w:t>
            </w:r>
          </w:p>
        </w:tc>
        <w:tc>
          <w:tcPr>
            <w:tcW w:w="3827" w:type="dxa"/>
            <w:vAlign w:val="center"/>
          </w:tcPr>
          <w:p>
            <w:pPr>
              <w:pStyle w:val="310"/>
              <w:jc w:val="center"/>
              <w:rPr>
                <w:rFonts w:ascii="Times New Roman" w:eastAsia="宋体" w:cs="Times New Roman"/>
                <w:color w:val="000000" w:themeColor="text1"/>
                <w:sz w:val="21"/>
                <w:szCs w:val="21"/>
                <w14:textFill>
                  <w14:solidFill>
                    <w14:schemeClr w14:val="tx1"/>
                  </w14:solidFill>
                </w14:textFill>
              </w:rPr>
            </w:pPr>
          </w:p>
        </w:tc>
        <w:tc>
          <w:tcPr>
            <w:tcW w:w="3969" w:type="dxa"/>
            <w:vAlign w:val="center"/>
          </w:tcPr>
          <w:p>
            <w:pPr>
              <w:pStyle w:val="310"/>
              <w:jc w:val="center"/>
              <w:rPr>
                <w:rFonts w:asci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93" w:type="dxa"/>
            <w:vAlign w:val="center"/>
          </w:tcPr>
          <w:p>
            <w:pPr>
              <w:pStyle w:val="310"/>
              <w:jc w:val="center"/>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电话</w:t>
            </w:r>
          </w:p>
        </w:tc>
        <w:tc>
          <w:tcPr>
            <w:tcW w:w="3827" w:type="dxa"/>
            <w:vAlign w:val="center"/>
          </w:tcPr>
          <w:p>
            <w:pPr>
              <w:pStyle w:val="310"/>
              <w:jc w:val="center"/>
              <w:rPr>
                <w:rFonts w:ascii="Times New Roman" w:eastAsia="宋体" w:cs="Times New Roman"/>
                <w:color w:val="000000" w:themeColor="text1"/>
                <w:sz w:val="21"/>
                <w:szCs w:val="21"/>
                <w14:textFill>
                  <w14:solidFill>
                    <w14:schemeClr w14:val="tx1"/>
                  </w14:solidFill>
                </w14:textFill>
              </w:rPr>
            </w:pPr>
          </w:p>
        </w:tc>
        <w:tc>
          <w:tcPr>
            <w:tcW w:w="3969" w:type="dxa"/>
            <w:vAlign w:val="center"/>
          </w:tcPr>
          <w:p>
            <w:pPr>
              <w:pStyle w:val="310"/>
              <w:jc w:val="center"/>
              <w:rPr>
                <w:rFonts w:asci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93" w:type="dxa"/>
            <w:vAlign w:val="center"/>
          </w:tcPr>
          <w:p>
            <w:pPr>
              <w:pStyle w:val="310"/>
              <w:jc w:val="center"/>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传真</w:t>
            </w:r>
          </w:p>
        </w:tc>
        <w:tc>
          <w:tcPr>
            <w:tcW w:w="3827" w:type="dxa"/>
            <w:vAlign w:val="center"/>
          </w:tcPr>
          <w:p>
            <w:pPr>
              <w:pStyle w:val="310"/>
              <w:jc w:val="center"/>
              <w:rPr>
                <w:rFonts w:ascii="Times New Roman" w:eastAsia="宋体" w:cs="Times New Roman"/>
                <w:color w:val="000000" w:themeColor="text1"/>
                <w:sz w:val="21"/>
                <w:szCs w:val="21"/>
                <w14:textFill>
                  <w14:solidFill>
                    <w14:schemeClr w14:val="tx1"/>
                  </w14:solidFill>
                </w14:textFill>
              </w:rPr>
            </w:pPr>
          </w:p>
        </w:tc>
        <w:tc>
          <w:tcPr>
            <w:tcW w:w="3969" w:type="dxa"/>
            <w:vAlign w:val="center"/>
          </w:tcPr>
          <w:p>
            <w:pPr>
              <w:pStyle w:val="310"/>
              <w:jc w:val="center"/>
              <w:rPr>
                <w:rFonts w:ascii="Times New Roman" w:eastAsia="宋体" w:cs="Times New Roman"/>
                <w:color w:val="000000" w:themeColor="text1"/>
                <w:sz w:val="21"/>
                <w:szCs w:val="21"/>
                <w14:textFill>
                  <w14:solidFill>
                    <w14:schemeClr w14:val="tx1"/>
                  </w14:solidFill>
                </w14:textFill>
              </w:rPr>
            </w:pP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 xml:space="preserve">19.4.2 </w:t>
      </w:r>
      <w:r>
        <w:rPr>
          <w:rFonts w:hint="eastAsia"/>
          <w:color w:val="000000" w:themeColor="text1"/>
          <w14:textFill>
            <w14:solidFill>
              <w14:schemeClr w14:val="tx1"/>
            </w14:solidFill>
          </w14:textFill>
        </w:rPr>
        <w:t>地址改变的及时通知</w:t>
      </w:r>
    </w:p>
    <w:p>
      <w:pPr>
        <w:pStyle w:val="310"/>
        <w:spacing w:line="360" w:lineRule="auto"/>
        <w:ind w:left="642" w:leftChars="300" w:hanging="12" w:hangingChars="6"/>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如果甲方或乙方更改第</w:t>
      </w:r>
      <w:r>
        <w:rPr>
          <w:rFonts w:ascii="Times New Roman" w:eastAsia="宋体" w:cs="Times New Roman"/>
          <w:color w:val="000000" w:themeColor="text1"/>
          <w:sz w:val="21"/>
          <w:szCs w:val="21"/>
          <w14:textFill>
            <w14:solidFill>
              <w14:schemeClr w14:val="tx1"/>
            </w14:solidFill>
          </w14:textFill>
        </w:rPr>
        <w:t>19.4.1</w:t>
      </w:r>
      <w:r>
        <w:rPr>
          <w:rFonts w:hint="eastAsia" w:ascii="Times New Roman" w:eastAsia="宋体" w:cs="Times New Roman"/>
          <w:color w:val="000000" w:themeColor="text1"/>
          <w:sz w:val="21"/>
          <w:szCs w:val="21"/>
          <w14:textFill>
            <w14:solidFill>
              <w14:schemeClr w14:val="tx1"/>
            </w14:solidFill>
          </w14:textFill>
        </w:rPr>
        <w:t>条款所述的任何具体内容，更改方必须在新的内容启用前以书面形式通知对方，否则寄送以上地址即视为送达成功。</w:t>
      </w:r>
    </w:p>
    <w:p>
      <w:pPr>
        <w:pStyle w:val="4"/>
        <w:rPr>
          <w:color w:val="000000" w:themeColor="text1"/>
          <w14:textFill>
            <w14:solidFill>
              <w14:schemeClr w14:val="tx1"/>
            </w14:solidFill>
          </w14:textFill>
        </w:rPr>
      </w:pPr>
      <w:bookmarkStart w:id="958" w:name="_Toc491857682"/>
      <w:bookmarkStart w:id="959" w:name="_Toc495846084"/>
      <w:bookmarkStart w:id="960" w:name="_Toc496299693"/>
      <w:bookmarkStart w:id="961" w:name="_Toc516399849"/>
      <w:bookmarkStart w:id="962" w:name="_Toc522635625"/>
      <w:r>
        <w:rPr>
          <w:color w:val="000000" w:themeColor="text1"/>
          <w14:textFill>
            <w14:solidFill>
              <w14:schemeClr w14:val="tx1"/>
            </w14:solidFill>
          </w14:textFill>
        </w:rPr>
        <w:t xml:space="preserve">19.5 </w:t>
      </w:r>
      <w:r>
        <w:rPr>
          <w:rFonts w:hint="eastAsia"/>
          <w:color w:val="000000" w:themeColor="text1"/>
          <w14:textFill>
            <w14:solidFill>
              <w14:schemeClr w14:val="tx1"/>
            </w14:solidFill>
          </w14:textFill>
        </w:rPr>
        <w:t>协议文字和文本</w:t>
      </w:r>
      <w:bookmarkEnd w:id="958"/>
      <w:bookmarkEnd w:id="959"/>
      <w:bookmarkEnd w:id="960"/>
      <w:bookmarkEnd w:id="961"/>
      <w:bookmarkEnd w:id="962"/>
    </w:p>
    <w:p>
      <w:pPr>
        <w:pStyle w:val="310"/>
        <w:spacing w:line="360" w:lineRule="auto"/>
        <w:ind w:left="642" w:leftChars="300" w:hanging="12" w:hangingChars="6"/>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本合同以中文订立，一式拾贰份。甲乙双方各执陆份。</w:t>
      </w:r>
    </w:p>
    <w:p>
      <w:pPr>
        <w:pStyle w:val="4"/>
        <w:rPr>
          <w:color w:val="000000" w:themeColor="text1"/>
          <w14:textFill>
            <w14:solidFill>
              <w14:schemeClr w14:val="tx1"/>
            </w14:solidFill>
          </w14:textFill>
        </w:rPr>
      </w:pPr>
      <w:bookmarkStart w:id="963" w:name="_Toc516399850"/>
      <w:bookmarkStart w:id="964" w:name="_Toc522635626"/>
      <w:bookmarkStart w:id="965" w:name="_Toc491857684"/>
      <w:bookmarkStart w:id="966" w:name="_Toc495846086"/>
      <w:bookmarkStart w:id="967" w:name="_Toc496299695"/>
      <w:bookmarkStart w:id="968" w:name="_Toc496300022"/>
      <w:r>
        <w:rPr>
          <w:color w:val="000000" w:themeColor="text1"/>
          <w14:textFill>
            <w14:solidFill>
              <w14:schemeClr w14:val="tx1"/>
            </w14:solidFill>
          </w14:textFill>
        </w:rPr>
        <w:t xml:space="preserve">19.6 </w:t>
      </w:r>
      <w:r>
        <w:rPr>
          <w:rFonts w:hint="eastAsia"/>
          <w:color w:val="000000" w:themeColor="text1"/>
          <w14:textFill>
            <w14:solidFill>
              <w14:schemeClr w14:val="tx1"/>
            </w14:solidFill>
          </w14:textFill>
        </w:rPr>
        <w:t>生效</w:t>
      </w:r>
      <w:bookmarkEnd w:id="963"/>
      <w:bookmarkEnd w:id="964"/>
      <w:r>
        <w:rPr>
          <w:color w:val="000000" w:themeColor="text1"/>
          <w14:textFill>
            <w14:solidFill>
              <w14:schemeClr w14:val="tx1"/>
            </w14:solidFill>
          </w14:textFill>
        </w:rPr>
        <w:t xml:space="preserve"> </w:t>
      </w:r>
    </w:p>
    <w:p>
      <w:pPr>
        <w:pStyle w:val="310"/>
        <w:spacing w:line="360" w:lineRule="auto"/>
        <w:ind w:left="642" w:leftChars="300" w:hanging="12" w:hangingChars="6"/>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本合同自双方法定代表人或各自正式授权的代表正式签署并加盖公章并经杭州大江东产业集聚区管理委员会批准之日起开始生效。</w:t>
      </w:r>
    </w:p>
    <w:p>
      <w:pPr>
        <w:pStyle w:val="310"/>
        <w:spacing w:line="360" w:lineRule="auto"/>
        <w:rPr>
          <w:rFonts w:ascii="Times New Roman" w:eastAsia="宋体" w:cs="Times New Roman"/>
          <w:color w:val="000000" w:themeColor="text1"/>
          <w:sz w:val="21"/>
          <w:szCs w:val="21"/>
          <w14:textFill>
            <w14:solidFill>
              <w14:schemeClr w14:val="tx1"/>
            </w14:solidFill>
          </w14:textFill>
        </w:rPr>
      </w:pPr>
    </w:p>
    <w:p>
      <w:pPr>
        <w:widowControl/>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br w:type="page"/>
      </w:r>
    </w:p>
    <w:p>
      <w:pPr>
        <w:widowControl/>
        <w:jc w:val="left"/>
        <w:rPr>
          <w:rFonts w:ascii="Times New Roman" w:hAnsi="Times New Roman"/>
          <w:color w:val="000000" w:themeColor="text1"/>
          <w:kern w:val="0"/>
          <w:szCs w:val="21"/>
          <w14:textFill>
            <w14:solidFill>
              <w14:schemeClr w14:val="tx1"/>
            </w14:solidFill>
          </w14:textFill>
        </w:rPr>
      </w:pPr>
    </w:p>
    <w:p>
      <w:pPr>
        <w:pStyle w:val="310"/>
        <w:spacing w:line="360" w:lineRule="auto"/>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（此页无正文，为签字页）</w:t>
      </w:r>
      <w:r>
        <w:rPr>
          <w:rFonts w:ascii="Times New Roman" w:eastAsia="宋体" w:cs="Times New Roman"/>
          <w:color w:val="000000" w:themeColor="text1"/>
          <w:sz w:val="21"/>
          <w:szCs w:val="21"/>
          <w14:textFill>
            <w14:solidFill>
              <w14:schemeClr w14:val="tx1"/>
            </w14:solidFill>
          </w14:textFill>
        </w:rPr>
        <w:t xml:space="preserve"> </w:t>
      </w:r>
    </w:p>
    <w:p>
      <w:pPr>
        <w:pStyle w:val="310"/>
        <w:spacing w:line="360" w:lineRule="auto"/>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 xml:space="preserve"> </w:t>
      </w:r>
    </w:p>
    <w:p>
      <w:pPr>
        <w:pStyle w:val="310"/>
        <w:spacing w:line="360" w:lineRule="auto"/>
        <w:rPr>
          <w:rFonts w:ascii="Times New Roman" w:eastAsia="宋体" w:cs="Times New Roman"/>
          <w:color w:val="000000" w:themeColor="text1"/>
          <w:sz w:val="21"/>
          <w:szCs w:val="21"/>
          <w14:textFill>
            <w14:solidFill>
              <w14:schemeClr w14:val="tx1"/>
            </w14:solidFill>
          </w14:textFill>
        </w:rPr>
      </w:pPr>
    </w:p>
    <w:p>
      <w:pPr>
        <w:pStyle w:val="310"/>
        <w:spacing w:line="360" w:lineRule="auto"/>
        <w:rPr>
          <w:rFonts w:ascii="Times New Roman" w:eastAsia="宋体" w:cs="Times New Roman"/>
          <w:color w:val="000000" w:themeColor="text1"/>
          <w:sz w:val="21"/>
          <w:szCs w:val="21"/>
          <w14:textFill>
            <w14:solidFill>
              <w14:schemeClr w14:val="tx1"/>
            </w14:solidFill>
          </w14:textFill>
        </w:rPr>
      </w:pPr>
    </w:p>
    <w:p>
      <w:pPr>
        <w:pStyle w:val="310"/>
        <w:spacing w:line="360" w:lineRule="auto"/>
        <w:rPr>
          <w:rFonts w:ascii="Times New Roman" w:eastAsia="宋体" w:cs="Times New Roman"/>
          <w:color w:val="000000" w:themeColor="text1"/>
          <w:sz w:val="21"/>
          <w:szCs w:val="21"/>
          <w14:textFill>
            <w14:solidFill>
              <w14:schemeClr w14:val="tx1"/>
            </w14:solidFill>
          </w14:textFill>
        </w:rPr>
      </w:pPr>
    </w:p>
    <w:p>
      <w:pPr>
        <w:pStyle w:val="310"/>
        <w:spacing w:line="360" w:lineRule="auto"/>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 xml:space="preserve"> </w:t>
      </w:r>
    </w:p>
    <w:tbl>
      <w:tblPr>
        <w:tblStyle w:val="57"/>
        <w:tblW w:w="9062" w:type="dxa"/>
        <w:tblInd w:w="0" w:type="dxa"/>
        <w:tblLayout w:type="fixed"/>
        <w:tblCellMar>
          <w:top w:w="0" w:type="dxa"/>
          <w:left w:w="108" w:type="dxa"/>
          <w:bottom w:w="0" w:type="dxa"/>
          <w:right w:w="108" w:type="dxa"/>
        </w:tblCellMar>
      </w:tblPr>
      <w:tblGrid>
        <w:gridCol w:w="4602"/>
        <w:gridCol w:w="4460"/>
      </w:tblGrid>
      <w:tr>
        <w:tblPrEx>
          <w:tblLayout w:type="fixed"/>
          <w:tblCellMar>
            <w:top w:w="0" w:type="dxa"/>
            <w:left w:w="108" w:type="dxa"/>
            <w:bottom w:w="0" w:type="dxa"/>
            <w:right w:w="108" w:type="dxa"/>
          </w:tblCellMar>
        </w:tblPrEx>
        <w:trPr>
          <w:trHeight w:val="1795" w:hRule="atLeast"/>
        </w:trPr>
        <w:tc>
          <w:tcPr>
            <w:tcW w:w="4602" w:type="dxa"/>
          </w:tcPr>
          <w:p>
            <w:pPr>
              <w:pStyle w:val="310"/>
              <w:spacing w:line="360" w:lineRule="auto"/>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甲方：杭州大江东产业集聚区公路管理所（公章）</w:t>
            </w:r>
          </w:p>
          <w:p>
            <w:pPr>
              <w:pStyle w:val="310"/>
              <w:spacing w:line="360" w:lineRule="auto"/>
              <w:jc w:val="both"/>
              <w:rPr>
                <w:rFonts w:ascii="Times New Roman" w:eastAsia="宋体" w:cs="Times New Roman"/>
                <w:color w:val="000000" w:themeColor="text1"/>
                <w:sz w:val="21"/>
                <w:szCs w:val="21"/>
                <w14:textFill>
                  <w14:solidFill>
                    <w14:schemeClr w14:val="tx1"/>
                  </w14:solidFill>
                </w14:textFill>
              </w:rPr>
            </w:pPr>
          </w:p>
          <w:p>
            <w:pPr>
              <w:pStyle w:val="310"/>
              <w:spacing w:line="360" w:lineRule="auto"/>
              <w:jc w:val="both"/>
              <w:rPr>
                <w:rFonts w:ascii="Times New Roman" w:eastAsia="宋体" w:cs="Times New Roman"/>
                <w:color w:val="000000" w:themeColor="text1"/>
                <w:sz w:val="21"/>
                <w:szCs w:val="21"/>
                <w14:textFill>
                  <w14:solidFill>
                    <w14:schemeClr w14:val="tx1"/>
                  </w14:solidFill>
                </w14:textFill>
              </w:rPr>
            </w:pPr>
          </w:p>
          <w:p>
            <w:pPr>
              <w:pStyle w:val="310"/>
              <w:spacing w:line="360" w:lineRule="auto"/>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法定代表人</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授权代表（签名）</w:t>
            </w:r>
          </w:p>
        </w:tc>
        <w:tc>
          <w:tcPr>
            <w:tcW w:w="4460" w:type="dxa"/>
          </w:tcPr>
          <w:p>
            <w:pPr>
              <w:pStyle w:val="310"/>
              <w:spacing w:line="360" w:lineRule="auto"/>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乙方（联合体牵头人）：</w:t>
            </w:r>
            <w:r>
              <w:rPr>
                <w:rFonts w:ascii="Times New Roman" w:eastAsia="宋体" w:cs="Times New Roman"/>
                <w:color w:val="000000" w:themeColor="text1"/>
                <w:sz w:val="21"/>
                <w:szCs w:val="21"/>
                <w14:textFill>
                  <w14:solidFill>
                    <w14:schemeClr w14:val="tx1"/>
                  </w14:solidFill>
                </w14:textFill>
              </w:rPr>
              <w:t xml:space="preserve"> </w:t>
            </w:r>
          </w:p>
          <w:p>
            <w:pPr>
              <w:pStyle w:val="310"/>
              <w:spacing w:line="360" w:lineRule="auto"/>
              <w:jc w:val="both"/>
              <w:rPr>
                <w:rFonts w:ascii="Times New Roman" w:eastAsia="宋体" w:cs="Times New Roman"/>
                <w:color w:val="000000" w:themeColor="text1"/>
                <w:sz w:val="21"/>
                <w:szCs w:val="21"/>
                <w14:textFill>
                  <w14:solidFill>
                    <w14:schemeClr w14:val="tx1"/>
                  </w14:solidFill>
                </w14:textFill>
              </w:rPr>
            </w:pPr>
          </w:p>
          <w:p>
            <w:pPr>
              <w:pStyle w:val="310"/>
              <w:spacing w:line="360" w:lineRule="auto"/>
              <w:jc w:val="both"/>
              <w:rPr>
                <w:rFonts w:ascii="Times New Roman" w:eastAsia="宋体" w:cs="Times New Roman"/>
                <w:color w:val="000000" w:themeColor="text1"/>
                <w:sz w:val="21"/>
                <w:szCs w:val="21"/>
                <w14:textFill>
                  <w14:solidFill>
                    <w14:schemeClr w14:val="tx1"/>
                  </w14:solidFill>
                </w14:textFill>
              </w:rPr>
            </w:pPr>
          </w:p>
          <w:p>
            <w:pPr>
              <w:pStyle w:val="310"/>
              <w:spacing w:line="360" w:lineRule="auto"/>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法定代表人</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授权代表（签名）</w:t>
            </w:r>
          </w:p>
          <w:p>
            <w:pPr>
              <w:pStyle w:val="310"/>
              <w:spacing w:line="360" w:lineRule="auto"/>
              <w:jc w:val="both"/>
              <w:rPr>
                <w:rFonts w:ascii="Times New Roman" w:eastAsia="宋体" w:cs="Times New Roman"/>
                <w:color w:val="000000" w:themeColor="text1"/>
                <w:sz w:val="21"/>
                <w:szCs w:val="21"/>
                <w14:textFill>
                  <w14:solidFill>
                    <w14:schemeClr w14:val="tx1"/>
                  </w14:solidFill>
                </w14:textFill>
              </w:rPr>
            </w:pPr>
          </w:p>
          <w:p>
            <w:pPr>
              <w:pStyle w:val="310"/>
              <w:spacing w:line="360" w:lineRule="auto"/>
              <w:jc w:val="both"/>
              <w:rPr>
                <w:rFonts w:ascii="Times New Roman" w:eastAsia="宋体" w:cs="Times New Roman"/>
                <w:color w:val="000000" w:themeColor="text1"/>
                <w:sz w:val="21"/>
                <w:szCs w:val="21"/>
                <w14:textFill>
                  <w14:solidFill>
                    <w14:schemeClr w14:val="tx1"/>
                  </w14:solidFill>
                </w14:textFill>
              </w:rPr>
            </w:pPr>
          </w:p>
          <w:p>
            <w:pPr>
              <w:pStyle w:val="310"/>
              <w:spacing w:line="360" w:lineRule="auto"/>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乙方（联合体成员）：（公章）</w:t>
            </w:r>
          </w:p>
          <w:p>
            <w:pPr>
              <w:pStyle w:val="310"/>
              <w:spacing w:line="360" w:lineRule="auto"/>
              <w:jc w:val="both"/>
              <w:rPr>
                <w:rFonts w:ascii="Times New Roman" w:eastAsia="宋体" w:cs="Times New Roman"/>
                <w:color w:val="000000" w:themeColor="text1"/>
                <w:sz w:val="21"/>
                <w:szCs w:val="21"/>
                <w14:textFill>
                  <w14:solidFill>
                    <w14:schemeClr w14:val="tx1"/>
                  </w14:solidFill>
                </w14:textFill>
              </w:rPr>
            </w:pPr>
          </w:p>
          <w:p>
            <w:pPr>
              <w:pStyle w:val="310"/>
              <w:spacing w:line="360" w:lineRule="auto"/>
              <w:jc w:val="both"/>
              <w:rPr>
                <w:rFonts w:asci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1888" w:hRule="atLeast"/>
        </w:trPr>
        <w:tc>
          <w:tcPr>
            <w:tcW w:w="4602" w:type="dxa"/>
          </w:tcPr>
          <w:p>
            <w:pPr>
              <w:pStyle w:val="310"/>
              <w:spacing w:line="360" w:lineRule="auto"/>
              <w:jc w:val="both"/>
              <w:rPr>
                <w:rFonts w:ascii="Times New Roman" w:eastAsia="宋体" w:cs="Times New Roman"/>
                <w:color w:val="000000" w:themeColor="text1"/>
                <w:sz w:val="21"/>
                <w:szCs w:val="21"/>
                <w14:textFill>
                  <w14:solidFill>
                    <w14:schemeClr w14:val="tx1"/>
                  </w14:solidFill>
                </w14:textFill>
              </w:rPr>
            </w:pPr>
          </w:p>
        </w:tc>
        <w:tc>
          <w:tcPr>
            <w:tcW w:w="4460" w:type="dxa"/>
          </w:tcPr>
          <w:p>
            <w:pPr>
              <w:pStyle w:val="310"/>
              <w:spacing w:line="360" w:lineRule="auto"/>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法定代表人</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授权代表（签名）</w:t>
            </w:r>
            <w:r>
              <w:rPr>
                <w:rFonts w:ascii="Times New Roman" w:eastAsia="宋体" w:cs="Times New Roman"/>
                <w:color w:val="000000" w:themeColor="text1"/>
                <w:sz w:val="21"/>
                <w:szCs w:val="21"/>
                <w14:textFill>
                  <w14:solidFill>
                    <w14:schemeClr w14:val="tx1"/>
                  </w14:solidFill>
                </w14:textFill>
              </w:rPr>
              <w:t xml:space="preserve"> </w:t>
            </w:r>
          </w:p>
        </w:tc>
      </w:tr>
      <w:tr>
        <w:tblPrEx>
          <w:tblLayout w:type="fixed"/>
          <w:tblCellMar>
            <w:top w:w="0" w:type="dxa"/>
            <w:left w:w="108" w:type="dxa"/>
            <w:bottom w:w="0" w:type="dxa"/>
            <w:right w:w="108" w:type="dxa"/>
          </w:tblCellMar>
        </w:tblPrEx>
        <w:trPr>
          <w:trHeight w:val="715" w:hRule="atLeast"/>
        </w:trPr>
        <w:tc>
          <w:tcPr>
            <w:tcW w:w="4602" w:type="dxa"/>
            <w:vAlign w:val="center"/>
          </w:tcPr>
          <w:p>
            <w:pPr>
              <w:pStyle w:val="31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签署日期：</w:t>
            </w: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年</w:t>
            </w: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月</w:t>
            </w: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日</w:t>
            </w:r>
          </w:p>
        </w:tc>
        <w:tc>
          <w:tcPr>
            <w:tcW w:w="4460" w:type="dxa"/>
            <w:vAlign w:val="center"/>
          </w:tcPr>
          <w:p>
            <w:pPr>
              <w:pStyle w:val="31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签署日期：</w:t>
            </w: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年</w:t>
            </w: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月</w:t>
            </w:r>
            <w:r>
              <w:rPr>
                <w:rFonts w:ascii="Times New Roman" w:eastAsia="宋体" w:cs="Times New Roman"/>
                <w:color w:val="000000" w:themeColor="text1"/>
                <w:sz w:val="21"/>
                <w:szCs w:val="21"/>
                <w14:textFill>
                  <w14:solidFill>
                    <w14:schemeClr w14:val="tx1"/>
                  </w14:solidFill>
                </w14:textFill>
              </w:rPr>
              <w:t xml:space="preserve">   </w:t>
            </w:r>
            <w:r>
              <w:rPr>
                <w:rFonts w:hint="eastAsia" w:ascii="Times New Roman" w:eastAsia="宋体" w:cs="Times New Roman"/>
                <w:color w:val="000000" w:themeColor="text1"/>
                <w:sz w:val="21"/>
                <w:szCs w:val="21"/>
                <w14:textFill>
                  <w14:solidFill>
                    <w14:schemeClr w14:val="tx1"/>
                  </w14:solidFill>
                </w14:textFill>
              </w:rPr>
              <w:t>日</w:t>
            </w:r>
          </w:p>
        </w:tc>
      </w:tr>
    </w:tbl>
    <w:p>
      <w:pPr>
        <w:pStyle w:val="310"/>
        <w:spacing w:line="360" w:lineRule="auto"/>
        <w:rPr>
          <w:rFonts w:ascii="Times New Roman" w:eastAsia="宋体" w:cs="Times New Roman"/>
          <w:color w:val="000000" w:themeColor="text1"/>
          <w:sz w:val="21"/>
          <w:szCs w:val="21"/>
          <w14:textFill>
            <w14:solidFill>
              <w14:schemeClr w14:val="tx1"/>
            </w14:solidFill>
          </w14:textFill>
        </w:rPr>
      </w:pPr>
    </w:p>
    <w:p>
      <w:pPr>
        <w:pStyle w:val="310"/>
        <w:spacing w:line="360" w:lineRule="auto"/>
        <w:rPr>
          <w:rFonts w:ascii="Times New Roman" w:eastAsia="宋体" w:cs="Times New Roman"/>
          <w:color w:val="000000" w:themeColor="text1"/>
          <w:sz w:val="21"/>
          <w:szCs w:val="21"/>
          <w14:textFill>
            <w14:solidFill>
              <w14:schemeClr w14:val="tx1"/>
            </w14:solidFill>
          </w14:textFill>
        </w:rPr>
      </w:pPr>
    </w:p>
    <w:p>
      <w:pPr>
        <w:pStyle w:val="310"/>
        <w:spacing w:line="360" w:lineRule="auto"/>
        <w:rPr>
          <w:rFonts w:ascii="Times New Roman" w:eastAsia="宋体" w:cs="Times New Roman"/>
          <w:color w:val="000000" w:themeColor="text1"/>
          <w:sz w:val="20"/>
          <w:szCs w:val="21"/>
          <w14:textFill>
            <w14:solidFill>
              <w14:schemeClr w14:val="tx1"/>
            </w14:solidFill>
          </w14:textFill>
        </w:rPr>
      </w:pPr>
      <w:r>
        <w:rPr>
          <w:rFonts w:hint="eastAsia" w:ascii="Times New Roman" w:eastAsia="宋体" w:cs="Times New Roman"/>
          <w:color w:val="000000" w:themeColor="text1"/>
          <w:sz w:val="22"/>
          <w:szCs w:val="21"/>
          <w14:textFill>
            <w14:solidFill>
              <w14:schemeClr w14:val="tx1"/>
            </w14:solidFill>
          </w14:textFill>
        </w:rPr>
        <w:t>签约地点：浙江省杭州市</w:t>
      </w:r>
    </w:p>
    <w:p>
      <w:pPr>
        <w:widowControl/>
        <w:jc w:val="left"/>
        <w:rPr>
          <w:rFonts w:ascii="Times New Roman" w:hAnsi="Times New Roman"/>
          <w:color w:val="000000" w:themeColor="text1"/>
          <w:kern w:val="0"/>
          <w:szCs w:val="21"/>
          <w14:textFill>
            <w14:solidFill>
              <w14:schemeClr w14:val="tx1"/>
            </w14:solidFill>
          </w14:textFill>
        </w:rPr>
      </w:pPr>
    </w:p>
    <w:p>
      <w:pPr>
        <w:widowControl/>
        <w:jc w:val="left"/>
        <w:rPr>
          <w:rFonts w:ascii="Times New Roman" w:hAnsi="Times New Roman"/>
          <w:color w:val="000000" w:themeColor="text1"/>
          <w:kern w:val="0"/>
          <w:szCs w:val="21"/>
          <w14:textFill>
            <w14:solidFill>
              <w14:schemeClr w14:val="tx1"/>
            </w14:solidFill>
          </w14:textFill>
        </w:rPr>
      </w:pPr>
    </w:p>
    <w:p>
      <w:pPr>
        <w:widowControl/>
        <w:jc w:val="left"/>
        <w:rPr>
          <w:rFonts w:ascii="Times New Roman" w:hAnsi="Times New Roman"/>
          <w:color w:val="000000" w:themeColor="text1"/>
          <w:kern w:val="0"/>
          <w:szCs w:val="21"/>
          <w14:textFill>
            <w14:solidFill>
              <w14:schemeClr w14:val="tx1"/>
            </w14:solidFill>
          </w14:textFill>
        </w:rPr>
      </w:pPr>
    </w:p>
    <w:p>
      <w:pPr>
        <w:widowControl/>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br w:type="page"/>
      </w:r>
    </w:p>
    <w:p>
      <w:pPr>
        <w:pStyle w:val="3"/>
        <w:jc w:val="center"/>
        <w:rPr>
          <w:rFonts w:ascii="Times New Roman" w:hAnsi="Times New Roman" w:eastAsia="黑体"/>
          <w:color w:val="000000" w:themeColor="text1"/>
          <w:sz w:val="21"/>
          <w:szCs w:val="21"/>
          <w14:textFill>
            <w14:solidFill>
              <w14:schemeClr w14:val="tx1"/>
            </w14:solidFill>
          </w14:textFill>
        </w:rPr>
      </w:pPr>
      <w:bookmarkStart w:id="969" w:name="_Toc516399851"/>
      <w:bookmarkStart w:id="970" w:name="_Toc522635627"/>
      <w:r>
        <w:rPr>
          <w:rFonts w:hint="eastAsia" w:ascii="Times New Roman" w:hAnsi="Times New Roman" w:eastAsia="黑体"/>
          <w:color w:val="000000" w:themeColor="text1"/>
          <w:sz w:val="21"/>
          <w:szCs w:val="21"/>
          <w14:textFill>
            <w14:solidFill>
              <w14:schemeClr w14:val="tx1"/>
            </w14:solidFill>
          </w14:textFill>
        </w:rPr>
        <w:t>附件一政府批复文件</w:t>
      </w:r>
      <w:bookmarkEnd w:id="965"/>
      <w:bookmarkEnd w:id="966"/>
      <w:bookmarkEnd w:id="967"/>
      <w:bookmarkEnd w:id="968"/>
      <w:bookmarkEnd w:id="969"/>
      <w:bookmarkEnd w:id="970"/>
    </w:p>
    <w:p>
      <w:pPr>
        <w:widowControl/>
        <w:jc w:val="left"/>
        <w:rPr>
          <w:rFonts w:ascii="Times New Roman" w:hAnsi="Times New Roman"/>
          <w:b/>
          <w:bCs/>
          <w:color w:val="000000" w:themeColor="text1"/>
          <w14:textFill>
            <w14:solidFill>
              <w14:schemeClr w14:val="tx1"/>
            </w14:solidFill>
          </w14:textFill>
        </w:rPr>
      </w:pPr>
    </w:p>
    <w:p>
      <w:pPr>
        <w:widowControl/>
        <w:jc w:val="left"/>
        <w:rPr>
          <w:rFonts w:ascii="Times New Roman" w:hAnsi="Times New Roman"/>
          <w:b/>
          <w:bCs/>
          <w:color w:val="000000" w:themeColor="text1"/>
          <w14:textFill>
            <w14:solidFill>
              <w14:schemeClr w14:val="tx1"/>
            </w14:solidFill>
          </w14:textFill>
        </w:rPr>
      </w:pPr>
    </w:p>
    <w:p>
      <w:pPr>
        <w:widowControl/>
        <w:jc w:val="left"/>
        <w:rPr>
          <w:rFonts w:ascii="Times New Roman" w:hAnsi="Times New Roman"/>
          <w:b/>
          <w:bCs/>
          <w:color w:val="000000" w:themeColor="text1"/>
          <w14:textFill>
            <w14:solidFill>
              <w14:schemeClr w14:val="tx1"/>
            </w14:solidFill>
          </w14:textFill>
        </w:rPr>
      </w:pPr>
    </w:p>
    <w:p>
      <w:pPr>
        <w:widowControl/>
        <w:jc w:val="left"/>
        <w:rPr>
          <w:rFonts w:ascii="Times New Roman" w:hAnsi="Times New Roman"/>
          <w:b/>
          <w:bCs/>
          <w:color w:val="000000" w:themeColor="text1"/>
          <w14:textFill>
            <w14:solidFill>
              <w14:schemeClr w14:val="tx1"/>
            </w14:solidFill>
          </w14:textFill>
        </w:rPr>
      </w:pPr>
    </w:p>
    <w:p>
      <w:pPr>
        <w:widowControl/>
        <w:jc w:val="left"/>
        <w:rPr>
          <w:rFonts w:ascii="Times New Roman" w:hAnsi="Times New Roman"/>
          <w:b/>
          <w:bCs/>
          <w:color w:val="000000" w:themeColor="text1"/>
          <w14:textFill>
            <w14:solidFill>
              <w14:schemeClr w14:val="tx1"/>
            </w14:solidFill>
          </w14:textFill>
        </w:rPr>
      </w:pPr>
    </w:p>
    <w:p>
      <w:pPr>
        <w:widowControl/>
        <w:jc w:val="left"/>
        <w:rPr>
          <w:rFonts w:ascii="Times New Roman" w:hAnsi="Times New Roman"/>
          <w:b/>
          <w:bCs/>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br w:type="page"/>
      </w:r>
    </w:p>
    <w:p>
      <w:pPr>
        <w:pStyle w:val="3"/>
        <w:jc w:val="center"/>
        <w:rPr>
          <w:rFonts w:ascii="Times New Roman" w:hAnsi="Times New Roman" w:eastAsia="黑体"/>
          <w:color w:val="000000" w:themeColor="text1"/>
          <w:sz w:val="21"/>
          <w:szCs w:val="21"/>
          <w14:textFill>
            <w14:solidFill>
              <w14:schemeClr w14:val="tx1"/>
            </w14:solidFill>
          </w14:textFill>
        </w:rPr>
      </w:pPr>
      <w:bookmarkStart w:id="971" w:name="_Toc491857685"/>
      <w:bookmarkStart w:id="972" w:name="_Toc495846087"/>
      <w:bookmarkStart w:id="973" w:name="_Toc496299696"/>
      <w:bookmarkStart w:id="974" w:name="_Toc496300023"/>
      <w:bookmarkStart w:id="975" w:name="_Toc516399852"/>
      <w:bookmarkStart w:id="976" w:name="_Toc522635628"/>
      <w:r>
        <w:rPr>
          <w:rFonts w:hint="eastAsia" w:ascii="Times New Roman" w:hAnsi="Times New Roman" w:eastAsia="黑体"/>
          <w:color w:val="000000" w:themeColor="text1"/>
          <w:sz w:val="21"/>
          <w:szCs w:val="21"/>
          <w14:textFill>
            <w14:solidFill>
              <w14:schemeClr w14:val="tx1"/>
            </w14:solidFill>
          </w14:textFill>
        </w:rPr>
        <w:t>附件二</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履约保函格式</w:t>
      </w:r>
      <w:bookmarkEnd w:id="971"/>
      <w:bookmarkEnd w:id="972"/>
      <w:bookmarkEnd w:id="973"/>
      <w:bookmarkEnd w:id="974"/>
      <w:bookmarkEnd w:id="975"/>
      <w:bookmarkEnd w:id="976"/>
    </w:p>
    <w:p>
      <w:pPr>
        <w:pStyle w:val="310"/>
        <w:spacing w:line="360" w:lineRule="auto"/>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致：</w:t>
      </w:r>
      <w:r>
        <w:rPr>
          <w:rFonts w:hint="eastAsia" w:ascii="Times New Roman" w:eastAsia="宋体" w:cs="Times New Roman"/>
          <w:color w:val="000000" w:themeColor="text1"/>
          <w:sz w:val="18"/>
          <w:szCs w:val="21"/>
          <w:u w:val="single"/>
          <w14:textFill>
            <w14:solidFill>
              <w14:schemeClr w14:val="tx1"/>
            </w14:solidFill>
          </w14:textFill>
        </w:rPr>
        <w:t>杭州大江东产业集聚区公路管理所</w:t>
      </w:r>
      <w:r>
        <w:rPr>
          <w:rFonts w:hint="eastAsia" w:ascii="Times New Roman" w:eastAsia="宋体" w:cs="Times New Roman"/>
          <w:color w:val="000000" w:themeColor="text1"/>
          <w:sz w:val="21"/>
          <w:szCs w:val="21"/>
          <w14:textFill>
            <w14:solidFill>
              <w14:schemeClr w14:val="tx1"/>
            </w14:solidFill>
          </w14:textFill>
        </w:rPr>
        <w:t>（以下简称</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甲方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w:t>
      </w:r>
    </w:p>
    <w:p>
      <w:pPr>
        <w:pStyle w:val="310"/>
        <w:spacing w:line="360" w:lineRule="auto"/>
        <w:ind w:firstLine="424" w:firstLineChars="202"/>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地址：</w:t>
      </w:r>
    </w:p>
    <w:p>
      <w:pPr>
        <w:pStyle w:val="310"/>
        <w:spacing w:line="360" w:lineRule="auto"/>
        <w:ind w:firstLine="424" w:firstLineChars="202"/>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邮编：</w:t>
      </w:r>
    </w:p>
    <w:p>
      <w:pPr>
        <w:pStyle w:val="310"/>
        <w:spacing w:line="360" w:lineRule="auto"/>
        <w:ind w:firstLine="420" w:firstLineChars="200"/>
        <w:rPr>
          <w:rFonts w:ascii="Times New Roman" w:eastAsia="宋体" w:cs="Times New Roman"/>
          <w:color w:val="000000" w:themeColor="text1"/>
          <w:sz w:val="21"/>
          <w:szCs w:val="21"/>
          <w14:textFill>
            <w14:solidFill>
              <w14:schemeClr w14:val="tx1"/>
            </w14:solidFill>
          </w14:textFill>
        </w:rPr>
      </w:pPr>
    </w:p>
    <w:p>
      <w:pPr>
        <w:pStyle w:val="310"/>
        <w:spacing w:line="360" w:lineRule="auto"/>
        <w:ind w:firstLine="420" w:firstLineChars="20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根据甲方与【中标人名称】（以下简称</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乙方</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）于【年</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月</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日】签订的《艮山东路过江隧道工程</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项目合同》（以下简称</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项目合同》</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），乙方应融资、建设、管理、维护和移交艮山东路过江隧道工程</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w:t>
      </w:r>
    </w:p>
    <w:p>
      <w:pPr>
        <w:pStyle w:val="310"/>
        <w:spacing w:line="360" w:lineRule="auto"/>
        <w:ind w:firstLine="420" w:firstLineChars="20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因乙方的要求，我们【银行</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金融机构名称】作为担保人，兹开立以甲方为受益人，金额为</w:t>
      </w:r>
      <w:r>
        <w:rPr>
          <w:rFonts w:hint="eastAsia" w:ascii="Times New Roman" w:eastAsia="宋体" w:cs="Times New Roman"/>
          <w:color w:val="000000" w:themeColor="text1"/>
          <w:sz w:val="21"/>
          <w:szCs w:val="21"/>
          <w:u w:val="single"/>
          <w14:textFill>
            <w14:solidFill>
              <w14:schemeClr w14:val="tx1"/>
            </w14:solidFill>
          </w14:textFill>
        </w:rPr>
        <w:t>【</w:t>
      </w:r>
      <w:r>
        <w:rPr>
          <w:rFonts w:ascii="Times New Roman" w:eastAsia="宋体" w:cs="Times New Roman"/>
          <w:color w:val="000000" w:themeColor="text1"/>
          <w:sz w:val="21"/>
          <w:szCs w:val="21"/>
          <w:u w:val="single"/>
          <w14:textFill>
            <w14:solidFill>
              <w14:schemeClr w14:val="tx1"/>
            </w14:solidFill>
          </w14:textFill>
        </w:rPr>
        <w:t>RMB200,000,000</w:t>
      </w:r>
      <w:r>
        <w:rPr>
          <w:rFonts w:hint="eastAsia" w:ascii="Times New Roman" w:eastAsia="宋体" w:cs="Times New Roman"/>
          <w:color w:val="000000" w:themeColor="text1"/>
          <w:sz w:val="21"/>
          <w:szCs w:val="21"/>
          <w:u w:val="single"/>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的第</w:t>
      </w:r>
      <w:r>
        <w:rPr>
          <w:rFonts w:hint="eastAsia" w:ascii="Times New Roman" w:eastAsia="宋体" w:cs="Times New Roman"/>
          <w:color w:val="000000" w:themeColor="text1"/>
          <w:sz w:val="21"/>
          <w:szCs w:val="21"/>
          <w:u w:val="single"/>
          <w14:textFill>
            <w14:solidFill>
              <w14:schemeClr w14:val="tx1"/>
            </w14:solidFill>
          </w14:textFill>
        </w:rPr>
        <w:t>【</w:t>
      </w:r>
      <w:r>
        <w:rPr>
          <w:rFonts w:ascii="Times New Roman" w:eastAsia="宋体" w:cs="Times New Roman"/>
          <w:color w:val="000000" w:themeColor="text1"/>
          <w:sz w:val="21"/>
          <w:szCs w:val="21"/>
          <w:u w:val="single"/>
          <w14:textFill>
            <w14:solidFill>
              <w14:schemeClr w14:val="tx1"/>
            </w14:solidFill>
          </w14:textFill>
        </w:rPr>
        <w:t xml:space="preserve">   </w:t>
      </w:r>
      <w:r>
        <w:rPr>
          <w:rFonts w:hint="eastAsia" w:ascii="Times New Roman" w:eastAsia="宋体" w:cs="Times New Roman"/>
          <w:color w:val="000000" w:themeColor="text1"/>
          <w:sz w:val="21"/>
          <w:szCs w:val="21"/>
          <w:u w:val="single"/>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号不可撤销的担保函，以不可撤销及无条件的担保乙方将根据《</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项目合同》的条款和条件，履行其在《</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项目合同》项下的全部义务。如乙方未根据《</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项目合同》的条款和条件履行《</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项目合同》项下的全部或部分义务，担保人将履行在本保函项下的支付义务。</w:t>
      </w:r>
      <w:r>
        <w:rPr>
          <w:rFonts w:ascii="Times New Roman" w:eastAsia="宋体" w:cs="Times New Roman"/>
          <w:color w:val="000000" w:themeColor="text1"/>
          <w:sz w:val="21"/>
          <w:szCs w:val="21"/>
          <w14:textFill>
            <w14:solidFill>
              <w14:schemeClr w14:val="tx1"/>
            </w14:solidFill>
          </w14:textFill>
        </w:rPr>
        <w:t xml:space="preserve"> </w:t>
      </w:r>
    </w:p>
    <w:p>
      <w:pPr>
        <w:pStyle w:val="310"/>
        <w:spacing w:line="360" w:lineRule="auto"/>
        <w:ind w:firstLine="420" w:firstLineChars="20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担保人保证在收到甲方在本保函有效期内出具的见索即付的书面要求后的第五（</w:t>
      </w:r>
      <w:r>
        <w:rPr>
          <w:rFonts w:ascii="Times New Roman" w:eastAsia="宋体" w:cs="Times New Roman"/>
          <w:color w:val="000000" w:themeColor="text1"/>
          <w:sz w:val="21"/>
          <w:szCs w:val="21"/>
          <w14:textFill>
            <w14:solidFill>
              <w14:schemeClr w14:val="tx1"/>
            </w14:solidFill>
          </w14:textFill>
        </w:rPr>
        <w:t>5</w:t>
      </w:r>
      <w:r>
        <w:rPr>
          <w:rFonts w:hint="eastAsia" w:ascii="Times New Roman" w:eastAsia="宋体" w:cs="Times New Roman"/>
          <w:color w:val="000000" w:themeColor="text1"/>
          <w:sz w:val="21"/>
          <w:szCs w:val="21"/>
          <w14:textFill>
            <w14:solidFill>
              <w14:schemeClr w14:val="tx1"/>
            </w14:solidFill>
          </w14:textFill>
        </w:rPr>
        <w:t>）个营业日内，即向甲方支付甲方要求的不超过上述金额的款项，而无须要求甲方确证该支付要求满足本保函项下的支付要求，甲方只需在其书面要求中说明其要求支付的款项是由于乙方未履行《</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项目合同》项下的某一项或某几项义务。我们在此放弃要求甲方在向我方提出付款要求之前首先向乙方提出付款要求或对乙方提起诉讼或仲裁的要求。</w:t>
      </w:r>
      <w:r>
        <w:rPr>
          <w:rFonts w:ascii="Times New Roman" w:eastAsia="宋体" w:cs="Times New Roman"/>
          <w:color w:val="000000" w:themeColor="text1"/>
          <w:sz w:val="21"/>
          <w:szCs w:val="21"/>
          <w14:textFill>
            <w14:solidFill>
              <w14:schemeClr w14:val="tx1"/>
            </w14:solidFill>
          </w14:textFill>
        </w:rPr>
        <w:t xml:space="preserve"> </w:t>
      </w:r>
    </w:p>
    <w:p>
      <w:pPr>
        <w:pStyle w:val="310"/>
        <w:spacing w:line="360" w:lineRule="auto"/>
        <w:ind w:firstLine="420" w:firstLineChars="20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我们同意，甲方与乙方之间可能对《</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项目合同》或任何其它文件的条款所作的任何更改或补充或任何其它修改，不免除我方在本担保项下应承担的责任，我们在此放弃对此类更改、补充或修改给予通知的要求。</w:t>
      </w:r>
      <w:r>
        <w:rPr>
          <w:rFonts w:ascii="Times New Roman" w:eastAsia="宋体" w:cs="Times New Roman"/>
          <w:color w:val="000000" w:themeColor="text1"/>
          <w:sz w:val="21"/>
          <w:szCs w:val="21"/>
          <w14:textFill>
            <w14:solidFill>
              <w14:schemeClr w14:val="tx1"/>
            </w14:solidFill>
          </w14:textFill>
        </w:rPr>
        <w:t xml:space="preserve"> </w:t>
      </w:r>
    </w:p>
    <w:p>
      <w:pPr>
        <w:pStyle w:val="310"/>
        <w:spacing w:line="360" w:lineRule="auto"/>
        <w:ind w:firstLine="420" w:firstLineChars="20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本保函有效期自【】年【】月【】日起，至本保函生效之日后十二</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二十四（</w:t>
      </w:r>
      <w:r>
        <w:rPr>
          <w:rFonts w:ascii="Times New Roman" w:eastAsia="宋体" w:cs="Times New Roman"/>
          <w:color w:val="000000" w:themeColor="text1"/>
          <w:sz w:val="21"/>
          <w:szCs w:val="21"/>
          <w14:textFill>
            <w14:solidFill>
              <w14:schemeClr w14:val="tx1"/>
            </w14:solidFill>
          </w14:textFill>
        </w:rPr>
        <w:t>12/24</w:t>
      </w:r>
      <w:r>
        <w:rPr>
          <w:rFonts w:hint="eastAsia" w:ascii="Times New Roman" w:eastAsia="宋体" w:cs="Times New Roman"/>
          <w:color w:val="000000" w:themeColor="text1"/>
          <w:sz w:val="21"/>
          <w:szCs w:val="21"/>
          <w14:textFill>
            <w14:solidFill>
              <w14:schemeClr w14:val="tx1"/>
            </w14:solidFill>
          </w14:textFill>
        </w:rPr>
        <w:t>）个月结束之日，即【】年【】月【】日止。</w:t>
      </w:r>
      <w:r>
        <w:rPr>
          <w:rFonts w:ascii="Times New Roman" w:eastAsia="宋体" w:cs="Times New Roman"/>
          <w:color w:val="000000" w:themeColor="text1"/>
          <w:sz w:val="21"/>
          <w:szCs w:val="21"/>
          <w14:textFill>
            <w14:solidFill>
              <w14:schemeClr w14:val="tx1"/>
            </w14:solidFill>
          </w14:textFill>
        </w:rPr>
        <w:t xml:space="preserve"> </w:t>
      </w:r>
    </w:p>
    <w:p>
      <w:pPr>
        <w:pStyle w:val="310"/>
        <w:spacing w:line="360" w:lineRule="auto"/>
        <w:ind w:firstLine="420" w:firstLineChars="20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本保函中使用的所有术语具有《</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项目合同》中规定的含义（我们确认已收到《</w:t>
      </w:r>
      <w:r>
        <w:rPr>
          <w:rFonts w:ascii="Times New Roman" w:eastAsia="宋体" w:cs="Times New Roman"/>
          <w:color w:val="000000" w:themeColor="text1"/>
          <w:sz w:val="21"/>
          <w:szCs w:val="21"/>
          <w14:textFill>
            <w14:solidFill>
              <w14:schemeClr w14:val="tx1"/>
            </w14:solidFill>
          </w14:textFill>
        </w:rPr>
        <w:t>PPP</w:t>
      </w:r>
      <w:r>
        <w:rPr>
          <w:rFonts w:hint="eastAsia" w:ascii="Times New Roman" w:eastAsia="宋体" w:cs="Times New Roman"/>
          <w:color w:val="000000" w:themeColor="text1"/>
          <w:sz w:val="21"/>
          <w:szCs w:val="21"/>
          <w14:textFill>
            <w14:solidFill>
              <w14:schemeClr w14:val="tx1"/>
            </w14:solidFill>
          </w14:textFill>
        </w:rPr>
        <w:t>项目合同》的一份复印件）。</w:t>
      </w:r>
      <w:r>
        <w:rPr>
          <w:rFonts w:ascii="Times New Roman" w:eastAsia="宋体" w:cs="Times New Roman"/>
          <w:color w:val="000000" w:themeColor="text1"/>
          <w:sz w:val="21"/>
          <w:szCs w:val="21"/>
          <w14:textFill>
            <w14:solidFill>
              <w14:schemeClr w14:val="tx1"/>
            </w14:solidFill>
          </w14:textFill>
        </w:rPr>
        <w:t xml:space="preserve"> </w:t>
      </w:r>
    </w:p>
    <w:p>
      <w:pPr>
        <w:pStyle w:val="310"/>
        <w:spacing w:line="360" w:lineRule="auto"/>
        <w:ind w:firstLine="420" w:firstLineChars="200"/>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担保人特此声明：</w:t>
      </w:r>
      <w:r>
        <w:rPr>
          <w:rFonts w:ascii="Times New Roman" w:eastAsia="宋体" w:cs="Times New Roman"/>
          <w:color w:val="000000" w:themeColor="text1"/>
          <w:sz w:val="21"/>
          <w:szCs w:val="21"/>
          <w14:textFill>
            <w14:solidFill>
              <w14:schemeClr w14:val="tx1"/>
            </w14:solidFill>
          </w14:textFill>
        </w:rPr>
        <w:t xml:space="preserve"> </w:t>
      </w:r>
    </w:p>
    <w:p>
      <w:pPr>
        <w:pStyle w:val="310"/>
        <w:numPr>
          <w:ilvl w:val="1"/>
          <w:numId w:val="96"/>
        </w:numPr>
        <w:spacing w:line="360" w:lineRule="auto"/>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担保人具有签署及履行本保函的权利和行为能力，并且担保人已经获得充分有效的授权以签署和履行本保函。</w:t>
      </w:r>
      <w:r>
        <w:rPr>
          <w:rFonts w:ascii="Times New Roman" w:eastAsia="宋体" w:cs="Times New Roman"/>
          <w:color w:val="000000" w:themeColor="text1"/>
          <w:sz w:val="21"/>
          <w:szCs w:val="21"/>
          <w14:textFill>
            <w14:solidFill>
              <w14:schemeClr w14:val="tx1"/>
            </w14:solidFill>
          </w14:textFill>
        </w:rPr>
        <w:t xml:space="preserve"> </w:t>
      </w:r>
    </w:p>
    <w:p>
      <w:pPr>
        <w:pStyle w:val="310"/>
        <w:numPr>
          <w:ilvl w:val="1"/>
          <w:numId w:val="96"/>
        </w:numPr>
        <w:spacing w:line="360" w:lineRule="auto"/>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本保函对担保人的受让人和承继人均有约束力。</w:t>
      </w:r>
      <w:r>
        <w:rPr>
          <w:rFonts w:ascii="Times New Roman" w:eastAsia="宋体" w:cs="Times New Roman"/>
          <w:color w:val="000000" w:themeColor="text1"/>
          <w:sz w:val="21"/>
          <w:szCs w:val="21"/>
          <w14:textFill>
            <w14:solidFill>
              <w14:schemeClr w14:val="tx1"/>
            </w14:solidFill>
          </w14:textFill>
        </w:rPr>
        <w:t xml:space="preserve"> </w:t>
      </w:r>
    </w:p>
    <w:p>
      <w:pPr>
        <w:pStyle w:val="310"/>
        <w:numPr>
          <w:ilvl w:val="1"/>
          <w:numId w:val="96"/>
        </w:numPr>
        <w:spacing w:line="360" w:lineRule="auto"/>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与本保函有关的各项通知和</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或信函，包括但不限于索偿通知等经传真或信件等形式发往担保人的如下地址，即应视为担保人已经收到该等通知和</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或信函。</w:t>
      </w:r>
      <w:r>
        <w:rPr>
          <w:rFonts w:ascii="Times New Roman" w:eastAsia="宋体" w:cs="Times New Roman"/>
          <w:color w:val="000000" w:themeColor="text1"/>
          <w:sz w:val="21"/>
          <w:szCs w:val="21"/>
          <w14:textFill>
            <w14:solidFill>
              <w14:schemeClr w14:val="tx1"/>
            </w14:solidFill>
          </w14:textFill>
        </w:rPr>
        <w:t xml:space="preserve"> </w:t>
      </w:r>
    </w:p>
    <w:p>
      <w:pPr>
        <w:pStyle w:val="310"/>
        <w:spacing w:line="360" w:lineRule="auto"/>
        <w:ind w:firstLine="850" w:firstLineChars="405"/>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收件人：</w:t>
      </w:r>
      <w:r>
        <w:rPr>
          <w:rFonts w:ascii="Times New Roman" w:eastAsia="宋体" w:cs="Times New Roman"/>
          <w:color w:val="000000" w:themeColor="text1"/>
          <w:sz w:val="21"/>
          <w:szCs w:val="21"/>
          <w14:textFill>
            <w14:solidFill>
              <w14:schemeClr w14:val="tx1"/>
            </w14:solidFill>
          </w14:textFill>
        </w:rPr>
        <w:t xml:space="preserve"> </w:t>
      </w:r>
    </w:p>
    <w:p>
      <w:pPr>
        <w:pStyle w:val="310"/>
        <w:spacing w:line="360" w:lineRule="auto"/>
        <w:ind w:firstLine="850" w:firstLineChars="405"/>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地址：</w:t>
      </w:r>
      <w:r>
        <w:rPr>
          <w:rFonts w:ascii="Times New Roman" w:eastAsia="宋体" w:cs="Times New Roman"/>
          <w:color w:val="000000" w:themeColor="text1"/>
          <w:sz w:val="21"/>
          <w:szCs w:val="21"/>
          <w14:textFill>
            <w14:solidFill>
              <w14:schemeClr w14:val="tx1"/>
            </w14:solidFill>
          </w14:textFill>
        </w:rPr>
        <w:t xml:space="preserve"> </w:t>
      </w:r>
    </w:p>
    <w:p>
      <w:pPr>
        <w:pStyle w:val="310"/>
        <w:spacing w:line="360" w:lineRule="auto"/>
        <w:ind w:firstLine="850" w:firstLineChars="405"/>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传真：</w:t>
      </w:r>
      <w:r>
        <w:rPr>
          <w:rFonts w:ascii="Times New Roman" w:eastAsia="宋体" w:cs="Times New Roman"/>
          <w:color w:val="000000" w:themeColor="text1"/>
          <w:sz w:val="21"/>
          <w:szCs w:val="21"/>
          <w14:textFill>
            <w14:solidFill>
              <w14:schemeClr w14:val="tx1"/>
            </w14:solidFill>
          </w14:textFill>
        </w:rPr>
        <w:t xml:space="preserve"> </w:t>
      </w:r>
    </w:p>
    <w:p>
      <w:pPr>
        <w:pStyle w:val="310"/>
        <w:spacing w:line="360" w:lineRule="auto"/>
        <w:ind w:firstLine="850" w:firstLineChars="405"/>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电话：</w:t>
      </w:r>
      <w:r>
        <w:rPr>
          <w:rFonts w:ascii="Times New Roman" w:eastAsia="宋体" w:cs="Times New Roman"/>
          <w:color w:val="000000" w:themeColor="text1"/>
          <w:sz w:val="21"/>
          <w:szCs w:val="21"/>
          <w14:textFill>
            <w14:solidFill>
              <w14:schemeClr w14:val="tx1"/>
            </w14:solidFill>
          </w14:textFill>
        </w:rPr>
        <w:t xml:space="preserve"> </w:t>
      </w:r>
    </w:p>
    <w:p>
      <w:pPr>
        <w:pStyle w:val="310"/>
        <w:numPr>
          <w:ilvl w:val="1"/>
          <w:numId w:val="96"/>
        </w:numPr>
        <w:spacing w:line="360" w:lineRule="auto"/>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本保函一经担保人法定代表人或负责人或授权代表签字并加盖担保人公章即行生效。</w:t>
      </w:r>
      <w:r>
        <w:rPr>
          <w:rFonts w:ascii="Times New Roman" w:eastAsia="宋体" w:cs="Times New Roman"/>
          <w:color w:val="000000" w:themeColor="text1"/>
          <w:sz w:val="21"/>
          <w:szCs w:val="21"/>
          <w14:textFill>
            <w14:solidFill>
              <w14:schemeClr w14:val="tx1"/>
            </w14:solidFill>
          </w14:textFill>
        </w:rPr>
        <w:t xml:space="preserve"> </w:t>
      </w:r>
    </w:p>
    <w:p>
      <w:pPr>
        <w:pStyle w:val="310"/>
        <w:numPr>
          <w:ilvl w:val="1"/>
          <w:numId w:val="96"/>
        </w:numPr>
        <w:spacing w:line="360" w:lineRule="auto"/>
        <w:jc w:val="both"/>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担保人在本保函项下的义务是独立的。</w:t>
      </w:r>
      <w:r>
        <w:rPr>
          <w:rFonts w:ascii="Times New Roman" w:eastAsia="宋体" w:cs="Times New Roman"/>
          <w:color w:val="000000" w:themeColor="text1"/>
          <w:sz w:val="21"/>
          <w:szCs w:val="21"/>
          <w14:textFill>
            <w14:solidFill>
              <w14:schemeClr w14:val="tx1"/>
            </w14:solidFill>
          </w14:textFill>
        </w:rPr>
        <w:t xml:space="preserve"> </w:t>
      </w:r>
    </w:p>
    <w:p>
      <w:pPr>
        <w:pStyle w:val="310"/>
        <w:spacing w:line="360" w:lineRule="auto"/>
        <w:ind w:firstLine="420" w:firstLineChars="200"/>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本保函应适用中国法律并根据中国法律解释。</w:t>
      </w:r>
      <w:r>
        <w:rPr>
          <w:rFonts w:ascii="Times New Roman" w:eastAsia="宋体" w:cs="Times New Roman"/>
          <w:color w:val="000000" w:themeColor="text1"/>
          <w:sz w:val="21"/>
          <w:szCs w:val="21"/>
          <w14:textFill>
            <w14:solidFill>
              <w14:schemeClr w14:val="tx1"/>
            </w14:solidFill>
          </w14:textFill>
        </w:rPr>
        <w:t xml:space="preserve"> </w:t>
      </w:r>
    </w:p>
    <w:p>
      <w:pPr>
        <w:pStyle w:val="310"/>
        <w:spacing w:line="360" w:lineRule="auto"/>
        <w:ind w:firstLine="2975" w:firstLineChars="1417"/>
        <w:rPr>
          <w:rFonts w:ascii="Times New Roman" w:eastAsia="宋体" w:cs="Times New Roman"/>
          <w:color w:val="000000" w:themeColor="text1"/>
          <w:sz w:val="21"/>
          <w:szCs w:val="21"/>
          <w14:textFill>
            <w14:solidFill>
              <w14:schemeClr w14:val="tx1"/>
            </w14:solidFill>
          </w14:textFill>
        </w:rPr>
      </w:pPr>
    </w:p>
    <w:p>
      <w:pPr>
        <w:pStyle w:val="310"/>
        <w:spacing w:line="360" w:lineRule="auto"/>
        <w:ind w:firstLine="2975" w:firstLineChars="1417"/>
        <w:rPr>
          <w:rFonts w:ascii="Times New Roman" w:eastAsia="宋体" w:cs="Times New Roman"/>
          <w:color w:val="000000" w:themeColor="text1"/>
          <w:sz w:val="21"/>
          <w:szCs w:val="21"/>
          <w14:textFill>
            <w14:solidFill>
              <w14:schemeClr w14:val="tx1"/>
            </w14:solidFill>
          </w14:textFill>
        </w:rPr>
      </w:pPr>
    </w:p>
    <w:p>
      <w:pPr>
        <w:pStyle w:val="310"/>
        <w:spacing w:line="360" w:lineRule="auto"/>
        <w:ind w:firstLine="2975" w:firstLineChars="141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银行</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金融机构盖章</w:t>
      </w:r>
      <w:r>
        <w:rPr>
          <w:rFonts w:ascii="Times New Roman" w:eastAsia="宋体" w:cs="Times New Roman"/>
          <w:color w:val="000000" w:themeColor="text1"/>
          <w:sz w:val="21"/>
          <w:szCs w:val="21"/>
          <w14:textFill>
            <w14:solidFill>
              <w14:schemeClr w14:val="tx1"/>
            </w14:solidFill>
          </w14:textFill>
        </w:rPr>
        <w:t xml:space="preserve">__________________ </w:t>
      </w:r>
    </w:p>
    <w:p>
      <w:pPr>
        <w:pStyle w:val="310"/>
        <w:spacing w:line="360" w:lineRule="auto"/>
        <w:ind w:firstLine="2975" w:firstLineChars="141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银行</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金融机构名称</w:t>
      </w:r>
      <w:r>
        <w:rPr>
          <w:rFonts w:ascii="Times New Roman" w:eastAsia="宋体" w:cs="Times New Roman"/>
          <w:color w:val="000000" w:themeColor="text1"/>
          <w:sz w:val="21"/>
          <w:szCs w:val="21"/>
          <w14:textFill>
            <w14:solidFill>
              <w14:schemeClr w14:val="tx1"/>
            </w14:solidFill>
          </w14:textFill>
        </w:rPr>
        <w:t xml:space="preserve">:_________________ </w:t>
      </w:r>
    </w:p>
    <w:p>
      <w:pPr>
        <w:pStyle w:val="310"/>
        <w:spacing w:line="360" w:lineRule="auto"/>
        <w:ind w:firstLine="2975" w:firstLineChars="141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银行</w:t>
      </w:r>
      <w:r>
        <w:rPr>
          <w:rFonts w:ascii="Times New Roman" w:eastAsia="宋体" w:cs="Times New Roman"/>
          <w:color w:val="000000" w:themeColor="text1"/>
          <w:sz w:val="21"/>
          <w:szCs w:val="21"/>
          <w14:textFill>
            <w14:solidFill>
              <w14:schemeClr w14:val="tx1"/>
            </w14:solidFill>
          </w14:textFill>
        </w:rPr>
        <w:t>/</w:t>
      </w:r>
      <w:r>
        <w:rPr>
          <w:rFonts w:hint="eastAsia" w:ascii="Times New Roman" w:eastAsia="宋体" w:cs="Times New Roman"/>
          <w:color w:val="000000" w:themeColor="text1"/>
          <w:sz w:val="21"/>
          <w:szCs w:val="21"/>
          <w14:textFill>
            <w14:solidFill>
              <w14:schemeClr w14:val="tx1"/>
            </w14:solidFill>
          </w14:textFill>
        </w:rPr>
        <w:t>金融机构地址：</w:t>
      </w:r>
      <w:r>
        <w:rPr>
          <w:rFonts w:ascii="Times New Roman" w:eastAsia="宋体" w:cs="Times New Roman"/>
          <w:color w:val="000000" w:themeColor="text1"/>
          <w:sz w:val="21"/>
          <w:szCs w:val="21"/>
          <w14:textFill>
            <w14:solidFill>
              <w14:schemeClr w14:val="tx1"/>
            </w14:solidFill>
          </w14:textFill>
        </w:rPr>
        <w:t xml:space="preserve"> </w:t>
      </w:r>
    </w:p>
    <w:p>
      <w:pPr>
        <w:pStyle w:val="310"/>
        <w:spacing w:line="360" w:lineRule="auto"/>
        <w:ind w:firstLine="2975" w:firstLineChars="141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签字</w:t>
      </w:r>
      <w:r>
        <w:rPr>
          <w:rFonts w:ascii="Times New Roman" w:eastAsia="宋体" w:cs="Times New Roman"/>
          <w:color w:val="000000" w:themeColor="text1"/>
          <w:sz w:val="21"/>
          <w:szCs w:val="21"/>
          <w14:textFill>
            <w14:solidFill>
              <w14:schemeClr w14:val="tx1"/>
            </w14:solidFill>
          </w14:textFill>
        </w:rPr>
        <w:t xml:space="preserve">: __________________ </w:t>
      </w:r>
    </w:p>
    <w:p>
      <w:pPr>
        <w:pStyle w:val="310"/>
        <w:spacing w:line="360" w:lineRule="auto"/>
        <w:ind w:firstLine="2975" w:firstLineChars="141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姓名</w:t>
      </w:r>
      <w:r>
        <w:rPr>
          <w:rFonts w:ascii="Times New Roman" w:eastAsia="宋体" w:cs="Times New Roman"/>
          <w:color w:val="000000" w:themeColor="text1"/>
          <w:sz w:val="21"/>
          <w:szCs w:val="21"/>
          <w14:textFill>
            <w14:solidFill>
              <w14:schemeClr w14:val="tx1"/>
            </w14:solidFill>
          </w14:textFill>
        </w:rPr>
        <w:t xml:space="preserve">: __________________ </w:t>
      </w:r>
    </w:p>
    <w:p>
      <w:pPr>
        <w:pStyle w:val="310"/>
        <w:spacing w:line="360" w:lineRule="auto"/>
        <w:ind w:firstLine="2975" w:firstLineChars="141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职务</w:t>
      </w:r>
      <w:r>
        <w:rPr>
          <w:rFonts w:ascii="Times New Roman" w:eastAsia="宋体" w:cs="Times New Roman"/>
          <w:color w:val="000000" w:themeColor="text1"/>
          <w:sz w:val="21"/>
          <w:szCs w:val="21"/>
          <w14:textFill>
            <w14:solidFill>
              <w14:schemeClr w14:val="tx1"/>
            </w14:solidFill>
          </w14:textFill>
        </w:rPr>
        <w:t xml:space="preserve">: __________________ </w:t>
      </w:r>
    </w:p>
    <w:p>
      <w:pPr>
        <w:pStyle w:val="310"/>
        <w:spacing w:line="360" w:lineRule="auto"/>
        <w:ind w:firstLine="2975" w:firstLineChars="1417"/>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日期</w:t>
      </w:r>
      <w:r>
        <w:rPr>
          <w:rFonts w:ascii="Times New Roman" w:eastAsia="宋体" w:cs="Times New Roman"/>
          <w:color w:val="000000" w:themeColor="text1"/>
          <w:sz w:val="21"/>
          <w:szCs w:val="21"/>
          <w14:textFill>
            <w14:solidFill>
              <w14:schemeClr w14:val="tx1"/>
            </w14:solidFill>
          </w14:textFill>
        </w:rPr>
        <w:t xml:space="preserve">: __________________ </w:t>
      </w:r>
    </w:p>
    <w:p>
      <w:pPr>
        <w:pStyle w:val="310"/>
        <w:spacing w:line="360" w:lineRule="auto"/>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t xml:space="preserve"> </w:t>
      </w:r>
    </w:p>
    <w:p>
      <w:pPr>
        <w:pStyle w:val="310"/>
        <w:spacing w:line="360" w:lineRule="auto"/>
        <w:rPr>
          <w:rFonts w:ascii="Times New Roman" w:eastAsia="宋体" w:cs="Times New Roman"/>
          <w:color w:val="000000" w:themeColor="text1"/>
          <w:sz w:val="21"/>
          <w:szCs w:val="21"/>
          <w14:textFill>
            <w14:solidFill>
              <w14:schemeClr w14:val="tx1"/>
            </w14:solidFill>
          </w14:textFill>
        </w:rPr>
      </w:pPr>
    </w:p>
    <w:p>
      <w:pPr>
        <w:pStyle w:val="310"/>
        <w:spacing w:line="360" w:lineRule="auto"/>
        <w:rPr>
          <w:rFonts w:ascii="Times New Roman" w:eastAsia="宋体" w:cs="Times New Roman"/>
          <w:color w:val="000000" w:themeColor="text1"/>
          <w:sz w:val="21"/>
          <w:szCs w:val="21"/>
          <w14:textFill>
            <w14:solidFill>
              <w14:schemeClr w14:val="tx1"/>
            </w14:solidFill>
          </w14:textFill>
        </w:rPr>
      </w:pPr>
    </w:p>
    <w:p>
      <w:pPr>
        <w:pStyle w:val="310"/>
        <w:spacing w:line="360" w:lineRule="auto"/>
        <w:rPr>
          <w:rFonts w:ascii="Times New Roman" w:eastAsia="宋体" w:cs="Times New Roman"/>
          <w:color w:val="000000" w:themeColor="text1"/>
          <w:sz w:val="20"/>
          <w:szCs w:val="21"/>
          <w14:textFill>
            <w14:solidFill>
              <w14:schemeClr w14:val="tx1"/>
            </w14:solidFill>
          </w14:textFill>
        </w:rPr>
      </w:pPr>
      <w:r>
        <w:rPr>
          <w:rFonts w:hint="eastAsia" w:ascii="Times New Roman" w:cs="Times New Roman"/>
          <w:b/>
          <w:color w:val="000000" w:themeColor="text1"/>
          <w:sz w:val="21"/>
          <w:u w:val="single"/>
          <w:lang w:val="zh-CN"/>
          <w14:textFill>
            <w14:solidFill>
              <w14:schemeClr w14:val="tx1"/>
            </w14:solidFill>
          </w14:textFill>
        </w:rPr>
        <w:t>【鉴于各银行</w:t>
      </w:r>
      <w:r>
        <w:rPr>
          <w:rFonts w:ascii="Times New Roman" w:cs="Times New Roman"/>
          <w:b/>
          <w:color w:val="000000" w:themeColor="text1"/>
          <w:sz w:val="21"/>
          <w:u w:val="single"/>
          <w:lang w:val="zh-CN"/>
          <w14:textFill>
            <w14:solidFill>
              <w14:schemeClr w14:val="tx1"/>
            </w14:solidFill>
          </w14:textFill>
        </w:rPr>
        <w:t>/</w:t>
      </w:r>
      <w:r>
        <w:rPr>
          <w:rFonts w:hint="eastAsia" w:ascii="Times New Roman" w:cs="Times New Roman"/>
          <w:b/>
          <w:color w:val="000000" w:themeColor="text1"/>
          <w:sz w:val="21"/>
          <w:u w:val="single"/>
          <w:lang w:val="zh-CN"/>
          <w14:textFill>
            <w14:solidFill>
              <w14:schemeClr w14:val="tx1"/>
            </w14:solidFill>
          </w14:textFill>
        </w:rPr>
        <w:t>金融机构可开具的保函格式可能不完全与本保函格式一致，允许投资人或乙方在实际开具时根据出具银行</w:t>
      </w:r>
      <w:r>
        <w:rPr>
          <w:rFonts w:ascii="Times New Roman" w:cs="Times New Roman"/>
          <w:b/>
          <w:color w:val="000000" w:themeColor="text1"/>
          <w:sz w:val="21"/>
          <w:u w:val="single"/>
          <w:lang w:val="zh-CN"/>
          <w14:textFill>
            <w14:solidFill>
              <w14:schemeClr w14:val="tx1"/>
            </w14:solidFill>
          </w14:textFill>
        </w:rPr>
        <w:t>/</w:t>
      </w:r>
      <w:r>
        <w:rPr>
          <w:rFonts w:hint="eastAsia" w:ascii="Times New Roman" w:cs="Times New Roman"/>
          <w:b/>
          <w:color w:val="000000" w:themeColor="text1"/>
          <w:sz w:val="21"/>
          <w:u w:val="single"/>
          <w:lang w:val="zh-CN"/>
          <w14:textFill>
            <w14:solidFill>
              <w14:schemeClr w14:val="tx1"/>
            </w14:solidFill>
          </w14:textFill>
        </w:rPr>
        <w:t>金融的格式作调整修正，并应保证保函效力应是无条件的、不可撤销的、见索即付的。对本保函的调整修改应事先征得甲方的确认同意。】</w:t>
      </w:r>
    </w:p>
    <w:p>
      <w:pPr>
        <w:widowControl/>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br w:type="page"/>
      </w:r>
    </w:p>
    <w:p>
      <w:pPr>
        <w:pStyle w:val="3"/>
        <w:jc w:val="center"/>
        <w:rPr>
          <w:rFonts w:ascii="Times New Roman" w:hAnsi="Times New Roman" w:eastAsia="黑体"/>
          <w:color w:val="000000" w:themeColor="text1"/>
          <w:szCs w:val="21"/>
          <w14:textFill>
            <w14:solidFill>
              <w14:schemeClr w14:val="tx1"/>
            </w14:solidFill>
          </w14:textFill>
        </w:rPr>
      </w:pPr>
      <w:bookmarkStart w:id="977" w:name="_Toc491857686"/>
      <w:bookmarkStart w:id="978" w:name="_Toc495846088"/>
      <w:bookmarkStart w:id="979" w:name="_Toc496299697"/>
      <w:bookmarkStart w:id="980" w:name="_Toc496300024"/>
      <w:bookmarkStart w:id="981" w:name="_Toc516399853"/>
      <w:bookmarkStart w:id="982" w:name="_Toc522635629"/>
      <w:r>
        <w:rPr>
          <w:rFonts w:hint="eastAsia" w:ascii="Times New Roman" w:hAnsi="Times New Roman" w:eastAsia="黑体"/>
          <w:color w:val="000000" w:themeColor="text1"/>
          <w:sz w:val="21"/>
          <w:szCs w:val="21"/>
          <w14:textFill>
            <w14:solidFill>
              <w14:schemeClr w14:val="tx1"/>
            </w14:solidFill>
          </w14:textFill>
        </w:rPr>
        <w:t>附件三</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运营管理</w:t>
      </w:r>
      <w:bookmarkEnd w:id="977"/>
      <w:bookmarkEnd w:id="978"/>
      <w:bookmarkEnd w:id="979"/>
      <w:bookmarkEnd w:id="980"/>
      <w:r>
        <w:rPr>
          <w:rFonts w:hint="eastAsia" w:ascii="Times New Roman" w:hAnsi="Times New Roman" w:eastAsia="黑体"/>
          <w:color w:val="000000" w:themeColor="text1"/>
          <w:sz w:val="21"/>
          <w:szCs w:val="21"/>
          <w14:textFill>
            <w14:solidFill>
              <w14:schemeClr w14:val="tx1"/>
            </w14:solidFill>
          </w14:textFill>
        </w:rPr>
        <w:t>要求及考核办法</w:t>
      </w:r>
      <w:bookmarkEnd w:id="981"/>
      <w:bookmarkEnd w:id="982"/>
    </w:p>
    <w:p>
      <w:pPr>
        <w:pStyle w:val="4"/>
        <w:rPr>
          <w:rFonts w:eastAsia="宋体"/>
          <w:b/>
          <w:sz w:val="21"/>
        </w:rPr>
      </w:pPr>
      <w:bookmarkStart w:id="983" w:name="_Toc516399854"/>
      <w:bookmarkStart w:id="984" w:name="_Toc522635630"/>
      <w:bookmarkStart w:id="985" w:name="_Toc507351185"/>
      <w:bookmarkStart w:id="986" w:name="_Toc509679731"/>
      <w:bookmarkStart w:id="987" w:name="_Toc512509320"/>
      <w:r>
        <w:rPr>
          <w:rFonts w:hint="eastAsia" w:eastAsia="宋体"/>
          <w:b/>
          <w:sz w:val="21"/>
        </w:rPr>
        <w:t>一、考核内容</w:t>
      </w:r>
      <w:bookmarkEnd w:id="983"/>
      <w:bookmarkEnd w:id="984"/>
    </w:p>
    <w:bookmarkEnd w:id="985"/>
    <w:bookmarkEnd w:id="986"/>
    <w:bookmarkEnd w:id="987"/>
    <w:p>
      <w:pPr>
        <w:spacing w:line="360" w:lineRule="auto"/>
        <w:ind w:firstLine="560"/>
        <w:rPr>
          <w:color w:val="000000" w:themeColor="text1"/>
          <w:szCs w:val="21"/>
          <w14:textFill>
            <w14:solidFill>
              <w14:schemeClr w14:val="tx1"/>
            </w14:solidFill>
          </w14:textFill>
        </w:rPr>
      </w:pPr>
      <w:bookmarkStart w:id="988" w:name="_Toc507351186"/>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）日常考核</w:t>
      </w:r>
    </w:p>
    <w:p>
      <w:pPr>
        <w:spacing w:line="360" w:lineRule="auto"/>
        <w:ind w:firstLine="560"/>
        <w:rPr>
          <w:color w:val="000000" w:themeColor="text1"/>
          <w:szCs w:val="21"/>
          <w14:textFill>
            <w14:solidFill>
              <w14:schemeClr w14:val="tx1"/>
            </w14:solidFill>
          </w14:textFill>
        </w:rPr>
      </w:pPr>
      <w:bookmarkStart w:id="989" w:name="_Hlk505444893"/>
      <w:r>
        <w:rPr>
          <w:rFonts w:hint="eastAsia"/>
          <w:color w:val="000000" w:themeColor="text1"/>
          <w:szCs w:val="21"/>
          <w14:textFill>
            <w14:solidFill>
              <w14:schemeClr w14:val="tx1"/>
            </w14:solidFill>
          </w14:textFill>
        </w:rPr>
        <w:t>日常考核内容共分为项目公司管理、日常养护两类</w:t>
      </w:r>
      <w:bookmarkEnd w:id="989"/>
      <w:r>
        <w:rPr>
          <w:rFonts w:hint="eastAsia"/>
          <w:color w:val="000000" w:themeColor="text1"/>
          <w:szCs w:val="21"/>
          <w14:textFill>
            <w14:solidFill>
              <w14:schemeClr w14:val="tx1"/>
            </w14:solidFill>
          </w14:textFill>
        </w:rPr>
        <w:t>。</w:t>
      </w:r>
    </w:p>
    <w:p>
      <w:pPr>
        <w:spacing w:line="360" w:lineRule="auto"/>
        <w:ind w:firstLine="56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）项目管理</w:t>
      </w:r>
    </w:p>
    <w:p>
      <w:pPr>
        <w:spacing w:line="360" w:lineRule="auto"/>
        <w:ind w:firstLine="56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包括建立健全</w:t>
      </w:r>
      <w:bookmarkStart w:id="990" w:name="_Hlk516256620"/>
      <w:r>
        <w:rPr>
          <w:rFonts w:hint="eastAsia"/>
          <w:color w:val="000000" w:themeColor="text1"/>
          <w:szCs w:val="21"/>
          <w14:textFill>
            <w14:solidFill>
              <w14:schemeClr w14:val="tx1"/>
            </w14:solidFill>
          </w14:textFill>
        </w:rPr>
        <w:t>巡查制度、安全生产制度、养护制度、档案管理制度</w:t>
      </w:r>
      <w:bookmarkEnd w:id="990"/>
      <w:r>
        <w:rPr>
          <w:rFonts w:hint="eastAsia"/>
          <w:color w:val="000000" w:themeColor="text1"/>
          <w:szCs w:val="21"/>
          <w14:textFill>
            <w14:solidFill>
              <w14:schemeClr w14:val="tx1"/>
            </w14:solidFill>
          </w14:textFill>
        </w:rPr>
        <w:t>、人员管理、培训教育、机械管理、物资管理、安全检查</w:t>
      </w:r>
      <w:r>
        <w:rPr>
          <w:color w:val="000000" w:themeColor="text1"/>
          <w:szCs w:val="21"/>
          <w14:textFill>
            <w14:solidFill>
              <w14:schemeClr w14:val="tx1"/>
            </w14:solidFill>
          </w14:textFill>
        </w:rPr>
        <w:t>9</w:t>
      </w:r>
      <w:r>
        <w:rPr>
          <w:rFonts w:hint="eastAsia"/>
          <w:color w:val="000000" w:themeColor="text1"/>
          <w:szCs w:val="21"/>
          <w14:textFill>
            <w14:solidFill>
              <w14:schemeClr w14:val="tx1"/>
            </w14:solidFill>
          </w14:textFill>
        </w:rPr>
        <w:t>项考核内容。</w:t>
      </w:r>
    </w:p>
    <w:p>
      <w:pPr>
        <w:spacing w:line="360" w:lineRule="auto"/>
        <w:ind w:firstLine="56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b</w:t>
      </w:r>
      <w:r>
        <w:rPr>
          <w:rFonts w:hint="eastAsia"/>
          <w:color w:val="000000" w:themeColor="text1"/>
          <w:szCs w:val="21"/>
          <w14:textFill>
            <w14:solidFill>
              <w14:schemeClr w14:val="tx1"/>
            </w14:solidFill>
          </w14:textFill>
        </w:rPr>
        <w:t>）日常养护</w:t>
      </w:r>
    </w:p>
    <w:p>
      <w:pPr>
        <w:spacing w:line="360" w:lineRule="auto"/>
        <w:ind w:firstLine="560"/>
        <w:rPr>
          <w:color w:val="000000" w:themeColor="text1"/>
          <w:szCs w:val="21"/>
          <w14:textFill>
            <w14:solidFill>
              <w14:schemeClr w14:val="tx1"/>
            </w14:solidFill>
          </w14:textFill>
        </w:rPr>
      </w:pPr>
      <w:bookmarkStart w:id="991" w:name="_Hlk516256060"/>
      <w:r>
        <w:rPr>
          <w:rFonts w:hint="eastAsia"/>
          <w:color w:val="000000" w:themeColor="text1"/>
          <w:szCs w:val="21"/>
          <w14:textFill>
            <w14:solidFill>
              <w14:schemeClr w14:val="tx1"/>
            </w14:solidFill>
          </w14:textFill>
        </w:rPr>
        <w:t>包括日常保洁、日常养护（隧道）（车、人行道设施、路面养护、交通智能与交安设施、排水系统、通风系统、供配电系统、照明系统、监控系统、消防系统）、日常养护（管廊）（消防系统、通风系统、排水系统、供配电系统、照明系统、监控系统）、道路及绿化养护（路面养护、路灯、景观绿化）</w:t>
      </w:r>
      <w:bookmarkEnd w:id="991"/>
      <w:r>
        <w:rPr>
          <w:color w:val="000000" w:themeColor="text1"/>
          <w:szCs w:val="21"/>
          <w14:textFill>
            <w14:solidFill>
              <w14:schemeClr w14:val="tx1"/>
            </w14:solidFill>
          </w14:textFill>
        </w:rPr>
        <w:t>19</w:t>
      </w:r>
      <w:r>
        <w:rPr>
          <w:rFonts w:hint="eastAsia"/>
          <w:color w:val="000000" w:themeColor="text1"/>
          <w:szCs w:val="21"/>
          <w14:textFill>
            <w14:solidFill>
              <w14:schemeClr w14:val="tx1"/>
            </w14:solidFill>
          </w14:textFill>
        </w:rPr>
        <w:t>项考核内容。</w:t>
      </w:r>
    </w:p>
    <w:p>
      <w:pPr>
        <w:spacing w:line="360" w:lineRule="auto"/>
        <w:ind w:firstLine="56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w:t>
      </w:r>
      <w:bookmarkStart w:id="992" w:name="_Hlk505444916"/>
      <w:r>
        <w:rPr>
          <w:rFonts w:hint="eastAsia"/>
          <w:color w:val="000000" w:themeColor="text1"/>
          <w:szCs w:val="21"/>
          <w14:textFill>
            <w14:solidFill>
              <w14:schemeClr w14:val="tx1"/>
            </w14:solidFill>
          </w14:textFill>
        </w:rPr>
        <w:t>综合考核</w:t>
      </w:r>
      <w:bookmarkEnd w:id="992"/>
    </w:p>
    <w:p>
      <w:pPr>
        <w:spacing w:line="360" w:lineRule="auto"/>
        <w:ind w:firstLine="56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综合考核内容共分为设施可用性、安全和突发事件管理两类。</w:t>
      </w:r>
    </w:p>
    <w:p>
      <w:pPr>
        <w:spacing w:line="360" w:lineRule="auto"/>
        <w:ind w:firstLine="56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）设施可用性</w:t>
      </w:r>
    </w:p>
    <w:p>
      <w:pPr>
        <w:spacing w:line="360" w:lineRule="auto"/>
        <w:ind w:firstLine="56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在实施设施日常养护维修过程中，按照工程养护规范和技术规程对隧道主体结构、管廊结构及附属设施中存在的缺陷进行修复，对道路损坏进行修复，对绿化景观外观及存活率和交通通行情况进行考核，共</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项考核内容。</w:t>
      </w:r>
    </w:p>
    <w:p>
      <w:pPr>
        <w:spacing w:line="360" w:lineRule="auto"/>
        <w:ind w:firstLine="56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b</w:t>
      </w:r>
      <w:r>
        <w:rPr>
          <w:rFonts w:hint="eastAsia"/>
          <w:color w:val="000000" w:themeColor="text1"/>
          <w:szCs w:val="21"/>
          <w14:textFill>
            <w14:solidFill>
              <w14:schemeClr w14:val="tx1"/>
            </w14:solidFill>
          </w14:textFill>
        </w:rPr>
        <w:t>）安全和突发事件管理</w:t>
      </w:r>
    </w:p>
    <w:p>
      <w:pPr>
        <w:spacing w:line="360" w:lineRule="auto"/>
        <w:ind w:firstLine="64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认真履行社会责任、安全生产责任，妥善处理各类事件、问题。主要分为：安全生产、应急预案及抢修、防汛抗雪、检测评估、督查发现问题及处理、媒体舆情</w:t>
      </w: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项考核内容。</w:t>
      </w:r>
    </w:p>
    <w:p>
      <w:pPr>
        <w:pStyle w:val="4"/>
        <w:rPr>
          <w:rFonts w:eastAsia="宋体"/>
          <w:b/>
          <w:sz w:val="21"/>
        </w:rPr>
      </w:pPr>
      <w:bookmarkStart w:id="993" w:name="_Toc509679732"/>
      <w:bookmarkStart w:id="994" w:name="_Toc512509321"/>
      <w:bookmarkStart w:id="995" w:name="_Toc516399855"/>
      <w:bookmarkStart w:id="996" w:name="_Toc522635631"/>
      <w:r>
        <w:rPr>
          <w:rFonts w:hint="eastAsia" w:eastAsia="宋体"/>
          <w:b/>
          <w:sz w:val="21"/>
        </w:rPr>
        <w:t>二、考核标准</w:t>
      </w:r>
      <w:bookmarkEnd w:id="988"/>
      <w:bookmarkEnd w:id="993"/>
      <w:bookmarkEnd w:id="994"/>
      <w:bookmarkEnd w:id="995"/>
      <w:bookmarkEnd w:id="996"/>
    </w:p>
    <w:p>
      <w:pPr>
        <w:spacing w:line="360" w:lineRule="auto"/>
        <w:ind w:firstLine="56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具体考核评分方案见下表（根据实际情况在招标文件进行调整），若双方根据项目工程运营养护实际经协商一致可在该考核评分方案基础上合理修正执行。</w:t>
      </w:r>
    </w:p>
    <w:tbl>
      <w:tblPr>
        <w:tblStyle w:val="57"/>
        <w:tblW w:w="10200" w:type="dxa"/>
        <w:jc w:val="center"/>
        <w:tblInd w:w="0" w:type="dxa"/>
        <w:tblLayout w:type="fixed"/>
        <w:tblCellMar>
          <w:top w:w="0" w:type="dxa"/>
          <w:left w:w="108" w:type="dxa"/>
          <w:bottom w:w="0" w:type="dxa"/>
          <w:right w:w="108" w:type="dxa"/>
        </w:tblCellMar>
      </w:tblPr>
      <w:tblGrid>
        <w:gridCol w:w="760"/>
        <w:gridCol w:w="846"/>
        <w:gridCol w:w="1060"/>
        <w:gridCol w:w="1080"/>
        <w:gridCol w:w="2280"/>
        <w:gridCol w:w="2134"/>
        <w:gridCol w:w="620"/>
        <w:gridCol w:w="700"/>
        <w:gridCol w:w="720"/>
      </w:tblGrid>
      <w:tr>
        <w:tblPrEx>
          <w:tblLayout w:type="fixed"/>
          <w:tblCellMar>
            <w:top w:w="0" w:type="dxa"/>
            <w:left w:w="108" w:type="dxa"/>
            <w:bottom w:w="0" w:type="dxa"/>
            <w:right w:w="108" w:type="dxa"/>
          </w:tblCellMar>
        </w:tblPrEx>
        <w:trPr>
          <w:trHeight w:val="285" w:hRule="atLeast"/>
          <w:tblHeader/>
          <w:jc w:val="center"/>
        </w:trPr>
        <w:tc>
          <w:tcPr>
            <w:tcW w:w="10200" w:type="dxa"/>
            <w:gridSpan w:val="9"/>
            <w:tcBorders>
              <w:top w:val="nil"/>
              <w:left w:val="nil"/>
              <w:bottom w:val="single" w:color="auto" w:sz="4" w:space="0"/>
              <w:right w:val="nil"/>
            </w:tcBorders>
            <w:shd w:val="clear" w:color="auto" w:fill="auto"/>
            <w:vAlign w:val="bottom"/>
          </w:tcPr>
          <w:p>
            <w:pPr>
              <w:widowControl/>
              <w:jc w:val="center"/>
              <w:rPr>
                <w:b/>
                <w:szCs w:val="21"/>
              </w:rPr>
            </w:pPr>
            <w:r>
              <w:rPr>
                <w:rFonts w:hint="eastAsia"/>
                <w:b/>
                <w:szCs w:val="21"/>
              </w:rPr>
              <w:t>表</w:t>
            </w:r>
            <w:r>
              <w:rPr>
                <w:b/>
                <w:szCs w:val="21"/>
              </w:rPr>
              <w:t xml:space="preserve">1 </w:t>
            </w:r>
            <w:r>
              <w:rPr>
                <w:rFonts w:hint="eastAsia"/>
                <w:b/>
                <w:szCs w:val="21"/>
              </w:rPr>
              <w:t>日常考核打分表</w:t>
            </w:r>
          </w:p>
        </w:tc>
      </w:tr>
      <w:tr>
        <w:tblPrEx>
          <w:tblLayout w:type="fixed"/>
          <w:tblCellMar>
            <w:top w:w="0" w:type="dxa"/>
            <w:left w:w="108" w:type="dxa"/>
            <w:bottom w:w="0" w:type="dxa"/>
            <w:right w:w="108" w:type="dxa"/>
          </w:tblCellMar>
        </w:tblPrEx>
        <w:trPr>
          <w:trHeight w:val="285" w:hRule="atLeast"/>
          <w:tblHeader/>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序号</w:t>
            </w:r>
          </w:p>
        </w:tc>
        <w:tc>
          <w:tcPr>
            <w:tcW w:w="190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考核类别</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考核项目</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考核内容</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扣分标准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分值</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扣分</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备注</w:t>
            </w:r>
          </w:p>
        </w:tc>
      </w:tr>
      <w:tr>
        <w:tblPrEx>
          <w:tblLayout w:type="fixed"/>
          <w:tblCellMar>
            <w:top w:w="0" w:type="dxa"/>
            <w:left w:w="108" w:type="dxa"/>
            <w:bottom w:w="0" w:type="dxa"/>
            <w:right w:w="108" w:type="dxa"/>
          </w:tblCellMar>
        </w:tblPrEx>
        <w:trPr>
          <w:trHeight w:val="108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84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项目公司管理（</w:t>
            </w:r>
            <w:r>
              <w:rPr>
                <w:rFonts w:ascii="宋体" w:hAnsi="宋体" w:cs="宋体"/>
                <w:color w:val="000000"/>
                <w:kern w:val="0"/>
                <w:szCs w:val="21"/>
              </w:rPr>
              <w:t>20）</w:t>
            </w:r>
          </w:p>
        </w:tc>
        <w:tc>
          <w:tcPr>
            <w:tcW w:w="1060" w:type="dxa"/>
            <w:vMerge w:val="restart"/>
            <w:tcBorders>
              <w:top w:val="nil"/>
              <w:left w:val="single" w:color="auto" w:sz="4" w:space="0"/>
              <w:bottom w:val="nil"/>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管理制度（</w:t>
            </w:r>
            <w:r>
              <w:rPr>
                <w:rFonts w:ascii="宋体" w:hAnsi="宋体" w:cs="宋体"/>
                <w:color w:val="000000"/>
                <w:kern w:val="0"/>
                <w:szCs w:val="21"/>
              </w:rPr>
              <w:t>10）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巡查制度</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建立健全日常巡查制度，明确巡查范围、巡查内容、巡查方式及岗位职责等内容。</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未编制日常巡查管理办法的扣</w:t>
            </w:r>
            <w:r>
              <w:rPr>
                <w:rFonts w:ascii="宋体" w:hAnsi="宋体" w:cs="宋体"/>
                <w:color w:val="000000"/>
                <w:kern w:val="0"/>
                <w:szCs w:val="21"/>
              </w:rPr>
              <w:t>2分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81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安全生产制度</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建立健全安全生产管理制度，并严格落实执行</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未建立安全生产管理制度的扣</w:t>
            </w:r>
            <w:r>
              <w:rPr>
                <w:rFonts w:ascii="宋体" w:hAnsi="宋体" w:cs="宋体"/>
                <w:color w:val="000000"/>
                <w:kern w:val="0"/>
                <w:szCs w:val="21"/>
              </w:rPr>
              <w:t>2分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108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养护制度</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建立健全养护制度及方案，及时制定年度养护计划</w:t>
            </w:r>
          </w:p>
        </w:tc>
        <w:tc>
          <w:tcPr>
            <w:tcW w:w="2134"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未制定项目养护管理办法的扣</w:t>
            </w:r>
            <w:r>
              <w:rPr>
                <w:rFonts w:ascii="宋体" w:hAnsi="宋体" w:cs="宋体"/>
                <w:color w:val="000000"/>
                <w:kern w:val="0"/>
                <w:szCs w:val="21"/>
              </w:rPr>
              <w:t>2分，未制定年度</w:t>
            </w:r>
            <w:r>
              <w:rPr>
                <w:rFonts w:hint="eastAsia" w:ascii="宋体" w:hAnsi="宋体" w:cs="宋体"/>
                <w:color w:val="000000"/>
                <w:kern w:val="0"/>
                <w:szCs w:val="21"/>
              </w:rPr>
              <w:t>养护计划并及时报送的扣</w:t>
            </w:r>
            <w:r>
              <w:rPr>
                <w:rFonts w:ascii="宋体" w:hAnsi="宋体" w:cs="宋体"/>
                <w:color w:val="000000"/>
                <w:kern w:val="0"/>
                <w:szCs w:val="21"/>
              </w:rPr>
              <w:t>2分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270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档案管理制度</w:t>
            </w:r>
          </w:p>
        </w:tc>
        <w:tc>
          <w:tcPr>
            <w:tcW w:w="2280"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建立完备的档案管理制度，包括资料的收集、整理、鉴定、统计、归档、保管、借阅、检查、销毁等规定和工作流程；设施档案要求完整、准确、清晰，建立一设施一档案，竣工图纸及验收记录、观测或监测点（部件）资料、养护维修资料和特殊情况资料应齐全。</w:t>
            </w:r>
          </w:p>
        </w:tc>
        <w:tc>
          <w:tcPr>
            <w:tcW w:w="2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未建立档案管理制度的扣</w:t>
            </w:r>
            <w:r>
              <w:rPr>
                <w:color w:val="000000"/>
                <w:kern w:val="0"/>
                <w:szCs w:val="21"/>
              </w:rPr>
              <w:t>2</w:t>
            </w:r>
            <w:r>
              <w:rPr>
                <w:rFonts w:hint="eastAsia" w:ascii="宋体" w:hAnsi="宋体" w:cs="宋体"/>
                <w:color w:val="000000"/>
                <w:kern w:val="0"/>
                <w:szCs w:val="21"/>
              </w:rPr>
              <w:t>分，竣工图纸及验收记录、养护维修资料、观测或监测点（部件）资料和特殊情况资料不齐全的扣</w:t>
            </w:r>
            <w:r>
              <w:rPr>
                <w:color w:val="000000"/>
                <w:kern w:val="0"/>
                <w:szCs w:val="21"/>
              </w:rPr>
              <w:t>2</w:t>
            </w:r>
            <w:r>
              <w:rPr>
                <w:rFonts w:hint="eastAsia" w:ascii="宋体" w:hAnsi="宋体" w:cs="宋体"/>
                <w:color w:val="000000"/>
                <w:kern w:val="0"/>
                <w:szCs w:val="21"/>
              </w:rPr>
              <w:t>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375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人员、物资、机械管理（</w:t>
            </w:r>
            <w:r>
              <w:rPr>
                <w:rFonts w:ascii="宋体" w:hAnsi="宋体" w:cs="宋体"/>
                <w:color w:val="000000"/>
                <w:kern w:val="0"/>
                <w:szCs w:val="21"/>
              </w:rPr>
              <w:t>10）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人员管理</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建立组织管理体系的，配置相适应的专业技术人员（其中日常巡查人员至少</w:t>
            </w:r>
            <w:r>
              <w:rPr>
                <w:rFonts w:ascii="宋体" w:hAnsi="宋体" w:cs="宋体"/>
                <w:color w:val="000000"/>
                <w:kern w:val="0"/>
                <w:szCs w:val="21"/>
              </w:rPr>
              <w:t>1人），配备或选择相应能力的养护维修队伍。</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未建立组织管理体系的，扣</w:t>
            </w:r>
            <w:r>
              <w:rPr>
                <w:rFonts w:ascii="宋体" w:hAnsi="宋体" w:cs="宋体"/>
                <w:color w:val="000000"/>
                <w:kern w:val="0"/>
                <w:szCs w:val="21"/>
              </w:rPr>
              <w:t>1分；按隧道及管廊养护技术规范的需要，未配置相适应的专业技术人员扣1分；未配备或选择相应能力的养护维修队伍扣1分.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162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6</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培训教育</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定期加强对作业人员安全生产的教育培训，每年不少于</w:t>
            </w:r>
            <w:r>
              <w:rPr>
                <w:rFonts w:ascii="宋体" w:hAnsi="宋体" w:cs="宋体"/>
                <w:color w:val="000000"/>
                <w:kern w:val="0"/>
                <w:szCs w:val="21"/>
              </w:rPr>
              <w:t>1次，有必要时应进行考核，并形成相关培训资料及记录。</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未进行安全教育培训的扣</w:t>
            </w:r>
            <w:r>
              <w:rPr>
                <w:rFonts w:ascii="宋体" w:hAnsi="宋体" w:cs="宋体"/>
                <w:color w:val="000000"/>
                <w:kern w:val="0"/>
                <w:szCs w:val="21"/>
              </w:rPr>
              <w:t>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81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7</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机械管理</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根据养护方案配备专用养护维修车辆及机械设备。</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未配备专用养护维修车辆及机械设备扣</w:t>
            </w:r>
            <w:r>
              <w:rPr>
                <w:rFonts w:ascii="宋体" w:hAnsi="宋体" w:cs="宋体"/>
                <w:color w:val="000000"/>
                <w:kern w:val="0"/>
                <w:szCs w:val="21"/>
              </w:rPr>
              <w:t>2分；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108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8</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物资管理</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物资配备齐全，且合理堆放</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未按养护方案要求进行物资配备扣</w:t>
            </w:r>
            <w:r>
              <w:rPr>
                <w:rFonts w:ascii="宋体" w:hAnsi="宋体" w:cs="宋体"/>
                <w:color w:val="000000"/>
                <w:kern w:val="0"/>
                <w:szCs w:val="21"/>
              </w:rPr>
              <w:t>1分，未按要求堆放物资发现一次扣0.5分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108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9</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安全检查</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定期或不定期开展安全综合检查，做好书面检查记录与整改记录。</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未开展安全综合检查的扣</w:t>
            </w:r>
            <w:r>
              <w:rPr>
                <w:rFonts w:ascii="宋体" w:hAnsi="宋体" w:cs="宋体"/>
                <w:color w:val="000000"/>
                <w:kern w:val="0"/>
                <w:szCs w:val="21"/>
              </w:rPr>
              <w:t>0.5分，检查记录与整改资料不齐全扣0.5分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3354"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10</w:t>
            </w:r>
          </w:p>
        </w:tc>
        <w:tc>
          <w:tcPr>
            <w:tcW w:w="84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日常养护（</w:t>
            </w:r>
            <w:r>
              <w:rPr>
                <w:rFonts w:ascii="宋体" w:hAnsi="宋体" w:cs="宋体"/>
                <w:color w:val="000000"/>
                <w:kern w:val="0"/>
                <w:szCs w:val="21"/>
              </w:rPr>
              <w:t>80分）</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保洁</w:t>
            </w:r>
            <w:r>
              <w:rPr>
                <w:rFonts w:ascii="宋体" w:hAnsi="宋体" w:cs="宋体"/>
                <w:color w:val="000000"/>
                <w:kern w:val="0"/>
                <w:szCs w:val="21"/>
              </w:rPr>
              <w:br w:type="textWrapping"/>
            </w:r>
            <w:r>
              <w:rPr>
                <w:rFonts w:hint="eastAsia" w:ascii="宋体" w:hAnsi="宋体" w:cs="宋体"/>
                <w:color w:val="000000"/>
                <w:kern w:val="0"/>
                <w:szCs w:val="21"/>
              </w:rPr>
              <w:t>（</w:t>
            </w:r>
            <w:r>
              <w:rPr>
                <w:rFonts w:ascii="宋体" w:hAnsi="宋体" w:cs="宋体"/>
                <w:color w:val="000000"/>
                <w:kern w:val="0"/>
                <w:szCs w:val="21"/>
              </w:rPr>
              <w:t>10分）</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保洁</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按规定频次进行路面及设施保洁</w:t>
            </w:r>
            <w:r>
              <w:rPr>
                <w:rFonts w:ascii="宋体" w:hAnsi="宋体" w:cs="宋体"/>
                <w:color w:val="000000"/>
                <w:kern w:val="0"/>
                <w:szCs w:val="21"/>
              </w:rPr>
              <w:t>;路面存在杂物或垃圾清理不及时；路面存在泥沙、严重积水、水油污渍、粘附物清理不及时；隧道侧墙面、挡墙板存在水油污渍或粘附物等现象；防撞墙存在积土、水油</w:t>
            </w:r>
            <w:r>
              <w:rPr>
                <w:rFonts w:hint="eastAsia" w:ascii="宋体" w:hAnsi="宋体" w:cs="宋体"/>
                <w:color w:val="000000"/>
                <w:kern w:val="0"/>
                <w:szCs w:val="21"/>
              </w:rPr>
              <w:t>污渍或粘附物等现象。需在</w:t>
            </w:r>
            <w:r>
              <w:rPr>
                <w:rFonts w:ascii="宋体" w:hAnsi="宋体" w:cs="宋体"/>
                <w:color w:val="000000"/>
                <w:kern w:val="0"/>
                <w:szCs w:val="21"/>
              </w:rPr>
              <w:t>1个工作日内处理完毕</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未按规定频次进行路面及设施保洁</w:t>
            </w:r>
            <w:r>
              <w:rPr>
                <w:rFonts w:ascii="宋体" w:hAnsi="宋体" w:cs="宋体"/>
                <w:color w:val="000000"/>
                <w:kern w:val="0"/>
                <w:szCs w:val="21"/>
              </w:rPr>
              <w:t>,1次扣0.1分;路面存在杂物或垃圾清理不及时,1处扣0.1分；路面存在泥沙、严重积水、水油污渍、粘附物清理不及时,1处扣0.1分；隧道侧墙</w:t>
            </w:r>
            <w:r>
              <w:rPr>
                <w:rFonts w:hint="eastAsia" w:ascii="宋体" w:hAnsi="宋体" w:cs="宋体"/>
                <w:color w:val="000000"/>
                <w:kern w:val="0"/>
                <w:szCs w:val="21"/>
              </w:rPr>
              <w:t>面、挡墙板存在水油污渍或粘附物等现象</w:t>
            </w:r>
            <w:r>
              <w:rPr>
                <w:rFonts w:ascii="宋体" w:hAnsi="宋体" w:cs="宋体"/>
                <w:color w:val="000000"/>
                <w:kern w:val="0"/>
                <w:szCs w:val="21"/>
              </w:rPr>
              <w:t>,1处扣0.1分；防撞墙存在积土、水油污渍或粘附物等现象,1处扣0.1分；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10</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405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11</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日常养护（管廊）</w:t>
            </w:r>
            <w:r>
              <w:rPr>
                <w:rFonts w:ascii="宋体" w:hAnsi="宋体" w:cs="宋体"/>
                <w:color w:val="000000"/>
                <w:kern w:val="0"/>
                <w:szCs w:val="21"/>
              </w:rPr>
              <w:t>18分</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消防系统</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系统不应出现防火门及防火封堵破损，消火栓及灭火器外观应保持完整性，管廊内的消防安全疏散指示标志、应急照明设施和紧急电话，包括防火门、防火卷帘、消防安全疏散指示标志、应急照明、广播、紧急电话等设施应处于正常状态，如发生以上缺陷，需在</w:t>
            </w:r>
            <w:r>
              <w:rPr>
                <w:rFonts w:ascii="宋体" w:hAnsi="宋体" w:cs="宋体"/>
                <w:color w:val="000000"/>
                <w:kern w:val="0"/>
                <w:szCs w:val="21"/>
              </w:rPr>
              <w:t>7个工作日内完成修复工作。</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缺陷发生后未在</w:t>
            </w:r>
            <w:r>
              <w:rPr>
                <w:rFonts w:ascii="宋体" w:hAnsi="宋体" w:cs="宋体"/>
                <w:color w:val="000000"/>
                <w:kern w:val="0"/>
                <w:szCs w:val="21"/>
              </w:rPr>
              <w:t>7个工作日内修复完毕的每次扣1分。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若发生上述情况，根据相应规范要求进行维护，未按相应规范要求进行维护按扣分处理；若维护时间需要延长，应在约定的维护时间内提前告知行业主管部门，并经行业主管部门确认延长修复时间，否则按扣分处理。</w:t>
            </w:r>
          </w:p>
        </w:tc>
      </w:tr>
      <w:tr>
        <w:tblPrEx>
          <w:tblLayout w:type="fixed"/>
          <w:tblCellMar>
            <w:top w:w="0" w:type="dxa"/>
            <w:left w:w="108" w:type="dxa"/>
            <w:bottom w:w="0" w:type="dxa"/>
            <w:right w:w="108" w:type="dxa"/>
          </w:tblCellMar>
        </w:tblPrEx>
        <w:trPr>
          <w:trHeight w:val="243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12</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通风系统</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通风系统应保证正常工作，风管固定部件无脱落、松动，风管外观无破损，风口处无异物堵塞，通风通畅，风机运转正常，如发生以上缺陷，需在</w:t>
            </w:r>
            <w:r>
              <w:rPr>
                <w:rFonts w:ascii="宋体" w:hAnsi="宋体" w:cs="宋体"/>
                <w:color w:val="000000"/>
                <w:kern w:val="0"/>
                <w:szCs w:val="21"/>
              </w:rPr>
              <w:t>7个工作日内完成修复工作。</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缺陷发生后未在</w:t>
            </w:r>
            <w:r>
              <w:rPr>
                <w:rFonts w:ascii="宋体" w:hAnsi="宋体" w:cs="宋体"/>
                <w:color w:val="000000"/>
                <w:kern w:val="0"/>
                <w:szCs w:val="21"/>
              </w:rPr>
              <w:t>7个工作日内修复完毕的每次扣1分。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16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13</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排水系统</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排水系统应保证正常工作，排水管道无渗漏、变形及裂缝，潜水泵负荷开关、控制箱、水位仪正常运作，如发生以上缺陷，需在</w:t>
            </w:r>
            <w:r>
              <w:rPr>
                <w:rFonts w:ascii="宋体" w:hAnsi="宋体" w:cs="宋体"/>
                <w:color w:val="000000"/>
                <w:kern w:val="0"/>
                <w:szCs w:val="21"/>
              </w:rPr>
              <w:t>7个工作日内完成修复工作。</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缺陷发生后未在</w:t>
            </w:r>
            <w:r>
              <w:rPr>
                <w:rFonts w:ascii="宋体" w:hAnsi="宋体" w:cs="宋体"/>
                <w:color w:val="000000"/>
                <w:kern w:val="0"/>
                <w:szCs w:val="21"/>
              </w:rPr>
              <w:t>7个工作日内修复完毕的每次扣1分。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108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14</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供配电系统</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供配电系统应保证正常工作，如发生以上缺陷，需在</w:t>
            </w:r>
            <w:r>
              <w:rPr>
                <w:rFonts w:ascii="宋体" w:hAnsi="宋体" w:cs="宋体"/>
                <w:color w:val="000000"/>
                <w:kern w:val="0"/>
                <w:szCs w:val="21"/>
              </w:rPr>
              <w:t>7个工作日内完成修复工作。</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缺陷发生后未在</w:t>
            </w:r>
            <w:r>
              <w:rPr>
                <w:rFonts w:ascii="宋体" w:hAnsi="宋体" w:cs="宋体"/>
                <w:color w:val="000000"/>
                <w:kern w:val="0"/>
                <w:szCs w:val="21"/>
              </w:rPr>
              <w:t>7个工作日内修复完毕的每次扣1分。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108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15</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照明系统</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照明系统应保证正常工作，如发生以上缺陷，需在</w:t>
            </w:r>
            <w:r>
              <w:rPr>
                <w:rFonts w:ascii="宋体" w:hAnsi="宋体" w:cs="宋体"/>
                <w:color w:val="000000"/>
                <w:kern w:val="0"/>
                <w:szCs w:val="21"/>
              </w:rPr>
              <w:t>7个工作日内完成修复工作。</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缺陷发生后未在</w:t>
            </w:r>
            <w:r>
              <w:rPr>
                <w:rFonts w:ascii="宋体" w:hAnsi="宋体" w:cs="宋体"/>
                <w:color w:val="000000"/>
                <w:kern w:val="0"/>
                <w:szCs w:val="21"/>
              </w:rPr>
              <w:t>7个工作日内修复完毕的每次扣1分。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108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16</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监控系统</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监控设备运转有效，如发生以上缺陷，需在</w:t>
            </w:r>
            <w:r>
              <w:rPr>
                <w:rFonts w:ascii="宋体" w:hAnsi="宋体" w:cs="宋体"/>
                <w:color w:val="000000"/>
                <w:kern w:val="0"/>
                <w:szCs w:val="21"/>
              </w:rPr>
              <w:t>7个工作日内完成修复工作。</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缺陷发生后未在</w:t>
            </w:r>
            <w:r>
              <w:rPr>
                <w:rFonts w:ascii="宋体" w:hAnsi="宋体" w:cs="宋体"/>
                <w:color w:val="000000"/>
                <w:kern w:val="0"/>
                <w:szCs w:val="21"/>
              </w:rPr>
              <w:t>7个工作日内修复完毕的每次扣1分。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135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17</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日常养护（隧道）</w:t>
            </w:r>
            <w:r>
              <w:rPr>
                <w:rFonts w:ascii="宋体" w:hAnsi="宋体" w:cs="宋体"/>
                <w:color w:val="000000"/>
                <w:kern w:val="0"/>
                <w:szCs w:val="21"/>
              </w:rPr>
              <w:t>42分</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车</w:t>
            </w:r>
            <w:r>
              <w:rPr>
                <w:rFonts w:ascii="宋体" w:hAnsi="宋体" w:cs="宋体"/>
                <w:color w:val="000000"/>
                <w:kern w:val="0"/>
                <w:szCs w:val="21"/>
              </w:rPr>
              <w:t>/人行道设施</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出现影响车辆</w:t>
            </w:r>
            <w:r>
              <w:rPr>
                <w:rFonts w:ascii="宋体" w:hAnsi="宋体" w:cs="宋体"/>
                <w:color w:val="000000"/>
                <w:kern w:val="0"/>
                <w:szCs w:val="21"/>
              </w:rPr>
              <w:t>/行人安全的道路设施质量缺陷，如发生以上缺</w:t>
            </w:r>
            <w:r>
              <w:rPr>
                <w:rFonts w:hint="eastAsia" w:ascii="宋体" w:hAnsi="宋体" w:cs="宋体"/>
                <w:color w:val="000000"/>
                <w:kern w:val="0"/>
                <w:szCs w:val="21"/>
              </w:rPr>
              <w:t>陷，需在</w:t>
            </w:r>
            <w:r>
              <w:rPr>
                <w:rFonts w:ascii="宋体" w:hAnsi="宋体" w:cs="宋体"/>
                <w:color w:val="000000"/>
                <w:kern w:val="0"/>
                <w:szCs w:val="21"/>
              </w:rPr>
              <w:t>7个工作日内完成修复工作。</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缺陷发生后未在</w:t>
            </w:r>
            <w:r>
              <w:rPr>
                <w:rFonts w:ascii="宋体" w:hAnsi="宋体" w:cs="宋体"/>
                <w:color w:val="000000"/>
                <w:kern w:val="0"/>
                <w:szCs w:val="21"/>
              </w:rPr>
              <w:t>7个工作日内修复完毕的每次扣1分。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43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18</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路面养护（隧道）</w:t>
            </w:r>
          </w:p>
        </w:tc>
        <w:tc>
          <w:tcPr>
            <w:tcW w:w="2280"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路面发生坑洞、病害、结冰等影响通行安全，应及时修补。</w:t>
            </w:r>
          </w:p>
        </w:tc>
        <w:tc>
          <w:tcPr>
            <w:tcW w:w="213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111111"/>
                <w:kern w:val="0"/>
                <w:szCs w:val="21"/>
              </w:rPr>
            </w:pPr>
            <w:r>
              <w:rPr>
                <w:rFonts w:hint="eastAsia" w:ascii="宋体" w:hAnsi="宋体" w:cs="宋体"/>
                <w:color w:val="111111"/>
                <w:kern w:val="0"/>
                <w:szCs w:val="21"/>
              </w:rPr>
              <w:t>存在影响行车安全的病害及缺陷</w:t>
            </w:r>
            <w:r>
              <w:rPr>
                <w:rFonts w:ascii="宋体" w:hAnsi="宋体" w:cs="宋体"/>
                <w:color w:val="111111"/>
                <w:kern w:val="0"/>
                <w:szCs w:val="21"/>
              </w:rPr>
              <w:t>,修补不及时,发现1处加扣0.5分，病害修复不规范或未达到质量目标，每1处加扣0.5分；路面结冰影响行车安全的，未及时清理，发现1处扣0.5分；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162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19</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交通智能与交安设施</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交通标志牌、交通标志标线清晰，信号灯、护栏等能正常使用，如发生以上缺陷，需在</w:t>
            </w:r>
            <w:r>
              <w:rPr>
                <w:rFonts w:ascii="宋体" w:hAnsi="宋体" w:cs="宋体"/>
                <w:color w:val="000000"/>
                <w:kern w:val="0"/>
                <w:szCs w:val="21"/>
              </w:rPr>
              <w:t>7个工作日内完成修复工作。</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缺陷发生后未在</w:t>
            </w:r>
            <w:r>
              <w:rPr>
                <w:rFonts w:ascii="宋体" w:hAnsi="宋体" w:cs="宋体"/>
                <w:color w:val="000000"/>
                <w:kern w:val="0"/>
                <w:szCs w:val="21"/>
              </w:rPr>
              <w:t>7个工作日内修复完毕的每次扣1分。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16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20</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排水系统</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排水设施应确保设施完整，功能健全，排水畅通。若出现局部设施遗失损毁或边沟、排水沟等因泥沙淤积以致排水不畅者，要求在发现之日起</w:t>
            </w:r>
            <w:r>
              <w:rPr>
                <w:rFonts w:ascii="宋体" w:hAnsi="宋体" w:cs="宋体"/>
                <w:color w:val="000000"/>
                <w:kern w:val="0"/>
                <w:szCs w:val="21"/>
              </w:rPr>
              <w:t>7</w:t>
            </w:r>
            <w:r>
              <w:rPr>
                <w:rFonts w:hint="eastAsia" w:ascii="宋体" w:hAnsi="宋体" w:cs="宋体"/>
                <w:color w:val="000000"/>
                <w:kern w:val="0"/>
                <w:szCs w:val="21"/>
              </w:rPr>
              <w:t>个工作日内修复完毕。</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缺陷发生后未在</w:t>
            </w:r>
            <w:r>
              <w:rPr>
                <w:rFonts w:ascii="宋体" w:hAnsi="宋体" w:cs="宋体"/>
                <w:color w:val="000000"/>
                <w:kern w:val="0"/>
                <w:szCs w:val="21"/>
              </w:rPr>
              <w:t>7个工作日内修复完毕的每次扣1分。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43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21</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通风系统</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通风系统应保证正常工作，风管固定部件无脱落、松动，风管外观无破损，风口处无异物堵塞，通风通畅，风机运转正常，如发生以上缺陷，需在</w:t>
            </w:r>
            <w:r>
              <w:rPr>
                <w:rFonts w:ascii="宋体" w:hAnsi="宋体" w:cs="宋体"/>
                <w:color w:val="000000"/>
                <w:kern w:val="0"/>
                <w:szCs w:val="21"/>
              </w:rPr>
              <w:t>7个工作日内完成修复工作。</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缺陷发生后未在</w:t>
            </w:r>
            <w:r>
              <w:rPr>
                <w:rFonts w:ascii="宋体" w:hAnsi="宋体" w:cs="宋体"/>
                <w:color w:val="000000"/>
                <w:kern w:val="0"/>
                <w:szCs w:val="21"/>
              </w:rPr>
              <w:t>7个工作日内修复完毕的每次扣1分。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108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22</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供配电系统</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供配电系统应保证正常工作，如发生以上缺陷，需在</w:t>
            </w:r>
            <w:r>
              <w:rPr>
                <w:rFonts w:ascii="宋体" w:hAnsi="宋体" w:cs="宋体"/>
                <w:color w:val="000000"/>
                <w:kern w:val="0"/>
                <w:szCs w:val="21"/>
              </w:rPr>
              <w:t>7个工作日内完成修复工作。</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缺陷发生后未在</w:t>
            </w:r>
            <w:r>
              <w:rPr>
                <w:rFonts w:ascii="宋体" w:hAnsi="宋体" w:cs="宋体"/>
                <w:color w:val="000000"/>
                <w:kern w:val="0"/>
                <w:szCs w:val="21"/>
              </w:rPr>
              <w:t>7个工作日内修复完毕的每次扣1分。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108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23</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照明系统</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照明系统应保证正常工作，如发生缺陷，按照相应规范要求进行维护。</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缺陷发生后未在</w:t>
            </w:r>
            <w:r>
              <w:rPr>
                <w:rFonts w:ascii="宋体" w:hAnsi="宋体" w:cs="宋体"/>
                <w:color w:val="000000"/>
                <w:kern w:val="0"/>
                <w:szCs w:val="21"/>
              </w:rPr>
              <w:t>7个工作日内修复完毕的每次扣1分。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108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24</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监控系统</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监控设备运转有效，如发生以上缺陷，需在</w:t>
            </w:r>
            <w:r>
              <w:rPr>
                <w:rFonts w:ascii="宋体" w:hAnsi="宋体" w:cs="宋体"/>
                <w:color w:val="000000"/>
                <w:kern w:val="0"/>
                <w:szCs w:val="21"/>
              </w:rPr>
              <w:t>7个工作日内完成修复工作。</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缺陷发生后未在</w:t>
            </w:r>
            <w:r>
              <w:rPr>
                <w:rFonts w:ascii="宋体" w:hAnsi="宋体" w:cs="宋体"/>
                <w:color w:val="000000"/>
                <w:kern w:val="0"/>
                <w:szCs w:val="21"/>
              </w:rPr>
              <w:t>7个工作日内修复完毕的每次扣1分。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078"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25</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消防系统</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系统不应出现防火门及防火封堵破损，消火栓及灭火器外观应保持完整性，管廊内的消防安全疏散指示标志、应急照明设施和紧急电话，包括防火门、防火卷帘、消防安全疏散指示标志、应急照明、广播、紧急电话等设施应处于正常状态，如发生以上缺陷，需在</w:t>
            </w:r>
            <w:r>
              <w:rPr>
                <w:rFonts w:ascii="宋体" w:hAnsi="宋体" w:cs="宋体"/>
                <w:color w:val="000000"/>
                <w:kern w:val="0"/>
                <w:szCs w:val="21"/>
              </w:rPr>
              <w:t>7个工作日内完成修复工作。</w:t>
            </w:r>
          </w:p>
        </w:tc>
        <w:tc>
          <w:tcPr>
            <w:tcW w:w="2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缺陷发生后未在</w:t>
            </w:r>
            <w:r>
              <w:rPr>
                <w:rFonts w:ascii="宋体" w:hAnsi="宋体" w:cs="宋体"/>
                <w:color w:val="000000"/>
                <w:kern w:val="0"/>
                <w:szCs w:val="21"/>
              </w:rPr>
              <w:t>7个工作日内修复完毕的每次扣1分。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43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26</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道路及绿化养护（</w:t>
            </w:r>
            <w:r>
              <w:rPr>
                <w:rFonts w:ascii="宋体" w:hAnsi="宋体" w:cs="宋体"/>
                <w:color w:val="000000"/>
                <w:kern w:val="0"/>
                <w:szCs w:val="21"/>
              </w:rPr>
              <w:t>10分）</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路面养护（连接线）</w:t>
            </w:r>
          </w:p>
        </w:tc>
        <w:tc>
          <w:tcPr>
            <w:tcW w:w="2280"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路面发生坑洞、病害、结冰等影响通行安全，应及时修补。</w:t>
            </w:r>
          </w:p>
        </w:tc>
        <w:tc>
          <w:tcPr>
            <w:tcW w:w="213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111111"/>
                <w:kern w:val="0"/>
                <w:szCs w:val="21"/>
              </w:rPr>
            </w:pPr>
            <w:r>
              <w:rPr>
                <w:rFonts w:ascii="宋体" w:hAnsi="宋体" w:cs="宋体"/>
                <w:color w:val="111111"/>
                <w:kern w:val="0"/>
                <w:szCs w:val="21"/>
              </w:rPr>
              <w:t>存在影响行车安全的病害及缺陷,</w:t>
            </w:r>
            <w:r>
              <w:rPr>
                <w:rFonts w:hint="eastAsia" w:ascii="宋体" w:hAnsi="宋体" w:cs="宋体"/>
                <w:color w:val="111111"/>
                <w:kern w:val="0"/>
                <w:szCs w:val="21"/>
              </w:rPr>
              <w:t>修补不及时</w:t>
            </w:r>
            <w:r>
              <w:rPr>
                <w:rFonts w:ascii="宋体" w:hAnsi="宋体" w:cs="宋体"/>
                <w:color w:val="111111"/>
                <w:kern w:val="0"/>
                <w:szCs w:val="21"/>
              </w:rPr>
              <w:t>,</w:t>
            </w:r>
            <w:r>
              <w:rPr>
                <w:rFonts w:hint="eastAsia" w:ascii="宋体" w:hAnsi="宋体" w:cs="宋体"/>
                <w:color w:val="111111"/>
                <w:kern w:val="0"/>
                <w:szCs w:val="21"/>
              </w:rPr>
              <w:t>发现</w:t>
            </w:r>
            <w:r>
              <w:rPr>
                <w:rFonts w:ascii="宋体" w:hAnsi="宋体" w:cs="宋体"/>
                <w:color w:val="111111"/>
                <w:kern w:val="0"/>
                <w:szCs w:val="21"/>
              </w:rPr>
              <w:t>1处</w:t>
            </w:r>
            <w:r>
              <w:rPr>
                <w:rFonts w:hint="eastAsia" w:ascii="宋体" w:hAnsi="宋体" w:cs="宋体"/>
                <w:color w:val="111111"/>
                <w:kern w:val="0"/>
                <w:szCs w:val="21"/>
              </w:rPr>
              <w:t>加</w:t>
            </w:r>
            <w:r>
              <w:rPr>
                <w:rFonts w:ascii="宋体" w:hAnsi="宋体" w:cs="宋体"/>
                <w:color w:val="111111"/>
                <w:kern w:val="0"/>
                <w:szCs w:val="21"/>
              </w:rPr>
              <w:t>扣0.5分</w:t>
            </w:r>
            <w:r>
              <w:rPr>
                <w:rFonts w:hint="eastAsia" w:ascii="宋体" w:hAnsi="宋体" w:cs="宋体"/>
                <w:color w:val="111111"/>
                <w:kern w:val="0"/>
                <w:szCs w:val="21"/>
              </w:rPr>
              <w:t>，</w:t>
            </w:r>
            <w:r>
              <w:rPr>
                <w:rFonts w:ascii="宋体" w:hAnsi="宋体" w:cs="宋体"/>
                <w:color w:val="111111"/>
                <w:kern w:val="0"/>
                <w:szCs w:val="21"/>
              </w:rPr>
              <w:t>病害修复不规范或未达到质量目标，</w:t>
            </w:r>
            <w:r>
              <w:rPr>
                <w:rFonts w:hint="eastAsia" w:ascii="宋体" w:hAnsi="宋体" w:cs="宋体"/>
                <w:color w:val="111111"/>
                <w:kern w:val="0"/>
                <w:szCs w:val="21"/>
              </w:rPr>
              <w:t>每</w:t>
            </w:r>
            <w:r>
              <w:rPr>
                <w:rFonts w:ascii="宋体" w:hAnsi="宋体" w:cs="宋体"/>
                <w:color w:val="111111"/>
                <w:kern w:val="0"/>
                <w:szCs w:val="21"/>
              </w:rPr>
              <w:t>1处</w:t>
            </w:r>
            <w:r>
              <w:rPr>
                <w:rFonts w:hint="eastAsia" w:ascii="宋体" w:hAnsi="宋体" w:cs="宋体"/>
                <w:color w:val="111111"/>
                <w:kern w:val="0"/>
                <w:szCs w:val="21"/>
              </w:rPr>
              <w:t>加</w:t>
            </w:r>
            <w:r>
              <w:rPr>
                <w:rFonts w:ascii="宋体" w:hAnsi="宋体" w:cs="宋体"/>
                <w:color w:val="111111"/>
                <w:kern w:val="0"/>
                <w:szCs w:val="21"/>
              </w:rPr>
              <w:t>扣0.5分；路面结冰影响行车安全的，</w:t>
            </w:r>
            <w:r>
              <w:rPr>
                <w:rFonts w:hint="eastAsia" w:ascii="宋体" w:hAnsi="宋体" w:cs="宋体"/>
                <w:color w:val="111111"/>
                <w:kern w:val="0"/>
                <w:szCs w:val="21"/>
              </w:rPr>
              <w:t>未及时清理，发现</w:t>
            </w:r>
            <w:r>
              <w:rPr>
                <w:rFonts w:ascii="宋体" w:hAnsi="宋体" w:cs="宋体"/>
                <w:color w:val="111111"/>
                <w:kern w:val="0"/>
                <w:szCs w:val="21"/>
              </w:rPr>
              <w:t>1处扣0.5分；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189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27</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路灯</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及时更换修复破损的路灯设施，对于线路短路、断线、设备零部件损坏等一般性故障，故障灯具应在损坏情形发生之日起</w:t>
            </w:r>
            <w:r>
              <w:rPr>
                <w:rFonts w:ascii="宋体" w:hAnsi="宋体" w:cs="宋体"/>
                <w:color w:val="000000"/>
                <w:kern w:val="0"/>
                <w:szCs w:val="21"/>
              </w:rPr>
              <w:t>7个工作日内予以修复</w:t>
            </w:r>
          </w:p>
        </w:tc>
        <w:tc>
          <w:tcPr>
            <w:tcW w:w="2134" w:type="dxa"/>
            <w:tcBorders>
              <w:top w:val="nil"/>
              <w:left w:val="nil"/>
              <w:bottom w:val="nil"/>
              <w:right w:val="nil"/>
            </w:tcBorders>
            <w:shd w:val="clear" w:color="auto" w:fill="auto"/>
            <w:vAlign w:val="center"/>
          </w:tcPr>
          <w:p>
            <w:pPr>
              <w:widowControl/>
              <w:jc w:val="left"/>
              <w:rPr>
                <w:rFonts w:ascii="宋体" w:hAnsi="宋体" w:cs="宋体"/>
                <w:color w:val="111111"/>
                <w:kern w:val="0"/>
                <w:szCs w:val="21"/>
              </w:rPr>
            </w:pPr>
            <w:r>
              <w:rPr>
                <w:rFonts w:hint="eastAsia" w:ascii="宋体" w:hAnsi="宋体" w:cs="宋体"/>
                <w:color w:val="111111"/>
                <w:kern w:val="0"/>
                <w:szCs w:val="21"/>
              </w:rPr>
              <w:t>未在</w:t>
            </w:r>
            <w:r>
              <w:rPr>
                <w:rFonts w:ascii="宋体" w:hAnsi="宋体" w:cs="宋体"/>
                <w:color w:val="111111"/>
                <w:kern w:val="0"/>
                <w:szCs w:val="21"/>
              </w:rPr>
              <w:t>7个工作日内予以修复的每处扣0.5分</w:t>
            </w:r>
          </w:p>
        </w:tc>
        <w:tc>
          <w:tcPr>
            <w:tcW w:w="6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1560" w:hRule="atLeast"/>
          <w:jc w:val="center"/>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28</w:t>
            </w:r>
          </w:p>
        </w:tc>
        <w:tc>
          <w:tcPr>
            <w:tcW w:w="8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景观绿化</w:t>
            </w:r>
          </w:p>
        </w:tc>
        <w:tc>
          <w:tcPr>
            <w:tcW w:w="2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道路绿植应按照养护方案要求按时进行修剪整形及洒水清洁，枯死植株应及时清理补种。</w:t>
            </w:r>
          </w:p>
        </w:tc>
        <w:tc>
          <w:tcPr>
            <w:tcW w:w="2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未按养护方案要求进行修剪、清洁的每次扣</w:t>
            </w:r>
            <w:r>
              <w:rPr>
                <w:rFonts w:ascii="宋体" w:hAnsi="宋体" w:cs="宋体"/>
                <w:color w:val="000000"/>
                <w:kern w:val="0"/>
                <w:szCs w:val="21"/>
              </w:rPr>
              <w:t>0.3分，枯</w:t>
            </w:r>
            <w:r>
              <w:rPr>
                <w:rFonts w:hint="eastAsia" w:ascii="宋体" w:hAnsi="宋体" w:cs="宋体"/>
                <w:color w:val="000000"/>
                <w:kern w:val="0"/>
                <w:szCs w:val="21"/>
              </w:rPr>
              <w:t>死植株未及时进行补种的每次加扣</w:t>
            </w:r>
            <w:r>
              <w:rPr>
                <w:rFonts w:ascii="宋体" w:hAnsi="宋体" w:cs="宋体"/>
                <w:color w:val="000000"/>
                <w:kern w:val="0"/>
                <w:szCs w:val="21"/>
              </w:rPr>
              <w:t>0.3分</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85" w:hRule="atLeast"/>
          <w:jc w:val="center"/>
        </w:trPr>
        <w:tc>
          <w:tcPr>
            <w:tcW w:w="8160" w:type="dxa"/>
            <w:gridSpan w:val="6"/>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100</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bl>
    <w:p>
      <w:pPr>
        <w:spacing w:line="360" w:lineRule="auto"/>
        <w:rPr>
          <w:color w:val="000000" w:themeColor="text1"/>
          <w:sz w:val="28"/>
          <w:szCs w:val="28"/>
          <w14:textFill>
            <w14:solidFill>
              <w14:schemeClr w14:val="tx1"/>
            </w14:solidFill>
          </w14:textFill>
        </w:rPr>
      </w:pPr>
    </w:p>
    <w:tbl>
      <w:tblPr>
        <w:tblStyle w:val="57"/>
        <w:tblW w:w="10140" w:type="dxa"/>
        <w:jc w:val="center"/>
        <w:tblInd w:w="0" w:type="dxa"/>
        <w:tblLayout w:type="fixed"/>
        <w:tblCellMar>
          <w:top w:w="0" w:type="dxa"/>
          <w:left w:w="108" w:type="dxa"/>
          <w:bottom w:w="0" w:type="dxa"/>
          <w:right w:w="108" w:type="dxa"/>
        </w:tblCellMar>
      </w:tblPr>
      <w:tblGrid>
        <w:gridCol w:w="580"/>
        <w:gridCol w:w="1121"/>
        <w:gridCol w:w="1419"/>
        <w:gridCol w:w="2320"/>
        <w:gridCol w:w="2260"/>
        <w:gridCol w:w="760"/>
        <w:gridCol w:w="820"/>
        <w:gridCol w:w="860"/>
      </w:tblGrid>
      <w:tr>
        <w:tblPrEx>
          <w:tblLayout w:type="fixed"/>
          <w:tblCellMar>
            <w:top w:w="0" w:type="dxa"/>
            <w:left w:w="108" w:type="dxa"/>
            <w:bottom w:w="0" w:type="dxa"/>
            <w:right w:w="108" w:type="dxa"/>
          </w:tblCellMar>
        </w:tblPrEx>
        <w:trPr>
          <w:trHeight w:val="285" w:hRule="atLeast"/>
          <w:tblHeader/>
          <w:jc w:val="center"/>
        </w:trPr>
        <w:tc>
          <w:tcPr>
            <w:tcW w:w="10140" w:type="dxa"/>
            <w:gridSpan w:val="8"/>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Cs w:val="21"/>
              </w:rPr>
            </w:pPr>
            <w:r>
              <w:rPr>
                <w:rFonts w:hint="eastAsia"/>
                <w:b/>
                <w:szCs w:val="21"/>
              </w:rPr>
              <w:t>表</w:t>
            </w:r>
            <w:r>
              <w:rPr>
                <w:b/>
                <w:szCs w:val="21"/>
              </w:rPr>
              <w:t xml:space="preserve">2  </w:t>
            </w:r>
            <w:r>
              <w:rPr>
                <w:rFonts w:hint="eastAsia"/>
                <w:b/>
                <w:szCs w:val="21"/>
              </w:rPr>
              <w:t>综合考核打分表</w:t>
            </w:r>
          </w:p>
        </w:tc>
      </w:tr>
      <w:tr>
        <w:tblPrEx>
          <w:tblLayout w:type="fixed"/>
          <w:tblCellMar>
            <w:top w:w="0" w:type="dxa"/>
            <w:left w:w="108" w:type="dxa"/>
            <w:bottom w:w="0" w:type="dxa"/>
            <w:right w:w="108" w:type="dxa"/>
          </w:tblCellMar>
        </w:tblPrEx>
        <w:trPr>
          <w:trHeight w:val="285" w:hRule="atLeast"/>
          <w:tblHeader/>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序号</w:t>
            </w:r>
          </w:p>
        </w:tc>
        <w:tc>
          <w:tcPr>
            <w:tcW w:w="11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考核类别</w:t>
            </w:r>
          </w:p>
        </w:tc>
        <w:tc>
          <w:tcPr>
            <w:tcW w:w="14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考核项目</w:t>
            </w:r>
          </w:p>
        </w:tc>
        <w:tc>
          <w:tcPr>
            <w:tcW w:w="2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考核内容</w:t>
            </w: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扣分标准</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分值</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扣分</w:t>
            </w:r>
          </w:p>
        </w:tc>
        <w:tc>
          <w:tcPr>
            <w:tcW w:w="8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备注</w:t>
            </w:r>
          </w:p>
        </w:tc>
      </w:tr>
      <w:tr>
        <w:tblPrEx>
          <w:tblLayout w:type="fixed"/>
          <w:tblCellMar>
            <w:top w:w="0" w:type="dxa"/>
            <w:left w:w="108" w:type="dxa"/>
            <w:bottom w:w="0" w:type="dxa"/>
            <w:right w:w="108" w:type="dxa"/>
          </w:tblCellMar>
        </w:tblPrEx>
        <w:trPr>
          <w:trHeight w:val="1653"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121" w:type="dxa"/>
            <w:vMerge w:val="restart"/>
            <w:tcBorders>
              <w:top w:val="nil"/>
              <w:left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设施可用性</w:t>
            </w:r>
          </w:p>
          <w:p>
            <w:pPr>
              <w:widowControl/>
              <w:jc w:val="center"/>
              <w:rPr>
                <w:rFonts w:ascii="宋体" w:hAnsi="宋体" w:cs="宋体"/>
                <w:color w:val="000000"/>
                <w:kern w:val="0"/>
                <w:szCs w:val="21"/>
              </w:rPr>
            </w:pPr>
            <w:r>
              <w:rPr>
                <w:rFonts w:hint="eastAsia" w:ascii="宋体" w:hAnsi="宋体" w:cs="宋体"/>
                <w:color w:val="000000"/>
                <w:kern w:val="0"/>
                <w:szCs w:val="21"/>
              </w:rPr>
              <w:t>（</w:t>
            </w:r>
            <w:r>
              <w:rPr>
                <w:rFonts w:ascii="宋体" w:hAnsi="宋体" w:cs="宋体"/>
                <w:color w:val="000000"/>
                <w:kern w:val="0"/>
                <w:szCs w:val="21"/>
              </w:rPr>
              <w:t>60分）</w:t>
            </w:r>
          </w:p>
        </w:tc>
        <w:tc>
          <w:tcPr>
            <w:tcW w:w="14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隧道主体结构</w:t>
            </w:r>
          </w:p>
        </w:tc>
        <w:tc>
          <w:tcPr>
            <w:tcW w:w="2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隧道不应出现衬砌局部坍落、边墙断裂、塌方冒顶、渗漏积水问题，如发生以上缺陷，视损伤程度大小，需在行业主管部门规定的时间内根据相应规范要求进行修复工作。</w:t>
            </w: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出现围护变形严重、出现严重险情，衬砌表面大面积严重渗水，衬砌背后有大面积空洞，混凝土表面大面积裂缝，每发现</w:t>
            </w:r>
            <w:r>
              <w:rPr>
                <w:rFonts w:ascii="宋体" w:hAnsi="宋体" w:cs="宋体"/>
                <w:color w:val="000000"/>
                <w:kern w:val="0"/>
                <w:szCs w:val="21"/>
              </w:rPr>
              <w:t>1次扣5分，未在规定时间内修复的</w:t>
            </w:r>
            <w:r>
              <w:rPr>
                <w:rFonts w:hint="eastAsia" w:ascii="宋体" w:hAnsi="宋体" w:cs="宋体"/>
                <w:color w:val="000000"/>
                <w:kern w:val="0"/>
                <w:szCs w:val="21"/>
              </w:rPr>
              <w:t>加</w:t>
            </w:r>
            <w:r>
              <w:rPr>
                <w:rFonts w:ascii="宋体" w:hAnsi="宋体" w:cs="宋体"/>
                <w:color w:val="000000"/>
                <w:kern w:val="0"/>
                <w:szCs w:val="21"/>
              </w:rPr>
              <w:t>扣3分，未按相应规范要求修复的</w:t>
            </w:r>
            <w:r>
              <w:rPr>
                <w:rFonts w:hint="eastAsia" w:ascii="宋体" w:hAnsi="宋体" w:cs="宋体"/>
                <w:color w:val="000000"/>
                <w:kern w:val="0"/>
                <w:szCs w:val="21"/>
              </w:rPr>
              <w:t>加</w:t>
            </w:r>
            <w:r>
              <w:rPr>
                <w:rFonts w:ascii="宋体" w:hAnsi="宋体" w:cs="宋体"/>
                <w:color w:val="000000"/>
                <w:kern w:val="0"/>
                <w:szCs w:val="21"/>
              </w:rPr>
              <w:t>扣3分。</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860" w:type="dxa"/>
            <w:vMerge w:val="restart"/>
            <w:tcBorders>
              <w:top w:val="nil"/>
              <w:left w:val="nil"/>
              <w:right w:val="single" w:color="auto" w:sz="4" w:space="0"/>
            </w:tcBorders>
            <w:shd w:val="clear" w:color="auto" w:fill="auto"/>
            <w:vAlign w:val="center"/>
          </w:tcPr>
          <w:p>
            <w:pPr>
              <w:jc w:val="center"/>
              <w:rPr>
                <w:rFonts w:ascii="宋体" w:hAnsi="宋体" w:cs="宋体"/>
                <w:color w:val="000000"/>
                <w:kern w:val="0"/>
                <w:szCs w:val="21"/>
              </w:rPr>
            </w:pPr>
            <w:r>
              <w:rPr>
                <w:rFonts w:hint="eastAsia" w:ascii="宋体" w:hAnsi="宋体" w:cs="宋体"/>
                <w:color w:val="000000"/>
                <w:kern w:val="0"/>
                <w:szCs w:val="21"/>
              </w:rPr>
              <w:t>若发生上述情况，项目公司与行业主管部门和业主方确定修复方案，并在双方约定时间内完成修复工作。</w:t>
            </w:r>
          </w:p>
        </w:tc>
      </w:tr>
      <w:tr>
        <w:tblPrEx>
          <w:tblLayout w:type="fixed"/>
          <w:tblCellMar>
            <w:top w:w="0" w:type="dxa"/>
            <w:left w:w="108" w:type="dxa"/>
            <w:bottom w:w="0" w:type="dxa"/>
            <w:right w:w="108" w:type="dxa"/>
          </w:tblCellMar>
        </w:tblPrEx>
        <w:trPr>
          <w:trHeight w:val="3240"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121" w:type="dxa"/>
            <w:vMerge w:val="continue"/>
            <w:tcBorders>
              <w:left w:val="single" w:color="auto" w:sz="4" w:space="0"/>
              <w:right w:val="single" w:color="auto" w:sz="4" w:space="0"/>
            </w:tcBorders>
            <w:vAlign w:val="center"/>
          </w:tcPr>
          <w:p>
            <w:pPr>
              <w:widowControl/>
              <w:jc w:val="left"/>
              <w:rPr>
                <w:rFonts w:ascii="宋体" w:hAnsi="宋体" w:cs="宋体"/>
                <w:color w:val="000000"/>
                <w:kern w:val="0"/>
                <w:szCs w:val="21"/>
              </w:rPr>
            </w:pPr>
          </w:p>
        </w:tc>
        <w:tc>
          <w:tcPr>
            <w:tcW w:w="14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管廊主体结构</w:t>
            </w:r>
          </w:p>
        </w:tc>
        <w:tc>
          <w:tcPr>
            <w:tcW w:w="2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管廊不应出现围护变形严重、不应出现严重险情，主体结构大面积开裂缝，主体结构大面积严重渗漏水，主体结构不应出现严重沉降或隆起。如发生以上缺陷，视损伤程度大小，需在行业主管部门规定的时间内根据相应规范要求进行修复工作。</w:t>
            </w: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出现围护变形严重、出现严重险情，主体结构大面积开裂缝，主体结构大面积严重渗漏水，主体结构出现严重沉降或隆起。每发现</w:t>
            </w:r>
            <w:r>
              <w:rPr>
                <w:rFonts w:ascii="宋体" w:hAnsi="宋体" w:cs="宋体"/>
                <w:color w:val="000000"/>
                <w:kern w:val="0"/>
                <w:szCs w:val="21"/>
              </w:rPr>
              <w:t>1次扣5分，未在规定时间内修复的</w:t>
            </w:r>
            <w:r>
              <w:rPr>
                <w:rFonts w:hint="eastAsia" w:ascii="宋体" w:hAnsi="宋体" w:cs="宋体"/>
                <w:color w:val="000000"/>
                <w:kern w:val="0"/>
                <w:szCs w:val="21"/>
              </w:rPr>
              <w:t>加</w:t>
            </w:r>
            <w:r>
              <w:rPr>
                <w:rFonts w:ascii="宋体" w:hAnsi="宋体" w:cs="宋体"/>
                <w:color w:val="000000"/>
                <w:kern w:val="0"/>
                <w:szCs w:val="21"/>
              </w:rPr>
              <w:t>扣3分，未按相应</w:t>
            </w:r>
            <w:r>
              <w:rPr>
                <w:rFonts w:hint="eastAsia" w:ascii="宋体" w:hAnsi="宋体" w:cs="宋体"/>
                <w:color w:val="000000"/>
                <w:kern w:val="0"/>
                <w:szCs w:val="21"/>
              </w:rPr>
              <w:t>规范要求修复的加扣</w:t>
            </w:r>
            <w:r>
              <w:rPr>
                <w:rFonts w:ascii="宋体" w:hAnsi="宋体" w:cs="宋体"/>
                <w:color w:val="000000"/>
                <w:kern w:val="0"/>
                <w:szCs w:val="21"/>
              </w:rPr>
              <w:t>3分。</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860" w:type="dxa"/>
            <w:vMerge w:val="continue"/>
            <w:tcBorders>
              <w:left w:val="nil"/>
              <w:right w:val="single" w:color="auto" w:sz="4" w:space="0"/>
            </w:tcBorders>
            <w:shd w:val="clear" w:color="auto" w:fill="auto"/>
            <w:vAlign w:val="center"/>
          </w:tcPr>
          <w:p>
            <w:pPr>
              <w:ind w:firstLine="440"/>
              <w:jc w:val="center"/>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700"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1121" w:type="dxa"/>
            <w:vMerge w:val="continue"/>
            <w:tcBorders>
              <w:left w:val="single" w:color="auto" w:sz="4" w:space="0"/>
              <w:right w:val="single" w:color="auto" w:sz="4" w:space="0"/>
            </w:tcBorders>
            <w:vAlign w:val="center"/>
          </w:tcPr>
          <w:p>
            <w:pPr>
              <w:widowControl/>
              <w:jc w:val="left"/>
              <w:rPr>
                <w:rFonts w:ascii="宋体" w:hAnsi="宋体" w:cs="宋体"/>
                <w:color w:val="000000"/>
                <w:kern w:val="0"/>
                <w:szCs w:val="21"/>
              </w:rPr>
            </w:pPr>
          </w:p>
        </w:tc>
        <w:tc>
          <w:tcPr>
            <w:tcW w:w="14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道路</w:t>
            </w:r>
            <w:r>
              <w:rPr>
                <w:rFonts w:ascii="宋体" w:hAnsi="宋体" w:cs="宋体"/>
                <w:color w:val="000000"/>
                <w:kern w:val="0"/>
                <w:szCs w:val="21"/>
              </w:rPr>
              <w:br w:type="textWrapping"/>
            </w:r>
            <w:r>
              <w:rPr>
                <w:rFonts w:hint="eastAsia" w:ascii="宋体" w:hAnsi="宋体" w:cs="宋体"/>
                <w:color w:val="000000"/>
                <w:kern w:val="0"/>
                <w:szCs w:val="21"/>
              </w:rPr>
              <w:t>（连接线）</w:t>
            </w:r>
          </w:p>
        </w:tc>
        <w:tc>
          <w:tcPr>
            <w:tcW w:w="2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不应出现边坡大面积滑塌，路基大面积沉陷，路面大面积沉降或隆起、开裂、积水、破损。如发生以上缺陷，视损伤程度大小，需在行业主管部门规定的时间内根据相应规范要求进行修复工作。</w:t>
            </w: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出现边坡大面积滑塌，路基大面积沉陷，路面大面积沉降或隆起、开裂、积水、破损。每发现</w:t>
            </w:r>
            <w:r>
              <w:rPr>
                <w:rFonts w:ascii="宋体" w:hAnsi="宋体" w:cs="宋体"/>
                <w:color w:val="000000"/>
                <w:kern w:val="0"/>
                <w:szCs w:val="21"/>
              </w:rPr>
              <w:t>1次扣1分，未在规定时间内修复的</w:t>
            </w:r>
            <w:r>
              <w:rPr>
                <w:rFonts w:hint="eastAsia" w:ascii="宋体" w:hAnsi="宋体" w:cs="宋体"/>
                <w:color w:val="000000"/>
                <w:kern w:val="0"/>
                <w:szCs w:val="21"/>
              </w:rPr>
              <w:t>加</w:t>
            </w:r>
            <w:r>
              <w:rPr>
                <w:rFonts w:ascii="宋体" w:hAnsi="宋体" w:cs="宋体"/>
                <w:color w:val="000000"/>
                <w:kern w:val="0"/>
                <w:szCs w:val="21"/>
              </w:rPr>
              <w:t>扣1分，未按相应规范要求修复的</w:t>
            </w:r>
            <w:r>
              <w:rPr>
                <w:rFonts w:hint="eastAsia" w:ascii="宋体" w:hAnsi="宋体" w:cs="宋体"/>
                <w:color w:val="000000"/>
                <w:kern w:val="0"/>
                <w:szCs w:val="21"/>
              </w:rPr>
              <w:t>加</w:t>
            </w:r>
            <w:r>
              <w:rPr>
                <w:rFonts w:ascii="宋体" w:hAnsi="宋体" w:cs="宋体"/>
                <w:color w:val="000000"/>
                <w:kern w:val="0"/>
                <w:szCs w:val="21"/>
              </w:rPr>
              <w:t>扣1分。</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860" w:type="dxa"/>
            <w:vMerge w:val="continue"/>
            <w:tcBorders>
              <w:left w:val="nil"/>
              <w:right w:val="single" w:color="auto" w:sz="4" w:space="0"/>
            </w:tcBorders>
            <w:shd w:val="clear" w:color="auto" w:fill="auto"/>
            <w:vAlign w:val="center"/>
          </w:tcPr>
          <w:p>
            <w:pPr>
              <w:ind w:firstLine="440"/>
              <w:jc w:val="center"/>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1350"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1121" w:type="dxa"/>
            <w:vMerge w:val="continue"/>
            <w:tcBorders>
              <w:left w:val="single" w:color="auto" w:sz="4" w:space="0"/>
              <w:right w:val="single" w:color="auto" w:sz="4" w:space="0"/>
            </w:tcBorders>
            <w:vAlign w:val="center"/>
          </w:tcPr>
          <w:p>
            <w:pPr>
              <w:widowControl/>
              <w:jc w:val="left"/>
              <w:rPr>
                <w:rFonts w:ascii="宋体" w:hAnsi="宋体" w:cs="宋体"/>
                <w:color w:val="000000"/>
                <w:kern w:val="0"/>
                <w:szCs w:val="21"/>
              </w:rPr>
            </w:pPr>
          </w:p>
        </w:tc>
        <w:tc>
          <w:tcPr>
            <w:tcW w:w="14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景观绿化</w:t>
            </w:r>
          </w:p>
        </w:tc>
        <w:tc>
          <w:tcPr>
            <w:tcW w:w="23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苗木存活率</w:t>
            </w:r>
          </w:p>
        </w:tc>
        <w:tc>
          <w:tcPr>
            <w:tcW w:w="22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出现苗木大面积枯死每次扣</w:t>
            </w:r>
            <w:r>
              <w:rPr>
                <w:rFonts w:ascii="宋体" w:hAnsi="宋体" w:cs="宋体"/>
                <w:color w:val="000000"/>
                <w:kern w:val="0"/>
                <w:szCs w:val="21"/>
              </w:rPr>
              <w:t>1分，未按业主要求在规定时间内及时补种的</w:t>
            </w:r>
            <w:r>
              <w:rPr>
                <w:rFonts w:hint="eastAsia" w:ascii="宋体" w:hAnsi="宋体" w:cs="宋体"/>
                <w:color w:val="000000"/>
                <w:kern w:val="0"/>
                <w:szCs w:val="21"/>
              </w:rPr>
              <w:t>加</w:t>
            </w:r>
            <w:r>
              <w:rPr>
                <w:rFonts w:ascii="宋体" w:hAnsi="宋体" w:cs="宋体"/>
                <w:color w:val="000000"/>
                <w:kern w:val="0"/>
                <w:szCs w:val="21"/>
              </w:rPr>
              <w:t>扣1分</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860" w:type="dxa"/>
            <w:vMerge w:val="continue"/>
            <w:tcBorders>
              <w:left w:val="nil"/>
              <w:right w:val="single" w:color="auto" w:sz="4" w:space="0"/>
            </w:tcBorders>
            <w:shd w:val="clear" w:color="auto" w:fill="auto"/>
            <w:vAlign w:val="center"/>
          </w:tcPr>
          <w:p>
            <w:pPr>
              <w:widowControl/>
              <w:jc w:val="center"/>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1350"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1121" w:type="dxa"/>
            <w:vMerge w:val="continue"/>
            <w:tcBorders>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Cs w:val="21"/>
              </w:rPr>
            </w:pPr>
          </w:p>
        </w:tc>
        <w:tc>
          <w:tcPr>
            <w:tcW w:w="14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交通通行情况</w:t>
            </w:r>
          </w:p>
        </w:tc>
        <w:tc>
          <w:tcPr>
            <w:tcW w:w="23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养护计划执行中通行阻断天数不超过养护计划方案规定天数；交通事故或自然灾害等导致通行阻断，应在发生或</w:t>
            </w:r>
            <w:r>
              <w:rPr>
                <w:rFonts w:ascii="宋体" w:hAnsi="宋体" w:cs="宋体"/>
                <w:color w:val="000000"/>
                <w:kern w:val="0"/>
                <w:szCs w:val="21"/>
              </w:rPr>
              <w:t>6</w:t>
            </w:r>
            <w:r>
              <w:rPr>
                <w:rFonts w:hint="eastAsia" w:ascii="宋体" w:hAnsi="宋体" w:cs="宋体"/>
                <w:color w:val="000000"/>
                <w:kern w:val="0"/>
                <w:szCs w:val="21"/>
              </w:rPr>
              <w:t>小时内行业主管部门汇报，并在规定时间内完成修复，保障通行。</w:t>
            </w:r>
          </w:p>
        </w:tc>
        <w:tc>
          <w:tcPr>
            <w:tcW w:w="22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阻断天数超过养护计划方案规定天数扣</w:t>
            </w:r>
            <w:r>
              <w:rPr>
                <w:rFonts w:ascii="宋体" w:hAnsi="宋体" w:cs="宋体"/>
                <w:color w:val="000000"/>
                <w:kern w:val="0"/>
                <w:szCs w:val="21"/>
              </w:rPr>
              <w:t>5分；发生交通事故或自然灾害等导致通行阻断，未按时汇报的扣1</w:t>
            </w:r>
            <w:r>
              <w:rPr>
                <w:rFonts w:hint="eastAsia" w:ascii="宋体" w:hAnsi="宋体" w:cs="宋体"/>
                <w:color w:val="000000"/>
                <w:kern w:val="0"/>
                <w:szCs w:val="21"/>
              </w:rPr>
              <w:t>分，未在规定时间内完成修复的加扣</w:t>
            </w:r>
            <w:r>
              <w:rPr>
                <w:rFonts w:ascii="宋体" w:hAnsi="宋体" w:cs="宋体"/>
                <w:color w:val="000000"/>
                <w:kern w:val="0"/>
                <w:szCs w:val="21"/>
              </w:rPr>
              <w:t>1</w:t>
            </w:r>
            <w:r>
              <w:rPr>
                <w:rFonts w:hint="eastAsia" w:ascii="宋体" w:hAnsi="宋体" w:cs="宋体"/>
                <w:color w:val="000000"/>
                <w:kern w:val="0"/>
                <w:szCs w:val="21"/>
              </w:rPr>
              <w:t>分。</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10</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860"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1620"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6</w:t>
            </w:r>
          </w:p>
        </w:tc>
        <w:tc>
          <w:tcPr>
            <w:tcW w:w="112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安全和突发事件管理（</w:t>
            </w:r>
            <w:r>
              <w:rPr>
                <w:rFonts w:ascii="宋体" w:hAnsi="宋体" w:cs="宋体"/>
                <w:color w:val="000000"/>
                <w:kern w:val="0"/>
                <w:szCs w:val="21"/>
              </w:rPr>
              <w:t>40分）</w:t>
            </w:r>
          </w:p>
        </w:tc>
        <w:tc>
          <w:tcPr>
            <w:tcW w:w="14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安全生产</w:t>
            </w:r>
          </w:p>
        </w:tc>
        <w:tc>
          <w:tcPr>
            <w:tcW w:w="23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落实安全生产岗位责任制；严格遵守安全生产法律法规，强化安全生产意识，加强安全生产管理，严防安全生产事故发生。</w:t>
            </w:r>
          </w:p>
        </w:tc>
        <w:tc>
          <w:tcPr>
            <w:tcW w:w="22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考核期内发生《生产安全事故报告和调查处理条例》中认定的较大事故，扣</w:t>
            </w:r>
            <w:r>
              <w:rPr>
                <w:rFonts w:ascii="宋体" w:hAnsi="宋体" w:cs="宋体"/>
                <w:color w:val="000000"/>
                <w:kern w:val="0"/>
                <w:szCs w:val="21"/>
              </w:rPr>
              <w:t>5分</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10</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8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883"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7</w:t>
            </w:r>
          </w:p>
        </w:tc>
        <w:tc>
          <w:tcPr>
            <w:tcW w:w="112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4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应急预案及抢修</w:t>
            </w:r>
          </w:p>
        </w:tc>
        <w:tc>
          <w:tcPr>
            <w:tcW w:w="2320"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建立综合应急预案，加强重点区域安全保障措施；每年进行一次综合应急演练；及时处理各类突发事件。发生突发事件，及时上报情况，及时采取临时性应对措施防止事态扩大，并编制抢修方案。</w:t>
            </w:r>
          </w:p>
        </w:tc>
        <w:tc>
          <w:tcPr>
            <w:tcW w:w="2260"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未建立项目综合应急预案，扣</w:t>
            </w:r>
            <w:r>
              <w:rPr>
                <w:rFonts w:ascii="宋体" w:hAnsi="宋体" w:cs="宋体"/>
                <w:color w:val="000000"/>
                <w:kern w:val="0"/>
                <w:szCs w:val="21"/>
              </w:rPr>
              <w:t>2分</w:t>
            </w:r>
            <w:r>
              <w:rPr>
                <w:rFonts w:hint="eastAsia" w:ascii="宋体" w:hAnsi="宋体" w:cs="宋体"/>
                <w:color w:val="000000"/>
                <w:kern w:val="0"/>
                <w:szCs w:val="21"/>
              </w:rPr>
              <w:t>；</w:t>
            </w:r>
            <w:r>
              <w:rPr>
                <w:rFonts w:ascii="宋体" w:hAnsi="宋体" w:cs="宋体"/>
                <w:color w:val="000000"/>
                <w:kern w:val="0"/>
                <w:szCs w:val="21"/>
              </w:rPr>
              <w:t>全年未进行综合应急演练的扣1分</w:t>
            </w:r>
            <w:r>
              <w:rPr>
                <w:rFonts w:hint="eastAsia" w:ascii="宋体" w:hAnsi="宋体" w:cs="宋体"/>
                <w:color w:val="000000"/>
                <w:kern w:val="0"/>
                <w:szCs w:val="21"/>
              </w:rPr>
              <w:t>；</w:t>
            </w:r>
            <w:r>
              <w:rPr>
                <w:rFonts w:ascii="宋体" w:hAnsi="宋体" w:cs="宋体"/>
                <w:color w:val="000000"/>
                <w:kern w:val="0"/>
                <w:szCs w:val="21"/>
              </w:rPr>
              <w:t>突发事件发生后未采取临时措施并编制抢修方案的扣2分</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10</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8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1350"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8</w:t>
            </w:r>
          </w:p>
        </w:tc>
        <w:tc>
          <w:tcPr>
            <w:tcW w:w="112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4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防汛抗雪</w:t>
            </w:r>
          </w:p>
        </w:tc>
        <w:tc>
          <w:tcPr>
            <w:tcW w:w="2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落实预案措施和相关部门等要求；防汛抗雪信息按要求及时反馈</w:t>
            </w: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发现未落实预案措施和相关部门等要求的扣</w:t>
            </w:r>
            <w:r>
              <w:rPr>
                <w:rFonts w:ascii="宋体" w:hAnsi="宋体" w:cs="宋体"/>
                <w:color w:val="000000"/>
                <w:kern w:val="0"/>
                <w:szCs w:val="21"/>
              </w:rPr>
              <w:t>2分；防汛抗雪信息未按要求及时反馈的扣2分</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8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2160"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9</w:t>
            </w:r>
          </w:p>
        </w:tc>
        <w:tc>
          <w:tcPr>
            <w:tcW w:w="112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41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检测评估</w:t>
            </w:r>
          </w:p>
        </w:tc>
        <w:tc>
          <w:tcPr>
            <w:tcW w:w="2320"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按要求建立定期检测部门，每座设施每年检测评估不少于</w:t>
            </w:r>
            <w:r>
              <w:rPr>
                <w:rFonts w:ascii="宋体" w:hAnsi="宋体" w:cs="宋体"/>
                <w:color w:val="000000"/>
                <w:kern w:val="0"/>
                <w:szCs w:val="21"/>
              </w:rPr>
              <w:t>1次，并形成年度检测评估报告，定期检测</w:t>
            </w:r>
            <w:r>
              <w:rPr>
                <w:rFonts w:hint="eastAsia" w:ascii="宋体" w:hAnsi="宋体" w:cs="宋体"/>
                <w:color w:val="000000"/>
                <w:kern w:val="0"/>
                <w:szCs w:val="21"/>
              </w:rPr>
              <w:t>应由相关专业专职技术人员或实践经验丰富的技术人员负责。</w:t>
            </w:r>
          </w:p>
        </w:tc>
        <w:tc>
          <w:tcPr>
            <w:tcW w:w="2260"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未出具年度检测报告的扣</w:t>
            </w:r>
            <w:r>
              <w:rPr>
                <w:rFonts w:ascii="宋体" w:hAnsi="宋体" w:cs="宋体"/>
                <w:color w:val="000000"/>
                <w:kern w:val="0"/>
                <w:szCs w:val="21"/>
              </w:rPr>
              <w:t>3</w:t>
            </w:r>
            <w:r>
              <w:rPr>
                <w:rFonts w:hint="eastAsia" w:ascii="宋体" w:hAnsi="宋体" w:cs="宋体"/>
                <w:color w:val="000000"/>
                <w:kern w:val="0"/>
                <w:szCs w:val="21"/>
              </w:rPr>
              <w:t>分</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8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1020"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10</w:t>
            </w:r>
          </w:p>
        </w:tc>
        <w:tc>
          <w:tcPr>
            <w:tcW w:w="112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419" w:type="dxa"/>
            <w:tcBorders>
              <w:top w:val="single" w:color="auto" w:sz="4" w:space="0"/>
              <w:left w:val="nil"/>
              <w:bottom w:val="single" w:color="auto" w:sz="4" w:space="0"/>
              <w:right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督察发现问题及处理</w:t>
            </w:r>
          </w:p>
        </w:tc>
        <w:tc>
          <w:tcPr>
            <w:tcW w:w="23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对市级及以上督察发现的问题认真进行整改并在规定时间内进行回复。</w:t>
            </w:r>
          </w:p>
        </w:tc>
        <w:tc>
          <w:tcPr>
            <w:tcW w:w="2260"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对市级及以上督察未按要求整改或未在规定时间内进行回复的每次扣</w:t>
            </w:r>
            <w:r>
              <w:rPr>
                <w:rFonts w:ascii="宋体" w:hAnsi="宋体" w:cs="宋体"/>
                <w:color w:val="000000"/>
                <w:kern w:val="0"/>
                <w:szCs w:val="21"/>
              </w:rPr>
              <w:t>2</w:t>
            </w:r>
            <w:r>
              <w:rPr>
                <w:rFonts w:hint="eastAsia" w:ascii="宋体" w:hAnsi="宋体" w:cs="宋体"/>
                <w:color w:val="000000"/>
                <w:kern w:val="0"/>
                <w:szCs w:val="21"/>
              </w:rPr>
              <w:t>分</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8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1305" w:hRule="atLeast"/>
          <w:jc w:val="center"/>
        </w:trPr>
        <w:tc>
          <w:tcPr>
            <w:tcW w:w="5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11</w:t>
            </w:r>
          </w:p>
        </w:tc>
        <w:tc>
          <w:tcPr>
            <w:tcW w:w="112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4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媒体舆情</w:t>
            </w:r>
          </w:p>
        </w:tc>
        <w:tc>
          <w:tcPr>
            <w:tcW w:w="2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不发生市级及以上有责媒体报道事件，不发生市级及以上重大有责新闻曝光。</w:t>
            </w: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发生前述情形的每次扣</w:t>
            </w:r>
            <w:r>
              <w:rPr>
                <w:rFonts w:ascii="宋体" w:hAnsi="宋体" w:cs="宋体"/>
                <w:color w:val="000000"/>
                <w:kern w:val="0"/>
                <w:szCs w:val="21"/>
              </w:rPr>
              <w:t>3</w:t>
            </w:r>
            <w:r>
              <w:rPr>
                <w:rFonts w:hint="eastAsia" w:ascii="宋体" w:hAnsi="宋体" w:cs="宋体"/>
                <w:color w:val="000000"/>
                <w:kern w:val="0"/>
                <w:szCs w:val="21"/>
              </w:rPr>
              <w:t>分</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8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285" w:hRule="atLeast"/>
          <w:jc w:val="center"/>
        </w:trPr>
        <w:tc>
          <w:tcPr>
            <w:tcW w:w="7700"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100</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8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bl>
    <w:p/>
    <w:p>
      <w:pPr>
        <w:pStyle w:val="4"/>
        <w:rPr>
          <w:rFonts w:eastAsia="宋体"/>
          <w:b/>
          <w:sz w:val="21"/>
        </w:rPr>
      </w:pPr>
      <w:bookmarkStart w:id="997" w:name="_Toc509679733"/>
      <w:bookmarkStart w:id="998" w:name="_Toc522635632"/>
      <w:bookmarkStart w:id="999" w:name="_Toc516399856"/>
      <w:bookmarkStart w:id="1000" w:name="_Toc512509322"/>
      <w:bookmarkStart w:id="1001" w:name="_Toc507351187"/>
      <w:bookmarkStart w:id="1002" w:name="_Hlk507661523"/>
      <w:r>
        <w:rPr>
          <w:rFonts w:hint="eastAsia" w:eastAsia="宋体"/>
          <w:b/>
          <w:sz w:val="21"/>
        </w:rPr>
        <w:t>三、考核办法</w:t>
      </w:r>
      <w:bookmarkEnd w:id="997"/>
      <w:bookmarkEnd w:id="998"/>
      <w:bookmarkEnd w:id="999"/>
      <w:bookmarkEnd w:id="1000"/>
      <w:bookmarkEnd w:id="1001"/>
    </w:p>
    <w:p>
      <w:pPr>
        <w:spacing w:line="360" w:lineRule="auto"/>
        <w:ind w:firstLine="371" w:firstLineChars="17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甲方按《运营管理要求及考核办法》规定的绩效考核标准和内容，通过常规考核和临时考核的方式对项目公司服务绩效水平进行考核。考评办法甲方有权根据运营实际适时合理修订。</w:t>
      </w:r>
    </w:p>
    <w:p>
      <w:pPr>
        <w:spacing w:line="360" w:lineRule="auto"/>
        <w:ind w:firstLine="371" w:firstLineChars="177"/>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常规考核</w:t>
      </w:r>
    </w:p>
    <w:p>
      <w:pPr>
        <w:spacing w:line="360" w:lineRule="auto"/>
        <w:ind w:firstLine="371" w:firstLineChars="17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甲方对项目公司的运营维护绩效考核从正式运营第一年开始；</w:t>
      </w:r>
    </w:p>
    <w:p>
      <w:pPr>
        <w:spacing w:line="360" w:lineRule="auto"/>
        <w:ind w:firstLine="371" w:firstLineChars="17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每年度最少考核一次；</w:t>
      </w:r>
    </w:p>
    <w:p>
      <w:pPr>
        <w:spacing w:line="360" w:lineRule="auto"/>
        <w:ind w:firstLine="371" w:firstLineChars="17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甲方可根据实际情况自行组织或通知项目公司共同参与进行年度考核，在规定的考核现场进行检查，并开展满意度调查，在项目公司未参与考核的情况下应将不合规情况采用有效办法记录并通知项目公司整改；</w:t>
      </w:r>
    </w:p>
    <w:p>
      <w:pPr>
        <w:spacing w:line="360" w:lineRule="auto"/>
        <w:ind w:firstLine="371" w:firstLineChars="17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项目公司应在定期（如每运行年度结束后二十日内）向甲方提交上一个年度的年度报告。年度报告包括但不限于日常检查、定期检查及专项检查记录的年度汇总表，日常维护维修情况记录的年度汇总表，与运营维护相关的投诉、建议及处理情况汇总，与运营维护安全相关的紧急事件、处理情况汇总等；</w:t>
      </w:r>
    </w:p>
    <w:p>
      <w:pPr>
        <w:spacing w:line="360" w:lineRule="auto"/>
        <w:ind w:firstLine="371" w:firstLineChars="177"/>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临时考核</w:t>
      </w:r>
    </w:p>
    <w:p>
      <w:pPr>
        <w:spacing w:line="360" w:lineRule="auto"/>
        <w:ind w:firstLine="371" w:firstLineChars="17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甲方可以根据管理运行监督需要随机考核项目公司的管理工作，如发现缺陷或不合规的事项，则需在</w:t>
      </w:r>
      <w:r>
        <w:rPr>
          <w:color w:val="000000" w:themeColor="text1"/>
          <w:szCs w:val="21"/>
          <w14:textFill>
            <w14:solidFill>
              <w14:schemeClr w14:val="tx1"/>
            </w14:solidFill>
          </w14:textFill>
        </w:rPr>
        <w:t>24</w:t>
      </w:r>
      <w:r>
        <w:rPr>
          <w:rFonts w:hint="eastAsia"/>
          <w:color w:val="000000" w:themeColor="text1"/>
          <w:szCs w:val="21"/>
          <w14:textFill>
            <w14:solidFill>
              <w14:schemeClr w14:val="tx1"/>
            </w14:solidFill>
          </w14:textFill>
        </w:rPr>
        <w:t>小时内以书面形式通知项目公司，项目公司在接到该通知后，应在通知要求的合理时间内修复缺陷或整改。</w:t>
      </w:r>
    </w:p>
    <w:p>
      <w:pPr>
        <w:spacing w:line="360" w:lineRule="auto"/>
        <w:ind w:firstLine="371" w:firstLineChars="17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临时考核结果可参考纳入当年考评结果。</w:t>
      </w:r>
    </w:p>
    <w:p>
      <w:pPr>
        <w:pStyle w:val="4"/>
        <w:rPr>
          <w:rFonts w:eastAsia="宋体"/>
          <w:b/>
          <w:sz w:val="21"/>
        </w:rPr>
      </w:pPr>
      <w:bookmarkStart w:id="1003" w:name="_Toc522635633"/>
      <w:bookmarkStart w:id="1004" w:name="_Toc516399857"/>
      <w:bookmarkStart w:id="1005" w:name="_Toc512509323"/>
      <w:bookmarkStart w:id="1006" w:name="_Toc509679734"/>
      <w:bookmarkStart w:id="1007" w:name="_Toc507351188"/>
      <w:r>
        <w:rPr>
          <w:rFonts w:hint="eastAsia" w:eastAsia="宋体"/>
          <w:b/>
          <w:sz w:val="21"/>
        </w:rPr>
        <w:t>四、绩效考核结果应用</w:t>
      </w:r>
      <w:bookmarkEnd w:id="1003"/>
      <w:bookmarkEnd w:id="1004"/>
      <w:bookmarkEnd w:id="1005"/>
      <w:bookmarkEnd w:id="1006"/>
      <w:bookmarkEnd w:id="1007"/>
    </w:p>
    <w:p>
      <w:pPr>
        <w:spacing w:line="360" w:lineRule="auto"/>
        <w:ind w:firstLine="56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运营期考核周期为每年考核一次，政府方有权增加临时考核，临时考核每年一般不多于</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次，临时考核可纳入年度平均计算。考核结果用于计算绩效系数。</w:t>
      </w:r>
    </w:p>
    <w:p>
      <w:pPr>
        <w:spacing w:line="360" w:lineRule="auto"/>
        <w:ind w:firstLine="56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年终综合本年度的考评得分，以年度考核与临时考核的平均分为年度考核综合得分。考核绩效系数的有关联计算参照以下方式：</w:t>
      </w:r>
    </w:p>
    <w:p>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常规考核打分</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日常考核得分×</w:t>
      </w:r>
      <w:r>
        <w:rPr>
          <w:color w:val="000000" w:themeColor="text1"/>
          <w:szCs w:val="21"/>
          <w14:textFill>
            <w14:solidFill>
              <w14:schemeClr w14:val="tx1"/>
            </w14:solidFill>
          </w14:textFill>
        </w:rPr>
        <w:t>0.4+</w:t>
      </w:r>
      <w:r>
        <w:rPr>
          <w:rFonts w:hint="eastAsia"/>
          <w:color w:val="000000" w:themeColor="text1"/>
          <w:szCs w:val="21"/>
          <w14:textFill>
            <w14:solidFill>
              <w14:schemeClr w14:val="tx1"/>
            </w14:solidFill>
          </w14:textFill>
        </w:rPr>
        <w:t>综合考核得分×</w:t>
      </w:r>
      <w:r>
        <w:rPr>
          <w:color w:val="000000" w:themeColor="text1"/>
          <w:szCs w:val="21"/>
          <w14:textFill>
            <w14:solidFill>
              <w14:schemeClr w14:val="tx1"/>
            </w14:solidFill>
          </w14:textFill>
        </w:rPr>
        <w:t>0.6</w:t>
      </w:r>
    </w:p>
    <w:p>
      <w:pPr>
        <w:adjustRightInd w:val="0"/>
        <w:snapToGrid w:val="0"/>
        <w:spacing w:before="156" w:beforeLines="50" w:after="156" w:afterLines="50" w:line="360" w:lineRule="auto"/>
        <w:ind w:firstLine="420"/>
        <w:textAlignment w:val="center"/>
        <w:rPr>
          <w:rFonts w:cs="Calibri"/>
          <w:kern w:val="0"/>
          <w:szCs w:val="21"/>
        </w:rPr>
      </w:pPr>
      <m:oMath>
        <m:sSub>
          <m:sSubPr>
            <m:ctrlPr>
              <w:rPr>
                <w:rFonts w:ascii="Cambria Math" w:hAnsi="Cambria Math"/>
                <w:i/>
                <w:color w:val="000000"/>
                <w:szCs w:val="21"/>
              </w:rPr>
            </m:ctrlPr>
          </m:sSubPr>
          <m:e>
            <m:r>
              <w:rPr>
                <w:rFonts w:ascii="Cambria Math" w:hAnsi="Cambria Math"/>
                <w:color w:val="000000"/>
                <w:szCs w:val="21"/>
              </w:rPr>
              <m:t>R</m:t>
            </m:r>
            <m:ctrlPr>
              <w:rPr>
                <w:rFonts w:ascii="Cambria Math" w:hAnsi="Cambria Math"/>
                <w:i/>
                <w:color w:val="000000"/>
                <w:szCs w:val="21"/>
              </w:rPr>
            </m:ctrlPr>
          </m:e>
          <m:sub>
            <m:r>
              <w:rPr>
                <w:rFonts w:ascii="Cambria Math" w:hAnsi="Cambria Math"/>
                <w:color w:val="000000"/>
                <w:szCs w:val="21"/>
              </w:rPr>
              <m:t>n</m:t>
            </m:r>
            <m:ctrlPr>
              <w:rPr>
                <w:rFonts w:ascii="Cambria Math" w:hAnsi="Cambria Math"/>
                <w:i/>
                <w:color w:val="000000"/>
                <w:szCs w:val="21"/>
              </w:rPr>
            </m:ctrlPr>
          </m:sub>
        </m:sSub>
      </m:oMath>
      <w:r>
        <w:rPr>
          <w:rFonts w:hint="eastAsia" w:cs="Calibri"/>
          <w:color w:val="000000"/>
          <w:szCs w:val="21"/>
        </w:rPr>
        <w:t>为</w:t>
      </w:r>
      <w:r>
        <w:rPr>
          <w:rFonts w:hint="eastAsia" w:cs="Calibri"/>
          <w:kern w:val="0"/>
          <w:szCs w:val="21"/>
        </w:rPr>
        <w:t>绩效考核系数，按照以下方式计算：</w:t>
      </w:r>
    </w:p>
    <w:p>
      <w:pPr>
        <w:adjustRightInd w:val="0"/>
        <w:snapToGrid w:val="0"/>
        <w:spacing w:before="156" w:beforeLines="50" w:after="156" w:afterLines="50" w:line="360" w:lineRule="auto"/>
        <w:ind w:firstLine="420"/>
        <w:jc w:val="center"/>
        <w:textAlignment w:val="center"/>
        <w:rPr>
          <w:rFonts w:ascii="宋体" w:hAnsi="宋体" w:cs="Calibri"/>
          <w:b/>
          <w:kern w:val="0"/>
          <w:szCs w:val="21"/>
        </w:rPr>
      </w:pPr>
      <w:r>
        <w:rPr>
          <w:rFonts w:hint="eastAsia" w:ascii="宋体" w:hAnsi="宋体" w:cs="Calibri"/>
          <w:b/>
          <w:kern w:val="0"/>
          <w:szCs w:val="21"/>
        </w:rPr>
        <w:t>表</w:t>
      </w:r>
      <w:r>
        <w:rPr>
          <w:rFonts w:ascii="宋体" w:hAnsi="宋体" w:cs="Calibri"/>
          <w:b/>
          <w:kern w:val="0"/>
          <w:szCs w:val="21"/>
        </w:rPr>
        <w:t xml:space="preserve">3 </w:t>
      </w:r>
      <w:r>
        <w:rPr>
          <w:rFonts w:hint="eastAsia" w:ascii="宋体" w:hAnsi="宋体" w:cs="Calibri"/>
          <w:b/>
          <w:kern w:val="0"/>
          <w:szCs w:val="21"/>
        </w:rPr>
        <w:t>绩效考核系数表</w:t>
      </w:r>
    </w:p>
    <w:tbl>
      <w:tblPr>
        <w:tblStyle w:val="330"/>
        <w:tblW w:w="71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9"/>
        <w:gridCol w:w="3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3249" w:type="dxa"/>
            <w:vAlign w:val="center"/>
          </w:tcPr>
          <w:p>
            <w:pPr>
              <w:ind w:firstLine="420"/>
              <w:jc w:val="center"/>
              <w:rPr>
                <w:color w:val="000000" w:themeColor="text1"/>
                <w:kern w:val="0"/>
                <w:sz w:val="21"/>
                <w:szCs w:val="21"/>
                <w14:textFill>
                  <w14:solidFill>
                    <w14:schemeClr w14:val="tx1"/>
                  </w14:solidFill>
                </w14:textFill>
              </w:rPr>
            </w:pPr>
            <w:r>
              <w:rPr>
                <w:rFonts w:hint="eastAsia"/>
                <w:color w:val="000000" w:themeColor="text1"/>
                <w:kern w:val="0"/>
                <w:sz w:val="20"/>
                <w:szCs w:val="21"/>
                <w14:textFill>
                  <w14:solidFill>
                    <w14:schemeClr w14:val="tx1"/>
                  </w14:solidFill>
                </w14:textFill>
              </w:rPr>
              <w:t>年度常规考核得分</w:t>
            </w:r>
          </w:p>
        </w:tc>
        <w:tc>
          <w:tcPr>
            <w:tcW w:w="3919" w:type="dxa"/>
            <w:vAlign w:val="center"/>
          </w:tcPr>
          <w:p>
            <w:pPr>
              <w:ind w:firstLine="420"/>
              <w:jc w:val="center"/>
              <w:rPr>
                <w:color w:val="000000" w:themeColor="text1"/>
                <w:kern w:val="0"/>
                <w:sz w:val="21"/>
                <w:szCs w:val="21"/>
                <w14:textFill>
                  <w14:solidFill>
                    <w14:schemeClr w14:val="tx1"/>
                  </w14:solidFill>
                </w14:textFill>
              </w:rPr>
            </w:pPr>
            <w:r>
              <w:rPr>
                <w:rFonts w:hint="eastAsia"/>
                <w:color w:val="000000" w:themeColor="text1"/>
                <w:kern w:val="0"/>
                <w:sz w:val="20"/>
                <w:szCs w:val="21"/>
                <w14:textFill>
                  <w14:solidFill>
                    <w14:schemeClr w14:val="tx1"/>
                  </w14:solidFill>
                </w14:textFill>
              </w:rPr>
              <w:t>绩效考核系数</w:t>
            </w:r>
            <m:oMath>
              <m:sSub>
                <m:sSubPr>
                  <m:ctrlPr>
                    <w:rPr>
                      <w:rFonts w:ascii="Cambria Math" w:hAnsi="Cambria Math"/>
                      <w:i/>
                      <w:color w:val="000000"/>
                      <w:kern w:val="0"/>
                      <w:sz w:val="21"/>
                      <w:szCs w:val="21"/>
                    </w:rPr>
                  </m:ctrlPr>
                </m:sSubPr>
                <m:e>
                  <m:r>
                    <w:rPr>
                      <w:rFonts w:ascii="Cambria Math" w:hAnsi="Cambria Math"/>
                      <w:color w:val="000000"/>
                      <w:kern w:val="0"/>
                      <w:sz w:val="20"/>
                      <w:szCs w:val="21"/>
                    </w:rPr>
                    <m:t>R</m:t>
                  </m:r>
                  <m:ctrlPr>
                    <w:rPr>
                      <w:rFonts w:ascii="Cambria Math" w:hAnsi="Cambria Math"/>
                      <w:i/>
                      <w:color w:val="000000"/>
                      <w:kern w:val="0"/>
                      <w:sz w:val="21"/>
                      <w:szCs w:val="21"/>
                    </w:rPr>
                  </m:ctrlPr>
                </m:e>
                <m:sub>
                  <m:r>
                    <w:rPr>
                      <w:rFonts w:ascii="Cambria Math" w:hAnsi="Cambria Math"/>
                      <w:color w:val="000000"/>
                      <w:kern w:val="0"/>
                      <w:sz w:val="20"/>
                      <w:szCs w:val="21"/>
                    </w:rPr>
                    <m:t>n</m:t>
                  </m:r>
                  <m:ctrlPr>
                    <w:rPr>
                      <w:rFonts w:ascii="Cambria Math" w:hAnsi="Cambria Math"/>
                      <w:i/>
                      <w:color w:val="000000"/>
                      <w:kern w:val="0"/>
                      <w:sz w:val="21"/>
                      <w:szCs w:val="21"/>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3249" w:type="dxa"/>
            <w:vAlign w:val="center"/>
          </w:tcPr>
          <w:p>
            <w:pPr>
              <w:ind w:firstLine="420"/>
              <w:jc w:val="center"/>
              <w:rPr>
                <w:color w:val="000000" w:themeColor="text1"/>
                <w:kern w:val="0"/>
                <w:sz w:val="21"/>
                <w:szCs w:val="21"/>
                <w14:textFill>
                  <w14:solidFill>
                    <w14:schemeClr w14:val="tx1"/>
                  </w14:solidFill>
                </w14:textFill>
              </w:rPr>
            </w:pPr>
            <w:r>
              <w:rPr>
                <w:rFonts w:hint="eastAsia"/>
                <w:color w:val="000000" w:themeColor="text1"/>
                <w:kern w:val="0"/>
                <w:sz w:val="20"/>
                <w:szCs w:val="21"/>
                <w14:textFill>
                  <w14:solidFill>
                    <w14:schemeClr w14:val="tx1"/>
                  </w14:solidFill>
                </w14:textFill>
              </w:rPr>
              <w:t>≥</w:t>
            </w:r>
            <w:r>
              <w:rPr>
                <w:color w:val="000000" w:themeColor="text1"/>
                <w:kern w:val="0"/>
                <w:sz w:val="20"/>
                <w:szCs w:val="21"/>
                <w14:textFill>
                  <w14:solidFill>
                    <w14:schemeClr w14:val="tx1"/>
                  </w14:solidFill>
                </w14:textFill>
              </w:rPr>
              <w:t>80</w:t>
            </w:r>
            <w:r>
              <w:rPr>
                <w:rFonts w:hint="eastAsia"/>
                <w:color w:val="000000" w:themeColor="text1"/>
                <w:kern w:val="0"/>
                <w:sz w:val="20"/>
                <w:szCs w:val="21"/>
                <w14:textFill>
                  <w14:solidFill>
                    <w14:schemeClr w14:val="tx1"/>
                  </w14:solidFill>
                </w14:textFill>
              </w:rPr>
              <w:t>分</w:t>
            </w:r>
          </w:p>
        </w:tc>
        <w:tc>
          <w:tcPr>
            <w:tcW w:w="3919" w:type="dxa"/>
            <w:vAlign w:val="center"/>
          </w:tcPr>
          <w:p>
            <w:pPr>
              <w:ind w:firstLine="420"/>
              <w:jc w:val="center"/>
              <w:rPr>
                <w:color w:val="000000" w:themeColor="text1"/>
                <w:kern w:val="0"/>
                <w:sz w:val="21"/>
                <w:szCs w:val="21"/>
                <w14:textFill>
                  <w14:solidFill>
                    <w14:schemeClr w14:val="tx1"/>
                  </w14:solidFill>
                </w14:textFill>
              </w:rPr>
            </w:pPr>
            <w:r>
              <w:rPr>
                <w:color w:val="000000" w:themeColor="text1"/>
                <w:kern w:val="0"/>
                <w:sz w:val="20"/>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3249" w:type="dxa"/>
            <w:vAlign w:val="center"/>
          </w:tcPr>
          <w:p>
            <w:pPr>
              <w:ind w:firstLine="420"/>
              <w:jc w:val="center"/>
              <w:rPr>
                <w:color w:val="000000" w:themeColor="text1"/>
                <w:kern w:val="0"/>
                <w:sz w:val="21"/>
                <w:szCs w:val="21"/>
                <w14:textFill>
                  <w14:solidFill>
                    <w14:schemeClr w14:val="tx1"/>
                  </w14:solidFill>
                </w14:textFill>
              </w:rPr>
            </w:pPr>
            <w:r>
              <w:rPr>
                <w:rFonts w:hint="eastAsia"/>
                <w:color w:val="000000" w:themeColor="text1"/>
                <w:kern w:val="0"/>
                <w:sz w:val="20"/>
                <w:szCs w:val="21"/>
                <w14:textFill>
                  <w14:solidFill>
                    <w14:schemeClr w14:val="tx1"/>
                  </w14:solidFill>
                </w14:textFill>
              </w:rPr>
              <w:t>≥</w:t>
            </w:r>
            <w:r>
              <w:rPr>
                <w:color w:val="000000" w:themeColor="text1"/>
                <w:kern w:val="0"/>
                <w:sz w:val="20"/>
                <w:szCs w:val="21"/>
                <w14:textFill>
                  <w14:solidFill>
                    <w14:schemeClr w14:val="tx1"/>
                  </w14:solidFill>
                </w14:textFill>
              </w:rPr>
              <w:t>75</w:t>
            </w:r>
            <w:r>
              <w:rPr>
                <w:rFonts w:hint="eastAsia"/>
                <w:color w:val="000000" w:themeColor="text1"/>
                <w:kern w:val="0"/>
                <w:sz w:val="20"/>
                <w:szCs w:val="21"/>
                <w14:textFill>
                  <w14:solidFill>
                    <w14:schemeClr w14:val="tx1"/>
                  </w14:solidFill>
                </w14:textFill>
              </w:rPr>
              <w:t>分，＜</w:t>
            </w:r>
            <w:r>
              <w:rPr>
                <w:color w:val="000000" w:themeColor="text1"/>
                <w:kern w:val="0"/>
                <w:sz w:val="20"/>
                <w:szCs w:val="21"/>
                <w14:textFill>
                  <w14:solidFill>
                    <w14:schemeClr w14:val="tx1"/>
                  </w14:solidFill>
                </w14:textFill>
              </w:rPr>
              <w:t>80</w:t>
            </w:r>
            <w:r>
              <w:rPr>
                <w:rFonts w:hint="eastAsia"/>
                <w:color w:val="000000" w:themeColor="text1"/>
                <w:kern w:val="0"/>
                <w:sz w:val="20"/>
                <w:szCs w:val="21"/>
                <w14:textFill>
                  <w14:solidFill>
                    <w14:schemeClr w14:val="tx1"/>
                  </w14:solidFill>
                </w14:textFill>
              </w:rPr>
              <w:t>分</w:t>
            </w:r>
          </w:p>
        </w:tc>
        <w:tc>
          <w:tcPr>
            <w:tcW w:w="3919" w:type="dxa"/>
            <w:vAlign w:val="center"/>
          </w:tcPr>
          <w:p>
            <w:pPr>
              <w:ind w:firstLine="420"/>
              <w:jc w:val="center"/>
              <w:rPr>
                <w:color w:val="000000" w:themeColor="text1"/>
                <w:kern w:val="0"/>
                <w:sz w:val="21"/>
                <w:szCs w:val="21"/>
                <w14:textFill>
                  <w14:solidFill>
                    <w14:schemeClr w14:val="tx1"/>
                  </w14:solidFill>
                </w14:textFill>
              </w:rPr>
            </w:pPr>
            <w:r>
              <w:rPr>
                <w:color w:val="000000" w:themeColor="text1"/>
                <w:kern w:val="0"/>
                <w:sz w:val="20"/>
                <w:szCs w:val="21"/>
                <w14:textFill>
                  <w14:solidFill>
                    <w14:schemeClr w14:val="tx1"/>
                  </w14:solidFill>
                </w14:textFill>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3249" w:type="dxa"/>
            <w:vAlign w:val="center"/>
          </w:tcPr>
          <w:p>
            <w:pPr>
              <w:ind w:firstLine="420"/>
              <w:jc w:val="center"/>
              <w:rPr>
                <w:color w:val="000000" w:themeColor="text1"/>
                <w:kern w:val="0"/>
                <w:sz w:val="21"/>
                <w:szCs w:val="21"/>
                <w14:textFill>
                  <w14:solidFill>
                    <w14:schemeClr w14:val="tx1"/>
                  </w14:solidFill>
                </w14:textFill>
              </w:rPr>
            </w:pPr>
            <w:r>
              <w:rPr>
                <w:rFonts w:hint="eastAsia"/>
                <w:color w:val="000000" w:themeColor="text1"/>
                <w:kern w:val="0"/>
                <w:sz w:val="20"/>
                <w:szCs w:val="21"/>
                <w14:textFill>
                  <w14:solidFill>
                    <w14:schemeClr w14:val="tx1"/>
                  </w14:solidFill>
                </w14:textFill>
              </w:rPr>
              <w:t>≥</w:t>
            </w:r>
            <w:r>
              <w:rPr>
                <w:color w:val="000000" w:themeColor="text1"/>
                <w:kern w:val="0"/>
                <w:sz w:val="20"/>
                <w:szCs w:val="21"/>
                <w14:textFill>
                  <w14:solidFill>
                    <w14:schemeClr w14:val="tx1"/>
                  </w14:solidFill>
                </w14:textFill>
              </w:rPr>
              <w:t>70</w:t>
            </w:r>
            <w:r>
              <w:rPr>
                <w:rFonts w:hint="eastAsia"/>
                <w:color w:val="000000" w:themeColor="text1"/>
                <w:kern w:val="0"/>
                <w:sz w:val="20"/>
                <w:szCs w:val="21"/>
                <w14:textFill>
                  <w14:solidFill>
                    <w14:schemeClr w14:val="tx1"/>
                  </w14:solidFill>
                </w14:textFill>
              </w:rPr>
              <w:t>分，＜</w:t>
            </w:r>
            <w:r>
              <w:rPr>
                <w:color w:val="000000" w:themeColor="text1"/>
                <w:kern w:val="0"/>
                <w:sz w:val="20"/>
                <w:szCs w:val="21"/>
                <w14:textFill>
                  <w14:solidFill>
                    <w14:schemeClr w14:val="tx1"/>
                  </w14:solidFill>
                </w14:textFill>
              </w:rPr>
              <w:t>75</w:t>
            </w:r>
            <w:r>
              <w:rPr>
                <w:rFonts w:hint="eastAsia"/>
                <w:color w:val="000000" w:themeColor="text1"/>
                <w:kern w:val="0"/>
                <w:sz w:val="20"/>
                <w:szCs w:val="21"/>
                <w14:textFill>
                  <w14:solidFill>
                    <w14:schemeClr w14:val="tx1"/>
                  </w14:solidFill>
                </w14:textFill>
              </w:rPr>
              <w:t>分</w:t>
            </w:r>
          </w:p>
        </w:tc>
        <w:tc>
          <w:tcPr>
            <w:tcW w:w="3919" w:type="dxa"/>
            <w:vAlign w:val="center"/>
          </w:tcPr>
          <w:p>
            <w:pPr>
              <w:ind w:firstLine="420"/>
              <w:jc w:val="center"/>
              <w:rPr>
                <w:color w:val="000000" w:themeColor="text1"/>
                <w:kern w:val="0"/>
                <w:sz w:val="21"/>
                <w:szCs w:val="21"/>
                <w14:textFill>
                  <w14:solidFill>
                    <w14:schemeClr w14:val="tx1"/>
                  </w14:solidFill>
                </w14:textFill>
              </w:rPr>
            </w:pPr>
            <w:r>
              <w:rPr>
                <w:color w:val="000000" w:themeColor="text1"/>
                <w:kern w:val="0"/>
                <w:sz w:val="20"/>
                <w:szCs w:val="21"/>
                <w14:textFill>
                  <w14:solidFill>
                    <w14:schemeClr w14:val="tx1"/>
                  </w14:solidFill>
                </w14:textFill>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3249" w:type="dxa"/>
            <w:vAlign w:val="center"/>
          </w:tcPr>
          <w:p>
            <w:pPr>
              <w:ind w:firstLine="420"/>
              <w:jc w:val="center"/>
              <w:rPr>
                <w:color w:val="000000" w:themeColor="text1"/>
                <w:kern w:val="0"/>
                <w:sz w:val="21"/>
                <w:szCs w:val="21"/>
                <w14:textFill>
                  <w14:solidFill>
                    <w14:schemeClr w14:val="tx1"/>
                  </w14:solidFill>
                </w14:textFill>
              </w:rPr>
            </w:pPr>
            <w:r>
              <w:rPr>
                <w:rFonts w:hint="eastAsia"/>
                <w:color w:val="000000" w:themeColor="text1"/>
                <w:kern w:val="0"/>
                <w:sz w:val="20"/>
                <w:szCs w:val="21"/>
                <w14:textFill>
                  <w14:solidFill>
                    <w14:schemeClr w14:val="tx1"/>
                  </w14:solidFill>
                </w14:textFill>
              </w:rPr>
              <w:t>≥</w:t>
            </w:r>
            <w:r>
              <w:rPr>
                <w:color w:val="000000" w:themeColor="text1"/>
                <w:kern w:val="0"/>
                <w:sz w:val="20"/>
                <w:szCs w:val="21"/>
                <w14:textFill>
                  <w14:solidFill>
                    <w14:schemeClr w14:val="tx1"/>
                  </w14:solidFill>
                </w14:textFill>
              </w:rPr>
              <w:t>65</w:t>
            </w:r>
            <w:r>
              <w:rPr>
                <w:rFonts w:hint="eastAsia"/>
                <w:color w:val="000000" w:themeColor="text1"/>
                <w:kern w:val="0"/>
                <w:sz w:val="20"/>
                <w:szCs w:val="21"/>
                <w14:textFill>
                  <w14:solidFill>
                    <w14:schemeClr w14:val="tx1"/>
                  </w14:solidFill>
                </w14:textFill>
              </w:rPr>
              <w:t>分，＜</w:t>
            </w:r>
            <w:r>
              <w:rPr>
                <w:color w:val="000000" w:themeColor="text1"/>
                <w:kern w:val="0"/>
                <w:sz w:val="20"/>
                <w:szCs w:val="21"/>
                <w14:textFill>
                  <w14:solidFill>
                    <w14:schemeClr w14:val="tx1"/>
                  </w14:solidFill>
                </w14:textFill>
              </w:rPr>
              <w:t>70</w:t>
            </w:r>
            <w:r>
              <w:rPr>
                <w:rFonts w:hint="eastAsia"/>
                <w:color w:val="000000" w:themeColor="text1"/>
                <w:kern w:val="0"/>
                <w:sz w:val="20"/>
                <w:szCs w:val="21"/>
                <w14:textFill>
                  <w14:solidFill>
                    <w14:schemeClr w14:val="tx1"/>
                  </w14:solidFill>
                </w14:textFill>
              </w:rPr>
              <w:t>分</w:t>
            </w:r>
          </w:p>
        </w:tc>
        <w:tc>
          <w:tcPr>
            <w:tcW w:w="3919" w:type="dxa"/>
            <w:vAlign w:val="center"/>
          </w:tcPr>
          <w:p>
            <w:pPr>
              <w:ind w:firstLine="420"/>
              <w:jc w:val="center"/>
              <w:rPr>
                <w:color w:val="000000" w:themeColor="text1"/>
                <w:kern w:val="0"/>
                <w:sz w:val="21"/>
                <w:szCs w:val="21"/>
                <w14:textFill>
                  <w14:solidFill>
                    <w14:schemeClr w14:val="tx1"/>
                  </w14:solidFill>
                </w14:textFill>
              </w:rPr>
            </w:pPr>
            <w:r>
              <w:rPr>
                <w:color w:val="000000" w:themeColor="text1"/>
                <w:kern w:val="0"/>
                <w:sz w:val="20"/>
                <w:szCs w:val="21"/>
                <w14:textFill>
                  <w14:solidFill>
                    <w14:schemeClr w14:val="tx1"/>
                  </w14:solidFill>
                </w14:textFill>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3249" w:type="dxa"/>
            <w:vAlign w:val="center"/>
          </w:tcPr>
          <w:p>
            <w:pPr>
              <w:ind w:firstLine="420"/>
              <w:jc w:val="center"/>
              <w:rPr>
                <w:color w:val="000000" w:themeColor="text1"/>
                <w:kern w:val="0"/>
                <w:sz w:val="21"/>
                <w:szCs w:val="21"/>
                <w14:textFill>
                  <w14:solidFill>
                    <w14:schemeClr w14:val="tx1"/>
                  </w14:solidFill>
                </w14:textFill>
              </w:rPr>
            </w:pPr>
            <w:r>
              <w:rPr>
                <w:rFonts w:hint="eastAsia"/>
                <w:color w:val="000000" w:themeColor="text1"/>
                <w:kern w:val="0"/>
                <w:sz w:val="20"/>
                <w:szCs w:val="21"/>
                <w14:textFill>
                  <w14:solidFill>
                    <w14:schemeClr w14:val="tx1"/>
                  </w14:solidFill>
                </w14:textFill>
              </w:rPr>
              <w:t>≥</w:t>
            </w:r>
            <w:r>
              <w:rPr>
                <w:color w:val="000000" w:themeColor="text1"/>
                <w:kern w:val="0"/>
                <w:sz w:val="20"/>
                <w:szCs w:val="21"/>
                <w14:textFill>
                  <w14:solidFill>
                    <w14:schemeClr w14:val="tx1"/>
                  </w14:solidFill>
                </w14:textFill>
              </w:rPr>
              <w:t>60</w:t>
            </w:r>
            <w:r>
              <w:rPr>
                <w:rFonts w:hint="eastAsia"/>
                <w:color w:val="000000" w:themeColor="text1"/>
                <w:kern w:val="0"/>
                <w:sz w:val="20"/>
                <w:szCs w:val="21"/>
                <w14:textFill>
                  <w14:solidFill>
                    <w14:schemeClr w14:val="tx1"/>
                  </w14:solidFill>
                </w14:textFill>
              </w:rPr>
              <w:t>分，＜</w:t>
            </w:r>
            <w:r>
              <w:rPr>
                <w:color w:val="000000" w:themeColor="text1"/>
                <w:kern w:val="0"/>
                <w:sz w:val="20"/>
                <w:szCs w:val="21"/>
                <w14:textFill>
                  <w14:solidFill>
                    <w14:schemeClr w14:val="tx1"/>
                  </w14:solidFill>
                </w14:textFill>
              </w:rPr>
              <w:t>65</w:t>
            </w:r>
            <w:r>
              <w:rPr>
                <w:rFonts w:hint="eastAsia"/>
                <w:color w:val="000000" w:themeColor="text1"/>
                <w:kern w:val="0"/>
                <w:sz w:val="20"/>
                <w:szCs w:val="21"/>
                <w14:textFill>
                  <w14:solidFill>
                    <w14:schemeClr w14:val="tx1"/>
                  </w14:solidFill>
                </w14:textFill>
              </w:rPr>
              <w:t>分</w:t>
            </w:r>
          </w:p>
        </w:tc>
        <w:tc>
          <w:tcPr>
            <w:tcW w:w="3919" w:type="dxa"/>
            <w:vAlign w:val="center"/>
          </w:tcPr>
          <w:p>
            <w:pPr>
              <w:ind w:firstLine="420"/>
              <w:jc w:val="center"/>
              <w:rPr>
                <w:color w:val="000000" w:themeColor="text1"/>
                <w:kern w:val="0"/>
                <w:sz w:val="21"/>
                <w:szCs w:val="21"/>
                <w14:textFill>
                  <w14:solidFill>
                    <w14:schemeClr w14:val="tx1"/>
                  </w14:solidFill>
                </w14:textFill>
              </w:rPr>
            </w:pPr>
            <w:r>
              <w:rPr>
                <w:color w:val="000000" w:themeColor="text1"/>
                <w:kern w:val="0"/>
                <w:sz w:val="20"/>
                <w:szCs w:val="21"/>
                <w14:textFill>
                  <w14:solidFill>
                    <w14:schemeClr w14:val="tx1"/>
                  </w14:solidFill>
                </w14:textFill>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3249" w:type="dxa"/>
            <w:vAlign w:val="center"/>
          </w:tcPr>
          <w:p>
            <w:pPr>
              <w:ind w:firstLine="420"/>
              <w:jc w:val="center"/>
              <w:rPr>
                <w:color w:val="000000" w:themeColor="text1"/>
                <w:kern w:val="0"/>
                <w:sz w:val="21"/>
                <w:szCs w:val="21"/>
                <w14:textFill>
                  <w14:solidFill>
                    <w14:schemeClr w14:val="tx1"/>
                  </w14:solidFill>
                </w14:textFill>
              </w:rPr>
            </w:pPr>
            <w:r>
              <w:rPr>
                <w:rFonts w:hint="eastAsia"/>
                <w:color w:val="000000" w:themeColor="text1"/>
                <w:kern w:val="0"/>
                <w:sz w:val="20"/>
                <w:szCs w:val="21"/>
                <w14:textFill>
                  <w14:solidFill>
                    <w14:schemeClr w14:val="tx1"/>
                  </w14:solidFill>
                </w14:textFill>
              </w:rPr>
              <w:t>≥</w:t>
            </w:r>
            <w:r>
              <w:rPr>
                <w:color w:val="000000" w:themeColor="text1"/>
                <w:kern w:val="0"/>
                <w:sz w:val="20"/>
                <w:szCs w:val="21"/>
                <w14:textFill>
                  <w14:solidFill>
                    <w14:schemeClr w14:val="tx1"/>
                  </w14:solidFill>
                </w14:textFill>
              </w:rPr>
              <w:t>55</w:t>
            </w:r>
            <w:r>
              <w:rPr>
                <w:rFonts w:hint="eastAsia"/>
                <w:color w:val="000000" w:themeColor="text1"/>
                <w:kern w:val="0"/>
                <w:sz w:val="20"/>
                <w:szCs w:val="21"/>
                <w14:textFill>
                  <w14:solidFill>
                    <w14:schemeClr w14:val="tx1"/>
                  </w14:solidFill>
                </w14:textFill>
              </w:rPr>
              <w:t>分，＜</w:t>
            </w:r>
            <w:r>
              <w:rPr>
                <w:color w:val="000000" w:themeColor="text1"/>
                <w:kern w:val="0"/>
                <w:sz w:val="20"/>
                <w:szCs w:val="21"/>
                <w14:textFill>
                  <w14:solidFill>
                    <w14:schemeClr w14:val="tx1"/>
                  </w14:solidFill>
                </w14:textFill>
              </w:rPr>
              <w:t>60</w:t>
            </w:r>
            <w:r>
              <w:rPr>
                <w:rFonts w:hint="eastAsia"/>
                <w:color w:val="000000" w:themeColor="text1"/>
                <w:kern w:val="0"/>
                <w:sz w:val="20"/>
                <w:szCs w:val="21"/>
                <w14:textFill>
                  <w14:solidFill>
                    <w14:schemeClr w14:val="tx1"/>
                  </w14:solidFill>
                </w14:textFill>
              </w:rPr>
              <w:t>分</w:t>
            </w:r>
          </w:p>
        </w:tc>
        <w:tc>
          <w:tcPr>
            <w:tcW w:w="3919" w:type="dxa"/>
            <w:vAlign w:val="center"/>
          </w:tcPr>
          <w:p>
            <w:pPr>
              <w:ind w:firstLine="420"/>
              <w:jc w:val="center"/>
              <w:rPr>
                <w:color w:val="000000" w:themeColor="text1"/>
                <w:kern w:val="0"/>
                <w:sz w:val="21"/>
                <w:szCs w:val="21"/>
                <w14:textFill>
                  <w14:solidFill>
                    <w14:schemeClr w14:val="tx1"/>
                  </w14:solidFill>
                </w14:textFill>
              </w:rPr>
            </w:pPr>
            <w:r>
              <w:rPr>
                <w:color w:val="000000" w:themeColor="text1"/>
                <w:kern w:val="0"/>
                <w:sz w:val="20"/>
                <w:szCs w:val="21"/>
                <w14:textFill>
                  <w14:solidFill>
                    <w14:schemeClr w14:val="tx1"/>
                  </w14:solidFill>
                </w14:textFill>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3249" w:type="dxa"/>
            <w:vAlign w:val="center"/>
          </w:tcPr>
          <w:p>
            <w:pPr>
              <w:ind w:firstLine="420"/>
              <w:jc w:val="center"/>
              <w:rPr>
                <w:color w:val="000000" w:themeColor="text1"/>
                <w:kern w:val="0"/>
                <w:sz w:val="21"/>
                <w:szCs w:val="21"/>
                <w14:textFill>
                  <w14:solidFill>
                    <w14:schemeClr w14:val="tx1"/>
                  </w14:solidFill>
                </w14:textFill>
              </w:rPr>
            </w:pPr>
            <w:r>
              <w:rPr>
                <w:rFonts w:hint="eastAsia"/>
                <w:color w:val="000000" w:themeColor="text1"/>
                <w:kern w:val="0"/>
                <w:sz w:val="20"/>
                <w:szCs w:val="21"/>
                <w14:textFill>
                  <w14:solidFill>
                    <w14:schemeClr w14:val="tx1"/>
                  </w14:solidFill>
                </w14:textFill>
              </w:rPr>
              <w:t>≥</w:t>
            </w:r>
            <w:r>
              <w:rPr>
                <w:color w:val="000000" w:themeColor="text1"/>
                <w:kern w:val="0"/>
                <w:sz w:val="20"/>
                <w:szCs w:val="21"/>
                <w14:textFill>
                  <w14:solidFill>
                    <w14:schemeClr w14:val="tx1"/>
                  </w14:solidFill>
                </w14:textFill>
              </w:rPr>
              <w:t>50</w:t>
            </w:r>
            <w:r>
              <w:rPr>
                <w:rFonts w:hint="eastAsia"/>
                <w:color w:val="000000" w:themeColor="text1"/>
                <w:kern w:val="0"/>
                <w:sz w:val="20"/>
                <w:szCs w:val="21"/>
                <w14:textFill>
                  <w14:solidFill>
                    <w14:schemeClr w14:val="tx1"/>
                  </w14:solidFill>
                </w14:textFill>
              </w:rPr>
              <w:t>分，＜</w:t>
            </w:r>
            <w:r>
              <w:rPr>
                <w:color w:val="000000" w:themeColor="text1"/>
                <w:kern w:val="0"/>
                <w:sz w:val="20"/>
                <w:szCs w:val="21"/>
                <w14:textFill>
                  <w14:solidFill>
                    <w14:schemeClr w14:val="tx1"/>
                  </w14:solidFill>
                </w14:textFill>
              </w:rPr>
              <w:t>55</w:t>
            </w:r>
            <w:r>
              <w:rPr>
                <w:rFonts w:hint="eastAsia"/>
                <w:color w:val="000000" w:themeColor="text1"/>
                <w:kern w:val="0"/>
                <w:sz w:val="20"/>
                <w:szCs w:val="21"/>
                <w14:textFill>
                  <w14:solidFill>
                    <w14:schemeClr w14:val="tx1"/>
                  </w14:solidFill>
                </w14:textFill>
              </w:rPr>
              <w:t>分</w:t>
            </w:r>
          </w:p>
        </w:tc>
        <w:tc>
          <w:tcPr>
            <w:tcW w:w="3919" w:type="dxa"/>
            <w:vAlign w:val="center"/>
          </w:tcPr>
          <w:p>
            <w:pPr>
              <w:ind w:firstLine="420"/>
              <w:jc w:val="center"/>
              <w:rPr>
                <w:color w:val="000000" w:themeColor="text1"/>
                <w:kern w:val="0"/>
                <w:sz w:val="21"/>
                <w:szCs w:val="21"/>
                <w14:textFill>
                  <w14:solidFill>
                    <w14:schemeClr w14:val="tx1"/>
                  </w14:solidFill>
                </w14:textFill>
              </w:rPr>
            </w:pPr>
            <w:r>
              <w:rPr>
                <w:color w:val="000000" w:themeColor="text1"/>
                <w:kern w:val="0"/>
                <w:sz w:val="20"/>
                <w:szCs w:val="21"/>
                <w14:textFill>
                  <w14:solidFill>
                    <w14:schemeClr w14:val="tx1"/>
                  </w14:solidFill>
                </w14:textFill>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3249" w:type="dxa"/>
          </w:tcPr>
          <w:p>
            <w:pPr>
              <w:ind w:firstLine="420"/>
              <w:jc w:val="center"/>
              <w:rPr>
                <w:color w:val="000000" w:themeColor="text1"/>
                <w:kern w:val="0"/>
                <w:sz w:val="21"/>
                <w:szCs w:val="21"/>
                <w14:textFill>
                  <w14:solidFill>
                    <w14:schemeClr w14:val="tx1"/>
                  </w14:solidFill>
                </w14:textFill>
              </w:rPr>
            </w:pPr>
            <w:r>
              <w:rPr>
                <w:rFonts w:hint="eastAsia"/>
                <w:color w:val="000000" w:themeColor="text1"/>
                <w:kern w:val="0"/>
                <w:sz w:val="20"/>
                <w:szCs w:val="21"/>
                <w14:textFill>
                  <w14:solidFill>
                    <w14:schemeClr w14:val="tx1"/>
                  </w14:solidFill>
                </w14:textFill>
              </w:rPr>
              <w:t>＜</w:t>
            </w:r>
            <w:r>
              <w:rPr>
                <w:color w:val="000000" w:themeColor="text1"/>
                <w:kern w:val="0"/>
                <w:sz w:val="20"/>
                <w:szCs w:val="21"/>
                <w14:textFill>
                  <w14:solidFill>
                    <w14:schemeClr w14:val="tx1"/>
                  </w14:solidFill>
                </w14:textFill>
              </w:rPr>
              <w:t>50</w:t>
            </w:r>
            <w:r>
              <w:rPr>
                <w:rFonts w:hint="eastAsia"/>
                <w:color w:val="000000" w:themeColor="text1"/>
                <w:kern w:val="0"/>
                <w:sz w:val="20"/>
                <w:szCs w:val="21"/>
                <w14:textFill>
                  <w14:solidFill>
                    <w14:schemeClr w14:val="tx1"/>
                  </w14:solidFill>
                </w14:textFill>
              </w:rPr>
              <w:t>分</w:t>
            </w:r>
          </w:p>
        </w:tc>
        <w:tc>
          <w:tcPr>
            <w:tcW w:w="3919" w:type="dxa"/>
          </w:tcPr>
          <w:p>
            <w:pPr>
              <w:ind w:firstLine="420"/>
              <w:jc w:val="center"/>
              <w:rPr>
                <w:color w:val="000000" w:themeColor="text1"/>
                <w:kern w:val="0"/>
                <w:sz w:val="21"/>
                <w:szCs w:val="21"/>
                <w14:textFill>
                  <w14:solidFill>
                    <w14:schemeClr w14:val="tx1"/>
                  </w14:solidFill>
                </w14:textFill>
              </w:rPr>
            </w:pPr>
            <w:r>
              <w:rPr>
                <w:color w:val="000000" w:themeColor="text1"/>
                <w:kern w:val="0"/>
                <w:sz w:val="20"/>
                <w:szCs w:val="21"/>
                <w14:textFill>
                  <w14:solidFill>
                    <w14:schemeClr w14:val="tx1"/>
                  </w14:solidFill>
                </w14:textFill>
              </w:rPr>
              <w:t>0</w:t>
            </w:r>
          </w:p>
        </w:tc>
      </w:tr>
    </w:tbl>
    <w:p>
      <w:pPr>
        <w:rPr>
          <w:szCs w:val="21"/>
          <w:lang w:val="zh-CN"/>
        </w:rPr>
      </w:pPr>
      <w:r>
        <w:rPr>
          <w:rFonts w:hint="eastAsia"/>
          <w:color w:val="000000" w:themeColor="text1"/>
          <w:szCs w:val="21"/>
          <w14:textFill>
            <w14:solidFill>
              <w14:schemeClr w14:val="tx1"/>
            </w14:solidFill>
          </w14:textFill>
        </w:rPr>
        <w:t>项目公司连续三次常规考核得分低于</w:t>
      </w:r>
      <w:r>
        <w:rPr>
          <w:color w:val="000000" w:themeColor="text1"/>
          <w:szCs w:val="21"/>
          <w14:textFill>
            <w14:solidFill>
              <w14:schemeClr w14:val="tx1"/>
            </w14:solidFill>
          </w14:textFill>
        </w:rPr>
        <w:t>60</w:t>
      </w:r>
      <w:r>
        <w:rPr>
          <w:rFonts w:hint="eastAsia"/>
          <w:color w:val="000000" w:themeColor="text1"/>
          <w:szCs w:val="21"/>
          <w14:textFill>
            <w14:solidFill>
              <w14:schemeClr w14:val="tx1"/>
            </w14:solidFill>
          </w14:textFill>
        </w:rPr>
        <w:t>分时，政府方有权终止</w:t>
      </w:r>
      <w:r>
        <w:rPr>
          <w:color w:val="000000" w:themeColor="text1"/>
          <w:szCs w:val="21"/>
          <w14:textFill>
            <w14:solidFill>
              <w14:schemeClr w14:val="tx1"/>
            </w14:solidFill>
          </w14:textFill>
        </w:rPr>
        <w:t>PPP</w:t>
      </w:r>
      <w:r>
        <w:rPr>
          <w:rFonts w:hint="eastAsia"/>
          <w:color w:val="000000" w:themeColor="text1"/>
          <w:szCs w:val="21"/>
          <w14:textFill>
            <w14:solidFill>
              <w14:schemeClr w14:val="tx1"/>
            </w14:solidFill>
          </w14:textFill>
        </w:rPr>
        <w:t>项目合同。</w:t>
      </w:r>
      <w:bookmarkEnd w:id="1002"/>
    </w:p>
    <w:p>
      <w:pPr>
        <w:rPr>
          <w:szCs w:val="21"/>
          <w:lang w:val="zh-CN"/>
        </w:rPr>
      </w:pPr>
    </w:p>
    <w:p>
      <w:pPr>
        <w:rPr>
          <w:lang w:val="zh-CN"/>
        </w:rPr>
      </w:pPr>
    </w:p>
    <w:p>
      <w:pPr>
        <w:widowControl/>
        <w:jc w:val="left"/>
        <w:rPr>
          <w:lang w:val="zh-CN"/>
        </w:rPr>
      </w:pPr>
      <w:r>
        <w:rPr>
          <w:lang w:val="zh-CN"/>
        </w:rPr>
        <w:br w:type="page"/>
      </w:r>
    </w:p>
    <w:p>
      <w:pPr>
        <w:pStyle w:val="3"/>
        <w:jc w:val="center"/>
        <w:rPr>
          <w:rFonts w:ascii="Times New Roman" w:hAnsi="Times New Roman" w:eastAsia="黑体"/>
          <w:color w:val="000000" w:themeColor="text1"/>
          <w:sz w:val="21"/>
          <w:szCs w:val="21"/>
          <w14:textFill>
            <w14:solidFill>
              <w14:schemeClr w14:val="tx1"/>
            </w14:solidFill>
          </w14:textFill>
        </w:rPr>
      </w:pPr>
      <w:bookmarkStart w:id="1008" w:name="_Toc495846089"/>
      <w:bookmarkStart w:id="1009" w:name="_Toc491857687"/>
      <w:bookmarkStart w:id="1010" w:name="_Toc496299698"/>
      <w:bookmarkStart w:id="1011" w:name="_Toc496300025"/>
      <w:bookmarkStart w:id="1012" w:name="_Toc516399858"/>
      <w:bookmarkStart w:id="1013" w:name="_Toc522635634"/>
      <w:r>
        <w:rPr>
          <w:rFonts w:hint="eastAsia" w:ascii="Times New Roman" w:hAnsi="Times New Roman" w:eastAsia="黑体"/>
          <w:color w:val="000000" w:themeColor="text1"/>
          <w:sz w:val="21"/>
          <w:szCs w:val="21"/>
          <w14:textFill>
            <w14:solidFill>
              <w14:schemeClr w14:val="tx1"/>
            </w14:solidFill>
          </w14:textFill>
        </w:rPr>
        <w:t>附件四</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保险</w:t>
      </w:r>
      <w:bookmarkEnd w:id="1008"/>
      <w:bookmarkEnd w:id="1009"/>
      <w:bookmarkEnd w:id="1010"/>
      <w:bookmarkEnd w:id="1011"/>
      <w:bookmarkEnd w:id="1012"/>
      <w:bookmarkEnd w:id="1013"/>
      <w:r>
        <w:rPr>
          <w:rFonts w:ascii="Times New Roman" w:hAnsi="Times New Roman" w:eastAsia="黑体"/>
          <w:color w:val="000000" w:themeColor="text1"/>
          <w:sz w:val="21"/>
          <w:szCs w:val="21"/>
          <w14:textFill>
            <w14:solidFill>
              <w14:schemeClr w14:val="tx1"/>
            </w14:solidFill>
          </w14:textFill>
        </w:rPr>
        <w:t xml:space="preserve"> </w:t>
      </w:r>
    </w:p>
    <w:p>
      <w:pPr>
        <w:pStyle w:val="310"/>
        <w:spacing w:line="360" w:lineRule="auto"/>
        <w:ind w:firstLine="283" w:firstLineChars="135"/>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在整个合作期内，乙方应按本合同</w:t>
      </w:r>
      <w:r>
        <w:rPr>
          <w:rFonts w:ascii="Times New Roman" w:eastAsia="宋体" w:cs="Times New Roman"/>
          <w:color w:val="000000" w:themeColor="text1"/>
          <w:sz w:val="21"/>
          <w:szCs w:val="21"/>
          <w14:textFill>
            <w14:solidFill>
              <w14:schemeClr w14:val="tx1"/>
            </w14:solidFill>
          </w14:textFill>
        </w:rPr>
        <w:t>9.1</w:t>
      </w:r>
      <w:r>
        <w:rPr>
          <w:rFonts w:hint="eastAsia" w:ascii="Times New Roman" w:eastAsia="宋体" w:cs="Times New Roman"/>
          <w:color w:val="000000" w:themeColor="text1"/>
          <w:sz w:val="21"/>
          <w:szCs w:val="21"/>
          <w14:textFill>
            <w14:solidFill>
              <w14:schemeClr w14:val="tx1"/>
            </w14:solidFill>
          </w14:textFill>
        </w:rPr>
        <w:t>的规定购买和维持合理的建设和维护保险。</w:t>
      </w:r>
    </w:p>
    <w:p>
      <w:pPr>
        <w:widowControl/>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br w:type="page"/>
      </w:r>
    </w:p>
    <w:p>
      <w:pPr>
        <w:pStyle w:val="3"/>
        <w:jc w:val="center"/>
        <w:rPr>
          <w:rFonts w:ascii="Times New Roman" w:hAnsi="Times New Roman" w:eastAsia="黑体"/>
          <w:color w:val="000000" w:themeColor="text1"/>
          <w:sz w:val="21"/>
          <w:szCs w:val="21"/>
          <w14:textFill>
            <w14:solidFill>
              <w14:schemeClr w14:val="tx1"/>
            </w14:solidFill>
          </w14:textFill>
        </w:rPr>
      </w:pPr>
      <w:bookmarkStart w:id="1014" w:name="_Toc522635635"/>
      <w:bookmarkStart w:id="1015" w:name="_Toc495846090"/>
      <w:bookmarkStart w:id="1016" w:name="_Toc516399859"/>
      <w:bookmarkStart w:id="1017" w:name="_Toc496300026"/>
      <w:bookmarkStart w:id="1018" w:name="_Toc496299699"/>
      <w:bookmarkStart w:id="1019" w:name="_Toc491857688"/>
      <w:r>
        <w:rPr>
          <w:rFonts w:hint="eastAsia" w:ascii="Times New Roman" w:hAnsi="Times New Roman" w:eastAsia="黑体"/>
          <w:color w:val="000000" w:themeColor="text1"/>
          <w:sz w:val="21"/>
          <w:szCs w:val="21"/>
          <w14:textFill>
            <w14:solidFill>
              <w14:schemeClr w14:val="tx1"/>
            </w14:solidFill>
          </w14:textFill>
        </w:rPr>
        <w:t>附件五</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联合体协议（如有）</w:t>
      </w:r>
      <w:bookmarkEnd w:id="1014"/>
      <w:bookmarkEnd w:id="1015"/>
      <w:bookmarkEnd w:id="1016"/>
      <w:bookmarkEnd w:id="1017"/>
      <w:bookmarkEnd w:id="1018"/>
      <w:bookmarkEnd w:id="1019"/>
    </w:p>
    <w:p>
      <w:pPr>
        <w:pStyle w:val="310"/>
        <w:spacing w:line="360" w:lineRule="auto"/>
        <w:rPr>
          <w:rFonts w:ascii="Times New Roman" w:eastAsia="宋体" w:cs="Times New Roman"/>
          <w:color w:val="000000" w:themeColor="text1"/>
          <w:sz w:val="21"/>
          <w:szCs w:val="21"/>
          <w14:textFill>
            <w14:solidFill>
              <w14:schemeClr w14:val="tx1"/>
            </w14:solidFill>
          </w14:textFill>
        </w:rPr>
      </w:pPr>
    </w:p>
    <w:p>
      <w:pPr>
        <w:pStyle w:val="310"/>
        <w:spacing w:line="360" w:lineRule="auto"/>
        <w:rPr>
          <w:rFonts w:ascii="Times New Roman" w:eastAsia="宋体" w:cs="Times New Roman"/>
          <w:color w:val="000000" w:themeColor="text1"/>
          <w:sz w:val="21"/>
          <w:szCs w:val="21"/>
          <w14:textFill>
            <w14:solidFill>
              <w14:schemeClr w14:val="tx1"/>
            </w14:solidFill>
          </w14:textFill>
        </w:rPr>
      </w:pPr>
    </w:p>
    <w:p>
      <w:pPr>
        <w:pStyle w:val="310"/>
        <w:spacing w:line="360" w:lineRule="auto"/>
        <w:rPr>
          <w:rFonts w:ascii="Times New Roman" w:eastAsia="宋体" w:cs="Times New Roman"/>
          <w:color w:val="000000" w:themeColor="text1"/>
          <w:sz w:val="21"/>
          <w:szCs w:val="21"/>
          <w14:textFill>
            <w14:solidFill>
              <w14:schemeClr w14:val="tx1"/>
            </w14:solidFill>
          </w14:textFill>
        </w:rPr>
      </w:pPr>
    </w:p>
    <w:p>
      <w:pPr>
        <w:pStyle w:val="310"/>
        <w:spacing w:line="360" w:lineRule="auto"/>
        <w:rPr>
          <w:rFonts w:ascii="Times New Roman" w:eastAsia="宋体" w:cs="Times New Roman"/>
          <w:color w:val="000000" w:themeColor="text1"/>
          <w:sz w:val="21"/>
          <w:szCs w:val="21"/>
          <w14:textFill>
            <w14:solidFill>
              <w14:schemeClr w14:val="tx1"/>
            </w14:solidFill>
          </w14:textFill>
        </w:rPr>
      </w:pPr>
    </w:p>
    <w:p>
      <w:pPr>
        <w:pStyle w:val="310"/>
        <w:spacing w:line="360" w:lineRule="auto"/>
        <w:rPr>
          <w:rFonts w:ascii="Times New Roman" w:eastAsia="宋体" w:cs="Times New Roman"/>
          <w:color w:val="000000" w:themeColor="text1"/>
          <w:sz w:val="21"/>
          <w:szCs w:val="21"/>
          <w14:textFill>
            <w14:solidFill>
              <w14:schemeClr w14:val="tx1"/>
            </w14:solidFill>
          </w14:textFill>
        </w:rPr>
      </w:pPr>
    </w:p>
    <w:p>
      <w:pPr>
        <w:pStyle w:val="310"/>
        <w:spacing w:line="360" w:lineRule="auto"/>
        <w:rPr>
          <w:rFonts w:ascii="Times New Roman" w:eastAsia="宋体" w:cs="Times New Roman"/>
          <w:color w:val="000000" w:themeColor="text1"/>
          <w:sz w:val="21"/>
          <w:szCs w:val="21"/>
          <w14:textFill>
            <w14:solidFill>
              <w14:schemeClr w14:val="tx1"/>
            </w14:solidFill>
          </w14:textFill>
        </w:rPr>
      </w:pPr>
      <w:r>
        <w:rPr>
          <w:rFonts w:ascii="Times New Roman" w:eastAsia="宋体" w:cs="Times New Roman"/>
          <w:color w:val="000000" w:themeColor="text1"/>
          <w:sz w:val="21"/>
          <w:szCs w:val="21"/>
          <w14:textFill>
            <w14:solidFill>
              <w14:schemeClr w14:val="tx1"/>
            </w14:solidFill>
          </w14:textFill>
        </w:rPr>
        <w:br w:type="page"/>
      </w:r>
    </w:p>
    <w:p>
      <w:pPr>
        <w:pStyle w:val="3"/>
        <w:jc w:val="center"/>
        <w:rPr>
          <w:rFonts w:ascii="Times New Roman" w:hAnsi="Times New Roman"/>
          <w:color w:val="000000" w:themeColor="text1"/>
          <w:sz w:val="21"/>
          <w:szCs w:val="21"/>
          <w14:textFill>
            <w14:solidFill>
              <w14:schemeClr w14:val="tx1"/>
            </w14:solidFill>
          </w14:textFill>
        </w:rPr>
      </w:pPr>
      <w:bookmarkStart w:id="1020" w:name="_Toc491857691"/>
      <w:bookmarkStart w:id="1021" w:name="_Toc495846092"/>
      <w:bookmarkStart w:id="1022" w:name="_Toc496299701"/>
      <w:bookmarkStart w:id="1023" w:name="_Toc496300028"/>
      <w:bookmarkStart w:id="1024" w:name="_Toc516399861"/>
      <w:bookmarkStart w:id="1025" w:name="_Toc522635637"/>
      <w:r>
        <w:rPr>
          <w:rFonts w:hint="eastAsia" w:ascii="Times New Roman" w:hAnsi="Times New Roman" w:eastAsia="黑体"/>
          <w:color w:val="000000" w:themeColor="text1"/>
          <w:sz w:val="21"/>
          <w:szCs w:val="21"/>
          <w14:textFill>
            <w14:solidFill>
              <w14:schemeClr w14:val="tx1"/>
            </w14:solidFill>
          </w14:textFill>
        </w:rPr>
        <w:t>附件六</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招标要求、投标承诺及确认谈判补充事项</w:t>
      </w:r>
      <w:bookmarkEnd w:id="1020"/>
      <w:bookmarkEnd w:id="1021"/>
      <w:bookmarkEnd w:id="1022"/>
      <w:bookmarkEnd w:id="1023"/>
      <w:bookmarkEnd w:id="1024"/>
      <w:bookmarkEnd w:id="1025"/>
    </w:p>
    <w:p>
      <w:pPr>
        <w:widowControl/>
        <w:jc w:val="left"/>
        <w:rPr>
          <w:rFonts w:ascii="Times New Roman" w:hAnsi="Times New Roman"/>
          <w:color w:val="000000" w:themeColor="text1"/>
          <w:szCs w:val="21"/>
          <w14:textFill>
            <w14:solidFill>
              <w14:schemeClr w14:val="tx1"/>
            </w14:solidFill>
          </w14:textFill>
        </w:rPr>
      </w:pPr>
    </w:p>
    <w:p>
      <w:pPr>
        <w:widowControl/>
        <w:jc w:val="left"/>
        <w:rPr>
          <w:rFonts w:ascii="Times New Roman" w:hAnsi="Times New Roman"/>
          <w:color w:val="000000" w:themeColor="text1"/>
          <w:szCs w:val="21"/>
          <w14:textFill>
            <w14:solidFill>
              <w14:schemeClr w14:val="tx1"/>
            </w14:solidFill>
          </w14:textFill>
        </w:rPr>
      </w:pPr>
    </w:p>
    <w:p>
      <w:pPr>
        <w:widowControl/>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br w:type="page"/>
      </w:r>
    </w:p>
    <w:p>
      <w:pPr>
        <w:pStyle w:val="3"/>
        <w:jc w:val="center"/>
        <w:rPr>
          <w:rFonts w:ascii="Times New Roman" w:hAnsi="Times New Roman"/>
          <w:color w:val="000000" w:themeColor="text1"/>
          <w:sz w:val="21"/>
          <w:szCs w:val="21"/>
          <w14:textFill>
            <w14:solidFill>
              <w14:schemeClr w14:val="tx1"/>
            </w14:solidFill>
          </w14:textFill>
        </w:rPr>
      </w:pPr>
      <w:bookmarkStart w:id="1026" w:name="_Toc496299702"/>
      <w:bookmarkStart w:id="1027" w:name="_Toc496300029"/>
      <w:bookmarkStart w:id="1028" w:name="_Toc516399862"/>
      <w:bookmarkStart w:id="1029" w:name="_Toc522635638"/>
      <w:r>
        <w:rPr>
          <w:rFonts w:hint="eastAsia" w:ascii="Times New Roman" w:hAnsi="Times New Roman" w:eastAsia="黑体"/>
          <w:color w:val="000000" w:themeColor="text1"/>
          <w:sz w:val="21"/>
          <w:szCs w:val="21"/>
          <w14:textFill>
            <w14:solidFill>
              <w14:schemeClr w14:val="tx1"/>
            </w14:solidFill>
          </w14:textFill>
        </w:rPr>
        <w:t>附件七</w:t>
      </w:r>
      <w:r>
        <w:rPr>
          <w:rFonts w:ascii="Times New Roman" w:hAnsi="Times New Roman" w:eastAsia="黑体"/>
          <w:color w:val="000000" w:themeColor="text1"/>
          <w:sz w:val="21"/>
          <w:szCs w:val="21"/>
          <w14:textFill>
            <w14:solidFill>
              <w14:schemeClr w14:val="tx1"/>
            </w14:solidFill>
          </w14:textFill>
        </w:rPr>
        <w:t xml:space="preserve"> </w:t>
      </w:r>
      <w:r>
        <w:rPr>
          <w:rFonts w:hint="eastAsia" w:ascii="Times New Roman" w:hAnsi="Times New Roman" w:eastAsia="黑体"/>
          <w:color w:val="000000" w:themeColor="text1"/>
          <w:sz w:val="21"/>
          <w:szCs w:val="21"/>
          <w14:textFill>
            <w14:solidFill>
              <w14:schemeClr w14:val="tx1"/>
            </w14:solidFill>
          </w14:textFill>
        </w:rPr>
        <w:t>确认谈判通知函</w:t>
      </w:r>
      <w:bookmarkEnd w:id="1026"/>
      <w:bookmarkEnd w:id="1027"/>
      <w:bookmarkEnd w:id="1028"/>
      <w:bookmarkEnd w:id="1029"/>
    </w:p>
    <w:p>
      <w:pPr>
        <w:widowControl/>
        <w:jc w:val="left"/>
        <w:rPr>
          <w:rFonts w:ascii="Times New Roman" w:hAnsi="Times New Roman"/>
          <w:color w:val="000000" w:themeColor="text1"/>
          <w:kern w:val="0"/>
          <w:szCs w:val="21"/>
          <w14:textFill>
            <w14:solidFill>
              <w14:schemeClr w14:val="tx1"/>
            </w14:solidFill>
          </w14:textFill>
        </w:rPr>
      </w:pPr>
    </w:p>
    <w:p>
      <w:pPr>
        <w:widowControl/>
        <w:jc w:val="left"/>
        <w:rPr>
          <w:rFonts w:ascii="Times New Roman" w:hAnsi="Times New Roman"/>
          <w:color w:val="000000" w:themeColor="text1"/>
          <w:kern w:val="0"/>
          <w:szCs w:val="21"/>
          <w14:textFill>
            <w14:solidFill>
              <w14:schemeClr w14:val="tx1"/>
            </w14:solidFill>
          </w14:textFill>
        </w:rPr>
      </w:pPr>
    </w:p>
    <w:p>
      <w:pPr>
        <w:widowControl/>
        <w:jc w:val="left"/>
        <w:rPr>
          <w:rFonts w:ascii="Times New Roman" w:hAnsi="Times New Roman"/>
          <w:color w:val="000000" w:themeColor="text1"/>
          <w:kern w:val="0"/>
          <w:szCs w:val="21"/>
          <w14:textFill>
            <w14:solidFill>
              <w14:schemeClr w14:val="tx1"/>
            </w14:solidFill>
          </w14:textFill>
        </w:rPr>
      </w:pPr>
    </w:p>
    <w:p>
      <w:pPr>
        <w:widowControl/>
        <w:jc w:val="left"/>
        <w:rPr>
          <w:rFonts w:ascii="Times New Roman" w:hAnsi="Times New Roman"/>
          <w:color w:val="000000" w:themeColor="text1"/>
          <w:kern w:val="0"/>
          <w:szCs w:val="21"/>
          <w14:textFill>
            <w14:solidFill>
              <w14:schemeClr w14:val="tx1"/>
            </w14:solidFill>
          </w14:textFill>
        </w:rPr>
      </w:pPr>
    </w:p>
    <w:p>
      <w:pPr>
        <w:widowControl/>
        <w:jc w:val="left"/>
        <w:rPr>
          <w:rFonts w:ascii="Times New Roman" w:hAnsi="Times New Roman"/>
          <w:color w:val="000000" w:themeColor="text1"/>
          <w:kern w:val="0"/>
          <w:szCs w:val="21"/>
          <w14:textFill>
            <w14:solidFill>
              <w14:schemeClr w14:val="tx1"/>
            </w14:solidFill>
          </w14:textFill>
        </w:rPr>
      </w:pPr>
    </w:p>
    <w:p>
      <w:pPr>
        <w:widowControl/>
        <w:jc w:val="left"/>
        <w:rPr>
          <w:rFonts w:ascii="Times New Roman" w:hAnsi="Times New Roman"/>
          <w:color w:val="000000" w:themeColor="text1"/>
          <w:kern w:val="0"/>
          <w:szCs w:val="2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widowControl/>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p>
    <w:p>
      <w:pPr>
        <w:pStyle w:val="2"/>
        <w:spacing w:line="360" w:lineRule="auto"/>
        <w:jc w:val="center"/>
        <w:rPr>
          <w:rFonts w:eastAsia="黑体"/>
          <w:color w:val="000000" w:themeColor="text1"/>
          <w14:textFill>
            <w14:solidFill>
              <w14:schemeClr w14:val="tx1"/>
            </w14:solidFill>
          </w14:textFill>
        </w:rPr>
      </w:pPr>
      <w:bookmarkStart w:id="1030" w:name="_2.3_建设总投资"/>
      <w:bookmarkEnd w:id="1030"/>
      <w:bookmarkStart w:id="1031" w:name="_2.3.2__本项目合同签约静态建设投资额根据项目招标竞争指标以及相关"/>
      <w:bookmarkEnd w:id="1031"/>
      <w:bookmarkStart w:id="1032" w:name="_2.3.3__乙方实际完成建设投资最终以长兴县财政局（或长兴县审计局）"/>
      <w:bookmarkEnd w:id="1032"/>
      <w:bookmarkStart w:id="1033" w:name="_3.4.1__自本合同在【中标社会资本】与甲方签订起七（7）个工作日内"/>
      <w:bookmarkEnd w:id="1033"/>
      <w:bookmarkStart w:id="1034" w:name="_3.4.2__建设履约保函有效期"/>
      <w:bookmarkEnd w:id="1034"/>
      <w:bookmarkStart w:id="1035" w:name="_3.4.4_恢复建设履约保函的金额"/>
      <w:bookmarkEnd w:id="1035"/>
      <w:bookmarkStart w:id="1036" w:name="_3.4.5_建设履约保函的解除"/>
      <w:bookmarkEnd w:id="1036"/>
      <w:bookmarkStart w:id="1037" w:name="_第_5_条"/>
      <w:bookmarkEnd w:id="1037"/>
      <w:bookmarkStart w:id="1038" w:name="_5.2_前期费用和征地拆迁费用"/>
      <w:bookmarkEnd w:id="1038"/>
      <w:bookmarkStart w:id="1039" w:name="_7.4.1_预计的进度计划"/>
      <w:bookmarkEnd w:id="1039"/>
      <w:bookmarkStart w:id="1040" w:name="_7.4.7_如果建设进度因第7.4.6条款延长，则第2.4条款约定的合"/>
      <w:bookmarkEnd w:id="1040"/>
      <w:bookmarkStart w:id="1041" w:name="_7.11.4_工期顺延或提前"/>
      <w:bookmarkEnd w:id="1041"/>
      <w:bookmarkStart w:id="1042" w:name="_8.2.8__本项目部分可对外经营收费的建筑和设施，乙方对外签署的经营"/>
      <w:bookmarkEnd w:id="1042"/>
      <w:bookmarkStart w:id="1043" w:name="_8.8.3_因采取上述纠正措施而发生的费用，甲方应向乙方开具账单和所发"/>
      <w:bookmarkEnd w:id="1043"/>
      <w:bookmarkStart w:id="1044" w:name="_8.9.4__因采取上述纠正措施而发生的费用，甲方应向乙方开具账单和所"/>
      <w:bookmarkEnd w:id="1044"/>
      <w:bookmarkStart w:id="1045" w:name="_9.4.2_如果乙方不购买或维持第9.1条款所要求的保险，甲方首先应书"/>
      <w:bookmarkEnd w:id="1045"/>
      <w:bookmarkStart w:id="1046" w:name="_第_10_条"/>
      <w:bookmarkEnd w:id="1046"/>
      <w:bookmarkStart w:id="1047" w:name="_12.6.4_如果未能达到移交标准（含异议情形下，经第三方机构认定未能"/>
      <w:bookmarkEnd w:id="1047"/>
      <w:bookmarkStart w:id="1048" w:name="_12.7.3_如果乙方在收到甲方上述通知后合理的时间内不能或拒绝修正缺"/>
      <w:bookmarkEnd w:id="1048"/>
      <w:bookmarkStart w:id="1049" w:name="_第_14_条"/>
      <w:bookmarkEnd w:id="1049"/>
      <w:bookmarkStart w:id="1050" w:name="_14.1_由甲方提出的提前终止"/>
      <w:bookmarkEnd w:id="1050"/>
      <w:bookmarkStart w:id="1051" w:name="_14.2_由乙方/【中选社会资本】提出的提前终止"/>
      <w:bookmarkEnd w:id="1051"/>
      <w:bookmarkStart w:id="1052" w:name="_14.7_提前终止后的补偿"/>
      <w:bookmarkEnd w:id="1052"/>
      <w:bookmarkStart w:id="1053" w:name="_第_18_条"/>
      <w:bookmarkEnd w:id="1053"/>
      <w:bookmarkStart w:id="1054" w:name="_19.2.1_各方对本合同及相关文件均负有保密责任，但甲方为充分满足公"/>
      <w:bookmarkEnd w:id="1054"/>
      <w:bookmarkStart w:id="1055" w:name="_附件二_履约保函或维护保函格式"/>
      <w:bookmarkEnd w:id="1055"/>
      <w:bookmarkStart w:id="1056" w:name="_附件三_运营服务管理考核要点及运行要求"/>
      <w:bookmarkEnd w:id="1056"/>
      <w:bookmarkStart w:id="1057" w:name="_附件四_保险"/>
      <w:bookmarkEnd w:id="1057"/>
      <w:bookmarkStart w:id="1058" w:name="_Toc492040802"/>
      <w:bookmarkStart w:id="1059" w:name="_Toc492022013"/>
      <w:bookmarkStart w:id="1060" w:name="_Toc496300030"/>
      <w:bookmarkStart w:id="1061" w:name="_Toc522635639"/>
      <w:r>
        <w:rPr>
          <w:rFonts w:hint="eastAsia" w:eastAsia="黑体"/>
          <w:color w:val="000000" w:themeColor="text1"/>
          <w14:textFill>
            <w14:solidFill>
              <w14:schemeClr w14:val="tx1"/>
            </w14:solidFill>
          </w14:textFill>
        </w:rPr>
        <w:t>第三卷</w:t>
      </w:r>
      <w:r>
        <w:rPr>
          <w:rFonts w:eastAsia="黑体"/>
          <w:color w:val="000000" w:themeColor="text1"/>
          <w14:textFill>
            <w14:solidFill>
              <w14:schemeClr w14:val="tx1"/>
            </w14:solidFill>
          </w14:textFill>
        </w:rPr>
        <w:t xml:space="preserve">  </w:t>
      </w:r>
      <w:r>
        <w:rPr>
          <w:rFonts w:hint="eastAsia" w:eastAsia="黑体"/>
          <w:color w:val="000000" w:themeColor="text1"/>
          <w14:textFill>
            <w14:solidFill>
              <w14:schemeClr w14:val="tx1"/>
            </w14:solidFill>
          </w14:textFill>
        </w:rPr>
        <w:t>项目资料</w:t>
      </w:r>
      <w:bookmarkEnd w:id="1058"/>
      <w:bookmarkEnd w:id="1059"/>
      <w:bookmarkEnd w:id="1060"/>
      <w:bookmarkEnd w:id="1061"/>
    </w:p>
    <w:p>
      <w:pPr>
        <w:widowControl/>
        <w:jc w:val="left"/>
        <w:rPr>
          <w:rFonts w:ascii="Times New Roman" w:hAnsi="Times New Roman"/>
          <w:color w:val="000000" w:themeColor="text1"/>
          <w:szCs w:val="21"/>
          <w14:textFill>
            <w14:solidFill>
              <w14:schemeClr w14:val="tx1"/>
            </w14:solidFill>
          </w14:textFill>
        </w:rPr>
      </w:pPr>
    </w:p>
    <w:p>
      <w:pPr>
        <w:widowControl/>
        <w:spacing w:line="360" w:lineRule="auto"/>
        <w:jc w:val="left"/>
        <w:rPr>
          <w:rFonts w:ascii="Times New Roman" w:hAnsi="Times New Roman"/>
          <w:color w:val="000000" w:themeColor="text1"/>
          <w:szCs w:val="21"/>
          <w14:textFill>
            <w14:solidFill>
              <w14:schemeClr w14:val="tx1"/>
            </w14:solidFill>
          </w14:textFill>
        </w:rPr>
      </w:pPr>
    </w:p>
    <w:p>
      <w:pPr>
        <w:widowControl/>
        <w:spacing w:line="360" w:lineRule="auto"/>
        <w:jc w:val="left"/>
        <w:rPr>
          <w:rFonts w:ascii="Times New Roman" w:hAnsi="Times New Roman"/>
          <w:color w:val="000000" w:themeColor="text1"/>
          <w:szCs w:val="21"/>
          <w14:textFill>
            <w14:solidFill>
              <w14:schemeClr w14:val="tx1"/>
            </w14:solidFill>
          </w14:textFill>
        </w:rPr>
      </w:pPr>
    </w:p>
    <w:p>
      <w:pPr>
        <w:widowControl/>
        <w:spacing w:line="360" w:lineRule="auto"/>
        <w:jc w:val="left"/>
        <w:rPr>
          <w:rFonts w:ascii="Times New Roman" w:hAnsi="Times New Roman"/>
          <w:color w:val="000000" w:themeColor="text1"/>
          <w:szCs w:val="21"/>
          <w14:textFill>
            <w14:solidFill>
              <w14:schemeClr w14:val="tx1"/>
            </w14:solidFill>
          </w14:textFill>
        </w:rPr>
      </w:pPr>
    </w:p>
    <w:p>
      <w:pPr>
        <w:widowControl/>
        <w:spacing w:line="360" w:lineRule="auto"/>
        <w:jc w:val="left"/>
        <w:rPr>
          <w:rFonts w:ascii="Times New Roman" w:hAnsi="Times New Roman"/>
          <w:color w:val="000000" w:themeColor="text1"/>
          <w:szCs w:val="21"/>
          <w14:textFill>
            <w14:solidFill>
              <w14:schemeClr w14:val="tx1"/>
            </w14:solidFill>
          </w14:textFill>
        </w:rPr>
      </w:pPr>
    </w:p>
    <w:p>
      <w:pPr>
        <w:widowControl/>
        <w:spacing w:line="360" w:lineRule="auto"/>
        <w:jc w:val="left"/>
        <w:rPr>
          <w:rFonts w:ascii="Times New Roman" w:hAnsi="Times New Roman"/>
          <w:color w:val="000000" w:themeColor="text1"/>
          <w:szCs w:val="21"/>
          <w14:textFill>
            <w14:solidFill>
              <w14:schemeClr w14:val="tx1"/>
            </w14:solidFill>
          </w14:textFill>
        </w:rPr>
      </w:pPr>
    </w:p>
    <w:p>
      <w:pPr>
        <w:widowControl/>
        <w:spacing w:line="360" w:lineRule="auto"/>
        <w:jc w:val="left"/>
        <w:rPr>
          <w:rFonts w:ascii="Times New Roman" w:hAnsi="Times New Roman"/>
          <w:color w:val="000000" w:themeColor="text1"/>
          <w:szCs w:val="21"/>
          <w14:textFill>
            <w14:solidFill>
              <w14:schemeClr w14:val="tx1"/>
            </w14:solidFill>
          </w14:textFill>
        </w:rPr>
      </w:pPr>
    </w:p>
    <w:p>
      <w:pPr>
        <w:widowControl/>
        <w:spacing w:line="360" w:lineRule="auto"/>
        <w:jc w:val="left"/>
        <w:rPr>
          <w:rFonts w:ascii="Times New Roman" w:hAnsi="Times New Roman"/>
          <w:color w:val="000000" w:themeColor="text1"/>
          <w:szCs w:val="21"/>
          <w14:textFill>
            <w14:solidFill>
              <w14:schemeClr w14:val="tx1"/>
            </w14:solidFill>
          </w14:textFill>
        </w:rPr>
      </w:pPr>
    </w:p>
    <w:p>
      <w:pPr>
        <w:widowControl/>
        <w:spacing w:line="360" w:lineRule="auto"/>
        <w:jc w:val="left"/>
        <w:rPr>
          <w:rFonts w:ascii="Times New Roman" w:hAnsi="Times New Roman"/>
          <w:color w:val="000000" w:themeColor="text1"/>
          <w:szCs w:val="21"/>
          <w14:textFill>
            <w14:solidFill>
              <w14:schemeClr w14:val="tx1"/>
            </w14:solidFill>
          </w14:textFill>
        </w:rPr>
      </w:pPr>
    </w:p>
    <w:p>
      <w:pPr>
        <w:widowControl/>
        <w:spacing w:line="360" w:lineRule="auto"/>
        <w:jc w:val="left"/>
        <w:rPr>
          <w:rFonts w:ascii="Times New Roman" w:hAnsi="Times New Roman"/>
          <w:color w:val="000000" w:themeColor="text1"/>
          <w:szCs w:val="21"/>
          <w14:textFill>
            <w14:solidFill>
              <w14:schemeClr w14:val="tx1"/>
            </w14:solidFill>
          </w14:textFill>
        </w:rPr>
      </w:pPr>
    </w:p>
    <w:p>
      <w:pPr>
        <w:widowControl/>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br w:type="page"/>
      </w:r>
    </w:p>
    <w:p>
      <w:pPr>
        <w:widowControl/>
        <w:spacing w:line="360" w:lineRule="auto"/>
        <w:jc w:val="left"/>
        <w:rPr>
          <w:rFonts w:ascii="Times New Roman" w:hAnsi="Times New Roman"/>
          <w:color w:val="000000" w:themeColor="text1"/>
          <w:szCs w:val="21"/>
          <w14:textFill>
            <w14:solidFill>
              <w14:schemeClr w14:val="tx1"/>
            </w14:solidFill>
          </w14:textFill>
        </w:rPr>
      </w:pPr>
    </w:p>
    <w:p>
      <w:pPr>
        <w:widowControl/>
        <w:numPr>
          <w:ilvl w:val="0"/>
          <w:numId w:val="104"/>
        </w:numPr>
        <w:spacing w:line="360" w:lineRule="auto"/>
        <w:jc w:val="lef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艮山东路过江隧道工程可行性研究报告批复</w:t>
      </w:r>
    </w:p>
    <w:p/>
    <w:p>
      <w:r>
        <w:drawing>
          <wp:inline distT="0" distB="0" distL="0" distR="0">
            <wp:extent cx="5273675" cy="7035165"/>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3675" cy="7035165"/>
                    </a:xfrm>
                    <a:prstGeom prst="rect">
                      <a:avLst/>
                    </a:prstGeom>
                    <a:noFill/>
                  </pic:spPr>
                </pic:pic>
              </a:graphicData>
            </a:graphic>
          </wp:inline>
        </w:drawing>
      </w:r>
    </w:p>
    <w:p/>
    <w:p/>
    <w:p/>
    <w:p>
      <w:pPr>
        <w:widowControl/>
        <w:jc w:val="left"/>
      </w:pPr>
      <w:r>
        <w:br w:type="page"/>
      </w:r>
    </w:p>
    <w:p>
      <w:r>
        <w:drawing>
          <wp:inline distT="0" distB="0" distL="0" distR="0">
            <wp:extent cx="5273675" cy="703516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3675" cy="7035165"/>
                    </a:xfrm>
                    <a:prstGeom prst="rect">
                      <a:avLst/>
                    </a:prstGeom>
                    <a:noFill/>
                  </pic:spPr>
                </pic:pic>
              </a:graphicData>
            </a:graphic>
          </wp:inline>
        </w:drawing>
      </w:r>
    </w:p>
    <w:p/>
    <w:p>
      <w:pPr>
        <w:widowControl/>
        <w:jc w:val="left"/>
      </w:pPr>
      <w:r>
        <w:br w:type="page"/>
      </w:r>
    </w:p>
    <w:p/>
    <w:p>
      <w:r>
        <w:drawing>
          <wp:inline distT="0" distB="0" distL="0" distR="0">
            <wp:extent cx="5273675" cy="703516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3675" cy="7035165"/>
                    </a:xfrm>
                    <a:prstGeom prst="rect">
                      <a:avLst/>
                    </a:prstGeom>
                    <a:noFill/>
                  </pic:spPr>
                </pic:pic>
              </a:graphicData>
            </a:graphic>
          </wp:inline>
        </w:drawing>
      </w:r>
    </w:p>
    <w:p/>
    <w:sectPr>
      <w:footerReference r:id="rId10" w:type="default"/>
      <w:pgSz w:w="11906" w:h="16838"/>
      <w:pgMar w:top="1418" w:right="1588" w:bottom="1418" w:left="1588" w:header="1021" w:footer="1042" w:gutter="284"/>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RomanS"/>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Frutiger 45 Light">
    <w:altName w:val="Arial"/>
    <w:panose1 w:val="00000000000000000000"/>
    <w:charset w:val="00"/>
    <w:family w:val="roman"/>
    <w:pitch w:val="default"/>
    <w:sig w:usb0="00000000" w:usb1="00000000" w:usb2="00000000" w:usb3="00000000" w:csb0="00000001" w:csb1="00000000"/>
  </w:font>
  <w:font w:name="Calibri Light">
    <w:panose1 w:val="020F0302020204030204"/>
    <w:charset w:val="00"/>
    <w:family w:val="swiss"/>
    <w:pitch w:val="default"/>
    <w:sig w:usb0="A00002EF" w:usb1="4000207B" w:usb2="00000000" w:usb3="00000000" w:csb0="2000019F" w:csb1="00000000"/>
  </w:font>
  <w:font w:name="Agency FB">
    <w:altName w:val="AmdtSymbols"/>
    <w:panose1 w:val="020B0503020202020204"/>
    <w:charset w:val="00"/>
    <w:family w:val="swiss"/>
    <w:pitch w:val="default"/>
    <w:sig w:usb0="00000000" w:usb1="00000000" w:usb2="00000000" w:usb3="00000000" w:csb0="00000001" w:csb1="00000000"/>
  </w:font>
  <w:font w:name="CG Times">
    <w:panose1 w:val="02020603050405020304"/>
    <w:charset w:val="00"/>
    <w:family w:val="roman"/>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LF Song">
    <w:altName w:val="宋体"/>
    <w:panose1 w:val="00000000000000000000"/>
    <w:charset w:val="86"/>
    <w:family w:val="auto"/>
    <w:pitch w:val="default"/>
    <w:sig w:usb0="00000000" w:usb1="00000000" w:usb2="0000001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Palatino">
    <w:panose1 w:val="02040602050305020304"/>
    <w:charset w:val="00"/>
    <w:family w:val="swiss"/>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BatangChe">
    <w:panose1 w:val="02030609000101010101"/>
    <w:charset w:val="81"/>
    <w:family w:val="modern"/>
    <w:pitch w:val="default"/>
    <w:sig w:usb0="B00002AF" w:usb1="69D77CFB" w:usb2="00000030" w:usb3="00000000" w:csb0="4008009F" w:csb1="DFD70000"/>
  </w:font>
  <w:font w:name="Courier">
    <w:panose1 w:val="02060409020205020404"/>
    <w:charset w:val="00"/>
    <w:family w:val="modern"/>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B Frutiger Bold">
    <w:altName w:val="Arial"/>
    <w:panose1 w:val="00000000000000000000"/>
    <w:charset w:val="00"/>
    <w:family w:val="roman"/>
    <w:pitch w:val="default"/>
    <w:sig w:usb0="00000000" w:usb1="00000000" w:usb2="00000000" w:usb3="00000000" w:csb0="00000001" w:csb1="00000000"/>
  </w:font>
  <w:font w:name="PMCFK I+ Futura">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MS Gothic">
    <w:panose1 w:val="020B06090702050802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RomanS">
    <w:panose1 w:val="02000400000000000000"/>
    <w:charset w:val="00"/>
    <w:family w:val="auto"/>
    <w:pitch w:val="default"/>
    <w:sig w:usb0="00000207" w:usb1="00000000" w:usb2="00000000" w:usb3="00000000" w:csb0="000001FF" w:csb1="00000000"/>
  </w:font>
  <w:font w:name="AmdtSymbols">
    <w:panose1 w:val="020005000000000200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t>28</w:t>
    </w:r>
    <w:r>
      <w:fldChar w:fldCharType="end"/>
    </w:r>
  </w:p>
  <w:p>
    <w:pPr>
      <w:pStyle w:val="31"/>
      <w:pBdr>
        <w:top w:val="thinThickSmallGap" w:color="auto" w:sz="18" w:space="2"/>
      </w:pBd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PAGE   \* MERGEFORMAT</w:instrText>
    </w:r>
    <w:r>
      <w:fldChar w:fldCharType="separate"/>
    </w:r>
    <w:r>
      <w:t>59</w:t>
    </w:r>
    <w:r>
      <w:fldChar w:fldCharType="end"/>
    </w:r>
  </w:p>
  <w:p>
    <w:pPr>
      <w:pStyle w:val="3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480"/>
      <w:jc w:val="cente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rPr>
      <w:t>80</w:t>
    </w:r>
    <w:r>
      <w:rPr>
        <w:rFonts w:ascii="Times New Roman" w:hAnsi="Times New Roma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0"/>
      </w:pBdr>
      <w:jc w:val="right"/>
      <w:rPr>
        <w:rFonts w:ascii="楷体" w:hAnsi="楷体" w:eastAsia="楷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thinThickSmallGap" w:color="auto" w:sz="18" w:space="1"/>
      </w:pBdr>
      <w:jc w:val="right"/>
      <w:rPr>
        <w:b/>
        <w:sz w:val="21"/>
        <w:szCs w:val="21"/>
      </w:rPr>
    </w:pPr>
    <w:r>
      <w:rPr>
        <w:rFonts w:hint="eastAsia"/>
        <w:b/>
        <w:sz w:val="21"/>
        <w:szCs w:val="21"/>
      </w:rPr>
      <w:t>东阳市画水镇竹溪污水处理厂</w:t>
    </w:r>
    <w:r>
      <w:rPr>
        <w:b/>
        <w:sz w:val="21"/>
        <w:szCs w:val="21"/>
      </w:rPr>
      <w:t>PPP项目</w:t>
    </w:r>
    <w:r>
      <w:rPr>
        <w:rFonts w:hint="eastAsia"/>
        <w:b/>
        <w:sz w:val="21"/>
        <w:szCs w:val="21"/>
      </w:rPr>
      <w:t>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thinThickSmallGap" w:color="auto" w:sz="18" w:space="1"/>
      </w:pBdr>
      <w:tabs>
        <w:tab w:val="right" w:pos="8222"/>
        <w:tab w:val="clear" w:pos="8306"/>
      </w:tabs>
      <w:wordWrap w:val="0"/>
      <w:ind w:right="224"/>
      <w:jc w:val="both"/>
      <w:rPr>
        <w:rFonts w:ascii="楷体" w:hAnsi="楷体" w:eastAsia="楷体"/>
      </w:rPr>
    </w:pPr>
    <w:r>
      <w:rPr>
        <w:rFonts w:ascii="楷体" w:hAnsi="楷体" w:eastAsia="楷体"/>
        <w:b/>
      </w:rPr>
      <w:fldChar w:fldCharType="begin"/>
    </w:r>
    <w:r>
      <w:rPr>
        <w:rFonts w:ascii="楷体" w:hAnsi="楷体" w:eastAsia="楷体"/>
        <w:b/>
      </w:rPr>
      <w:instrText xml:space="preserve"> </w:instrText>
    </w:r>
    <w:r>
      <w:rPr>
        <w:rFonts w:hint="eastAsia" w:ascii="楷体" w:hAnsi="楷体" w:eastAsia="楷体"/>
        <w:b/>
      </w:rPr>
      <w:instrText xml:space="preserve">REF 采购项目名称 \h</w:instrText>
    </w:r>
    <w:r>
      <w:rPr>
        <w:rFonts w:ascii="楷体" w:hAnsi="楷体" w:eastAsia="楷体"/>
        <w:b/>
      </w:rPr>
      <w:instrText xml:space="preserve">  \* MERGEFORMAT </w:instrText>
    </w:r>
    <w:r>
      <w:rPr>
        <w:rFonts w:ascii="楷体" w:hAnsi="楷体" w:eastAsia="楷体"/>
        <w:b/>
      </w:rPr>
      <w:fldChar w:fldCharType="separate"/>
    </w:r>
    <w:r>
      <w:rPr>
        <w:rFonts w:hint="eastAsia" w:ascii="楷体" w:hAnsi="楷体" w:eastAsia="楷体"/>
        <w:b/>
      </w:rPr>
      <w:t>艮山东路过江隧道工程</w:t>
    </w:r>
    <w:r>
      <w:rPr>
        <w:rFonts w:ascii="楷体" w:hAnsi="楷体" w:eastAsia="楷体"/>
        <w:b/>
      </w:rPr>
      <w:t>PPP</w:t>
    </w:r>
    <w:r>
      <w:rPr>
        <w:rFonts w:hint="eastAsia" w:ascii="楷体" w:hAnsi="楷体" w:eastAsia="楷体"/>
        <w:b/>
      </w:rPr>
      <w:t>项目社会资本采购</w:t>
    </w:r>
    <w:r>
      <w:rPr>
        <w:rFonts w:ascii="楷体" w:hAnsi="楷体" w:eastAsia="楷体"/>
        <w:b/>
      </w:rPr>
      <w:fldChar w:fldCharType="end"/>
    </w:r>
    <w:r>
      <w:rPr>
        <w:rFonts w:ascii="楷体" w:hAnsi="楷体" w:eastAsia="楷体"/>
        <w:b/>
      </w:rPr>
      <w:t xml:space="preserve">                                          </w:t>
    </w:r>
    <w:r>
      <w:rPr>
        <w:rFonts w:hint="eastAsia" w:ascii="楷体" w:hAnsi="楷体" w:eastAsia="楷体"/>
        <w:b/>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0A9"/>
    <w:multiLevelType w:val="multilevel"/>
    <w:tmpl w:val="002650A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2D85A8A"/>
    <w:multiLevelType w:val="multilevel"/>
    <w:tmpl w:val="02D85A8A"/>
    <w:lvl w:ilvl="0" w:tentative="0">
      <w:start w:val="1"/>
      <w:numFmt w:val="lowerLetter"/>
      <w:lvlText w:val="（%1）"/>
      <w:lvlJc w:val="left"/>
      <w:pPr>
        <w:ind w:left="720" w:hanging="720"/>
      </w:pPr>
      <w:rPr>
        <w:rFonts w:hint="default"/>
      </w:rPr>
    </w:lvl>
    <w:lvl w:ilvl="1" w:tentative="0">
      <w:start w:val="1"/>
      <w:numFmt w:val="decimal"/>
      <w:lvlText w:val="%2、"/>
      <w:lvlJc w:val="left"/>
      <w:pPr>
        <w:ind w:left="804" w:hanging="384"/>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3115E9E"/>
    <w:multiLevelType w:val="multilevel"/>
    <w:tmpl w:val="03115E9E"/>
    <w:lvl w:ilvl="0" w:tentative="0">
      <w:start w:val="1"/>
      <w:numFmt w:val="decimal"/>
      <w:lvlText w:val="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3504307"/>
    <w:multiLevelType w:val="multilevel"/>
    <w:tmpl w:val="03504307"/>
    <w:lvl w:ilvl="0" w:tentative="0">
      <w:start w:val="1"/>
      <w:numFmt w:val="decimal"/>
      <w:lvlText w:val="3.%1"/>
      <w:lvlJc w:val="left"/>
      <w:pPr>
        <w:ind w:left="987"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3FC065D"/>
    <w:multiLevelType w:val="multilevel"/>
    <w:tmpl w:val="03FC065D"/>
    <w:lvl w:ilvl="0" w:tentative="0">
      <w:start w:val="1"/>
      <w:numFmt w:val="decimal"/>
      <w:lvlText w:val="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4306228"/>
    <w:multiLevelType w:val="multilevel"/>
    <w:tmpl w:val="04306228"/>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46D7A03"/>
    <w:multiLevelType w:val="multilevel"/>
    <w:tmpl w:val="046D7A03"/>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4C76DEC"/>
    <w:multiLevelType w:val="multilevel"/>
    <w:tmpl w:val="04C76DEC"/>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05BD534E"/>
    <w:multiLevelType w:val="multilevel"/>
    <w:tmpl w:val="05BD534E"/>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7FE50E0"/>
    <w:multiLevelType w:val="multilevel"/>
    <w:tmpl w:val="07FE50E0"/>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80B3DCD"/>
    <w:multiLevelType w:val="multilevel"/>
    <w:tmpl w:val="080B3DCD"/>
    <w:lvl w:ilvl="0" w:tentative="0">
      <w:start w:val="1"/>
      <w:numFmt w:val="lowerLetter"/>
      <w:lvlText w:val="（%1）"/>
      <w:lvlJc w:val="left"/>
      <w:pPr>
        <w:ind w:left="985" w:hanging="420"/>
      </w:pPr>
      <w:rPr>
        <w:rFonts w:hint="eastAsia"/>
      </w:rPr>
    </w:lvl>
    <w:lvl w:ilvl="1" w:tentative="0">
      <w:start w:val="1"/>
      <w:numFmt w:val="lowerLetter"/>
      <w:lvlText w:val="%2)"/>
      <w:lvlJc w:val="left"/>
      <w:pPr>
        <w:ind w:left="1405" w:hanging="420"/>
      </w:pPr>
    </w:lvl>
    <w:lvl w:ilvl="2" w:tentative="0">
      <w:start w:val="1"/>
      <w:numFmt w:val="lowerRoman"/>
      <w:lvlText w:val="%3."/>
      <w:lvlJc w:val="right"/>
      <w:pPr>
        <w:ind w:left="1825" w:hanging="420"/>
      </w:pPr>
    </w:lvl>
    <w:lvl w:ilvl="3" w:tentative="0">
      <w:start w:val="1"/>
      <w:numFmt w:val="decimal"/>
      <w:lvlText w:val="%4."/>
      <w:lvlJc w:val="left"/>
      <w:pPr>
        <w:ind w:left="2245" w:hanging="420"/>
      </w:pPr>
    </w:lvl>
    <w:lvl w:ilvl="4" w:tentative="0">
      <w:start w:val="1"/>
      <w:numFmt w:val="lowerLetter"/>
      <w:lvlText w:val="%5)"/>
      <w:lvlJc w:val="left"/>
      <w:pPr>
        <w:ind w:left="2665" w:hanging="420"/>
      </w:pPr>
    </w:lvl>
    <w:lvl w:ilvl="5" w:tentative="0">
      <w:start w:val="1"/>
      <w:numFmt w:val="lowerRoman"/>
      <w:lvlText w:val="%6."/>
      <w:lvlJc w:val="right"/>
      <w:pPr>
        <w:ind w:left="3085" w:hanging="420"/>
      </w:pPr>
    </w:lvl>
    <w:lvl w:ilvl="6" w:tentative="0">
      <w:start w:val="1"/>
      <w:numFmt w:val="decimal"/>
      <w:lvlText w:val="%7."/>
      <w:lvlJc w:val="left"/>
      <w:pPr>
        <w:ind w:left="3505" w:hanging="420"/>
      </w:pPr>
    </w:lvl>
    <w:lvl w:ilvl="7" w:tentative="0">
      <w:start w:val="1"/>
      <w:numFmt w:val="lowerLetter"/>
      <w:lvlText w:val="%8)"/>
      <w:lvlJc w:val="left"/>
      <w:pPr>
        <w:ind w:left="3925" w:hanging="420"/>
      </w:pPr>
    </w:lvl>
    <w:lvl w:ilvl="8" w:tentative="0">
      <w:start w:val="1"/>
      <w:numFmt w:val="lowerRoman"/>
      <w:lvlText w:val="%9."/>
      <w:lvlJc w:val="right"/>
      <w:pPr>
        <w:ind w:left="4345" w:hanging="420"/>
      </w:pPr>
    </w:lvl>
  </w:abstractNum>
  <w:abstractNum w:abstractNumId="11">
    <w:nsid w:val="081B2790"/>
    <w:multiLevelType w:val="multilevel"/>
    <w:tmpl w:val="081B2790"/>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90E1BA8"/>
    <w:multiLevelType w:val="multilevel"/>
    <w:tmpl w:val="090E1BA8"/>
    <w:lvl w:ilvl="0" w:tentative="0">
      <w:start w:val="1"/>
      <w:numFmt w:val="decimal"/>
      <w:lvlText w:val="（%1）"/>
      <w:lvlJc w:val="left"/>
      <w:pPr>
        <w:ind w:left="844"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9CF7EFE"/>
    <w:multiLevelType w:val="multilevel"/>
    <w:tmpl w:val="09CF7EFE"/>
    <w:lvl w:ilvl="0" w:tentative="0">
      <w:start w:val="1"/>
      <w:numFmt w:val="bullet"/>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abstractNum w:abstractNumId="14">
    <w:nsid w:val="0AAD3C96"/>
    <w:multiLevelType w:val="multilevel"/>
    <w:tmpl w:val="0AAD3C96"/>
    <w:lvl w:ilvl="0" w:tentative="0">
      <w:start w:val="1"/>
      <w:numFmt w:val="lowerRoman"/>
      <w:lvlText w:val="（%1）"/>
      <w:lvlJc w:val="left"/>
      <w:pPr>
        <w:ind w:left="1080" w:hanging="1080"/>
      </w:pPr>
      <w:rPr>
        <w:rFonts w:hint="default"/>
      </w:rPr>
    </w:lvl>
    <w:lvl w:ilvl="1" w:tentative="0">
      <w:start w:val="1"/>
      <w:numFmt w:val="lowerLetter"/>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AEF2EBF"/>
    <w:multiLevelType w:val="multilevel"/>
    <w:tmpl w:val="0AEF2EBF"/>
    <w:lvl w:ilvl="0" w:tentative="0">
      <w:start w:val="1"/>
      <w:numFmt w:val="lowerLetter"/>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0F1C5100"/>
    <w:multiLevelType w:val="multilevel"/>
    <w:tmpl w:val="0F1C5100"/>
    <w:lvl w:ilvl="0" w:tentative="0">
      <w:start w:val="1"/>
      <w:numFmt w:val="decimal"/>
      <w:lvlText w:val="10.%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F7A6D7A"/>
    <w:multiLevelType w:val="multilevel"/>
    <w:tmpl w:val="0F7A6D7A"/>
    <w:lvl w:ilvl="0" w:tentative="0">
      <w:start w:val="1"/>
      <w:numFmt w:val="decimal"/>
      <w:lvlText w:val="（%1）"/>
      <w:lvlJc w:val="left"/>
      <w:pPr>
        <w:ind w:left="844" w:hanging="420"/>
      </w:pPr>
      <w:rPr>
        <w:rFonts w:hint="eastAsia"/>
      </w:rPr>
    </w:lvl>
    <w:lvl w:ilvl="1" w:tentative="0">
      <w:start w:val="1"/>
      <w:numFmt w:val="bullet"/>
      <w:lvlText w:val=""/>
      <w:lvlJc w:val="left"/>
      <w:pPr>
        <w:ind w:left="1264" w:hanging="420"/>
      </w:pPr>
      <w:rPr>
        <w:rFonts w:hint="default" w:ascii="Wingdings" w:hAnsi="Wingdings"/>
      </w:rPr>
    </w:lvl>
    <w:lvl w:ilvl="2" w:tentative="0">
      <w:start w:val="1"/>
      <w:numFmt w:val="bullet"/>
      <w:lvlText w:val=""/>
      <w:lvlJc w:val="left"/>
      <w:pPr>
        <w:ind w:left="1684" w:hanging="420"/>
      </w:pPr>
      <w:rPr>
        <w:rFonts w:hint="default" w:ascii="Wingdings" w:hAnsi="Wingdings"/>
      </w:rPr>
    </w:lvl>
    <w:lvl w:ilvl="3" w:tentative="0">
      <w:start w:val="1"/>
      <w:numFmt w:val="bullet"/>
      <w:lvlText w:val=""/>
      <w:lvlJc w:val="left"/>
      <w:pPr>
        <w:ind w:left="2104" w:hanging="420"/>
      </w:pPr>
      <w:rPr>
        <w:rFonts w:hint="default" w:ascii="Wingdings" w:hAnsi="Wingdings"/>
      </w:rPr>
    </w:lvl>
    <w:lvl w:ilvl="4" w:tentative="0">
      <w:start w:val="1"/>
      <w:numFmt w:val="bullet"/>
      <w:lvlText w:val=""/>
      <w:lvlJc w:val="left"/>
      <w:pPr>
        <w:ind w:left="2524" w:hanging="420"/>
      </w:pPr>
      <w:rPr>
        <w:rFonts w:hint="default" w:ascii="Wingdings" w:hAnsi="Wingdings"/>
      </w:rPr>
    </w:lvl>
    <w:lvl w:ilvl="5" w:tentative="0">
      <w:start w:val="1"/>
      <w:numFmt w:val="bullet"/>
      <w:lvlText w:val=""/>
      <w:lvlJc w:val="left"/>
      <w:pPr>
        <w:ind w:left="2944" w:hanging="420"/>
      </w:pPr>
      <w:rPr>
        <w:rFonts w:hint="default" w:ascii="Wingdings" w:hAnsi="Wingdings"/>
      </w:rPr>
    </w:lvl>
    <w:lvl w:ilvl="6" w:tentative="0">
      <w:start w:val="1"/>
      <w:numFmt w:val="bullet"/>
      <w:lvlText w:val=""/>
      <w:lvlJc w:val="left"/>
      <w:pPr>
        <w:ind w:left="3364" w:hanging="420"/>
      </w:pPr>
      <w:rPr>
        <w:rFonts w:hint="default" w:ascii="Wingdings" w:hAnsi="Wingdings"/>
      </w:rPr>
    </w:lvl>
    <w:lvl w:ilvl="7" w:tentative="0">
      <w:start w:val="1"/>
      <w:numFmt w:val="bullet"/>
      <w:lvlText w:val=""/>
      <w:lvlJc w:val="left"/>
      <w:pPr>
        <w:ind w:left="3784" w:hanging="420"/>
      </w:pPr>
      <w:rPr>
        <w:rFonts w:hint="default" w:ascii="Wingdings" w:hAnsi="Wingdings"/>
      </w:rPr>
    </w:lvl>
    <w:lvl w:ilvl="8" w:tentative="0">
      <w:start w:val="1"/>
      <w:numFmt w:val="bullet"/>
      <w:lvlText w:val=""/>
      <w:lvlJc w:val="left"/>
      <w:pPr>
        <w:ind w:left="4204" w:hanging="420"/>
      </w:pPr>
      <w:rPr>
        <w:rFonts w:hint="default" w:ascii="Wingdings" w:hAnsi="Wingdings"/>
      </w:rPr>
    </w:lvl>
  </w:abstractNum>
  <w:abstractNum w:abstractNumId="18">
    <w:nsid w:val="0FC36FB4"/>
    <w:multiLevelType w:val="multilevel"/>
    <w:tmpl w:val="0FC36FB4"/>
    <w:lvl w:ilvl="0" w:tentative="0">
      <w:start w:val="1"/>
      <w:numFmt w:val="lowerLetter"/>
      <w:lvlText w:val="（%1）"/>
      <w:lvlJc w:val="left"/>
      <w:pPr>
        <w:ind w:left="720" w:hanging="720"/>
      </w:pPr>
      <w:rPr>
        <w:rFonts w:hint="default"/>
      </w:rPr>
    </w:lvl>
    <w:lvl w:ilvl="1" w:tentative="0">
      <w:start w:val="1"/>
      <w:numFmt w:val="lowerLetter"/>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1047487"/>
    <w:multiLevelType w:val="multilevel"/>
    <w:tmpl w:val="11047487"/>
    <w:lvl w:ilvl="0" w:tentative="0">
      <w:start w:val="1"/>
      <w:numFmt w:val="lowerLetter"/>
      <w:suff w:val="nothing"/>
      <w:lvlText w:val="（%1）"/>
      <w:lvlJc w:val="left"/>
      <w:pPr>
        <w:ind w:left="720" w:hanging="72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
    <w:nsid w:val="17B53E5A"/>
    <w:multiLevelType w:val="multilevel"/>
    <w:tmpl w:val="17B53E5A"/>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8757FB2"/>
    <w:multiLevelType w:val="multilevel"/>
    <w:tmpl w:val="18757FB2"/>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94530D8"/>
    <w:multiLevelType w:val="multilevel"/>
    <w:tmpl w:val="194530D8"/>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19522537"/>
    <w:multiLevelType w:val="multilevel"/>
    <w:tmpl w:val="19522537"/>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B007E5E"/>
    <w:multiLevelType w:val="multilevel"/>
    <w:tmpl w:val="1B007E5E"/>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1C15778B"/>
    <w:multiLevelType w:val="multilevel"/>
    <w:tmpl w:val="1C15778B"/>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CF33CA5"/>
    <w:multiLevelType w:val="multilevel"/>
    <w:tmpl w:val="1CF33CA5"/>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1D3E0C26"/>
    <w:multiLevelType w:val="multilevel"/>
    <w:tmpl w:val="1D3E0C26"/>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1ED33900"/>
    <w:multiLevelType w:val="multilevel"/>
    <w:tmpl w:val="1ED33900"/>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1EE14ED1"/>
    <w:multiLevelType w:val="multilevel"/>
    <w:tmpl w:val="1EE14ED1"/>
    <w:lvl w:ilvl="0" w:tentative="0">
      <w:start w:val="1"/>
      <w:numFmt w:val="decimal"/>
      <w:lvlText w:val="%1、"/>
      <w:lvlJc w:val="center"/>
      <w:pPr>
        <w:ind w:left="704" w:hanging="420"/>
      </w:pPr>
      <w:rPr>
        <w:rFonts w:hint="eastAsia"/>
      </w:rPr>
    </w:lvl>
    <w:lvl w:ilvl="1" w:tentative="0">
      <w:start w:val="1"/>
      <w:numFmt w:val="bullet"/>
      <w:lvlText w:val=""/>
      <w:lvlJc w:val="left"/>
      <w:pPr>
        <w:ind w:left="556" w:hanging="420"/>
      </w:pPr>
      <w:rPr>
        <w:rFonts w:hint="default" w:ascii="Wingdings" w:hAnsi="Wingdings"/>
      </w:rPr>
    </w:lvl>
    <w:lvl w:ilvl="2" w:tentative="0">
      <w:start w:val="1"/>
      <w:numFmt w:val="bullet"/>
      <w:lvlText w:val=""/>
      <w:lvlJc w:val="left"/>
      <w:pPr>
        <w:ind w:left="976" w:hanging="420"/>
      </w:pPr>
      <w:rPr>
        <w:rFonts w:hint="default" w:ascii="Wingdings" w:hAnsi="Wingdings"/>
      </w:rPr>
    </w:lvl>
    <w:lvl w:ilvl="3" w:tentative="0">
      <w:start w:val="1"/>
      <w:numFmt w:val="bullet"/>
      <w:lvlText w:val=""/>
      <w:lvlJc w:val="left"/>
      <w:pPr>
        <w:ind w:left="1396" w:hanging="420"/>
      </w:pPr>
      <w:rPr>
        <w:rFonts w:hint="default" w:ascii="Wingdings" w:hAnsi="Wingdings"/>
      </w:rPr>
    </w:lvl>
    <w:lvl w:ilvl="4" w:tentative="0">
      <w:start w:val="1"/>
      <w:numFmt w:val="bullet"/>
      <w:lvlText w:val=""/>
      <w:lvlJc w:val="left"/>
      <w:pPr>
        <w:ind w:left="1816" w:hanging="420"/>
      </w:pPr>
      <w:rPr>
        <w:rFonts w:hint="default" w:ascii="Wingdings" w:hAnsi="Wingdings"/>
      </w:rPr>
    </w:lvl>
    <w:lvl w:ilvl="5" w:tentative="0">
      <w:start w:val="1"/>
      <w:numFmt w:val="bullet"/>
      <w:lvlText w:val=""/>
      <w:lvlJc w:val="left"/>
      <w:pPr>
        <w:ind w:left="2236" w:hanging="420"/>
      </w:pPr>
      <w:rPr>
        <w:rFonts w:hint="default" w:ascii="Wingdings" w:hAnsi="Wingdings"/>
      </w:rPr>
    </w:lvl>
    <w:lvl w:ilvl="6" w:tentative="0">
      <w:start w:val="1"/>
      <w:numFmt w:val="bullet"/>
      <w:lvlText w:val=""/>
      <w:lvlJc w:val="left"/>
      <w:pPr>
        <w:ind w:left="2656" w:hanging="420"/>
      </w:pPr>
      <w:rPr>
        <w:rFonts w:hint="default" w:ascii="Wingdings" w:hAnsi="Wingdings"/>
      </w:rPr>
    </w:lvl>
    <w:lvl w:ilvl="7" w:tentative="0">
      <w:start w:val="1"/>
      <w:numFmt w:val="bullet"/>
      <w:lvlText w:val=""/>
      <w:lvlJc w:val="left"/>
      <w:pPr>
        <w:ind w:left="3076" w:hanging="420"/>
      </w:pPr>
      <w:rPr>
        <w:rFonts w:hint="default" w:ascii="Wingdings" w:hAnsi="Wingdings"/>
      </w:rPr>
    </w:lvl>
    <w:lvl w:ilvl="8" w:tentative="0">
      <w:start w:val="1"/>
      <w:numFmt w:val="bullet"/>
      <w:lvlText w:val=""/>
      <w:lvlJc w:val="left"/>
      <w:pPr>
        <w:ind w:left="3496" w:hanging="420"/>
      </w:pPr>
      <w:rPr>
        <w:rFonts w:hint="default" w:ascii="Wingdings" w:hAnsi="Wingdings"/>
      </w:rPr>
    </w:lvl>
  </w:abstractNum>
  <w:abstractNum w:abstractNumId="30">
    <w:nsid w:val="208416B5"/>
    <w:multiLevelType w:val="multilevel"/>
    <w:tmpl w:val="208416B5"/>
    <w:lvl w:ilvl="0" w:tentative="0">
      <w:start w:val="1"/>
      <w:numFmt w:val="decimal"/>
      <w:lvlText w:val="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21A03137"/>
    <w:multiLevelType w:val="multilevel"/>
    <w:tmpl w:val="21A03137"/>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248C5989"/>
    <w:multiLevelType w:val="multilevel"/>
    <w:tmpl w:val="248C5989"/>
    <w:lvl w:ilvl="0" w:tentative="0">
      <w:start w:val="1"/>
      <w:numFmt w:val="decimal"/>
      <w:lvlText w:val="（%1）"/>
      <w:lvlJc w:val="right"/>
      <w:pPr>
        <w:ind w:left="842" w:hanging="420"/>
      </w:pPr>
      <w:rPr>
        <w:rFonts w:hint="eastAsia"/>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right"/>
      <w:pPr>
        <w:ind w:left="2102" w:hanging="420"/>
      </w:pPr>
      <w:rPr>
        <w:rFonts w:hint="eastAsia"/>
      </w:r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33">
    <w:nsid w:val="255020C5"/>
    <w:multiLevelType w:val="multilevel"/>
    <w:tmpl w:val="255020C5"/>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26DB4B57"/>
    <w:multiLevelType w:val="multilevel"/>
    <w:tmpl w:val="26DB4B57"/>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27A52ABA"/>
    <w:multiLevelType w:val="multilevel"/>
    <w:tmpl w:val="27A52ABA"/>
    <w:lvl w:ilvl="0" w:tentative="0">
      <w:start w:val="1"/>
      <w:numFmt w:val="lowerLetter"/>
      <w:suff w:val="nothing"/>
      <w:lvlText w:val="（%1）"/>
      <w:lvlJc w:val="left"/>
      <w:pPr>
        <w:ind w:left="420" w:hanging="42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6">
    <w:nsid w:val="294A441C"/>
    <w:multiLevelType w:val="multilevel"/>
    <w:tmpl w:val="294A441C"/>
    <w:lvl w:ilvl="0" w:tentative="0">
      <w:start w:val="1"/>
      <w:numFmt w:val="decimal"/>
      <w:lvlText w:val="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2A177D65"/>
    <w:multiLevelType w:val="multilevel"/>
    <w:tmpl w:val="2A177D65"/>
    <w:lvl w:ilvl="0" w:tentative="0">
      <w:start w:val="1"/>
      <w:numFmt w:val="decimal"/>
      <w:lvlText w:val="1.%1"/>
      <w:lvlJc w:val="left"/>
      <w:pPr>
        <w:ind w:left="988"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2B4B23EA"/>
    <w:multiLevelType w:val="multilevel"/>
    <w:tmpl w:val="2B4B23EA"/>
    <w:lvl w:ilvl="0" w:tentative="0">
      <w:start w:val="1"/>
      <w:numFmt w:val="decimal"/>
      <w:lvlText w:val="（%1）"/>
      <w:lvlJc w:val="left"/>
      <w:pPr>
        <w:ind w:left="845" w:hanging="42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39">
    <w:nsid w:val="2B7C7ACE"/>
    <w:multiLevelType w:val="multilevel"/>
    <w:tmpl w:val="2B7C7ACE"/>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2C5B541A"/>
    <w:multiLevelType w:val="multilevel"/>
    <w:tmpl w:val="2C5B541A"/>
    <w:lvl w:ilvl="0" w:tentative="0">
      <w:start w:val="1"/>
      <w:numFmt w:val="lowerLetter"/>
      <w:lvlText w:val="（%1）"/>
      <w:lvlJc w:val="left"/>
      <w:pPr>
        <w:ind w:left="846" w:hanging="4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41">
    <w:nsid w:val="2F4471EF"/>
    <w:multiLevelType w:val="multilevel"/>
    <w:tmpl w:val="2F4471EF"/>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31053EDB"/>
    <w:multiLevelType w:val="multilevel"/>
    <w:tmpl w:val="31053EDB"/>
    <w:lvl w:ilvl="0" w:tentative="0">
      <w:start w:val="2"/>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43">
    <w:nsid w:val="322D38C3"/>
    <w:multiLevelType w:val="multilevel"/>
    <w:tmpl w:val="322D38C3"/>
    <w:lvl w:ilvl="0" w:tentative="0">
      <w:start w:val="1"/>
      <w:numFmt w:val="decimal"/>
      <w:lvlText w:val="（%1）"/>
      <w:lvlJc w:val="left"/>
      <w:pPr>
        <w:ind w:left="844" w:hanging="420"/>
      </w:pPr>
      <w:rPr>
        <w:rFonts w:hint="eastAsia"/>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44">
    <w:nsid w:val="32477DBF"/>
    <w:multiLevelType w:val="multilevel"/>
    <w:tmpl w:val="32477DBF"/>
    <w:lvl w:ilvl="0" w:tentative="0">
      <w:start w:val="2"/>
      <w:numFmt w:val="decimal"/>
      <w:lvlText w:val="%1"/>
      <w:lvlJc w:val="left"/>
      <w:pPr>
        <w:ind w:left="444" w:hanging="444"/>
      </w:pPr>
      <w:rPr>
        <w:rFonts w:hint="default"/>
      </w:rPr>
    </w:lvl>
    <w:lvl w:ilvl="1" w:tentative="0">
      <w:start w:val="3"/>
      <w:numFmt w:val="decimal"/>
      <w:lvlText w:val="%1.%2"/>
      <w:lvlJc w:val="left"/>
      <w:pPr>
        <w:ind w:left="444" w:hanging="444"/>
      </w:pPr>
      <w:rPr>
        <w:rFonts w:hint="default"/>
      </w:rPr>
    </w:lvl>
    <w:lvl w:ilvl="2" w:tentative="0">
      <w:start w:val="4"/>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45">
    <w:nsid w:val="32B33DF4"/>
    <w:multiLevelType w:val="multilevel"/>
    <w:tmpl w:val="32B33DF4"/>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32F81334"/>
    <w:multiLevelType w:val="multilevel"/>
    <w:tmpl w:val="32F81334"/>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34266695"/>
    <w:multiLevelType w:val="multilevel"/>
    <w:tmpl w:val="3426669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37D23238"/>
    <w:multiLevelType w:val="multilevel"/>
    <w:tmpl w:val="37D23238"/>
    <w:lvl w:ilvl="0" w:tentative="0">
      <w:start w:val="1"/>
      <w:numFmt w:val="lowerLetter"/>
      <w:lvlText w:val="（%1）"/>
      <w:lvlJc w:val="left"/>
      <w:pPr>
        <w:ind w:left="1197" w:hanging="720"/>
      </w:pPr>
      <w:rPr>
        <w:rFonts w:hint="default"/>
      </w:rPr>
    </w:lvl>
    <w:lvl w:ilvl="1" w:tentative="0">
      <w:start w:val="1"/>
      <w:numFmt w:val="lowerLetter"/>
      <w:lvlText w:val="%2)"/>
      <w:lvlJc w:val="left"/>
      <w:pPr>
        <w:ind w:left="1317" w:hanging="420"/>
      </w:pPr>
    </w:lvl>
    <w:lvl w:ilvl="2" w:tentative="0">
      <w:start w:val="1"/>
      <w:numFmt w:val="lowerRoman"/>
      <w:lvlText w:val="%3."/>
      <w:lvlJc w:val="right"/>
      <w:pPr>
        <w:ind w:left="1737" w:hanging="420"/>
      </w:pPr>
    </w:lvl>
    <w:lvl w:ilvl="3" w:tentative="0">
      <w:start w:val="1"/>
      <w:numFmt w:val="decimal"/>
      <w:lvlText w:val="%4."/>
      <w:lvlJc w:val="left"/>
      <w:pPr>
        <w:ind w:left="2157" w:hanging="420"/>
      </w:pPr>
    </w:lvl>
    <w:lvl w:ilvl="4" w:tentative="0">
      <w:start w:val="1"/>
      <w:numFmt w:val="lowerLetter"/>
      <w:lvlText w:val="%5)"/>
      <w:lvlJc w:val="left"/>
      <w:pPr>
        <w:ind w:left="2577" w:hanging="420"/>
      </w:pPr>
    </w:lvl>
    <w:lvl w:ilvl="5" w:tentative="0">
      <w:start w:val="1"/>
      <w:numFmt w:val="lowerRoman"/>
      <w:lvlText w:val="%6."/>
      <w:lvlJc w:val="right"/>
      <w:pPr>
        <w:ind w:left="2997" w:hanging="420"/>
      </w:pPr>
    </w:lvl>
    <w:lvl w:ilvl="6" w:tentative="0">
      <w:start w:val="1"/>
      <w:numFmt w:val="decimal"/>
      <w:lvlText w:val="%7."/>
      <w:lvlJc w:val="left"/>
      <w:pPr>
        <w:ind w:left="3417" w:hanging="420"/>
      </w:pPr>
    </w:lvl>
    <w:lvl w:ilvl="7" w:tentative="0">
      <w:start w:val="1"/>
      <w:numFmt w:val="lowerLetter"/>
      <w:lvlText w:val="%8)"/>
      <w:lvlJc w:val="left"/>
      <w:pPr>
        <w:ind w:left="3837" w:hanging="420"/>
      </w:pPr>
    </w:lvl>
    <w:lvl w:ilvl="8" w:tentative="0">
      <w:start w:val="1"/>
      <w:numFmt w:val="lowerRoman"/>
      <w:lvlText w:val="%9."/>
      <w:lvlJc w:val="right"/>
      <w:pPr>
        <w:ind w:left="4257" w:hanging="420"/>
      </w:pPr>
    </w:lvl>
  </w:abstractNum>
  <w:abstractNum w:abstractNumId="49">
    <w:nsid w:val="382821E7"/>
    <w:multiLevelType w:val="multilevel"/>
    <w:tmpl w:val="382821E7"/>
    <w:lvl w:ilvl="0" w:tentative="0">
      <w:start w:val="1"/>
      <w:numFmt w:val="decimal"/>
      <w:lvlText w:val="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3A977ED9"/>
    <w:multiLevelType w:val="multilevel"/>
    <w:tmpl w:val="3A977ED9"/>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3BFE4992"/>
    <w:multiLevelType w:val="multilevel"/>
    <w:tmpl w:val="3BFE4992"/>
    <w:lvl w:ilvl="0" w:tentative="0">
      <w:start w:val="1"/>
      <w:numFmt w:val="decimal"/>
      <w:lvlText w:val="（%1）"/>
      <w:lvlJc w:val="left"/>
      <w:pPr>
        <w:ind w:left="844" w:hanging="420"/>
      </w:pPr>
      <w:rPr>
        <w:rFonts w:hint="eastAsia"/>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52">
    <w:nsid w:val="3CAA0E11"/>
    <w:multiLevelType w:val="multilevel"/>
    <w:tmpl w:val="3CAA0E11"/>
    <w:lvl w:ilvl="0" w:tentative="0">
      <w:start w:val="1"/>
      <w:numFmt w:val="decimal"/>
      <w:lvlText w:val="（%1）"/>
      <w:lvlJc w:val="left"/>
      <w:pPr>
        <w:ind w:left="1264" w:hanging="420"/>
      </w:pPr>
      <w:rPr>
        <w:rFonts w:hint="eastAsia"/>
      </w:rPr>
    </w:lvl>
    <w:lvl w:ilvl="1" w:tentative="0">
      <w:start w:val="1"/>
      <w:numFmt w:val="japaneseCounting"/>
      <w:lvlText w:val="%2、"/>
      <w:lvlJc w:val="left"/>
      <w:pPr>
        <w:ind w:left="1684" w:hanging="420"/>
      </w:pPr>
      <w:rPr>
        <w:rFonts w:hint="default"/>
      </w:rPr>
    </w:lvl>
    <w:lvl w:ilvl="2" w:tentative="0">
      <w:start w:val="1"/>
      <w:numFmt w:val="lowerRoman"/>
      <w:lvlText w:val="%3."/>
      <w:lvlJc w:val="right"/>
      <w:pPr>
        <w:ind w:left="2104" w:hanging="420"/>
      </w:pPr>
    </w:lvl>
    <w:lvl w:ilvl="3" w:tentative="0">
      <w:start w:val="1"/>
      <w:numFmt w:val="decimal"/>
      <w:lvlText w:val="%4."/>
      <w:lvlJc w:val="left"/>
      <w:pPr>
        <w:ind w:left="2524" w:hanging="420"/>
      </w:pPr>
    </w:lvl>
    <w:lvl w:ilvl="4" w:tentative="0">
      <w:start w:val="1"/>
      <w:numFmt w:val="lowerLetter"/>
      <w:lvlText w:val="%5)"/>
      <w:lvlJc w:val="left"/>
      <w:pPr>
        <w:ind w:left="2944" w:hanging="420"/>
      </w:pPr>
    </w:lvl>
    <w:lvl w:ilvl="5" w:tentative="0">
      <w:start w:val="1"/>
      <w:numFmt w:val="lowerRoman"/>
      <w:lvlText w:val="%6."/>
      <w:lvlJc w:val="right"/>
      <w:pPr>
        <w:ind w:left="3364" w:hanging="420"/>
      </w:pPr>
    </w:lvl>
    <w:lvl w:ilvl="6" w:tentative="0">
      <w:start w:val="1"/>
      <w:numFmt w:val="decimal"/>
      <w:lvlText w:val="%7."/>
      <w:lvlJc w:val="left"/>
      <w:pPr>
        <w:ind w:left="3784" w:hanging="420"/>
      </w:pPr>
    </w:lvl>
    <w:lvl w:ilvl="7" w:tentative="0">
      <w:start w:val="1"/>
      <w:numFmt w:val="lowerLetter"/>
      <w:lvlText w:val="%8)"/>
      <w:lvlJc w:val="left"/>
      <w:pPr>
        <w:ind w:left="4204" w:hanging="420"/>
      </w:pPr>
    </w:lvl>
    <w:lvl w:ilvl="8" w:tentative="0">
      <w:start w:val="1"/>
      <w:numFmt w:val="lowerRoman"/>
      <w:lvlText w:val="%9."/>
      <w:lvlJc w:val="right"/>
      <w:pPr>
        <w:ind w:left="4624" w:hanging="420"/>
      </w:pPr>
    </w:lvl>
  </w:abstractNum>
  <w:abstractNum w:abstractNumId="53">
    <w:nsid w:val="3E71263E"/>
    <w:multiLevelType w:val="multilevel"/>
    <w:tmpl w:val="3E71263E"/>
    <w:lvl w:ilvl="0" w:tentative="0">
      <w:start w:val="1"/>
      <w:numFmt w:val="bullet"/>
      <w:lvlText w:val=""/>
      <w:lvlJc w:val="left"/>
      <w:pPr>
        <w:ind w:left="844" w:hanging="420"/>
      </w:pPr>
      <w:rPr>
        <w:rFonts w:hint="default" w:ascii="Wingdings" w:hAnsi="Wingdings"/>
      </w:rPr>
    </w:lvl>
    <w:lvl w:ilvl="1" w:tentative="0">
      <w:start w:val="1"/>
      <w:numFmt w:val="bullet"/>
      <w:lvlText w:val=""/>
      <w:lvlJc w:val="left"/>
      <w:pPr>
        <w:ind w:left="1264" w:hanging="420"/>
      </w:pPr>
      <w:rPr>
        <w:rFonts w:hint="default" w:ascii="Wingdings" w:hAnsi="Wingdings"/>
      </w:rPr>
    </w:lvl>
    <w:lvl w:ilvl="2" w:tentative="0">
      <w:start w:val="1"/>
      <w:numFmt w:val="bullet"/>
      <w:lvlText w:val=""/>
      <w:lvlJc w:val="left"/>
      <w:pPr>
        <w:ind w:left="1684" w:hanging="420"/>
      </w:pPr>
      <w:rPr>
        <w:rFonts w:hint="default" w:ascii="Wingdings" w:hAnsi="Wingdings"/>
      </w:rPr>
    </w:lvl>
    <w:lvl w:ilvl="3" w:tentative="0">
      <w:start w:val="1"/>
      <w:numFmt w:val="bullet"/>
      <w:lvlText w:val=""/>
      <w:lvlJc w:val="left"/>
      <w:pPr>
        <w:ind w:left="2104" w:hanging="420"/>
      </w:pPr>
      <w:rPr>
        <w:rFonts w:hint="default" w:ascii="Wingdings" w:hAnsi="Wingdings"/>
      </w:rPr>
    </w:lvl>
    <w:lvl w:ilvl="4" w:tentative="0">
      <w:start w:val="1"/>
      <w:numFmt w:val="bullet"/>
      <w:lvlText w:val=""/>
      <w:lvlJc w:val="left"/>
      <w:pPr>
        <w:ind w:left="2524" w:hanging="420"/>
      </w:pPr>
      <w:rPr>
        <w:rFonts w:hint="default" w:ascii="Wingdings" w:hAnsi="Wingdings"/>
      </w:rPr>
    </w:lvl>
    <w:lvl w:ilvl="5" w:tentative="0">
      <w:start w:val="1"/>
      <w:numFmt w:val="bullet"/>
      <w:lvlText w:val=""/>
      <w:lvlJc w:val="left"/>
      <w:pPr>
        <w:ind w:left="2944" w:hanging="420"/>
      </w:pPr>
      <w:rPr>
        <w:rFonts w:hint="default" w:ascii="Wingdings" w:hAnsi="Wingdings"/>
      </w:rPr>
    </w:lvl>
    <w:lvl w:ilvl="6" w:tentative="0">
      <w:start w:val="1"/>
      <w:numFmt w:val="bullet"/>
      <w:lvlText w:val=""/>
      <w:lvlJc w:val="left"/>
      <w:pPr>
        <w:ind w:left="3364" w:hanging="420"/>
      </w:pPr>
      <w:rPr>
        <w:rFonts w:hint="default" w:ascii="Wingdings" w:hAnsi="Wingdings"/>
      </w:rPr>
    </w:lvl>
    <w:lvl w:ilvl="7" w:tentative="0">
      <w:start w:val="1"/>
      <w:numFmt w:val="bullet"/>
      <w:lvlText w:val=""/>
      <w:lvlJc w:val="left"/>
      <w:pPr>
        <w:ind w:left="3784" w:hanging="420"/>
      </w:pPr>
      <w:rPr>
        <w:rFonts w:hint="default" w:ascii="Wingdings" w:hAnsi="Wingdings"/>
      </w:rPr>
    </w:lvl>
    <w:lvl w:ilvl="8" w:tentative="0">
      <w:start w:val="1"/>
      <w:numFmt w:val="bullet"/>
      <w:lvlText w:val=""/>
      <w:lvlJc w:val="left"/>
      <w:pPr>
        <w:ind w:left="4204" w:hanging="420"/>
      </w:pPr>
      <w:rPr>
        <w:rFonts w:hint="default" w:ascii="Wingdings" w:hAnsi="Wingdings"/>
      </w:rPr>
    </w:lvl>
  </w:abstractNum>
  <w:abstractNum w:abstractNumId="54">
    <w:nsid w:val="3F107C1E"/>
    <w:multiLevelType w:val="multilevel"/>
    <w:tmpl w:val="3F107C1E"/>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3F306650"/>
    <w:multiLevelType w:val="multilevel"/>
    <w:tmpl w:val="3F306650"/>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40025E8D"/>
    <w:multiLevelType w:val="multilevel"/>
    <w:tmpl w:val="40025E8D"/>
    <w:lvl w:ilvl="0" w:tentative="0">
      <w:start w:val="1"/>
      <w:numFmt w:val="lowerLetter"/>
      <w:suff w:val="nothing"/>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7">
    <w:nsid w:val="42B4379A"/>
    <w:multiLevelType w:val="multilevel"/>
    <w:tmpl w:val="42B4379A"/>
    <w:lvl w:ilvl="0" w:tentative="0">
      <w:start w:val="1"/>
      <w:numFmt w:val="lowerLetter"/>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58">
    <w:nsid w:val="44DA2DB6"/>
    <w:multiLevelType w:val="multilevel"/>
    <w:tmpl w:val="44DA2DB6"/>
    <w:lvl w:ilvl="0" w:tentative="0">
      <w:start w:val="1"/>
      <w:numFmt w:val="lowerLetter"/>
      <w:lvlText w:val="（%1）"/>
      <w:lvlJc w:val="left"/>
      <w:pPr>
        <w:ind w:left="1430" w:hanging="720"/>
      </w:pPr>
      <w:rPr>
        <w:rFonts w:hint="default"/>
      </w:rPr>
    </w:lvl>
    <w:lvl w:ilvl="1" w:tentative="0">
      <w:start w:val="1"/>
      <w:numFmt w:val="lowerLetter"/>
      <w:lvlText w:val="%2)"/>
      <w:lvlJc w:val="left"/>
      <w:pPr>
        <w:ind w:left="3817" w:hanging="420"/>
      </w:pPr>
    </w:lvl>
    <w:lvl w:ilvl="2" w:tentative="0">
      <w:start w:val="1"/>
      <w:numFmt w:val="lowerRoman"/>
      <w:lvlText w:val="%3."/>
      <w:lvlJc w:val="right"/>
      <w:pPr>
        <w:ind w:left="4237" w:hanging="420"/>
      </w:pPr>
    </w:lvl>
    <w:lvl w:ilvl="3" w:tentative="0">
      <w:start w:val="1"/>
      <w:numFmt w:val="decimal"/>
      <w:lvlText w:val="%4."/>
      <w:lvlJc w:val="left"/>
      <w:pPr>
        <w:ind w:left="4657" w:hanging="420"/>
      </w:pPr>
    </w:lvl>
    <w:lvl w:ilvl="4" w:tentative="0">
      <w:start w:val="1"/>
      <w:numFmt w:val="lowerLetter"/>
      <w:lvlText w:val="%5)"/>
      <w:lvlJc w:val="left"/>
      <w:pPr>
        <w:ind w:left="5077" w:hanging="420"/>
      </w:pPr>
    </w:lvl>
    <w:lvl w:ilvl="5" w:tentative="0">
      <w:start w:val="1"/>
      <w:numFmt w:val="lowerRoman"/>
      <w:lvlText w:val="%6."/>
      <w:lvlJc w:val="right"/>
      <w:pPr>
        <w:ind w:left="5497" w:hanging="420"/>
      </w:pPr>
    </w:lvl>
    <w:lvl w:ilvl="6" w:tentative="0">
      <w:start w:val="1"/>
      <w:numFmt w:val="decimal"/>
      <w:lvlText w:val="%7."/>
      <w:lvlJc w:val="left"/>
      <w:pPr>
        <w:ind w:left="5917" w:hanging="420"/>
      </w:pPr>
    </w:lvl>
    <w:lvl w:ilvl="7" w:tentative="0">
      <w:start w:val="1"/>
      <w:numFmt w:val="lowerLetter"/>
      <w:lvlText w:val="%8)"/>
      <w:lvlJc w:val="left"/>
      <w:pPr>
        <w:ind w:left="6337" w:hanging="420"/>
      </w:pPr>
    </w:lvl>
    <w:lvl w:ilvl="8" w:tentative="0">
      <w:start w:val="1"/>
      <w:numFmt w:val="lowerRoman"/>
      <w:lvlText w:val="%9."/>
      <w:lvlJc w:val="right"/>
      <w:pPr>
        <w:ind w:left="6757" w:hanging="420"/>
      </w:pPr>
    </w:lvl>
  </w:abstractNum>
  <w:abstractNum w:abstractNumId="59">
    <w:nsid w:val="463D656F"/>
    <w:multiLevelType w:val="multilevel"/>
    <w:tmpl w:val="463D656F"/>
    <w:lvl w:ilvl="0" w:tentative="0">
      <w:start w:val="1"/>
      <w:numFmt w:val="japaneseCounting"/>
      <w:lvlText w:val="%1、"/>
      <w:lvlJc w:val="left"/>
      <w:pPr>
        <w:ind w:left="456" w:hanging="456"/>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49737A5D"/>
    <w:multiLevelType w:val="multilevel"/>
    <w:tmpl w:val="49737A5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4B873B6F"/>
    <w:multiLevelType w:val="multilevel"/>
    <w:tmpl w:val="4B873B6F"/>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4C2B43D7"/>
    <w:multiLevelType w:val="multilevel"/>
    <w:tmpl w:val="4C2B43D7"/>
    <w:lvl w:ilvl="0" w:tentative="0">
      <w:start w:val="1"/>
      <w:numFmt w:val="lowerLetter"/>
      <w:suff w:val="nothing"/>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63">
    <w:nsid w:val="5169015C"/>
    <w:multiLevelType w:val="multilevel"/>
    <w:tmpl w:val="5169015C"/>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51892E04"/>
    <w:multiLevelType w:val="multilevel"/>
    <w:tmpl w:val="51892E04"/>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5">
    <w:nsid w:val="520128DA"/>
    <w:multiLevelType w:val="multilevel"/>
    <w:tmpl w:val="520128DA"/>
    <w:lvl w:ilvl="0" w:tentative="0">
      <w:start w:val="1"/>
      <w:numFmt w:val="decimal"/>
      <w:lvlText w:val="%1、"/>
      <w:lvlJc w:val="left"/>
      <w:pPr>
        <w:ind w:left="420" w:hanging="420"/>
      </w:pPr>
      <w:rPr>
        <w:rFonts w:hint="eastAsia"/>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52485D46"/>
    <w:multiLevelType w:val="multilevel"/>
    <w:tmpl w:val="52485D46"/>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526F338D"/>
    <w:multiLevelType w:val="multilevel"/>
    <w:tmpl w:val="526F338D"/>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68">
    <w:nsid w:val="5276464E"/>
    <w:multiLevelType w:val="multilevel"/>
    <w:tmpl w:val="5276464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52803361"/>
    <w:multiLevelType w:val="multilevel"/>
    <w:tmpl w:val="5280336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52A36EBD"/>
    <w:multiLevelType w:val="multilevel"/>
    <w:tmpl w:val="52A36EBD"/>
    <w:lvl w:ilvl="0" w:tentative="0">
      <w:start w:val="1"/>
      <w:numFmt w:val="decimal"/>
      <w:lvlText w:val="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53006189"/>
    <w:multiLevelType w:val="multilevel"/>
    <w:tmpl w:val="53006189"/>
    <w:lvl w:ilvl="0" w:tentative="0">
      <w:start w:val="1"/>
      <w:numFmt w:val="lowerRoman"/>
      <w:lvlText w:val="（%1）"/>
      <w:lvlJc w:val="righ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544C2C9A"/>
    <w:multiLevelType w:val="multilevel"/>
    <w:tmpl w:val="544C2C9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55711B53"/>
    <w:multiLevelType w:val="multilevel"/>
    <w:tmpl w:val="55711B53"/>
    <w:lvl w:ilvl="0" w:tentative="0">
      <w:start w:val="1"/>
      <w:numFmt w:val="decimal"/>
      <w:lvlText w:val="（%1）"/>
      <w:lvlJc w:val="left"/>
      <w:pPr>
        <w:ind w:left="1280" w:hanging="720"/>
      </w:pPr>
      <w:rPr>
        <w:rFonts w:hint="default"/>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4">
    <w:nsid w:val="58A57B9B"/>
    <w:multiLevelType w:val="multilevel"/>
    <w:tmpl w:val="58A57B9B"/>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5">
    <w:nsid w:val="58F2062D"/>
    <w:multiLevelType w:val="multilevel"/>
    <w:tmpl w:val="58F2062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59A9256B"/>
    <w:multiLevelType w:val="singleLevel"/>
    <w:tmpl w:val="59A9256B"/>
    <w:lvl w:ilvl="0" w:tentative="0">
      <w:start w:val="1"/>
      <w:numFmt w:val="chineseCounting"/>
      <w:suff w:val="nothing"/>
      <w:lvlText w:val="%1、"/>
      <w:lvlJc w:val="left"/>
    </w:lvl>
  </w:abstractNum>
  <w:abstractNum w:abstractNumId="77">
    <w:nsid w:val="5C3B1FDE"/>
    <w:multiLevelType w:val="multilevel"/>
    <w:tmpl w:val="5C3B1FDE"/>
    <w:lvl w:ilvl="0" w:tentative="0">
      <w:start w:val="1"/>
      <w:numFmt w:val="bullet"/>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abstractNum w:abstractNumId="78">
    <w:nsid w:val="5C6F5ED2"/>
    <w:multiLevelType w:val="multilevel"/>
    <w:tmpl w:val="5C6F5ED2"/>
    <w:lvl w:ilvl="0" w:tentative="0">
      <w:start w:val="1"/>
      <w:numFmt w:val="decimal"/>
      <w:lvlText w:val="%1）"/>
      <w:lvlJc w:val="left"/>
      <w:pPr>
        <w:ind w:left="987"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5D58358C"/>
    <w:multiLevelType w:val="multilevel"/>
    <w:tmpl w:val="5D58358C"/>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5E163284"/>
    <w:multiLevelType w:val="multilevel"/>
    <w:tmpl w:val="5E163284"/>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1">
    <w:nsid w:val="5E221B1D"/>
    <w:multiLevelType w:val="multilevel"/>
    <w:tmpl w:val="5E221B1D"/>
    <w:lvl w:ilvl="0" w:tentative="0">
      <w:start w:val="1"/>
      <w:numFmt w:val="decimal"/>
      <w:lvlText w:val="17.%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980" w:hanging="72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5FE23C5A"/>
    <w:multiLevelType w:val="multilevel"/>
    <w:tmpl w:val="5FE23C5A"/>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61304451"/>
    <w:multiLevelType w:val="multilevel"/>
    <w:tmpl w:val="61304451"/>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63F03323"/>
    <w:multiLevelType w:val="multilevel"/>
    <w:tmpl w:val="63F03323"/>
    <w:lvl w:ilvl="0" w:tentative="0">
      <w:start w:val="1"/>
      <w:numFmt w:val="decimal"/>
      <w:lvlText w:val="15.%1"/>
      <w:lvlJc w:val="left"/>
      <w:pPr>
        <w:ind w:left="844" w:hanging="420"/>
      </w:pPr>
      <w:rPr>
        <w:rFonts w:hint="eastAsia"/>
      </w:rPr>
    </w:lvl>
    <w:lvl w:ilvl="1" w:tentative="0">
      <w:start w:val="1"/>
      <w:numFmt w:val="decimal"/>
      <w:lvlText w:val="15.%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64C10FC8"/>
    <w:multiLevelType w:val="multilevel"/>
    <w:tmpl w:val="64C10FC8"/>
    <w:lvl w:ilvl="0" w:tentative="0">
      <w:start w:val="1"/>
      <w:numFmt w:val="decimal"/>
      <w:lvlText w:val="（%1）"/>
      <w:lvlJc w:val="left"/>
      <w:pPr>
        <w:ind w:left="1067" w:hanging="420"/>
      </w:pPr>
      <w:rPr>
        <w:rFonts w:hint="eastAsia"/>
      </w:rPr>
    </w:lvl>
    <w:lvl w:ilvl="1" w:tentative="0">
      <w:start w:val="1"/>
      <w:numFmt w:val="decimal"/>
      <w:suff w:val="nothing"/>
      <w:lvlText w:val="（%2）"/>
      <w:lvlJc w:val="left"/>
      <w:pPr>
        <w:ind w:left="988"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6">
    <w:nsid w:val="6547230F"/>
    <w:multiLevelType w:val="multilevel"/>
    <w:tmpl w:val="6547230F"/>
    <w:lvl w:ilvl="0" w:tentative="0">
      <w:start w:val="1"/>
      <w:numFmt w:val="decimal"/>
      <w:lvlText w:val="（%1）"/>
      <w:lvlJc w:val="left"/>
      <w:pPr>
        <w:ind w:left="844" w:hanging="420"/>
      </w:pPr>
      <w:rPr>
        <w:rFonts w:hint="eastAsia"/>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87">
    <w:nsid w:val="6B334238"/>
    <w:multiLevelType w:val="multilevel"/>
    <w:tmpl w:val="6B334238"/>
    <w:lvl w:ilvl="0" w:tentative="0">
      <w:start w:val="1"/>
      <w:numFmt w:val="decimal"/>
      <w:lvlText w:val="1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8">
    <w:nsid w:val="6D937588"/>
    <w:multiLevelType w:val="multilevel"/>
    <w:tmpl w:val="6D93758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9">
    <w:nsid w:val="6E213B51"/>
    <w:multiLevelType w:val="multilevel"/>
    <w:tmpl w:val="6E213B51"/>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6E8A6A9A"/>
    <w:multiLevelType w:val="multilevel"/>
    <w:tmpl w:val="6E8A6A9A"/>
    <w:lvl w:ilvl="0" w:tentative="0">
      <w:start w:val="1"/>
      <w:numFmt w:val="decimal"/>
      <w:lvlText w:val="%1、"/>
      <w:lvlJc w:val="left"/>
      <w:pPr>
        <w:ind w:left="888" w:hanging="360"/>
      </w:pPr>
      <w:rPr>
        <w:rFonts w:hint="default"/>
      </w:rPr>
    </w:lvl>
    <w:lvl w:ilvl="1" w:tentative="0">
      <w:start w:val="1"/>
      <w:numFmt w:val="lowerLetter"/>
      <w:lvlText w:val="%2)"/>
      <w:lvlJc w:val="left"/>
      <w:pPr>
        <w:ind w:left="1368" w:hanging="420"/>
      </w:pPr>
    </w:lvl>
    <w:lvl w:ilvl="2" w:tentative="0">
      <w:start w:val="1"/>
      <w:numFmt w:val="lowerRoman"/>
      <w:lvlText w:val="%3."/>
      <w:lvlJc w:val="right"/>
      <w:pPr>
        <w:ind w:left="1788" w:hanging="420"/>
      </w:pPr>
    </w:lvl>
    <w:lvl w:ilvl="3" w:tentative="0">
      <w:start w:val="1"/>
      <w:numFmt w:val="decimal"/>
      <w:lvlText w:val="%4."/>
      <w:lvlJc w:val="left"/>
      <w:pPr>
        <w:ind w:left="2208" w:hanging="420"/>
      </w:pPr>
    </w:lvl>
    <w:lvl w:ilvl="4" w:tentative="0">
      <w:start w:val="1"/>
      <w:numFmt w:val="lowerLetter"/>
      <w:lvlText w:val="%5)"/>
      <w:lvlJc w:val="left"/>
      <w:pPr>
        <w:ind w:left="2628" w:hanging="420"/>
      </w:pPr>
    </w:lvl>
    <w:lvl w:ilvl="5" w:tentative="0">
      <w:start w:val="1"/>
      <w:numFmt w:val="lowerRoman"/>
      <w:lvlText w:val="%6."/>
      <w:lvlJc w:val="right"/>
      <w:pPr>
        <w:ind w:left="3048" w:hanging="420"/>
      </w:pPr>
    </w:lvl>
    <w:lvl w:ilvl="6" w:tentative="0">
      <w:start w:val="1"/>
      <w:numFmt w:val="decimal"/>
      <w:lvlText w:val="%7."/>
      <w:lvlJc w:val="left"/>
      <w:pPr>
        <w:ind w:left="3468" w:hanging="420"/>
      </w:pPr>
    </w:lvl>
    <w:lvl w:ilvl="7" w:tentative="0">
      <w:start w:val="1"/>
      <w:numFmt w:val="lowerLetter"/>
      <w:lvlText w:val="%8)"/>
      <w:lvlJc w:val="left"/>
      <w:pPr>
        <w:ind w:left="3888" w:hanging="420"/>
      </w:pPr>
    </w:lvl>
    <w:lvl w:ilvl="8" w:tentative="0">
      <w:start w:val="1"/>
      <w:numFmt w:val="lowerRoman"/>
      <w:lvlText w:val="%9."/>
      <w:lvlJc w:val="right"/>
      <w:pPr>
        <w:ind w:left="4308" w:hanging="420"/>
      </w:pPr>
    </w:lvl>
  </w:abstractNum>
  <w:abstractNum w:abstractNumId="91">
    <w:nsid w:val="70750C8C"/>
    <w:multiLevelType w:val="multilevel"/>
    <w:tmpl w:val="70750C8C"/>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2">
    <w:nsid w:val="71B451A3"/>
    <w:multiLevelType w:val="multilevel"/>
    <w:tmpl w:val="71B451A3"/>
    <w:lvl w:ilvl="0" w:tentative="0">
      <w:start w:val="1"/>
      <w:numFmt w:val="decimal"/>
      <w:lvlText w:val="20.%1"/>
      <w:lvlJc w:val="left"/>
      <w:pPr>
        <w:ind w:left="844" w:hanging="420"/>
      </w:pPr>
      <w:rPr>
        <w:rFonts w:hint="eastAsia"/>
      </w:rPr>
    </w:lvl>
    <w:lvl w:ilvl="1" w:tentative="0">
      <w:start w:val="1"/>
      <w:numFmt w:val="decimal"/>
      <w:lvlText w:val="20.%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732A6C40"/>
    <w:multiLevelType w:val="multilevel"/>
    <w:tmpl w:val="732A6C40"/>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76D107AC"/>
    <w:multiLevelType w:val="multilevel"/>
    <w:tmpl w:val="76D107A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5">
    <w:nsid w:val="77037532"/>
    <w:multiLevelType w:val="multilevel"/>
    <w:tmpl w:val="77037532"/>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6">
    <w:nsid w:val="78146738"/>
    <w:multiLevelType w:val="multilevel"/>
    <w:tmpl w:val="78146738"/>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7">
    <w:nsid w:val="78BB7215"/>
    <w:multiLevelType w:val="multilevel"/>
    <w:tmpl w:val="78BB7215"/>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8">
    <w:nsid w:val="79127290"/>
    <w:multiLevelType w:val="multilevel"/>
    <w:tmpl w:val="79127290"/>
    <w:lvl w:ilvl="0" w:tentative="0">
      <w:start w:val="1"/>
      <w:numFmt w:val="lowerRoman"/>
      <w:lvlText w:val="（%1）"/>
      <w:lvlJc w:val="right"/>
      <w:pPr>
        <w:ind w:left="1080" w:hanging="1080"/>
      </w:pPr>
      <w:rPr>
        <w:rFonts w:hint="default"/>
      </w:rPr>
    </w:lvl>
    <w:lvl w:ilvl="1" w:tentative="0">
      <w:start w:val="1"/>
      <w:numFmt w:val="lowerLetter"/>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9">
    <w:nsid w:val="7C66258B"/>
    <w:multiLevelType w:val="multilevel"/>
    <w:tmpl w:val="7C66258B"/>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0">
    <w:nsid w:val="7D532EB5"/>
    <w:multiLevelType w:val="multilevel"/>
    <w:tmpl w:val="7D532EB5"/>
    <w:lvl w:ilvl="0" w:tentative="0">
      <w:start w:val="1"/>
      <w:numFmt w:val="decimal"/>
      <w:lvlText w:val="14.%1"/>
      <w:lvlJc w:val="left"/>
      <w:pPr>
        <w:ind w:left="844" w:hanging="420"/>
      </w:pPr>
      <w:rPr>
        <w:rFonts w:hint="eastAsia"/>
      </w:rPr>
    </w:lvl>
    <w:lvl w:ilvl="1" w:tentative="0">
      <w:start w:val="1"/>
      <w:numFmt w:val="decimal"/>
      <w:lvlText w:val="14.%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1">
    <w:nsid w:val="7D85211E"/>
    <w:multiLevelType w:val="multilevel"/>
    <w:tmpl w:val="7D85211E"/>
    <w:lvl w:ilvl="0" w:tentative="0">
      <w:start w:val="1"/>
      <w:numFmt w:val="lowerLetter"/>
      <w:lvlText w:val="（%1）"/>
      <w:lvlJc w:val="left"/>
      <w:pPr>
        <w:ind w:left="1288"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2">
    <w:nsid w:val="7EC06E9A"/>
    <w:multiLevelType w:val="multilevel"/>
    <w:tmpl w:val="7EC06E9A"/>
    <w:lvl w:ilvl="0" w:tentative="0">
      <w:start w:val="1"/>
      <w:numFmt w:val="lowerLetter"/>
      <w:lvlText w:val="（%1）"/>
      <w:lvlJc w:val="left"/>
      <w:pPr>
        <w:ind w:left="720" w:hanging="720"/>
      </w:pPr>
      <w:rPr>
        <w:rFonts w:hint="default"/>
      </w:rPr>
    </w:lvl>
    <w:lvl w:ilvl="1" w:tentative="0">
      <w:start w:val="1"/>
      <w:numFmt w:val="decimal"/>
      <w:lvlText w:val="%2."/>
      <w:lvlJc w:val="left"/>
      <w:pPr>
        <w:ind w:left="780" w:hanging="360"/>
      </w:pPr>
      <w:rPr>
        <w:rFonts w:hint="default"/>
      </w:rPr>
    </w:lvl>
    <w:lvl w:ilvl="2" w:tentative="0">
      <w:start w:val="1"/>
      <w:numFmt w:val="lowerLetter"/>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3">
    <w:nsid w:val="7F3C77AC"/>
    <w:multiLevelType w:val="multilevel"/>
    <w:tmpl w:val="7F3C77AC"/>
    <w:lvl w:ilvl="0" w:tentative="0">
      <w:start w:val="1"/>
      <w:numFmt w:val="lowerLetter"/>
      <w:lvlText w:val="（%1）"/>
      <w:lvlJc w:val="left"/>
      <w:pPr>
        <w:ind w:left="1288"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3"/>
  </w:num>
  <w:num w:numId="2">
    <w:abstractNumId w:val="37"/>
  </w:num>
  <w:num w:numId="3">
    <w:abstractNumId w:val="22"/>
  </w:num>
  <w:num w:numId="4">
    <w:abstractNumId w:val="3"/>
  </w:num>
  <w:num w:numId="5">
    <w:abstractNumId w:val="49"/>
  </w:num>
  <w:num w:numId="6">
    <w:abstractNumId w:val="88"/>
  </w:num>
  <w:num w:numId="7">
    <w:abstractNumId w:val="70"/>
  </w:num>
  <w:num w:numId="8">
    <w:abstractNumId w:val="11"/>
  </w:num>
  <w:num w:numId="9">
    <w:abstractNumId w:val="4"/>
  </w:num>
  <w:num w:numId="10">
    <w:abstractNumId w:val="30"/>
  </w:num>
  <w:num w:numId="11">
    <w:abstractNumId w:val="2"/>
  </w:num>
  <w:num w:numId="12">
    <w:abstractNumId w:val="36"/>
  </w:num>
  <w:num w:numId="13">
    <w:abstractNumId w:val="16"/>
  </w:num>
  <w:num w:numId="14">
    <w:abstractNumId w:val="77"/>
  </w:num>
  <w:num w:numId="15">
    <w:abstractNumId w:val="13"/>
  </w:num>
  <w:num w:numId="16">
    <w:abstractNumId w:val="53"/>
  </w:num>
  <w:num w:numId="17">
    <w:abstractNumId w:val="17"/>
  </w:num>
  <w:num w:numId="18">
    <w:abstractNumId w:val="67"/>
  </w:num>
  <w:num w:numId="19">
    <w:abstractNumId w:val="12"/>
  </w:num>
  <w:num w:numId="20">
    <w:abstractNumId w:val="27"/>
  </w:num>
  <w:num w:numId="21">
    <w:abstractNumId w:val="51"/>
  </w:num>
  <w:num w:numId="22">
    <w:abstractNumId w:val="86"/>
  </w:num>
  <w:num w:numId="23">
    <w:abstractNumId w:val="43"/>
  </w:num>
  <w:num w:numId="24">
    <w:abstractNumId w:val="100"/>
  </w:num>
  <w:num w:numId="25">
    <w:abstractNumId w:val="84"/>
  </w:num>
  <w:num w:numId="26">
    <w:abstractNumId w:val="38"/>
  </w:num>
  <w:num w:numId="27">
    <w:abstractNumId w:val="81"/>
  </w:num>
  <w:num w:numId="28">
    <w:abstractNumId w:val="87"/>
  </w:num>
  <w:num w:numId="29">
    <w:abstractNumId w:val="32"/>
  </w:num>
  <w:num w:numId="30">
    <w:abstractNumId w:val="92"/>
  </w:num>
  <w:num w:numId="31">
    <w:abstractNumId w:val="34"/>
  </w:num>
  <w:num w:numId="32">
    <w:abstractNumId w:val="74"/>
  </w:num>
  <w:num w:numId="33">
    <w:abstractNumId w:val="59"/>
  </w:num>
  <w:num w:numId="34">
    <w:abstractNumId w:val="90"/>
  </w:num>
  <w:num w:numId="35">
    <w:abstractNumId w:val="94"/>
  </w:num>
  <w:num w:numId="36">
    <w:abstractNumId w:val="0"/>
  </w:num>
  <w:num w:numId="37">
    <w:abstractNumId w:val="72"/>
  </w:num>
  <w:num w:numId="38">
    <w:abstractNumId w:val="69"/>
  </w:num>
  <w:num w:numId="39">
    <w:abstractNumId w:val="65"/>
  </w:num>
  <w:num w:numId="40">
    <w:abstractNumId w:val="68"/>
  </w:num>
  <w:num w:numId="41">
    <w:abstractNumId w:val="45"/>
  </w:num>
  <w:num w:numId="42">
    <w:abstractNumId w:val="47"/>
  </w:num>
  <w:num w:numId="43">
    <w:abstractNumId w:val="52"/>
  </w:num>
  <w:num w:numId="44">
    <w:abstractNumId w:val="64"/>
  </w:num>
  <w:num w:numId="45">
    <w:abstractNumId w:val="29"/>
  </w:num>
  <w:num w:numId="46">
    <w:abstractNumId w:val="66"/>
  </w:num>
  <w:num w:numId="47">
    <w:abstractNumId w:val="42"/>
  </w:num>
  <w:num w:numId="48">
    <w:abstractNumId w:val="56"/>
  </w:num>
  <w:num w:numId="49">
    <w:abstractNumId w:val="44"/>
  </w:num>
  <w:num w:numId="50">
    <w:abstractNumId w:val="62"/>
  </w:num>
  <w:num w:numId="51">
    <w:abstractNumId w:val="57"/>
  </w:num>
  <w:num w:numId="52">
    <w:abstractNumId w:val="40"/>
  </w:num>
  <w:num w:numId="53">
    <w:abstractNumId w:val="28"/>
  </w:num>
  <w:num w:numId="54">
    <w:abstractNumId w:val="35"/>
  </w:num>
  <w:num w:numId="55">
    <w:abstractNumId w:val="6"/>
  </w:num>
  <w:num w:numId="56">
    <w:abstractNumId w:val="61"/>
  </w:num>
  <w:num w:numId="57">
    <w:abstractNumId w:val="31"/>
  </w:num>
  <w:num w:numId="58">
    <w:abstractNumId w:val="10"/>
  </w:num>
  <w:num w:numId="59">
    <w:abstractNumId w:val="75"/>
  </w:num>
  <w:num w:numId="60">
    <w:abstractNumId w:val="48"/>
  </w:num>
  <w:num w:numId="61">
    <w:abstractNumId w:val="82"/>
  </w:num>
  <w:num w:numId="62">
    <w:abstractNumId w:val="99"/>
  </w:num>
  <w:num w:numId="63">
    <w:abstractNumId w:val="93"/>
  </w:num>
  <w:num w:numId="64">
    <w:abstractNumId w:val="8"/>
  </w:num>
  <w:num w:numId="65">
    <w:abstractNumId w:val="19"/>
  </w:num>
  <w:num w:numId="66">
    <w:abstractNumId w:val="98"/>
  </w:num>
  <w:num w:numId="67">
    <w:abstractNumId w:val="46"/>
  </w:num>
  <w:num w:numId="68">
    <w:abstractNumId w:val="18"/>
  </w:num>
  <w:num w:numId="69">
    <w:abstractNumId w:val="80"/>
  </w:num>
  <w:num w:numId="70">
    <w:abstractNumId w:val="5"/>
  </w:num>
  <w:num w:numId="71">
    <w:abstractNumId w:val="58"/>
  </w:num>
  <w:num w:numId="72">
    <w:abstractNumId w:val="79"/>
  </w:num>
  <w:num w:numId="73">
    <w:abstractNumId w:val="101"/>
  </w:num>
  <w:num w:numId="74">
    <w:abstractNumId w:val="7"/>
  </w:num>
  <w:num w:numId="75">
    <w:abstractNumId w:val="91"/>
  </w:num>
  <w:num w:numId="76">
    <w:abstractNumId w:val="85"/>
  </w:num>
  <w:num w:numId="77">
    <w:abstractNumId w:val="41"/>
  </w:num>
  <w:num w:numId="78">
    <w:abstractNumId w:val="78"/>
  </w:num>
  <w:num w:numId="79">
    <w:abstractNumId w:val="24"/>
  </w:num>
  <w:num w:numId="80">
    <w:abstractNumId w:val="26"/>
  </w:num>
  <w:num w:numId="81">
    <w:abstractNumId w:val="71"/>
  </w:num>
  <w:num w:numId="82">
    <w:abstractNumId w:val="95"/>
  </w:num>
  <w:num w:numId="83">
    <w:abstractNumId w:val="96"/>
  </w:num>
  <w:num w:numId="84">
    <w:abstractNumId w:val="55"/>
  </w:num>
  <w:num w:numId="85">
    <w:abstractNumId w:val="97"/>
  </w:num>
  <w:num w:numId="86">
    <w:abstractNumId w:val="25"/>
  </w:num>
  <w:num w:numId="87">
    <w:abstractNumId w:val="14"/>
  </w:num>
  <w:num w:numId="88">
    <w:abstractNumId w:val="103"/>
  </w:num>
  <w:num w:numId="89">
    <w:abstractNumId w:val="21"/>
  </w:num>
  <w:num w:numId="90">
    <w:abstractNumId w:val="54"/>
  </w:num>
  <w:num w:numId="91">
    <w:abstractNumId w:val="20"/>
  </w:num>
  <w:num w:numId="92">
    <w:abstractNumId w:val="39"/>
  </w:num>
  <w:num w:numId="93">
    <w:abstractNumId w:val="50"/>
  </w:num>
  <w:num w:numId="94">
    <w:abstractNumId w:val="63"/>
  </w:num>
  <w:num w:numId="95">
    <w:abstractNumId w:val="102"/>
  </w:num>
  <w:num w:numId="96">
    <w:abstractNumId w:val="1"/>
  </w:num>
  <w:num w:numId="97">
    <w:abstractNumId w:val="83"/>
  </w:num>
  <w:num w:numId="98">
    <w:abstractNumId w:val="33"/>
  </w:num>
  <w:num w:numId="99">
    <w:abstractNumId w:val="23"/>
  </w:num>
  <w:num w:numId="100">
    <w:abstractNumId w:val="9"/>
  </w:num>
  <w:num w:numId="101">
    <w:abstractNumId w:val="60"/>
  </w:num>
  <w:num w:numId="102">
    <w:abstractNumId w:val="15"/>
  </w:num>
  <w:num w:numId="103">
    <w:abstractNumId w:val="89"/>
  </w:num>
  <w:num w:numId="104">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28D"/>
    <w:rsid w:val="0000097D"/>
    <w:rsid w:val="000009D5"/>
    <w:rsid w:val="00001D5D"/>
    <w:rsid w:val="000034C3"/>
    <w:rsid w:val="00006EEC"/>
    <w:rsid w:val="00010835"/>
    <w:rsid w:val="00011169"/>
    <w:rsid w:val="000134F2"/>
    <w:rsid w:val="0001462D"/>
    <w:rsid w:val="000204C6"/>
    <w:rsid w:val="000238A6"/>
    <w:rsid w:val="00024E69"/>
    <w:rsid w:val="0002630D"/>
    <w:rsid w:val="00026FBF"/>
    <w:rsid w:val="00027586"/>
    <w:rsid w:val="00033967"/>
    <w:rsid w:val="00034ADC"/>
    <w:rsid w:val="000355D7"/>
    <w:rsid w:val="000356C5"/>
    <w:rsid w:val="0004481C"/>
    <w:rsid w:val="000516C3"/>
    <w:rsid w:val="0005345D"/>
    <w:rsid w:val="000537A6"/>
    <w:rsid w:val="000574E6"/>
    <w:rsid w:val="00062ADE"/>
    <w:rsid w:val="00063FA1"/>
    <w:rsid w:val="00064290"/>
    <w:rsid w:val="00065ED6"/>
    <w:rsid w:val="00072E30"/>
    <w:rsid w:val="000750C6"/>
    <w:rsid w:val="00075879"/>
    <w:rsid w:val="00077DBC"/>
    <w:rsid w:val="0008010A"/>
    <w:rsid w:val="00081AC0"/>
    <w:rsid w:val="00081DBA"/>
    <w:rsid w:val="00082817"/>
    <w:rsid w:val="000832E9"/>
    <w:rsid w:val="00090907"/>
    <w:rsid w:val="0009490B"/>
    <w:rsid w:val="00096D37"/>
    <w:rsid w:val="000A014E"/>
    <w:rsid w:val="000A08A4"/>
    <w:rsid w:val="000B4E12"/>
    <w:rsid w:val="000C6C40"/>
    <w:rsid w:val="000D16E5"/>
    <w:rsid w:val="000D2F8C"/>
    <w:rsid w:val="000D3CB6"/>
    <w:rsid w:val="000D3D15"/>
    <w:rsid w:val="000D41E5"/>
    <w:rsid w:val="000D484C"/>
    <w:rsid w:val="000D60A5"/>
    <w:rsid w:val="000D6172"/>
    <w:rsid w:val="000D732A"/>
    <w:rsid w:val="000E22BD"/>
    <w:rsid w:val="000E4BAC"/>
    <w:rsid w:val="000E7EF3"/>
    <w:rsid w:val="000F2F26"/>
    <w:rsid w:val="000F3A08"/>
    <w:rsid w:val="000F3E89"/>
    <w:rsid w:val="000F41EF"/>
    <w:rsid w:val="000F44FB"/>
    <w:rsid w:val="000F5AAE"/>
    <w:rsid w:val="00102C82"/>
    <w:rsid w:val="001072CB"/>
    <w:rsid w:val="0011081A"/>
    <w:rsid w:val="00110BF0"/>
    <w:rsid w:val="00113886"/>
    <w:rsid w:val="00117CF6"/>
    <w:rsid w:val="00120692"/>
    <w:rsid w:val="001228D4"/>
    <w:rsid w:val="001238B8"/>
    <w:rsid w:val="00126E91"/>
    <w:rsid w:val="001307ED"/>
    <w:rsid w:val="00133611"/>
    <w:rsid w:val="00133B30"/>
    <w:rsid w:val="00134504"/>
    <w:rsid w:val="00135D01"/>
    <w:rsid w:val="00140878"/>
    <w:rsid w:val="001431D4"/>
    <w:rsid w:val="00146623"/>
    <w:rsid w:val="00146954"/>
    <w:rsid w:val="00150C16"/>
    <w:rsid w:val="001516FA"/>
    <w:rsid w:val="00151A8B"/>
    <w:rsid w:val="00153A58"/>
    <w:rsid w:val="001554D6"/>
    <w:rsid w:val="0015575C"/>
    <w:rsid w:val="001568F5"/>
    <w:rsid w:val="00156C9C"/>
    <w:rsid w:val="00157230"/>
    <w:rsid w:val="0016108B"/>
    <w:rsid w:val="00163AF4"/>
    <w:rsid w:val="0016438C"/>
    <w:rsid w:val="00171C89"/>
    <w:rsid w:val="00173ACF"/>
    <w:rsid w:val="00175430"/>
    <w:rsid w:val="00176C8F"/>
    <w:rsid w:val="001821F5"/>
    <w:rsid w:val="00183A8C"/>
    <w:rsid w:val="00186362"/>
    <w:rsid w:val="001879D8"/>
    <w:rsid w:val="00187FF1"/>
    <w:rsid w:val="001905CC"/>
    <w:rsid w:val="001935DA"/>
    <w:rsid w:val="00195137"/>
    <w:rsid w:val="0019592D"/>
    <w:rsid w:val="0019636F"/>
    <w:rsid w:val="00196ED7"/>
    <w:rsid w:val="00197575"/>
    <w:rsid w:val="001A1A1E"/>
    <w:rsid w:val="001A46C9"/>
    <w:rsid w:val="001A4CBD"/>
    <w:rsid w:val="001A6217"/>
    <w:rsid w:val="001A7D26"/>
    <w:rsid w:val="001B0295"/>
    <w:rsid w:val="001B37F5"/>
    <w:rsid w:val="001B4359"/>
    <w:rsid w:val="001B4F0F"/>
    <w:rsid w:val="001B56A4"/>
    <w:rsid w:val="001C1F1B"/>
    <w:rsid w:val="001C65F1"/>
    <w:rsid w:val="001D1365"/>
    <w:rsid w:val="001D29BA"/>
    <w:rsid w:val="001D37BA"/>
    <w:rsid w:val="001D42EF"/>
    <w:rsid w:val="001D498F"/>
    <w:rsid w:val="001D636E"/>
    <w:rsid w:val="001E081D"/>
    <w:rsid w:val="001E3AB1"/>
    <w:rsid w:val="001F19BF"/>
    <w:rsid w:val="001F6723"/>
    <w:rsid w:val="0020507C"/>
    <w:rsid w:val="00205909"/>
    <w:rsid w:val="00206D74"/>
    <w:rsid w:val="00211C11"/>
    <w:rsid w:val="00216DD7"/>
    <w:rsid w:val="002202D8"/>
    <w:rsid w:val="0022790D"/>
    <w:rsid w:val="002316C0"/>
    <w:rsid w:val="00236560"/>
    <w:rsid w:val="00237230"/>
    <w:rsid w:val="00240320"/>
    <w:rsid w:val="0024064B"/>
    <w:rsid w:val="00241262"/>
    <w:rsid w:val="00245F91"/>
    <w:rsid w:val="00250E21"/>
    <w:rsid w:val="002518E5"/>
    <w:rsid w:val="00252139"/>
    <w:rsid w:val="00253F59"/>
    <w:rsid w:val="00256323"/>
    <w:rsid w:val="00257AC6"/>
    <w:rsid w:val="00261CBB"/>
    <w:rsid w:val="002647D5"/>
    <w:rsid w:val="0026486C"/>
    <w:rsid w:val="00264B3B"/>
    <w:rsid w:val="002661CD"/>
    <w:rsid w:val="00267181"/>
    <w:rsid w:val="002706A2"/>
    <w:rsid w:val="00271060"/>
    <w:rsid w:val="00273B7B"/>
    <w:rsid w:val="0027743B"/>
    <w:rsid w:val="00280A97"/>
    <w:rsid w:val="00282112"/>
    <w:rsid w:val="00284896"/>
    <w:rsid w:val="00286846"/>
    <w:rsid w:val="00287C8A"/>
    <w:rsid w:val="002907C4"/>
    <w:rsid w:val="0029182B"/>
    <w:rsid w:val="00291847"/>
    <w:rsid w:val="002918CC"/>
    <w:rsid w:val="00293DE0"/>
    <w:rsid w:val="00295D5F"/>
    <w:rsid w:val="00296703"/>
    <w:rsid w:val="002A4F80"/>
    <w:rsid w:val="002B77D4"/>
    <w:rsid w:val="002C01A9"/>
    <w:rsid w:val="002C37FB"/>
    <w:rsid w:val="002C5BCE"/>
    <w:rsid w:val="002C6628"/>
    <w:rsid w:val="002C7AA7"/>
    <w:rsid w:val="002D348F"/>
    <w:rsid w:val="002D3EF6"/>
    <w:rsid w:val="002D6D2E"/>
    <w:rsid w:val="002D7473"/>
    <w:rsid w:val="002E07FC"/>
    <w:rsid w:val="002E2072"/>
    <w:rsid w:val="002E3A70"/>
    <w:rsid w:val="002E655C"/>
    <w:rsid w:val="002F0FBE"/>
    <w:rsid w:val="002F3795"/>
    <w:rsid w:val="002F5B7C"/>
    <w:rsid w:val="00302D68"/>
    <w:rsid w:val="0030520E"/>
    <w:rsid w:val="00306469"/>
    <w:rsid w:val="00311D25"/>
    <w:rsid w:val="003151AF"/>
    <w:rsid w:val="00322DA0"/>
    <w:rsid w:val="00323537"/>
    <w:rsid w:val="00330509"/>
    <w:rsid w:val="0033092B"/>
    <w:rsid w:val="00334390"/>
    <w:rsid w:val="0033543E"/>
    <w:rsid w:val="003402F8"/>
    <w:rsid w:val="00340DAA"/>
    <w:rsid w:val="00341E40"/>
    <w:rsid w:val="00344A2B"/>
    <w:rsid w:val="003458F4"/>
    <w:rsid w:val="00346B76"/>
    <w:rsid w:val="00346BAE"/>
    <w:rsid w:val="00352E49"/>
    <w:rsid w:val="00355C72"/>
    <w:rsid w:val="00362E55"/>
    <w:rsid w:val="00370FC8"/>
    <w:rsid w:val="003715E8"/>
    <w:rsid w:val="003730A7"/>
    <w:rsid w:val="0037651F"/>
    <w:rsid w:val="003778EB"/>
    <w:rsid w:val="0038012F"/>
    <w:rsid w:val="003802A2"/>
    <w:rsid w:val="00381E02"/>
    <w:rsid w:val="00381E4B"/>
    <w:rsid w:val="00384844"/>
    <w:rsid w:val="00385ABA"/>
    <w:rsid w:val="00385E38"/>
    <w:rsid w:val="00386200"/>
    <w:rsid w:val="00392B6C"/>
    <w:rsid w:val="00393D4C"/>
    <w:rsid w:val="003A24DB"/>
    <w:rsid w:val="003B0CA2"/>
    <w:rsid w:val="003B448D"/>
    <w:rsid w:val="003B5BF5"/>
    <w:rsid w:val="003D12E1"/>
    <w:rsid w:val="003D2772"/>
    <w:rsid w:val="003D419B"/>
    <w:rsid w:val="003D4D74"/>
    <w:rsid w:val="003D6929"/>
    <w:rsid w:val="003E0367"/>
    <w:rsid w:val="003E39DB"/>
    <w:rsid w:val="003E53C4"/>
    <w:rsid w:val="003E7723"/>
    <w:rsid w:val="003F024B"/>
    <w:rsid w:val="003F1D7A"/>
    <w:rsid w:val="003F22B5"/>
    <w:rsid w:val="003F29C7"/>
    <w:rsid w:val="003F4B79"/>
    <w:rsid w:val="003F4E03"/>
    <w:rsid w:val="00400A01"/>
    <w:rsid w:val="004012E8"/>
    <w:rsid w:val="00401DA0"/>
    <w:rsid w:val="00401DE9"/>
    <w:rsid w:val="00402FF5"/>
    <w:rsid w:val="0040331C"/>
    <w:rsid w:val="0040444F"/>
    <w:rsid w:val="00406468"/>
    <w:rsid w:val="004067A5"/>
    <w:rsid w:val="004109A9"/>
    <w:rsid w:val="00411C46"/>
    <w:rsid w:val="0041337B"/>
    <w:rsid w:val="00415767"/>
    <w:rsid w:val="00417E2D"/>
    <w:rsid w:val="00425318"/>
    <w:rsid w:val="00427EDC"/>
    <w:rsid w:val="00432BA9"/>
    <w:rsid w:val="00433650"/>
    <w:rsid w:val="00437584"/>
    <w:rsid w:val="0044089E"/>
    <w:rsid w:val="00442483"/>
    <w:rsid w:val="00445AED"/>
    <w:rsid w:val="00445F83"/>
    <w:rsid w:val="00447E54"/>
    <w:rsid w:val="00450B4B"/>
    <w:rsid w:val="004511A3"/>
    <w:rsid w:val="00460C04"/>
    <w:rsid w:val="00462AC4"/>
    <w:rsid w:val="00464342"/>
    <w:rsid w:val="00465BE7"/>
    <w:rsid w:val="0047320C"/>
    <w:rsid w:val="004739FA"/>
    <w:rsid w:val="004757E9"/>
    <w:rsid w:val="00486F0A"/>
    <w:rsid w:val="004870A4"/>
    <w:rsid w:val="00487E79"/>
    <w:rsid w:val="00487FCC"/>
    <w:rsid w:val="0049229D"/>
    <w:rsid w:val="004939F3"/>
    <w:rsid w:val="004946CC"/>
    <w:rsid w:val="00494722"/>
    <w:rsid w:val="00496FD8"/>
    <w:rsid w:val="004973D8"/>
    <w:rsid w:val="004A2258"/>
    <w:rsid w:val="004A2FF9"/>
    <w:rsid w:val="004A3BEB"/>
    <w:rsid w:val="004A69B8"/>
    <w:rsid w:val="004A7B3D"/>
    <w:rsid w:val="004B166B"/>
    <w:rsid w:val="004B1CA5"/>
    <w:rsid w:val="004B27E7"/>
    <w:rsid w:val="004B5B15"/>
    <w:rsid w:val="004B6C7C"/>
    <w:rsid w:val="004B7646"/>
    <w:rsid w:val="004C3E67"/>
    <w:rsid w:val="004C4EC4"/>
    <w:rsid w:val="004C60E2"/>
    <w:rsid w:val="004D1668"/>
    <w:rsid w:val="004D19D4"/>
    <w:rsid w:val="004D22FF"/>
    <w:rsid w:val="004D2418"/>
    <w:rsid w:val="004D3103"/>
    <w:rsid w:val="004D3286"/>
    <w:rsid w:val="004D3FFA"/>
    <w:rsid w:val="004D6E51"/>
    <w:rsid w:val="004D70CD"/>
    <w:rsid w:val="004D7178"/>
    <w:rsid w:val="004E0A30"/>
    <w:rsid w:val="004E1A77"/>
    <w:rsid w:val="004E6A84"/>
    <w:rsid w:val="0050377C"/>
    <w:rsid w:val="0051188C"/>
    <w:rsid w:val="00512453"/>
    <w:rsid w:val="0052030E"/>
    <w:rsid w:val="00524B4D"/>
    <w:rsid w:val="00524D03"/>
    <w:rsid w:val="005250CC"/>
    <w:rsid w:val="00527C2E"/>
    <w:rsid w:val="00527D7D"/>
    <w:rsid w:val="00527F70"/>
    <w:rsid w:val="00532508"/>
    <w:rsid w:val="005333C2"/>
    <w:rsid w:val="00533F65"/>
    <w:rsid w:val="005469B2"/>
    <w:rsid w:val="00546F26"/>
    <w:rsid w:val="00552080"/>
    <w:rsid w:val="005532D5"/>
    <w:rsid w:val="00553BA0"/>
    <w:rsid w:val="005551CE"/>
    <w:rsid w:val="005558A5"/>
    <w:rsid w:val="00561D31"/>
    <w:rsid w:val="005624D0"/>
    <w:rsid w:val="005643F9"/>
    <w:rsid w:val="00567A39"/>
    <w:rsid w:val="00571A35"/>
    <w:rsid w:val="00571B82"/>
    <w:rsid w:val="0057311F"/>
    <w:rsid w:val="00574A36"/>
    <w:rsid w:val="00575252"/>
    <w:rsid w:val="00577213"/>
    <w:rsid w:val="00577C30"/>
    <w:rsid w:val="00577F33"/>
    <w:rsid w:val="00581533"/>
    <w:rsid w:val="00587415"/>
    <w:rsid w:val="0058783E"/>
    <w:rsid w:val="00590272"/>
    <w:rsid w:val="00590886"/>
    <w:rsid w:val="00593DFE"/>
    <w:rsid w:val="0059496E"/>
    <w:rsid w:val="00594A76"/>
    <w:rsid w:val="005A6DB6"/>
    <w:rsid w:val="005B55AB"/>
    <w:rsid w:val="005C044A"/>
    <w:rsid w:val="005C1313"/>
    <w:rsid w:val="005C3FA3"/>
    <w:rsid w:val="005C483C"/>
    <w:rsid w:val="005C5392"/>
    <w:rsid w:val="005C5A3C"/>
    <w:rsid w:val="005C5C4F"/>
    <w:rsid w:val="005D0922"/>
    <w:rsid w:val="005D09F4"/>
    <w:rsid w:val="005D2443"/>
    <w:rsid w:val="005D5914"/>
    <w:rsid w:val="005E1181"/>
    <w:rsid w:val="005E156B"/>
    <w:rsid w:val="005E15A1"/>
    <w:rsid w:val="005E1AAE"/>
    <w:rsid w:val="005E42F5"/>
    <w:rsid w:val="005E4922"/>
    <w:rsid w:val="005F01BE"/>
    <w:rsid w:val="005F05F3"/>
    <w:rsid w:val="005F1698"/>
    <w:rsid w:val="005F23D4"/>
    <w:rsid w:val="005F35D9"/>
    <w:rsid w:val="005F3C9C"/>
    <w:rsid w:val="005F5B85"/>
    <w:rsid w:val="0060300B"/>
    <w:rsid w:val="00605CCD"/>
    <w:rsid w:val="006061F8"/>
    <w:rsid w:val="006107E3"/>
    <w:rsid w:val="00615551"/>
    <w:rsid w:val="00622816"/>
    <w:rsid w:val="00627009"/>
    <w:rsid w:val="006324D7"/>
    <w:rsid w:val="00634BBD"/>
    <w:rsid w:val="00634C97"/>
    <w:rsid w:val="006377D1"/>
    <w:rsid w:val="00637F88"/>
    <w:rsid w:val="00643944"/>
    <w:rsid w:val="00644CC6"/>
    <w:rsid w:val="00651151"/>
    <w:rsid w:val="00651286"/>
    <w:rsid w:val="00653AB6"/>
    <w:rsid w:val="006603F3"/>
    <w:rsid w:val="00661A0F"/>
    <w:rsid w:val="00665AB8"/>
    <w:rsid w:val="00667FB3"/>
    <w:rsid w:val="006713F5"/>
    <w:rsid w:val="006726E6"/>
    <w:rsid w:val="006731A1"/>
    <w:rsid w:val="006731EB"/>
    <w:rsid w:val="00673CD2"/>
    <w:rsid w:val="00673F27"/>
    <w:rsid w:val="006761E1"/>
    <w:rsid w:val="006762AB"/>
    <w:rsid w:val="0067680F"/>
    <w:rsid w:val="006769E9"/>
    <w:rsid w:val="00677D60"/>
    <w:rsid w:val="0068124F"/>
    <w:rsid w:val="006869C4"/>
    <w:rsid w:val="006879B7"/>
    <w:rsid w:val="006A0193"/>
    <w:rsid w:val="006A4894"/>
    <w:rsid w:val="006A5C59"/>
    <w:rsid w:val="006A7C4C"/>
    <w:rsid w:val="006A7F11"/>
    <w:rsid w:val="006B0CCB"/>
    <w:rsid w:val="006B156F"/>
    <w:rsid w:val="006B6589"/>
    <w:rsid w:val="006B799F"/>
    <w:rsid w:val="006B7C64"/>
    <w:rsid w:val="006C026C"/>
    <w:rsid w:val="006C0F9E"/>
    <w:rsid w:val="006C33F7"/>
    <w:rsid w:val="006C453B"/>
    <w:rsid w:val="006C4CE8"/>
    <w:rsid w:val="006C4CEC"/>
    <w:rsid w:val="006C61A8"/>
    <w:rsid w:val="006D3079"/>
    <w:rsid w:val="006E3CC7"/>
    <w:rsid w:val="006E6785"/>
    <w:rsid w:val="006E6D58"/>
    <w:rsid w:val="006F2504"/>
    <w:rsid w:val="006F7E83"/>
    <w:rsid w:val="00701B55"/>
    <w:rsid w:val="007044FA"/>
    <w:rsid w:val="00705009"/>
    <w:rsid w:val="00710BFE"/>
    <w:rsid w:val="007116B5"/>
    <w:rsid w:val="00717BFA"/>
    <w:rsid w:val="007214C3"/>
    <w:rsid w:val="00725A37"/>
    <w:rsid w:val="00726D6B"/>
    <w:rsid w:val="00726DDA"/>
    <w:rsid w:val="0072756E"/>
    <w:rsid w:val="00731D6A"/>
    <w:rsid w:val="00731E75"/>
    <w:rsid w:val="007336CB"/>
    <w:rsid w:val="00736F83"/>
    <w:rsid w:val="00737A7A"/>
    <w:rsid w:val="00752016"/>
    <w:rsid w:val="007634C9"/>
    <w:rsid w:val="0076510F"/>
    <w:rsid w:val="007734D8"/>
    <w:rsid w:val="007757E0"/>
    <w:rsid w:val="00776F56"/>
    <w:rsid w:val="007822D7"/>
    <w:rsid w:val="007961DF"/>
    <w:rsid w:val="007A59B6"/>
    <w:rsid w:val="007B1AD4"/>
    <w:rsid w:val="007B2A09"/>
    <w:rsid w:val="007C047F"/>
    <w:rsid w:val="007E0A2F"/>
    <w:rsid w:val="007E1407"/>
    <w:rsid w:val="007E22BC"/>
    <w:rsid w:val="007E2419"/>
    <w:rsid w:val="007E3636"/>
    <w:rsid w:val="007E56B7"/>
    <w:rsid w:val="007E7C12"/>
    <w:rsid w:val="007E7CCD"/>
    <w:rsid w:val="007F1DAC"/>
    <w:rsid w:val="007F280E"/>
    <w:rsid w:val="007F4B25"/>
    <w:rsid w:val="00800FF4"/>
    <w:rsid w:val="00802650"/>
    <w:rsid w:val="00811029"/>
    <w:rsid w:val="008124E1"/>
    <w:rsid w:val="00812BFC"/>
    <w:rsid w:val="008138E3"/>
    <w:rsid w:val="00814C2D"/>
    <w:rsid w:val="008156DB"/>
    <w:rsid w:val="0081775D"/>
    <w:rsid w:val="00823D3A"/>
    <w:rsid w:val="00824222"/>
    <w:rsid w:val="008268BE"/>
    <w:rsid w:val="00827176"/>
    <w:rsid w:val="00827FD3"/>
    <w:rsid w:val="0083094A"/>
    <w:rsid w:val="00836707"/>
    <w:rsid w:val="008425B3"/>
    <w:rsid w:val="00843FB7"/>
    <w:rsid w:val="0084571F"/>
    <w:rsid w:val="0084590A"/>
    <w:rsid w:val="00845D6F"/>
    <w:rsid w:val="00847538"/>
    <w:rsid w:val="00851BC1"/>
    <w:rsid w:val="008524A5"/>
    <w:rsid w:val="0085368A"/>
    <w:rsid w:val="00862BF5"/>
    <w:rsid w:val="008647AF"/>
    <w:rsid w:val="008653EE"/>
    <w:rsid w:val="00866FA0"/>
    <w:rsid w:val="00867047"/>
    <w:rsid w:val="00873040"/>
    <w:rsid w:val="00875940"/>
    <w:rsid w:val="00875998"/>
    <w:rsid w:val="00876C94"/>
    <w:rsid w:val="00882064"/>
    <w:rsid w:val="00882E31"/>
    <w:rsid w:val="00892A99"/>
    <w:rsid w:val="00892EA0"/>
    <w:rsid w:val="00893BB1"/>
    <w:rsid w:val="00893BCF"/>
    <w:rsid w:val="0089478B"/>
    <w:rsid w:val="00896B56"/>
    <w:rsid w:val="008A2A10"/>
    <w:rsid w:val="008A39F0"/>
    <w:rsid w:val="008A3A10"/>
    <w:rsid w:val="008B6AE6"/>
    <w:rsid w:val="008B6D01"/>
    <w:rsid w:val="008C1613"/>
    <w:rsid w:val="008C3B28"/>
    <w:rsid w:val="008C5898"/>
    <w:rsid w:val="008D3EAE"/>
    <w:rsid w:val="008D441E"/>
    <w:rsid w:val="008D6DFA"/>
    <w:rsid w:val="008E1ECA"/>
    <w:rsid w:val="008F4985"/>
    <w:rsid w:val="00901C16"/>
    <w:rsid w:val="00901FEB"/>
    <w:rsid w:val="00902401"/>
    <w:rsid w:val="009037E4"/>
    <w:rsid w:val="00904770"/>
    <w:rsid w:val="00906DB8"/>
    <w:rsid w:val="00906E3D"/>
    <w:rsid w:val="00910B83"/>
    <w:rsid w:val="00911F08"/>
    <w:rsid w:val="0091361C"/>
    <w:rsid w:val="009147FF"/>
    <w:rsid w:val="0092234E"/>
    <w:rsid w:val="00922A60"/>
    <w:rsid w:val="009235B7"/>
    <w:rsid w:val="00924202"/>
    <w:rsid w:val="00925767"/>
    <w:rsid w:val="009266F8"/>
    <w:rsid w:val="009303FC"/>
    <w:rsid w:val="00930C48"/>
    <w:rsid w:val="00933A18"/>
    <w:rsid w:val="0093528F"/>
    <w:rsid w:val="00935DA1"/>
    <w:rsid w:val="0093701A"/>
    <w:rsid w:val="009405E1"/>
    <w:rsid w:val="00944A3D"/>
    <w:rsid w:val="00946D59"/>
    <w:rsid w:val="00947101"/>
    <w:rsid w:val="0094798A"/>
    <w:rsid w:val="00950557"/>
    <w:rsid w:val="00951664"/>
    <w:rsid w:val="00952132"/>
    <w:rsid w:val="009552BE"/>
    <w:rsid w:val="00960E0D"/>
    <w:rsid w:val="0096215F"/>
    <w:rsid w:val="00962893"/>
    <w:rsid w:val="0096422E"/>
    <w:rsid w:val="00964833"/>
    <w:rsid w:val="0096587B"/>
    <w:rsid w:val="009715A2"/>
    <w:rsid w:val="00973021"/>
    <w:rsid w:val="00977A53"/>
    <w:rsid w:val="00977CEF"/>
    <w:rsid w:val="009809F1"/>
    <w:rsid w:val="00981744"/>
    <w:rsid w:val="0098174C"/>
    <w:rsid w:val="0098181B"/>
    <w:rsid w:val="00986268"/>
    <w:rsid w:val="00990ADA"/>
    <w:rsid w:val="00990C43"/>
    <w:rsid w:val="00993379"/>
    <w:rsid w:val="00993E5C"/>
    <w:rsid w:val="009971B9"/>
    <w:rsid w:val="00997EE3"/>
    <w:rsid w:val="009A5C5E"/>
    <w:rsid w:val="009A646B"/>
    <w:rsid w:val="009A6625"/>
    <w:rsid w:val="009A7B87"/>
    <w:rsid w:val="009B2FD1"/>
    <w:rsid w:val="009B491B"/>
    <w:rsid w:val="009C537B"/>
    <w:rsid w:val="009C60C9"/>
    <w:rsid w:val="009C6896"/>
    <w:rsid w:val="009C7B64"/>
    <w:rsid w:val="009D07B1"/>
    <w:rsid w:val="009D12F4"/>
    <w:rsid w:val="009D17C6"/>
    <w:rsid w:val="009D6E1A"/>
    <w:rsid w:val="009D70D6"/>
    <w:rsid w:val="009E09BC"/>
    <w:rsid w:val="009E0C5E"/>
    <w:rsid w:val="009E4BC0"/>
    <w:rsid w:val="009F0B78"/>
    <w:rsid w:val="009F492A"/>
    <w:rsid w:val="009F68C1"/>
    <w:rsid w:val="009F6C8D"/>
    <w:rsid w:val="00A00101"/>
    <w:rsid w:val="00A00DBB"/>
    <w:rsid w:val="00A031B8"/>
    <w:rsid w:val="00A03452"/>
    <w:rsid w:val="00A04439"/>
    <w:rsid w:val="00A05E47"/>
    <w:rsid w:val="00A06123"/>
    <w:rsid w:val="00A06697"/>
    <w:rsid w:val="00A06A49"/>
    <w:rsid w:val="00A072EC"/>
    <w:rsid w:val="00A113ED"/>
    <w:rsid w:val="00A142F5"/>
    <w:rsid w:val="00A16178"/>
    <w:rsid w:val="00A257E2"/>
    <w:rsid w:val="00A2610C"/>
    <w:rsid w:val="00A31FAC"/>
    <w:rsid w:val="00A32B16"/>
    <w:rsid w:val="00A37AAC"/>
    <w:rsid w:val="00A43DC4"/>
    <w:rsid w:val="00A43DFC"/>
    <w:rsid w:val="00A44C82"/>
    <w:rsid w:val="00A4586F"/>
    <w:rsid w:val="00A473A8"/>
    <w:rsid w:val="00A5037C"/>
    <w:rsid w:val="00A5162A"/>
    <w:rsid w:val="00A54B79"/>
    <w:rsid w:val="00A550E2"/>
    <w:rsid w:val="00A55400"/>
    <w:rsid w:val="00A56A89"/>
    <w:rsid w:val="00A56EC4"/>
    <w:rsid w:val="00A66686"/>
    <w:rsid w:val="00A71CD8"/>
    <w:rsid w:val="00A757FB"/>
    <w:rsid w:val="00A77755"/>
    <w:rsid w:val="00A80266"/>
    <w:rsid w:val="00A84176"/>
    <w:rsid w:val="00A84701"/>
    <w:rsid w:val="00A85271"/>
    <w:rsid w:val="00A863CC"/>
    <w:rsid w:val="00A867DA"/>
    <w:rsid w:val="00A875D8"/>
    <w:rsid w:val="00A924D4"/>
    <w:rsid w:val="00A95CEB"/>
    <w:rsid w:val="00AA2E71"/>
    <w:rsid w:val="00AA50FF"/>
    <w:rsid w:val="00AB61ED"/>
    <w:rsid w:val="00AB678C"/>
    <w:rsid w:val="00AB7061"/>
    <w:rsid w:val="00AC52ED"/>
    <w:rsid w:val="00AD1292"/>
    <w:rsid w:val="00AD5F6B"/>
    <w:rsid w:val="00AE0D9D"/>
    <w:rsid w:val="00AE3DDB"/>
    <w:rsid w:val="00AE4BF2"/>
    <w:rsid w:val="00AE6594"/>
    <w:rsid w:val="00AE6B50"/>
    <w:rsid w:val="00AF0669"/>
    <w:rsid w:val="00B014A2"/>
    <w:rsid w:val="00B034B6"/>
    <w:rsid w:val="00B045CD"/>
    <w:rsid w:val="00B06EB5"/>
    <w:rsid w:val="00B14D08"/>
    <w:rsid w:val="00B1559E"/>
    <w:rsid w:val="00B1680F"/>
    <w:rsid w:val="00B20D7A"/>
    <w:rsid w:val="00B22998"/>
    <w:rsid w:val="00B244C3"/>
    <w:rsid w:val="00B246CA"/>
    <w:rsid w:val="00B25E7D"/>
    <w:rsid w:val="00B26BE7"/>
    <w:rsid w:val="00B315B8"/>
    <w:rsid w:val="00B319BE"/>
    <w:rsid w:val="00B32D70"/>
    <w:rsid w:val="00B33925"/>
    <w:rsid w:val="00B345E2"/>
    <w:rsid w:val="00B34C94"/>
    <w:rsid w:val="00B35B67"/>
    <w:rsid w:val="00B3708A"/>
    <w:rsid w:val="00B50C93"/>
    <w:rsid w:val="00B50E7B"/>
    <w:rsid w:val="00B52022"/>
    <w:rsid w:val="00B536BF"/>
    <w:rsid w:val="00B61BCF"/>
    <w:rsid w:val="00B65EC3"/>
    <w:rsid w:val="00B66272"/>
    <w:rsid w:val="00B8097D"/>
    <w:rsid w:val="00B87C35"/>
    <w:rsid w:val="00B9062B"/>
    <w:rsid w:val="00B91602"/>
    <w:rsid w:val="00B920EA"/>
    <w:rsid w:val="00B92E7C"/>
    <w:rsid w:val="00B970B0"/>
    <w:rsid w:val="00BA172D"/>
    <w:rsid w:val="00BA35B2"/>
    <w:rsid w:val="00BA41AD"/>
    <w:rsid w:val="00BB143D"/>
    <w:rsid w:val="00BB1E66"/>
    <w:rsid w:val="00BB671E"/>
    <w:rsid w:val="00BC1D8A"/>
    <w:rsid w:val="00BC5614"/>
    <w:rsid w:val="00BC64EA"/>
    <w:rsid w:val="00BE082A"/>
    <w:rsid w:val="00BE0F50"/>
    <w:rsid w:val="00BE221F"/>
    <w:rsid w:val="00BE474B"/>
    <w:rsid w:val="00BE5DA5"/>
    <w:rsid w:val="00BF0451"/>
    <w:rsid w:val="00BF5D81"/>
    <w:rsid w:val="00C01933"/>
    <w:rsid w:val="00C02415"/>
    <w:rsid w:val="00C05F03"/>
    <w:rsid w:val="00C064EC"/>
    <w:rsid w:val="00C10B47"/>
    <w:rsid w:val="00C25FD7"/>
    <w:rsid w:val="00C279DC"/>
    <w:rsid w:val="00C309F1"/>
    <w:rsid w:val="00C3207E"/>
    <w:rsid w:val="00C327D1"/>
    <w:rsid w:val="00C34469"/>
    <w:rsid w:val="00C35144"/>
    <w:rsid w:val="00C41078"/>
    <w:rsid w:val="00C44EC6"/>
    <w:rsid w:val="00C45295"/>
    <w:rsid w:val="00C50142"/>
    <w:rsid w:val="00C5212E"/>
    <w:rsid w:val="00C53CCF"/>
    <w:rsid w:val="00C71957"/>
    <w:rsid w:val="00C71D00"/>
    <w:rsid w:val="00C73BC3"/>
    <w:rsid w:val="00C76544"/>
    <w:rsid w:val="00C77D61"/>
    <w:rsid w:val="00C81201"/>
    <w:rsid w:val="00C82511"/>
    <w:rsid w:val="00C8355A"/>
    <w:rsid w:val="00C83804"/>
    <w:rsid w:val="00C85678"/>
    <w:rsid w:val="00C870D6"/>
    <w:rsid w:val="00C93F24"/>
    <w:rsid w:val="00C9414F"/>
    <w:rsid w:val="00CA22AE"/>
    <w:rsid w:val="00CA29BD"/>
    <w:rsid w:val="00CA4106"/>
    <w:rsid w:val="00CA526D"/>
    <w:rsid w:val="00CA5962"/>
    <w:rsid w:val="00CA7F67"/>
    <w:rsid w:val="00CB1BA2"/>
    <w:rsid w:val="00CB3440"/>
    <w:rsid w:val="00CB55FF"/>
    <w:rsid w:val="00CB698B"/>
    <w:rsid w:val="00CB7674"/>
    <w:rsid w:val="00CC0097"/>
    <w:rsid w:val="00CC6128"/>
    <w:rsid w:val="00CC6625"/>
    <w:rsid w:val="00CC6A16"/>
    <w:rsid w:val="00CD2ABD"/>
    <w:rsid w:val="00CD2DA7"/>
    <w:rsid w:val="00CD5F29"/>
    <w:rsid w:val="00CD6555"/>
    <w:rsid w:val="00CE1F27"/>
    <w:rsid w:val="00CE2220"/>
    <w:rsid w:val="00CE2A88"/>
    <w:rsid w:val="00CE549F"/>
    <w:rsid w:val="00CE7C91"/>
    <w:rsid w:val="00CE7F25"/>
    <w:rsid w:val="00CF1C19"/>
    <w:rsid w:val="00CF3A01"/>
    <w:rsid w:val="00CF7C51"/>
    <w:rsid w:val="00D01C80"/>
    <w:rsid w:val="00D11091"/>
    <w:rsid w:val="00D1161A"/>
    <w:rsid w:val="00D12829"/>
    <w:rsid w:val="00D204DB"/>
    <w:rsid w:val="00D217A5"/>
    <w:rsid w:val="00D315EA"/>
    <w:rsid w:val="00D3268D"/>
    <w:rsid w:val="00D32BAC"/>
    <w:rsid w:val="00D33EF9"/>
    <w:rsid w:val="00D3560C"/>
    <w:rsid w:val="00D35913"/>
    <w:rsid w:val="00D4147B"/>
    <w:rsid w:val="00D42621"/>
    <w:rsid w:val="00D46169"/>
    <w:rsid w:val="00D5003C"/>
    <w:rsid w:val="00D56B36"/>
    <w:rsid w:val="00D57BCB"/>
    <w:rsid w:val="00D712FE"/>
    <w:rsid w:val="00D720EA"/>
    <w:rsid w:val="00D74941"/>
    <w:rsid w:val="00D7628D"/>
    <w:rsid w:val="00D82D23"/>
    <w:rsid w:val="00D854A6"/>
    <w:rsid w:val="00D86128"/>
    <w:rsid w:val="00D9018E"/>
    <w:rsid w:val="00D94308"/>
    <w:rsid w:val="00DA003A"/>
    <w:rsid w:val="00DA0627"/>
    <w:rsid w:val="00DA193B"/>
    <w:rsid w:val="00DA7944"/>
    <w:rsid w:val="00DB129D"/>
    <w:rsid w:val="00DB41F4"/>
    <w:rsid w:val="00DC0F0C"/>
    <w:rsid w:val="00DC349F"/>
    <w:rsid w:val="00DC56B1"/>
    <w:rsid w:val="00DC57FA"/>
    <w:rsid w:val="00DD0BF4"/>
    <w:rsid w:val="00DD3BB4"/>
    <w:rsid w:val="00DD4BCC"/>
    <w:rsid w:val="00DD4E65"/>
    <w:rsid w:val="00DD7529"/>
    <w:rsid w:val="00DE4FAB"/>
    <w:rsid w:val="00DE53DA"/>
    <w:rsid w:val="00DE7BC2"/>
    <w:rsid w:val="00DF28A0"/>
    <w:rsid w:val="00DF38AB"/>
    <w:rsid w:val="00DF3ECB"/>
    <w:rsid w:val="00DF674C"/>
    <w:rsid w:val="00DF78F1"/>
    <w:rsid w:val="00E00236"/>
    <w:rsid w:val="00E043D7"/>
    <w:rsid w:val="00E054A9"/>
    <w:rsid w:val="00E14F71"/>
    <w:rsid w:val="00E1527C"/>
    <w:rsid w:val="00E20305"/>
    <w:rsid w:val="00E21757"/>
    <w:rsid w:val="00E22B19"/>
    <w:rsid w:val="00E23F5E"/>
    <w:rsid w:val="00E253C5"/>
    <w:rsid w:val="00E33870"/>
    <w:rsid w:val="00E35CD7"/>
    <w:rsid w:val="00E370BC"/>
    <w:rsid w:val="00E40F32"/>
    <w:rsid w:val="00E464EB"/>
    <w:rsid w:val="00E519AB"/>
    <w:rsid w:val="00E54033"/>
    <w:rsid w:val="00E5522E"/>
    <w:rsid w:val="00E634CC"/>
    <w:rsid w:val="00E64B9E"/>
    <w:rsid w:val="00E65527"/>
    <w:rsid w:val="00E67EB3"/>
    <w:rsid w:val="00E70619"/>
    <w:rsid w:val="00E71351"/>
    <w:rsid w:val="00E722EA"/>
    <w:rsid w:val="00E72408"/>
    <w:rsid w:val="00E729A7"/>
    <w:rsid w:val="00E740ED"/>
    <w:rsid w:val="00E746A0"/>
    <w:rsid w:val="00E7505B"/>
    <w:rsid w:val="00E776C6"/>
    <w:rsid w:val="00E80190"/>
    <w:rsid w:val="00E8333B"/>
    <w:rsid w:val="00E83783"/>
    <w:rsid w:val="00E875B3"/>
    <w:rsid w:val="00E92F97"/>
    <w:rsid w:val="00E93765"/>
    <w:rsid w:val="00EA2A5C"/>
    <w:rsid w:val="00EA3327"/>
    <w:rsid w:val="00EA3A18"/>
    <w:rsid w:val="00EA3A8A"/>
    <w:rsid w:val="00EA63E3"/>
    <w:rsid w:val="00EB07B0"/>
    <w:rsid w:val="00EB1F4D"/>
    <w:rsid w:val="00EB3F7A"/>
    <w:rsid w:val="00EC0EFC"/>
    <w:rsid w:val="00EC136A"/>
    <w:rsid w:val="00EC23E1"/>
    <w:rsid w:val="00EC3903"/>
    <w:rsid w:val="00EC3C9A"/>
    <w:rsid w:val="00EC4A2E"/>
    <w:rsid w:val="00EC7708"/>
    <w:rsid w:val="00EC7781"/>
    <w:rsid w:val="00ED1ECF"/>
    <w:rsid w:val="00ED4EC8"/>
    <w:rsid w:val="00ED5A4E"/>
    <w:rsid w:val="00ED77A0"/>
    <w:rsid w:val="00EE0179"/>
    <w:rsid w:val="00EE0563"/>
    <w:rsid w:val="00EE1B1E"/>
    <w:rsid w:val="00EE6858"/>
    <w:rsid w:val="00EE6D24"/>
    <w:rsid w:val="00EF0405"/>
    <w:rsid w:val="00EF2C5A"/>
    <w:rsid w:val="00EF3408"/>
    <w:rsid w:val="00EF5EDC"/>
    <w:rsid w:val="00F00370"/>
    <w:rsid w:val="00F070AF"/>
    <w:rsid w:val="00F07CA0"/>
    <w:rsid w:val="00F1126D"/>
    <w:rsid w:val="00F16310"/>
    <w:rsid w:val="00F172ED"/>
    <w:rsid w:val="00F17E66"/>
    <w:rsid w:val="00F21EEF"/>
    <w:rsid w:val="00F23516"/>
    <w:rsid w:val="00F23F3E"/>
    <w:rsid w:val="00F2737E"/>
    <w:rsid w:val="00F2756C"/>
    <w:rsid w:val="00F31F6B"/>
    <w:rsid w:val="00F3302A"/>
    <w:rsid w:val="00F409A6"/>
    <w:rsid w:val="00F42149"/>
    <w:rsid w:val="00F44393"/>
    <w:rsid w:val="00F44618"/>
    <w:rsid w:val="00F462F5"/>
    <w:rsid w:val="00F50F69"/>
    <w:rsid w:val="00F50F73"/>
    <w:rsid w:val="00F52336"/>
    <w:rsid w:val="00F53D75"/>
    <w:rsid w:val="00F5438F"/>
    <w:rsid w:val="00F55BB2"/>
    <w:rsid w:val="00F5647B"/>
    <w:rsid w:val="00F6131B"/>
    <w:rsid w:val="00F61BB8"/>
    <w:rsid w:val="00F653C7"/>
    <w:rsid w:val="00F6739B"/>
    <w:rsid w:val="00F74392"/>
    <w:rsid w:val="00F74880"/>
    <w:rsid w:val="00F75CDF"/>
    <w:rsid w:val="00F77B4C"/>
    <w:rsid w:val="00F80DC0"/>
    <w:rsid w:val="00F8228C"/>
    <w:rsid w:val="00F8438E"/>
    <w:rsid w:val="00F84C5D"/>
    <w:rsid w:val="00F87401"/>
    <w:rsid w:val="00F91DFB"/>
    <w:rsid w:val="00F9405C"/>
    <w:rsid w:val="00FA279B"/>
    <w:rsid w:val="00FA3012"/>
    <w:rsid w:val="00FA3BFB"/>
    <w:rsid w:val="00FA495F"/>
    <w:rsid w:val="00FB15DF"/>
    <w:rsid w:val="00FB3EFF"/>
    <w:rsid w:val="00FB4F97"/>
    <w:rsid w:val="00FB61B3"/>
    <w:rsid w:val="00FB634B"/>
    <w:rsid w:val="00FB66B7"/>
    <w:rsid w:val="00FB7EB8"/>
    <w:rsid w:val="00FC109E"/>
    <w:rsid w:val="00FC198D"/>
    <w:rsid w:val="00FC230F"/>
    <w:rsid w:val="00FC3763"/>
    <w:rsid w:val="00FC599E"/>
    <w:rsid w:val="00FC6EA4"/>
    <w:rsid w:val="00FD7A0F"/>
    <w:rsid w:val="00FE0D41"/>
    <w:rsid w:val="00FE45AF"/>
    <w:rsid w:val="00FE45DC"/>
    <w:rsid w:val="00FE74C8"/>
    <w:rsid w:val="00FF3C04"/>
    <w:rsid w:val="00FF68E0"/>
    <w:rsid w:val="3F4A7E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qFormat="1" w:unhideWhenUsed="0" w:uiPriority="0" w:semiHidden="0" w:name="envelope address"/>
    <w:lsdException w:qFormat="1" w:unhideWhenUsed="0" w:uiPriority="0" w:semiHidden="0" w:name="envelope return"/>
    <w:lsdException w:qFormat="1" w:unhideWhenUsed="0" w:uiPriority="99"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9"/>
    <w:qFormat/>
    <w:uiPriority w:val="9"/>
    <w:pPr>
      <w:keepNext/>
      <w:keepLines/>
      <w:spacing w:before="340" w:after="330" w:line="578" w:lineRule="auto"/>
      <w:outlineLvl w:val="0"/>
    </w:pPr>
    <w:rPr>
      <w:rFonts w:ascii="Times New Roman" w:hAnsi="Times New Roman"/>
      <w:b/>
      <w:bCs/>
      <w:kern w:val="44"/>
      <w:sz w:val="44"/>
      <w:szCs w:val="44"/>
      <w:lang w:val="zh-CN"/>
    </w:rPr>
  </w:style>
  <w:style w:type="paragraph" w:styleId="3">
    <w:name w:val="heading 2"/>
    <w:basedOn w:val="1"/>
    <w:next w:val="1"/>
    <w:link w:val="60"/>
    <w:qFormat/>
    <w:uiPriority w:val="9"/>
    <w:pPr>
      <w:keepNext/>
      <w:keepLines/>
      <w:spacing w:before="260" w:after="260" w:line="416" w:lineRule="auto"/>
      <w:outlineLvl w:val="1"/>
    </w:pPr>
    <w:rPr>
      <w:rFonts w:ascii="Cambria" w:hAnsi="Cambria"/>
      <w:b/>
      <w:bCs/>
      <w:kern w:val="0"/>
      <w:sz w:val="32"/>
      <w:szCs w:val="32"/>
      <w:lang w:val="zh-CN"/>
    </w:rPr>
  </w:style>
  <w:style w:type="paragraph" w:styleId="4">
    <w:name w:val="heading 3"/>
    <w:basedOn w:val="1"/>
    <w:next w:val="1"/>
    <w:link w:val="61"/>
    <w:qFormat/>
    <w:uiPriority w:val="9"/>
    <w:pPr>
      <w:tabs>
        <w:tab w:val="left" w:pos="0"/>
        <w:tab w:val="left" w:pos="900"/>
      </w:tabs>
      <w:adjustRightInd w:val="0"/>
      <w:spacing w:before="120" w:line="360" w:lineRule="auto"/>
      <w:jc w:val="left"/>
      <w:outlineLvl w:val="2"/>
    </w:pPr>
    <w:rPr>
      <w:rFonts w:ascii="Times New Roman" w:hAnsi="Times New Roman" w:eastAsia="黑体"/>
      <w:color w:val="000000"/>
      <w:kern w:val="0"/>
      <w:sz w:val="22"/>
      <w:szCs w:val="21"/>
      <w:lang w:val="zh-CN"/>
    </w:rPr>
  </w:style>
  <w:style w:type="paragraph" w:styleId="5">
    <w:name w:val="heading 4"/>
    <w:basedOn w:val="1"/>
    <w:next w:val="1"/>
    <w:link w:val="62"/>
    <w:qFormat/>
    <w:uiPriority w:val="0"/>
    <w:pPr>
      <w:tabs>
        <w:tab w:val="left" w:pos="2155"/>
      </w:tabs>
      <w:adjustRightInd w:val="0"/>
      <w:spacing w:line="360" w:lineRule="auto"/>
      <w:ind w:left="630" w:hanging="630"/>
      <w:outlineLvl w:val="3"/>
    </w:pPr>
    <w:rPr>
      <w:rFonts w:ascii="Times New Roman" w:hAnsi="Times New Roman"/>
      <w:color w:val="000000"/>
      <w:kern w:val="0"/>
      <w:szCs w:val="20"/>
      <w:lang w:val="zh-CN"/>
    </w:rPr>
  </w:style>
  <w:style w:type="paragraph" w:styleId="6">
    <w:name w:val="heading 5"/>
    <w:basedOn w:val="1"/>
    <w:next w:val="1"/>
    <w:link w:val="63"/>
    <w:qFormat/>
    <w:uiPriority w:val="0"/>
    <w:pPr>
      <w:spacing w:after="240"/>
      <w:outlineLvl w:val="4"/>
    </w:pPr>
    <w:rPr>
      <w:rFonts w:ascii="Times New Roman" w:hAnsi="Times New Roman"/>
      <w:color w:val="000000"/>
      <w:kern w:val="0"/>
      <w:sz w:val="22"/>
      <w:szCs w:val="20"/>
      <w:lang w:val="en-GB" w:eastAsia="en-US"/>
    </w:rPr>
  </w:style>
  <w:style w:type="paragraph" w:styleId="7">
    <w:name w:val="heading 6"/>
    <w:basedOn w:val="1"/>
    <w:next w:val="1"/>
    <w:link w:val="64"/>
    <w:qFormat/>
    <w:uiPriority w:val="0"/>
    <w:pPr>
      <w:widowControl/>
      <w:spacing w:before="240" w:after="60"/>
      <w:outlineLvl w:val="5"/>
    </w:pPr>
    <w:rPr>
      <w:rFonts w:ascii="Times New Roman" w:hAnsi="Times New Roman"/>
      <w:kern w:val="0"/>
      <w:sz w:val="22"/>
      <w:szCs w:val="20"/>
      <w:lang w:val="en-GB" w:eastAsia="en-US"/>
    </w:rPr>
  </w:style>
  <w:style w:type="paragraph" w:styleId="8">
    <w:name w:val="heading 7"/>
    <w:basedOn w:val="1"/>
    <w:next w:val="1"/>
    <w:link w:val="65"/>
    <w:qFormat/>
    <w:uiPriority w:val="0"/>
    <w:pPr>
      <w:widowControl/>
      <w:spacing w:before="240" w:after="60"/>
      <w:outlineLvl w:val="6"/>
    </w:pPr>
    <w:rPr>
      <w:rFonts w:ascii="Times New Roman" w:hAnsi="Times New Roman"/>
      <w:kern w:val="0"/>
      <w:sz w:val="22"/>
      <w:szCs w:val="20"/>
      <w:lang w:val="en-GB" w:eastAsia="en-US"/>
    </w:rPr>
  </w:style>
  <w:style w:type="paragraph" w:styleId="9">
    <w:name w:val="heading 8"/>
    <w:basedOn w:val="1"/>
    <w:next w:val="1"/>
    <w:link w:val="66"/>
    <w:qFormat/>
    <w:uiPriority w:val="0"/>
    <w:pPr>
      <w:widowControl/>
      <w:spacing w:before="240" w:after="60"/>
      <w:outlineLvl w:val="7"/>
    </w:pPr>
    <w:rPr>
      <w:rFonts w:ascii="Times New Roman" w:hAnsi="Times New Roman"/>
      <w:kern w:val="0"/>
      <w:sz w:val="22"/>
      <w:szCs w:val="20"/>
      <w:lang w:val="en-GB" w:eastAsia="en-US"/>
    </w:rPr>
  </w:style>
  <w:style w:type="paragraph" w:styleId="10">
    <w:name w:val="heading 9"/>
    <w:basedOn w:val="1"/>
    <w:next w:val="1"/>
    <w:link w:val="67"/>
    <w:qFormat/>
    <w:uiPriority w:val="0"/>
    <w:pPr>
      <w:widowControl/>
      <w:spacing w:before="240" w:after="60"/>
      <w:outlineLvl w:val="8"/>
    </w:pPr>
    <w:rPr>
      <w:rFonts w:ascii="Times New Roman" w:hAnsi="Times New Roman"/>
      <w:kern w:val="0"/>
      <w:sz w:val="22"/>
      <w:szCs w:val="20"/>
      <w:lang w:val="en-GB" w:eastAsia="en-US"/>
    </w:rPr>
  </w:style>
  <w:style w:type="character" w:default="1" w:styleId="49">
    <w:name w:val="Default Paragraph Font"/>
    <w:semiHidden/>
    <w:unhideWhenUsed/>
    <w:qFormat/>
    <w:uiPriority w:val="1"/>
  </w:style>
  <w:style w:type="table" w:default="1" w:styleId="57">
    <w:name w:val="Normal Table"/>
    <w:semiHidden/>
    <w:unhideWhenUsed/>
    <w:uiPriority w:val="99"/>
    <w:tblPr>
      <w:tblLayout w:type="fixed"/>
      <w:tblCellMar>
        <w:top w:w="0" w:type="dxa"/>
        <w:left w:w="108" w:type="dxa"/>
        <w:bottom w:w="0" w:type="dxa"/>
        <w:right w:w="108" w:type="dxa"/>
      </w:tblCellMar>
    </w:tblPr>
  </w:style>
  <w:style w:type="paragraph" w:styleId="11">
    <w:name w:val="annotation subject"/>
    <w:basedOn w:val="12"/>
    <w:next w:val="12"/>
    <w:link w:val="98"/>
    <w:qFormat/>
    <w:uiPriority w:val="99"/>
    <w:rPr>
      <w:rFonts w:ascii="Times New Roman" w:hAnsi="Times New Roman" w:eastAsia="宋体" w:cs="Times New Roman"/>
      <w:b/>
      <w:bCs/>
      <w:szCs w:val="24"/>
    </w:rPr>
  </w:style>
  <w:style w:type="paragraph" w:styleId="12">
    <w:name w:val="annotation text"/>
    <w:basedOn w:val="1"/>
    <w:link w:val="68"/>
    <w:unhideWhenUsed/>
    <w:qFormat/>
    <w:uiPriority w:val="99"/>
    <w:pPr>
      <w:jc w:val="left"/>
    </w:pPr>
    <w:rPr>
      <w:rFonts w:asciiTheme="minorHAnsi" w:hAnsiTheme="minorHAnsi" w:eastAsiaTheme="minorEastAsia" w:cstheme="minorBidi"/>
    </w:rPr>
  </w:style>
  <w:style w:type="paragraph" w:styleId="13">
    <w:name w:val="toc 7"/>
    <w:basedOn w:val="1"/>
    <w:next w:val="1"/>
    <w:unhideWhenUsed/>
    <w:qFormat/>
    <w:uiPriority w:val="39"/>
    <w:pPr>
      <w:ind w:left="1260"/>
      <w:jc w:val="left"/>
    </w:pPr>
    <w:rPr>
      <w:sz w:val="18"/>
      <w:szCs w:val="18"/>
    </w:rPr>
  </w:style>
  <w:style w:type="paragraph" w:styleId="14">
    <w:name w:val="Body Text First Indent"/>
    <w:basedOn w:val="15"/>
    <w:link w:val="91"/>
    <w:qFormat/>
    <w:uiPriority w:val="99"/>
    <w:pPr>
      <w:ind w:firstLine="420" w:firstLineChars="100"/>
    </w:pPr>
    <w:rPr>
      <w:rFonts w:ascii="Times New Roman" w:hAnsi="Times New Roman"/>
      <w:szCs w:val="20"/>
      <w:lang w:val="zh-CN"/>
    </w:rPr>
  </w:style>
  <w:style w:type="paragraph" w:styleId="15">
    <w:name w:val="Body Text"/>
    <w:basedOn w:val="1"/>
    <w:link w:val="92"/>
    <w:unhideWhenUsed/>
    <w:qFormat/>
    <w:uiPriority w:val="0"/>
    <w:pPr>
      <w:spacing w:after="120"/>
    </w:pPr>
  </w:style>
  <w:style w:type="paragraph" w:styleId="16">
    <w:name w:val="Normal Indent"/>
    <w:basedOn w:val="1"/>
    <w:link w:val="132"/>
    <w:qFormat/>
    <w:uiPriority w:val="0"/>
    <w:pPr>
      <w:widowControl/>
      <w:autoSpaceDE w:val="0"/>
      <w:autoSpaceDN w:val="0"/>
      <w:adjustRightInd w:val="0"/>
      <w:spacing w:before="100" w:after="50" w:line="360" w:lineRule="auto"/>
      <w:ind w:firstLine="420" w:firstLineChars="200"/>
      <w:jc w:val="left"/>
    </w:pPr>
    <w:rPr>
      <w:rFonts w:ascii="CG Times" w:hAnsi="CG Times"/>
      <w:kern w:val="0"/>
      <w:sz w:val="24"/>
      <w:szCs w:val="20"/>
    </w:rPr>
  </w:style>
  <w:style w:type="paragraph" w:styleId="17">
    <w:name w:val="List Bullet"/>
    <w:basedOn w:val="1"/>
    <w:qFormat/>
    <w:uiPriority w:val="0"/>
    <w:pPr>
      <w:widowControl/>
      <w:spacing w:before="240" w:line="260" w:lineRule="atLeast"/>
      <w:ind w:left="1080" w:hanging="360" w:hangingChars="200"/>
    </w:pPr>
    <w:rPr>
      <w:rFonts w:ascii="Times New Roman" w:hAnsi="Times New Roman" w:eastAsia="LF Song"/>
      <w:i/>
      <w:kern w:val="0"/>
      <w:sz w:val="24"/>
      <w:szCs w:val="20"/>
      <w:lang w:val="en-GB"/>
    </w:rPr>
  </w:style>
  <w:style w:type="paragraph" w:styleId="18">
    <w:name w:val="envelope address"/>
    <w:basedOn w:val="1"/>
    <w:qFormat/>
    <w:uiPriority w:val="0"/>
    <w:pPr>
      <w:widowControl/>
      <w:ind w:left="2880"/>
    </w:pPr>
    <w:rPr>
      <w:rFonts w:ascii="Times New Roman" w:hAnsi="Times New Roman"/>
      <w:kern w:val="0"/>
      <w:sz w:val="22"/>
      <w:szCs w:val="20"/>
      <w:lang w:val="en-GB" w:eastAsia="en-US"/>
    </w:rPr>
  </w:style>
  <w:style w:type="paragraph" w:styleId="19">
    <w:name w:val="Document Map"/>
    <w:basedOn w:val="1"/>
    <w:link w:val="112"/>
    <w:qFormat/>
    <w:uiPriority w:val="0"/>
    <w:pPr>
      <w:shd w:val="clear" w:color="auto" w:fill="000080"/>
    </w:pPr>
    <w:rPr>
      <w:rFonts w:ascii="Times New Roman" w:hAnsi="Times New Roman"/>
      <w:szCs w:val="24"/>
    </w:rPr>
  </w:style>
  <w:style w:type="paragraph" w:styleId="20">
    <w:name w:val="Body Text 3"/>
    <w:basedOn w:val="1"/>
    <w:link w:val="107"/>
    <w:qFormat/>
    <w:uiPriority w:val="0"/>
    <w:rPr>
      <w:rFonts w:ascii="宋体" w:hAnsi="Times New Roman"/>
      <w:sz w:val="24"/>
      <w:szCs w:val="20"/>
    </w:rPr>
  </w:style>
  <w:style w:type="paragraph" w:styleId="21">
    <w:name w:val="Body Text Indent"/>
    <w:basedOn w:val="1"/>
    <w:link w:val="88"/>
    <w:qFormat/>
    <w:uiPriority w:val="0"/>
    <w:pPr>
      <w:spacing w:after="120"/>
      <w:ind w:left="420" w:leftChars="200"/>
    </w:pPr>
    <w:rPr>
      <w:rFonts w:ascii="Times New Roman" w:hAnsi="Times New Roman"/>
      <w:szCs w:val="24"/>
    </w:rPr>
  </w:style>
  <w:style w:type="paragraph" w:styleId="22">
    <w:name w:val="List 2"/>
    <w:basedOn w:val="1"/>
    <w:qFormat/>
    <w:uiPriority w:val="0"/>
    <w:pPr>
      <w:ind w:left="100" w:leftChars="200" w:hanging="200" w:hangingChars="200"/>
    </w:pPr>
    <w:rPr>
      <w:rFonts w:ascii="Times New Roman" w:hAnsi="Times New Roman"/>
      <w:szCs w:val="20"/>
    </w:rPr>
  </w:style>
  <w:style w:type="paragraph" w:styleId="23">
    <w:name w:val="List Bullet 2"/>
    <w:basedOn w:val="1"/>
    <w:qFormat/>
    <w:uiPriority w:val="0"/>
    <w:pPr>
      <w:widowControl/>
      <w:tabs>
        <w:tab w:val="left" w:pos="780"/>
      </w:tabs>
      <w:spacing w:before="240" w:line="260" w:lineRule="atLeast"/>
      <w:ind w:left="1620" w:leftChars="200" w:hanging="720" w:hangingChars="200"/>
    </w:pPr>
    <w:rPr>
      <w:rFonts w:ascii="Times New Roman" w:hAnsi="Times New Roman" w:eastAsia="LF Song"/>
      <w:i/>
      <w:kern w:val="0"/>
      <w:sz w:val="24"/>
      <w:szCs w:val="20"/>
    </w:rPr>
  </w:style>
  <w:style w:type="paragraph" w:styleId="24">
    <w:name w:val="toc 5"/>
    <w:basedOn w:val="1"/>
    <w:next w:val="1"/>
    <w:unhideWhenUsed/>
    <w:qFormat/>
    <w:uiPriority w:val="39"/>
    <w:pPr>
      <w:ind w:left="840"/>
      <w:jc w:val="left"/>
    </w:pPr>
    <w:rPr>
      <w:sz w:val="18"/>
      <w:szCs w:val="18"/>
    </w:rPr>
  </w:style>
  <w:style w:type="paragraph" w:styleId="25">
    <w:name w:val="toc 3"/>
    <w:basedOn w:val="1"/>
    <w:next w:val="1"/>
    <w:qFormat/>
    <w:uiPriority w:val="39"/>
    <w:pPr>
      <w:tabs>
        <w:tab w:val="left" w:pos="1440"/>
        <w:tab w:val="right" w:leader="dot" w:pos="8018"/>
      </w:tabs>
      <w:spacing w:before="50" w:after="50" w:line="300" w:lineRule="auto"/>
      <w:ind w:left="840" w:leftChars="400"/>
    </w:pPr>
    <w:rPr>
      <w:rFonts w:ascii="Times New Roman" w:hAnsi="Times New Roman"/>
      <w:szCs w:val="24"/>
    </w:rPr>
  </w:style>
  <w:style w:type="paragraph" w:styleId="26">
    <w:name w:val="Plain Text"/>
    <w:basedOn w:val="1"/>
    <w:link w:val="79"/>
    <w:qFormat/>
    <w:uiPriority w:val="0"/>
    <w:rPr>
      <w:rFonts w:ascii="宋体" w:hAnsi="Courier New"/>
      <w:szCs w:val="21"/>
    </w:rPr>
  </w:style>
  <w:style w:type="paragraph" w:styleId="27">
    <w:name w:val="toc 8"/>
    <w:basedOn w:val="1"/>
    <w:next w:val="1"/>
    <w:unhideWhenUsed/>
    <w:qFormat/>
    <w:uiPriority w:val="39"/>
    <w:pPr>
      <w:ind w:left="1470"/>
      <w:jc w:val="left"/>
    </w:pPr>
    <w:rPr>
      <w:sz w:val="18"/>
      <w:szCs w:val="18"/>
    </w:rPr>
  </w:style>
  <w:style w:type="paragraph" w:styleId="28">
    <w:name w:val="Date"/>
    <w:basedOn w:val="1"/>
    <w:next w:val="1"/>
    <w:link w:val="82"/>
    <w:unhideWhenUsed/>
    <w:qFormat/>
    <w:uiPriority w:val="99"/>
    <w:rPr>
      <w:rFonts w:ascii="Times New Roman" w:hAnsi="Times New Roman"/>
      <w:szCs w:val="24"/>
    </w:rPr>
  </w:style>
  <w:style w:type="paragraph" w:styleId="29">
    <w:name w:val="Body Text Indent 2"/>
    <w:basedOn w:val="1"/>
    <w:link w:val="69"/>
    <w:unhideWhenUsed/>
    <w:qFormat/>
    <w:uiPriority w:val="0"/>
    <w:pPr>
      <w:spacing w:after="120" w:line="480" w:lineRule="auto"/>
      <w:ind w:left="420" w:leftChars="200"/>
    </w:pPr>
    <w:rPr>
      <w:rFonts w:ascii="Times New Roman" w:hAnsi="Times New Roman"/>
      <w:szCs w:val="24"/>
    </w:rPr>
  </w:style>
  <w:style w:type="paragraph" w:styleId="30">
    <w:name w:val="Balloon Text"/>
    <w:basedOn w:val="1"/>
    <w:link w:val="136"/>
    <w:qFormat/>
    <w:uiPriority w:val="99"/>
    <w:rPr>
      <w:rFonts w:ascii="Times New Roman" w:hAnsi="Times New Roman"/>
      <w:sz w:val="18"/>
      <w:szCs w:val="18"/>
    </w:rPr>
  </w:style>
  <w:style w:type="paragraph" w:styleId="31">
    <w:name w:val="footer"/>
    <w:basedOn w:val="1"/>
    <w:link w:val="74"/>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2">
    <w:name w:val="envelope return"/>
    <w:basedOn w:val="1"/>
    <w:qFormat/>
    <w:uiPriority w:val="0"/>
    <w:pPr>
      <w:widowControl/>
    </w:pPr>
    <w:rPr>
      <w:rFonts w:ascii="Times New Roman" w:hAnsi="Times New Roman"/>
      <w:kern w:val="0"/>
      <w:sz w:val="22"/>
      <w:szCs w:val="20"/>
      <w:lang w:val="en-GB" w:eastAsia="en-US"/>
    </w:rPr>
  </w:style>
  <w:style w:type="paragraph" w:styleId="33">
    <w:name w:val="Body Text First Indent 2"/>
    <w:basedOn w:val="21"/>
    <w:link w:val="87"/>
    <w:qFormat/>
    <w:uiPriority w:val="0"/>
    <w:pPr>
      <w:ind w:firstLine="420" w:firstLineChars="200"/>
    </w:pPr>
    <w:rPr>
      <w:szCs w:val="20"/>
    </w:rPr>
  </w:style>
  <w:style w:type="paragraph" w:styleId="34">
    <w:name w:val="header"/>
    <w:basedOn w:val="1"/>
    <w:link w:val="113"/>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35">
    <w:name w:val="toc 1"/>
    <w:basedOn w:val="1"/>
    <w:next w:val="1"/>
    <w:qFormat/>
    <w:uiPriority w:val="39"/>
    <w:pPr>
      <w:tabs>
        <w:tab w:val="left" w:pos="360"/>
        <w:tab w:val="right" w:leader="dot" w:pos="8018"/>
      </w:tabs>
      <w:spacing w:before="50" w:after="50" w:line="300" w:lineRule="auto"/>
    </w:pPr>
    <w:rPr>
      <w:rFonts w:ascii="Times New Roman" w:hAnsi="Times New Roman"/>
      <w:szCs w:val="24"/>
    </w:rPr>
  </w:style>
  <w:style w:type="paragraph" w:styleId="36">
    <w:name w:val="toc 4"/>
    <w:basedOn w:val="1"/>
    <w:next w:val="1"/>
    <w:unhideWhenUsed/>
    <w:qFormat/>
    <w:uiPriority w:val="39"/>
    <w:pPr>
      <w:ind w:left="630"/>
      <w:jc w:val="left"/>
    </w:pPr>
    <w:rPr>
      <w:sz w:val="18"/>
      <w:szCs w:val="18"/>
    </w:rPr>
  </w:style>
  <w:style w:type="paragraph" w:styleId="37">
    <w:name w:val="Subtitle"/>
    <w:basedOn w:val="1"/>
    <w:next w:val="1"/>
    <w:link w:val="115"/>
    <w:qFormat/>
    <w:uiPriority w:val="0"/>
    <w:pPr>
      <w:spacing w:before="240" w:after="60" w:line="312" w:lineRule="auto"/>
      <w:jc w:val="center"/>
      <w:outlineLvl w:val="1"/>
    </w:pPr>
    <w:rPr>
      <w:rFonts w:ascii="Cambria" w:hAnsi="Cambria"/>
      <w:b/>
      <w:bCs/>
      <w:kern w:val="28"/>
      <w:sz w:val="32"/>
      <w:szCs w:val="32"/>
    </w:rPr>
  </w:style>
  <w:style w:type="paragraph" w:styleId="38">
    <w:name w:val="List"/>
    <w:basedOn w:val="22"/>
    <w:qFormat/>
    <w:uiPriority w:val="0"/>
    <w:pPr>
      <w:ind w:left="0" w:leftChars="0" w:firstLine="0" w:firstLineChars="0"/>
      <w:jc w:val="center"/>
    </w:pPr>
    <w:rPr>
      <w:szCs w:val="24"/>
    </w:rPr>
  </w:style>
  <w:style w:type="paragraph" w:styleId="39">
    <w:name w:val="footnote text"/>
    <w:basedOn w:val="1"/>
    <w:link w:val="119"/>
    <w:qFormat/>
    <w:uiPriority w:val="99"/>
    <w:pPr>
      <w:snapToGrid w:val="0"/>
      <w:jc w:val="left"/>
    </w:pPr>
    <w:rPr>
      <w:rFonts w:ascii="Times New Roman" w:hAnsi="Times New Roman"/>
      <w:sz w:val="18"/>
      <w:szCs w:val="18"/>
    </w:rPr>
  </w:style>
  <w:style w:type="paragraph" w:styleId="40">
    <w:name w:val="toc 6"/>
    <w:basedOn w:val="1"/>
    <w:next w:val="1"/>
    <w:unhideWhenUsed/>
    <w:qFormat/>
    <w:uiPriority w:val="39"/>
    <w:pPr>
      <w:ind w:left="1050"/>
      <w:jc w:val="left"/>
    </w:pPr>
    <w:rPr>
      <w:sz w:val="18"/>
      <w:szCs w:val="18"/>
    </w:rPr>
  </w:style>
  <w:style w:type="paragraph" w:styleId="41">
    <w:name w:val="Body Text Indent 3"/>
    <w:basedOn w:val="1"/>
    <w:link w:val="105"/>
    <w:qFormat/>
    <w:uiPriority w:val="0"/>
    <w:pPr>
      <w:spacing w:after="120"/>
      <w:ind w:left="420" w:leftChars="200"/>
    </w:pPr>
    <w:rPr>
      <w:rFonts w:ascii="Times New Roman" w:hAnsi="Times New Roman"/>
      <w:sz w:val="16"/>
      <w:szCs w:val="16"/>
    </w:rPr>
  </w:style>
  <w:style w:type="paragraph" w:styleId="42">
    <w:name w:val="toc 2"/>
    <w:basedOn w:val="1"/>
    <w:next w:val="1"/>
    <w:qFormat/>
    <w:uiPriority w:val="39"/>
    <w:pPr>
      <w:tabs>
        <w:tab w:val="left" w:pos="900"/>
        <w:tab w:val="right" w:leader="dot" w:pos="8018"/>
      </w:tabs>
      <w:spacing w:before="50" w:after="50" w:line="300" w:lineRule="auto"/>
      <w:ind w:left="420" w:leftChars="200"/>
    </w:pPr>
    <w:rPr>
      <w:rFonts w:ascii="Times New Roman" w:hAnsi="Times New Roman"/>
      <w:szCs w:val="24"/>
    </w:rPr>
  </w:style>
  <w:style w:type="paragraph" w:styleId="43">
    <w:name w:val="toc 9"/>
    <w:basedOn w:val="1"/>
    <w:next w:val="1"/>
    <w:unhideWhenUsed/>
    <w:qFormat/>
    <w:uiPriority w:val="39"/>
    <w:pPr>
      <w:ind w:left="1680"/>
      <w:jc w:val="left"/>
    </w:pPr>
    <w:rPr>
      <w:sz w:val="18"/>
      <w:szCs w:val="18"/>
    </w:rPr>
  </w:style>
  <w:style w:type="paragraph" w:styleId="44">
    <w:name w:val="Body Text 2"/>
    <w:basedOn w:val="1"/>
    <w:link w:val="103"/>
    <w:qFormat/>
    <w:uiPriority w:val="0"/>
    <w:pPr>
      <w:spacing w:line="0" w:lineRule="atLeast"/>
    </w:pPr>
    <w:rPr>
      <w:rFonts w:ascii="Agency FB" w:hAnsi="Agency FB"/>
      <w:szCs w:val="24"/>
    </w:rPr>
  </w:style>
  <w:style w:type="paragraph" w:styleId="45">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4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47">
    <w:name w:val="index 1"/>
    <w:basedOn w:val="1"/>
    <w:next w:val="1"/>
    <w:qFormat/>
    <w:uiPriority w:val="0"/>
    <w:pPr>
      <w:spacing w:line="360" w:lineRule="auto"/>
    </w:pPr>
    <w:rPr>
      <w:rFonts w:ascii="宋体" w:hAnsi="宋体"/>
      <w:bCs/>
      <w:szCs w:val="21"/>
    </w:rPr>
  </w:style>
  <w:style w:type="paragraph" w:styleId="48">
    <w:name w:val="Title"/>
    <w:basedOn w:val="1"/>
    <w:next w:val="1"/>
    <w:link w:val="135"/>
    <w:qFormat/>
    <w:uiPriority w:val="10"/>
    <w:pPr>
      <w:spacing w:beforeLines="50" w:afterLines="50" w:line="300" w:lineRule="auto"/>
      <w:ind w:firstLine="560" w:firstLineChars="200"/>
      <w:jc w:val="center"/>
    </w:pPr>
    <w:rPr>
      <w:rFonts w:ascii="黑体" w:hAnsi="黑体" w:eastAsia="黑体"/>
      <w:sz w:val="44"/>
      <w:szCs w:val="28"/>
    </w:rPr>
  </w:style>
  <w:style w:type="character" w:styleId="50">
    <w:name w:val="Strong"/>
    <w:qFormat/>
    <w:uiPriority w:val="22"/>
    <w:rPr>
      <w:b/>
      <w:bCs/>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20"/>
    <w:rPr>
      <w:color w:val="CC0000"/>
    </w:rPr>
  </w:style>
  <w:style w:type="character" w:styleId="54">
    <w:name w:val="Hyperlink"/>
    <w:qFormat/>
    <w:uiPriority w:val="99"/>
    <w:rPr>
      <w:color w:val="0000FF"/>
      <w:u w:val="single"/>
    </w:rPr>
  </w:style>
  <w:style w:type="character" w:styleId="55">
    <w:name w:val="annotation reference"/>
    <w:qFormat/>
    <w:uiPriority w:val="99"/>
    <w:rPr>
      <w:sz w:val="21"/>
      <w:szCs w:val="21"/>
    </w:rPr>
  </w:style>
  <w:style w:type="character" w:styleId="56">
    <w:name w:val="footnote reference"/>
    <w:qFormat/>
    <w:uiPriority w:val="99"/>
    <w:rPr>
      <w:vertAlign w:val="superscript"/>
    </w:rPr>
  </w:style>
  <w:style w:type="table" w:styleId="58">
    <w:name w:val="Table Grid"/>
    <w:basedOn w:val="57"/>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9">
    <w:name w:val="标题 1 字符"/>
    <w:basedOn w:val="49"/>
    <w:link w:val="2"/>
    <w:qFormat/>
    <w:uiPriority w:val="9"/>
    <w:rPr>
      <w:rFonts w:ascii="Times New Roman" w:hAnsi="Times New Roman" w:eastAsia="宋体" w:cs="Times New Roman"/>
      <w:b/>
      <w:bCs/>
      <w:kern w:val="44"/>
      <w:sz w:val="44"/>
      <w:szCs w:val="44"/>
      <w:lang w:val="zh-CN"/>
    </w:rPr>
  </w:style>
  <w:style w:type="character" w:customStyle="1" w:styleId="60">
    <w:name w:val="标题 2 字符"/>
    <w:basedOn w:val="49"/>
    <w:link w:val="3"/>
    <w:qFormat/>
    <w:uiPriority w:val="9"/>
    <w:rPr>
      <w:rFonts w:ascii="Cambria" w:hAnsi="Cambria" w:eastAsia="宋体" w:cs="Times New Roman"/>
      <w:b/>
      <w:bCs/>
      <w:kern w:val="0"/>
      <w:sz w:val="32"/>
      <w:szCs w:val="32"/>
      <w:lang w:val="zh-CN"/>
    </w:rPr>
  </w:style>
  <w:style w:type="character" w:customStyle="1" w:styleId="61">
    <w:name w:val="标题 3 字符"/>
    <w:basedOn w:val="49"/>
    <w:link w:val="4"/>
    <w:qFormat/>
    <w:uiPriority w:val="9"/>
    <w:rPr>
      <w:rFonts w:ascii="Times New Roman" w:hAnsi="Times New Roman" w:eastAsia="黑体" w:cs="Times New Roman"/>
      <w:color w:val="000000"/>
      <w:kern w:val="0"/>
      <w:sz w:val="22"/>
      <w:szCs w:val="21"/>
      <w:lang w:val="zh-CN"/>
    </w:rPr>
  </w:style>
  <w:style w:type="character" w:customStyle="1" w:styleId="62">
    <w:name w:val="标题 4 字符"/>
    <w:basedOn w:val="49"/>
    <w:link w:val="5"/>
    <w:qFormat/>
    <w:uiPriority w:val="0"/>
    <w:rPr>
      <w:rFonts w:ascii="Times New Roman" w:hAnsi="Times New Roman" w:eastAsia="宋体" w:cs="Times New Roman"/>
      <w:color w:val="000000"/>
      <w:kern w:val="0"/>
      <w:szCs w:val="20"/>
      <w:lang w:val="zh-CN"/>
    </w:rPr>
  </w:style>
  <w:style w:type="character" w:customStyle="1" w:styleId="63">
    <w:name w:val="标题 5 字符"/>
    <w:basedOn w:val="49"/>
    <w:link w:val="6"/>
    <w:qFormat/>
    <w:uiPriority w:val="0"/>
    <w:rPr>
      <w:rFonts w:ascii="Times New Roman" w:hAnsi="Times New Roman" w:eastAsia="宋体" w:cs="Times New Roman"/>
      <w:color w:val="000000"/>
      <w:kern w:val="0"/>
      <w:sz w:val="22"/>
      <w:szCs w:val="20"/>
      <w:lang w:val="en-GB" w:eastAsia="en-US"/>
    </w:rPr>
  </w:style>
  <w:style w:type="character" w:customStyle="1" w:styleId="64">
    <w:name w:val="标题 6 字符"/>
    <w:basedOn w:val="49"/>
    <w:link w:val="7"/>
    <w:qFormat/>
    <w:uiPriority w:val="0"/>
    <w:rPr>
      <w:rFonts w:ascii="Times New Roman" w:hAnsi="Times New Roman" w:eastAsia="宋体" w:cs="Times New Roman"/>
      <w:kern w:val="0"/>
      <w:sz w:val="22"/>
      <w:szCs w:val="20"/>
      <w:lang w:val="en-GB" w:eastAsia="en-US"/>
    </w:rPr>
  </w:style>
  <w:style w:type="character" w:customStyle="1" w:styleId="65">
    <w:name w:val="标题 7 字符"/>
    <w:basedOn w:val="49"/>
    <w:link w:val="8"/>
    <w:qFormat/>
    <w:uiPriority w:val="0"/>
    <w:rPr>
      <w:rFonts w:ascii="Times New Roman" w:hAnsi="Times New Roman" w:eastAsia="宋体" w:cs="Times New Roman"/>
      <w:kern w:val="0"/>
      <w:sz w:val="22"/>
      <w:szCs w:val="20"/>
      <w:lang w:val="en-GB" w:eastAsia="en-US"/>
    </w:rPr>
  </w:style>
  <w:style w:type="character" w:customStyle="1" w:styleId="66">
    <w:name w:val="标题 8 字符"/>
    <w:basedOn w:val="49"/>
    <w:link w:val="9"/>
    <w:qFormat/>
    <w:uiPriority w:val="0"/>
    <w:rPr>
      <w:rFonts w:ascii="Times New Roman" w:hAnsi="Times New Roman" w:eastAsia="宋体" w:cs="Times New Roman"/>
      <w:kern w:val="0"/>
      <w:sz w:val="22"/>
      <w:szCs w:val="20"/>
      <w:lang w:val="en-GB" w:eastAsia="en-US"/>
    </w:rPr>
  </w:style>
  <w:style w:type="character" w:customStyle="1" w:styleId="67">
    <w:name w:val="标题 9 字符"/>
    <w:basedOn w:val="49"/>
    <w:link w:val="10"/>
    <w:qFormat/>
    <w:uiPriority w:val="0"/>
    <w:rPr>
      <w:rFonts w:ascii="Times New Roman" w:hAnsi="Times New Roman" w:eastAsia="宋体" w:cs="Times New Roman"/>
      <w:kern w:val="0"/>
      <w:sz w:val="22"/>
      <w:szCs w:val="20"/>
      <w:lang w:val="en-GB" w:eastAsia="en-US"/>
    </w:rPr>
  </w:style>
  <w:style w:type="character" w:customStyle="1" w:styleId="68">
    <w:name w:val="批注文字 字符"/>
    <w:basedOn w:val="49"/>
    <w:link w:val="12"/>
    <w:qFormat/>
    <w:uiPriority w:val="99"/>
  </w:style>
  <w:style w:type="character" w:customStyle="1" w:styleId="69">
    <w:name w:val="正文文本缩进 2 字符"/>
    <w:link w:val="29"/>
    <w:qFormat/>
    <w:uiPriority w:val="0"/>
    <w:rPr>
      <w:rFonts w:ascii="Times New Roman" w:hAnsi="Times New Roman" w:eastAsia="宋体" w:cs="Times New Roman"/>
      <w:szCs w:val="24"/>
    </w:rPr>
  </w:style>
  <w:style w:type="character" w:customStyle="1" w:styleId="70">
    <w:name w:val="总规--正文 Char Char"/>
    <w:link w:val="71"/>
    <w:uiPriority w:val="0"/>
    <w:rPr>
      <w:rFonts w:hAnsi="宋体" w:cs="宋体"/>
      <w:sz w:val="24"/>
    </w:rPr>
  </w:style>
  <w:style w:type="paragraph" w:customStyle="1" w:styleId="71">
    <w:name w:val="总规--正文"/>
    <w:basedOn w:val="1"/>
    <w:link w:val="70"/>
    <w:qFormat/>
    <w:uiPriority w:val="0"/>
    <w:pPr>
      <w:spacing w:line="360" w:lineRule="auto"/>
      <w:ind w:firstLine="480" w:firstLineChars="200"/>
    </w:pPr>
    <w:rPr>
      <w:rFonts w:hAnsi="宋体" w:cs="宋体" w:asciiTheme="minorHAnsi" w:eastAsiaTheme="minorEastAsia"/>
      <w:sz w:val="24"/>
    </w:rPr>
  </w:style>
  <w:style w:type="character" w:customStyle="1" w:styleId="72">
    <w:name w:val="font01"/>
    <w:uiPriority w:val="0"/>
    <w:rPr>
      <w:rFonts w:hint="eastAsia" w:ascii="宋体" w:hAnsi="宋体" w:eastAsia="宋体" w:cs="宋体"/>
      <w:color w:val="000000"/>
      <w:sz w:val="24"/>
      <w:szCs w:val="24"/>
      <w:u w:val="none"/>
    </w:rPr>
  </w:style>
  <w:style w:type="character" w:customStyle="1" w:styleId="73">
    <w:name w:val="font51"/>
    <w:uiPriority w:val="0"/>
    <w:rPr>
      <w:rFonts w:hint="default" w:ascii="Times New Roman" w:hAnsi="Times New Roman" w:cs="Times New Roman"/>
      <w:color w:val="000000"/>
      <w:sz w:val="22"/>
      <w:szCs w:val="22"/>
      <w:u w:val="none"/>
    </w:rPr>
  </w:style>
  <w:style w:type="character" w:customStyle="1" w:styleId="74">
    <w:name w:val="页脚 字符"/>
    <w:link w:val="31"/>
    <w:qFormat/>
    <w:uiPriority w:val="99"/>
    <w:rPr>
      <w:sz w:val="18"/>
      <w:szCs w:val="18"/>
    </w:rPr>
  </w:style>
  <w:style w:type="character" w:customStyle="1" w:styleId="75">
    <w:name w:val="正文文本缩进 Char"/>
    <w:basedOn w:val="49"/>
    <w:qFormat/>
    <w:uiPriority w:val="0"/>
  </w:style>
  <w:style w:type="character" w:customStyle="1" w:styleId="76">
    <w:name w:val="批注框文本 Char1"/>
    <w:semiHidden/>
    <w:qFormat/>
    <w:uiPriority w:val="99"/>
    <w:rPr>
      <w:kern w:val="2"/>
      <w:sz w:val="18"/>
      <w:szCs w:val="18"/>
    </w:rPr>
  </w:style>
  <w:style w:type="character" w:customStyle="1" w:styleId="77">
    <w:name w:val="Char Char Char Char"/>
    <w:link w:val="78"/>
    <w:qFormat/>
    <w:uiPriority w:val="0"/>
    <w:rPr>
      <w:rFonts w:ascii="Tahoma" w:hAnsi="Tahoma" w:eastAsia="宋体" w:cs="Times New Roman"/>
      <w:sz w:val="24"/>
      <w:szCs w:val="20"/>
    </w:rPr>
  </w:style>
  <w:style w:type="paragraph" w:customStyle="1" w:styleId="78">
    <w:name w:val="Char Char Char"/>
    <w:basedOn w:val="1"/>
    <w:link w:val="77"/>
    <w:qFormat/>
    <w:uiPriority w:val="0"/>
    <w:rPr>
      <w:rFonts w:ascii="Tahoma" w:hAnsi="Tahoma"/>
      <w:sz w:val="24"/>
      <w:szCs w:val="20"/>
    </w:rPr>
  </w:style>
  <w:style w:type="character" w:customStyle="1" w:styleId="79">
    <w:name w:val="纯文本 字符"/>
    <w:link w:val="26"/>
    <w:qFormat/>
    <w:uiPriority w:val="0"/>
    <w:rPr>
      <w:rFonts w:ascii="宋体" w:hAnsi="Courier New" w:eastAsia="宋体" w:cs="Times New Roman"/>
      <w:szCs w:val="21"/>
    </w:rPr>
  </w:style>
  <w:style w:type="character" w:customStyle="1" w:styleId="80">
    <w:name w:val="标题 1 Char1"/>
    <w:qFormat/>
    <w:uiPriority w:val="0"/>
    <w:rPr>
      <w:rFonts w:ascii="Times New Roman" w:hAnsi="Times New Roman" w:eastAsia="宋体" w:cs="Times New Roman"/>
      <w:b/>
      <w:bCs/>
      <w:kern w:val="44"/>
      <w:sz w:val="36"/>
      <w:szCs w:val="44"/>
      <w:lang w:val="zh-CN" w:eastAsia="zh-CN"/>
    </w:rPr>
  </w:style>
  <w:style w:type="character" w:customStyle="1" w:styleId="81">
    <w:name w:val="页眉 Char1"/>
    <w:semiHidden/>
    <w:qFormat/>
    <w:uiPriority w:val="99"/>
    <w:rPr>
      <w:kern w:val="2"/>
      <w:sz w:val="18"/>
      <w:szCs w:val="18"/>
    </w:rPr>
  </w:style>
  <w:style w:type="character" w:customStyle="1" w:styleId="82">
    <w:name w:val="日期 字符"/>
    <w:link w:val="28"/>
    <w:qFormat/>
    <w:uiPriority w:val="99"/>
    <w:rPr>
      <w:rFonts w:ascii="Times New Roman" w:hAnsi="Times New Roman" w:eastAsia="宋体" w:cs="Times New Roman"/>
      <w:szCs w:val="24"/>
    </w:rPr>
  </w:style>
  <w:style w:type="character" w:customStyle="1" w:styleId="83">
    <w:name w:val="AOHidden"/>
    <w:qFormat/>
    <w:uiPriority w:val="0"/>
    <w:rPr>
      <w:vanish/>
      <w:color w:val="auto"/>
    </w:rPr>
  </w:style>
  <w:style w:type="character" w:customStyle="1" w:styleId="84">
    <w:name w:val="HTML 预设格式 字符"/>
    <w:link w:val="45"/>
    <w:qFormat/>
    <w:uiPriority w:val="0"/>
    <w:rPr>
      <w:rFonts w:ascii="宋体" w:hAnsi="宋体" w:eastAsia="宋体" w:cs="Times New Roman"/>
      <w:kern w:val="0"/>
      <w:sz w:val="24"/>
      <w:szCs w:val="24"/>
    </w:rPr>
  </w:style>
  <w:style w:type="character" w:customStyle="1" w:styleId="85">
    <w:name w:val="FrutigerBold"/>
    <w:uiPriority w:val="0"/>
    <w:rPr>
      <w:rFonts w:ascii="Frutiger 45 Light" w:hAnsi="Frutiger 45 Light"/>
      <w:b/>
    </w:rPr>
  </w:style>
  <w:style w:type="character" w:customStyle="1" w:styleId="86">
    <w:name w:val="正文文本缩进 2 Char1"/>
    <w:qFormat/>
    <w:uiPriority w:val="99"/>
    <w:rPr>
      <w:kern w:val="2"/>
      <w:sz w:val="21"/>
      <w:szCs w:val="24"/>
    </w:rPr>
  </w:style>
  <w:style w:type="character" w:customStyle="1" w:styleId="87">
    <w:name w:val="正文文本首行缩进 2 字符"/>
    <w:link w:val="33"/>
    <w:qFormat/>
    <w:uiPriority w:val="0"/>
    <w:rPr>
      <w:rFonts w:ascii="Times New Roman" w:hAnsi="Times New Roman" w:eastAsia="宋体" w:cs="Times New Roman"/>
      <w:szCs w:val="20"/>
    </w:rPr>
  </w:style>
  <w:style w:type="character" w:customStyle="1" w:styleId="88">
    <w:name w:val="正文文本缩进 字符"/>
    <w:link w:val="21"/>
    <w:qFormat/>
    <w:uiPriority w:val="0"/>
    <w:rPr>
      <w:rFonts w:ascii="Times New Roman" w:hAnsi="Times New Roman" w:eastAsia="宋体" w:cs="Times New Roman"/>
      <w:szCs w:val="24"/>
    </w:rPr>
  </w:style>
  <w:style w:type="character" w:customStyle="1" w:styleId="89">
    <w:name w:val="font61"/>
    <w:uiPriority w:val="0"/>
    <w:rPr>
      <w:rFonts w:hint="eastAsia" w:ascii="宋体" w:hAnsi="宋体" w:eastAsia="宋体" w:cs="宋体"/>
      <w:color w:val="000000"/>
      <w:sz w:val="21"/>
      <w:szCs w:val="21"/>
      <w:u w:val="none"/>
    </w:rPr>
  </w:style>
  <w:style w:type="character" w:customStyle="1" w:styleId="90">
    <w:name w:val="font71"/>
    <w:qFormat/>
    <w:uiPriority w:val="0"/>
    <w:rPr>
      <w:rFonts w:hint="eastAsia" w:ascii="宋体" w:hAnsi="宋体" w:eastAsia="宋体" w:cs="宋体"/>
      <w:color w:val="000000"/>
      <w:sz w:val="22"/>
      <w:szCs w:val="22"/>
      <w:u w:val="none"/>
    </w:rPr>
  </w:style>
  <w:style w:type="character" w:customStyle="1" w:styleId="91">
    <w:name w:val="正文文本首行缩进 字符"/>
    <w:link w:val="14"/>
    <w:uiPriority w:val="99"/>
    <w:rPr>
      <w:rFonts w:ascii="Times New Roman" w:hAnsi="Times New Roman" w:eastAsia="宋体" w:cs="Times New Roman"/>
      <w:szCs w:val="20"/>
      <w:lang w:val="zh-CN"/>
    </w:rPr>
  </w:style>
  <w:style w:type="character" w:customStyle="1" w:styleId="92">
    <w:name w:val="正文文本 字符1"/>
    <w:basedOn w:val="49"/>
    <w:link w:val="15"/>
    <w:semiHidden/>
    <w:uiPriority w:val="99"/>
    <w:rPr>
      <w:rFonts w:ascii="Calibri" w:hAnsi="Calibri" w:eastAsia="宋体" w:cs="Times New Roman"/>
    </w:rPr>
  </w:style>
  <w:style w:type="character" w:customStyle="1" w:styleId="93">
    <w:name w:val="纯文本 Char2"/>
    <w:semiHidden/>
    <w:qFormat/>
    <w:uiPriority w:val="99"/>
    <w:rPr>
      <w:rFonts w:ascii="宋体" w:hAnsi="Courier New" w:cs="Courier New"/>
      <w:kern w:val="2"/>
      <w:sz w:val="21"/>
      <w:szCs w:val="21"/>
    </w:rPr>
  </w:style>
  <w:style w:type="character" w:customStyle="1" w:styleId="94">
    <w:name w:val="font81"/>
    <w:uiPriority w:val="0"/>
    <w:rPr>
      <w:rFonts w:hint="eastAsia" w:ascii="宋体" w:hAnsi="宋体" w:eastAsia="宋体" w:cs="宋体"/>
      <w:color w:val="000000"/>
      <w:sz w:val="22"/>
      <w:szCs w:val="22"/>
      <w:u w:val="none"/>
    </w:rPr>
  </w:style>
  <w:style w:type="character" w:customStyle="1" w:styleId="95">
    <w:name w:val="批注主题 Char1"/>
    <w:qFormat/>
    <w:uiPriority w:val="0"/>
    <w:rPr>
      <w:b/>
      <w:bCs/>
      <w:kern w:val="2"/>
      <w:sz w:val="21"/>
      <w:szCs w:val="22"/>
    </w:rPr>
  </w:style>
  <w:style w:type="character" w:customStyle="1" w:styleId="96">
    <w:name w:val="文档结构图 Char1"/>
    <w:semiHidden/>
    <w:qFormat/>
    <w:uiPriority w:val="99"/>
    <w:rPr>
      <w:rFonts w:ascii="宋体"/>
      <w:kern w:val="2"/>
      <w:sz w:val="18"/>
      <w:szCs w:val="18"/>
    </w:rPr>
  </w:style>
  <w:style w:type="character" w:customStyle="1" w:styleId="97">
    <w:name w:val="doc_title"/>
    <w:basedOn w:val="49"/>
    <w:qFormat/>
    <w:uiPriority w:val="0"/>
  </w:style>
  <w:style w:type="character" w:customStyle="1" w:styleId="98">
    <w:name w:val="批注主题 字符"/>
    <w:link w:val="11"/>
    <w:qFormat/>
    <w:uiPriority w:val="99"/>
    <w:rPr>
      <w:rFonts w:ascii="Times New Roman" w:hAnsi="Times New Roman" w:eastAsia="宋体" w:cs="Times New Roman"/>
      <w:b/>
      <w:bCs/>
      <w:szCs w:val="24"/>
    </w:rPr>
  </w:style>
  <w:style w:type="character" w:customStyle="1" w:styleId="99">
    <w:name w:val="无间隔 Char"/>
    <w:link w:val="100"/>
    <w:qFormat/>
    <w:uiPriority w:val="1"/>
    <w:rPr>
      <w:sz w:val="22"/>
    </w:rPr>
  </w:style>
  <w:style w:type="paragraph" w:customStyle="1" w:styleId="100">
    <w:name w:val="无间隔1"/>
    <w:link w:val="99"/>
    <w:qFormat/>
    <w:uiPriority w:val="1"/>
    <w:rPr>
      <w:rFonts w:asciiTheme="minorHAnsi" w:hAnsiTheme="minorHAnsi" w:eastAsiaTheme="minorEastAsia" w:cstheme="minorBidi"/>
      <w:kern w:val="2"/>
      <w:sz w:val="22"/>
      <w:szCs w:val="22"/>
      <w:lang w:val="en-US" w:eastAsia="zh-CN" w:bidi="ar-SA"/>
    </w:rPr>
  </w:style>
  <w:style w:type="character" w:customStyle="1" w:styleId="101">
    <w:name w:val="标题 Char1"/>
    <w:qFormat/>
    <w:uiPriority w:val="0"/>
    <w:rPr>
      <w:rFonts w:ascii="Calibri Light" w:hAnsi="Calibri Light" w:eastAsia="宋体" w:cs="Times New Roman"/>
      <w:b/>
      <w:bCs/>
      <w:sz w:val="32"/>
      <w:szCs w:val="32"/>
    </w:rPr>
  </w:style>
  <w:style w:type="character" w:customStyle="1" w:styleId="102">
    <w:name w:val="Char Char4"/>
    <w:uiPriority w:val="0"/>
    <w:rPr>
      <w:rFonts w:ascii="宋体" w:hAnsi="Courier New" w:eastAsia="宋体"/>
      <w:kern w:val="2"/>
      <w:sz w:val="30"/>
      <w:szCs w:val="24"/>
      <w:lang w:val="en-US" w:eastAsia="zh-CN" w:bidi="ar-SA"/>
    </w:rPr>
  </w:style>
  <w:style w:type="character" w:customStyle="1" w:styleId="103">
    <w:name w:val="正文文本 2 字符"/>
    <w:link w:val="44"/>
    <w:qFormat/>
    <w:uiPriority w:val="0"/>
    <w:rPr>
      <w:rFonts w:ascii="Agency FB" w:hAnsi="Agency FB" w:eastAsia="宋体" w:cs="Times New Roman"/>
      <w:szCs w:val="24"/>
    </w:rPr>
  </w:style>
  <w:style w:type="character" w:customStyle="1" w:styleId="104">
    <w:name w:val="正文文本 2 Char1"/>
    <w:qFormat/>
    <w:uiPriority w:val="0"/>
    <w:rPr>
      <w:rFonts w:ascii="Times New Roman" w:hAnsi="Times New Roman" w:eastAsia="宋体" w:cs="Times New Roman"/>
      <w:szCs w:val="20"/>
    </w:rPr>
  </w:style>
  <w:style w:type="character" w:customStyle="1" w:styleId="105">
    <w:name w:val="正文文本缩进 3 字符"/>
    <w:link w:val="41"/>
    <w:qFormat/>
    <w:uiPriority w:val="0"/>
    <w:rPr>
      <w:rFonts w:ascii="Times New Roman" w:hAnsi="Times New Roman" w:eastAsia="宋体" w:cs="Times New Roman"/>
      <w:sz w:val="16"/>
      <w:szCs w:val="16"/>
    </w:rPr>
  </w:style>
  <w:style w:type="character" w:customStyle="1" w:styleId="106">
    <w:name w:val="纯文本 Char1"/>
    <w:qFormat/>
    <w:uiPriority w:val="0"/>
    <w:rPr>
      <w:rFonts w:ascii="宋体" w:hAnsi="Courier New" w:cs="Courier New"/>
      <w:kern w:val="2"/>
      <w:sz w:val="21"/>
      <w:szCs w:val="21"/>
    </w:rPr>
  </w:style>
  <w:style w:type="character" w:customStyle="1" w:styleId="107">
    <w:name w:val="正文文本 3 字符"/>
    <w:link w:val="20"/>
    <w:qFormat/>
    <w:uiPriority w:val="0"/>
    <w:rPr>
      <w:rFonts w:ascii="宋体" w:hAnsi="Times New Roman" w:eastAsia="宋体" w:cs="Times New Roman"/>
      <w:sz w:val="24"/>
      <w:szCs w:val="20"/>
    </w:rPr>
  </w:style>
  <w:style w:type="character" w:customStyle="1" w:styleId="108">
    <w:name w:val="正文文本 3 Char1"/>
    <w:qFormat/>
    <w:uiPriority w:val="0"/>
    <w:rPr>
      <w:rFonts w:ascii="Times New Roman" w:hAnsi="Times New Roman" w:eastAsia="宋体" w:cs="Times New Roman"/>
      <w:sz w:val="16"/>
      <w:szCs w:val="16"/>
    </w:rPr>
  </w:style>
  <w:style w:type="character" w:customStyle="1" w:styleId="109">
    <w:name w:val="列出段落 Char"/>
    <w:link w:val="110"/>
    <w:qFormat/>
    <w:locked/>
    <w:uiPriority w:val="0"/>
    <w:rPr>
      <w:rFonts w:ascii="Calibri" w:hAnsi="Calibri" w:eastAsia="宋体" w:cs="Times New Roman"/>
    </w:rPr>
  </w:style>
  <w:style w:type="paragraph" w:customStyle="1" w:styleId="110">
    <w:name w:val="列出段落12"/>
    <w:basedOn w:val="1"/>
    <w:link w:val="109"/>
    <w:qFormat/>
    <w:uiPriority w:val="0"/>
    <w:pPr>
      <w:ind w:firstLine="420" w:firstLineChars="200"/>
    </w:pPr>
  </w:style>
  <w:style w:type="character" w:customStyle="1" w:styleId="111">
    <w:name w:val="正文文本 Char1"/>
    <w:qFormat/>
    <w:uiPriority w:val="99"/>
    <w:rPr>
      <w:kern w:val="2"/>
      <w:sz w:val="21"/>
      <w:szCs w:val="24"/>
    </w:rPr>
  </w:style>
  <w:style w:type="character" w:customStyle="1" w:styleId="112">
    <w:name w:val="文档结构图 字符"/>
    <w:link w:val="19"/>
    <w:qFormat/>
    <w:uiPriority w:val="0"/>
    <w:rPr>
      <w:rFonts w:ascii="Times New Roman" w:hAnsi="Times New Roman" w:eastAsia="宋体" w:cs="Times New Roman"/>
      <w:szCs w:val="24"/>
      <w:shd w:val="clear" w:color="auto" w:fill="000080"/>
    </w:rPr>
  </w:style>
  <w:style w:type="character" w:customStyle="1" w:styleId="113">
    <w:name w:val="页眉 字符"/>
    <w:link w:val="34"/>
    <w:qFormat/>
    <w:uiPriority w:val="99"/>
    <w:rPr>
      <w:sz w:val="18"/>
      <w:szCs w:val="18"/>
    </w:rPr>
  </w:style>
  <w:style w:type="character" w:customStyle="1" w:styleId="114">
    <w:name w:val="font21"/>
    <w:uiPriority w:val="0"/>
    <w:rPr>
      <w:rFonts w:hint="eastAsia" w:ascii="宋体" w:hAnsi="宋体" w:eastAsia="宋体" w:cs="宋体"/>
      <w:color w:val="000000"/>
      <w:sz w:val="21"/>
      <w:szCs w:val="21"/>
      <w:u w:val="none"/>
    </w:rPr>
  </w:style>
  <w:style w:type="character" w:customStyle="1" w:styleId="115">
    <w:name w:val="副标题 字符"/>
    <w:link w:val="37"/>
    <w:qFormat/>
    <w:uiPriority w:val="0"/>
    <w:rPr>
      <w:rFonts w:ascii="Cambria" w:hAnsi="Cambria" w:eastAsia="宋体" w:cs="Times New Roman"/>
      <w:b/>
      <w:bCs/>
      <w:kern w:val="28"/>
      <w:sz w:val="32"/>
      <w:szCs w:val="32"/>
    </w:rPr>
  </w:style>
  <w:style w:type="character" w:customStyle="1" w:styleId="116">
    <w:name w:val="HTML 预设格式 Char1"/>
    <w:semiHidden/>
    <w:qFormat/>
    <w:uiPriority w:val="99"/>
    <w:rPr>
      <w:rFonts w:ascii="Courier New" w:hAnsi="Courier New" w:eastAsia="宋体" w:cs="Courier New"/>
      <w:sz w:val="20"/>
      <w:szCs w:val="20"/>
    </w:rPr>
  </w:style>
  <w:style w:type="character" w:customStyle="1" w:styleId="117">
    <w:name w:val="Char Char Char Char Char"/>
    <w:link w:val="118"/>
    <w:qFormat/>
    <w:uiPriority w:val="0"/>
    <w:rPr>
      <w:szCs w:val="24"/>
    </w:rPr>
  </w:style>
  <w:style w:type="paragraph" w:customStyle="1" w:styleId="118">
    <w:name w:val="Char11"/>
    <w:basedOn w:val="1"/>
    <w:next w:val="1"/>
    <w:link w:val="117"/>
    <w:uiPriority w:val="0"/>
    <w:pPr>
      <w:spacing w:after="120" w:line="480" w:lineRule="auto"/>
    </w:pPr>
    <w:rPr>
      <w:rFonts w:asciiTheme="minorHAnsi" w:hAnsiTheme="minorHAnsi" w:eastAsiaTheme="minorEastAsia" w:cstheme="minorBidi"/>
      <w:szCs w:val="24"/>
    </w:rPr>
  </w:style>
  <w:style w:type="character" w:customStyle="1" w:styleId="119">
    <w:name w:val="脚注文本 字符"/>
    <w:link w:val="39"/>
    <w:qFormat/>
    <w:uiPriority w:val="99"/>
    <w:rPr>
      <w:rFonts w:ascii="Times New Roman" w:hAnsi="Times New Roman" w:eastAsia="宋体" w:cs="Times New Roman"/>
      <w:sz w:val="18"/>
      <w:szCs w:val="18"/>
    </w:rPr>
  </w:style>
  <w:style w:type="character" w:customStyle="1" w:styleId="120">
    <w:name w:val="正文文本缩进 3 Char1"/>
    <w:uiPriority w:val="0"/>
    <w:rPr>
      <w:rFonts w:ascii="Times New Roman" w:hAnsi="Times New Roman" w:eastAsia="宋体" w:cs="Times New Roman"/>
      <w:sz w:val="16"/>
      <w:szCs w:val="16"/>
    </w:rPr>
  </w:style>
  <w:style w:type="character" w:customStyle="1" w:styleId="121">
    <w:name w:val="批注文字 Char1"/>
    <w:qFormat/>
    <w:uiPriority w:val="0"/>
    <w:rPr>
      <w:kern w:val="2"/>
      <w:sz w:val="21"/>
      <w:szCs w:val="22"/>
    </w:rPr>
  </w:style>
  <w:style w:type="character" w:customStyle="1" w:styleId="122">
    <w:name w:val="页脚 Char1"/>
    <w:semiHidden/>
    <w:qFormat/>
    <w:uiPriority w:val="99"/>
    <w:rPr>
      <w:kern w:val="2"/>
      <w:sz w:val="18"/>
      <w:szCs w:val="18"/>
    </w:rPr>
  </w:style>
  <w:style w:type="character" w:customStyle="1" w:styleId="123">
    <w:name w:val="正文文本缩进 Char2"/>
    <w:semiHidden/>
    <w:qFormat/>
    <w:uiPriority w:val="99"/>
    <w:rPr>
      <w:kern w:val="2"/>
      <w:sz w:val="21"/>
      <w:szCs w:val="22"/>
    </w:rPr>
  </w:style>
  <w:style w:type="character" w:customStyle="1" w:styleId="124">
    <w:name w:val="表格文字 Char"/>
    <w:uiPriority w:val="0"/>
    <w:rPr>
      <w:rFonts w:ascii="Courier New" w:hAnsi="Courier New" w:eastAsia="宋体"/>
      <w:lang w:bidi="ar-SA"/>
    </w:rPr>
  </w:style>
  <w:style w:type="character" w:customStyle="1" w:styleId="125">
    <w:name w:val="font91"/>
    <w:uiPriority w:val="0"/>
    <w:rPr>
      <w:rFonts w:hint="eastAsia" w:ascii="宋体" w:hAnsi="宋体" w:eastAsia="宋体" w:cs="宋体"/>
      <w:color w:val="000000"/>
      <w:sz w:val="22"/>
      <w:szCs w:val="22"/>
      <w:u w:val="none"/>
    </w:rPr>
  </w:style>
  <w:style w:type="character" w:customStyle="1" w:styleId="126">
    <w:name w:val="张伟正文 Char Char"/>
    <w:link w:val="127"/>
    <w:uiPriority w:val="0"/>
    <w:rPr>
      <w:sz w:val="18"/>
      <w:szCs w:val="18"/>
    </w:rPr>
  </w:style>
  <w:style w:type="paragraph" w:customStyle="1" w:styleId="127">
    <w:name w:val="张伟正文"/>
    <w:basedOn w:val="1"/>
    <w:link w:val="126"/>
    <w:uiPriority w:val="0"/>
    <w:pPr>
      <w:spacing w:line="280" w:lineRule="exact"/>
      <w:ind w:firstLine="420"/>
    </w:pPr>
    <w:rPr>
      <w:rFonts w:asciiTheme="minorHAnsi" w:hAnsiTheme="minorHAnsi" w:eastAsiaTheme="minorEastAsia" w:cstheme="minorBidi"/>
      <w:sz w:val="18"/>
      <w:szCs w:val="18"/>
    </w:rPr>
  </w:style>
  <w:style w:type="character" w:customStyle="1" w:styleId="128">
    <w:name w:val="占位符文本1"/>
    <w:semiHidden/>
    <w:uiPriority w:val="99"/>
    <w:rPr>
      <w:color w:val="808080"/>
    </w:rPr>
  </w:style>
  <w:style w:type="character" w:customStyle="1" w:styleId="129">
    <w:name w:val="[1]正文 Char"/>
    <w:link w:val="130"/>
    <w:uiPriority w:val="0"/>
    <w:rPr>
      <w:rFonts w:ascii="Times New Roman" w:hAnsi="Times New Roman" w:eastAsia="宋体" w:cs="Times New Roman"/>
      <w:kern w:val="0"/>
      <w:sz w:val="28"/>
      <w:szCs w:val="28"/>
      <w:lang w:val="zh-CN"/>
    </w:rPr>
  </w:style>
  <w:style w:type="paragraph" w:customStyle="1" w:styleId="130">
    <w:name w:val="[1]正文"/>
    <w:basedOn w:val="1"/>
    <w:link w:val="129"/>
    <w:qFormat/>
    <w:uiPriority w:val="0"/>
    <w:pPr>
      <w:snapToGrid w:val="0"/>
      <w:spacing w:line="520" w:lineRule="exact"/>
      <w:ind w:firstLine="200" w:firstLineChars="200"/>
    </w:pPr>
    <w:rPr>
      <w:rFonts w:ascii="Times New Roman" w:hAnsi="Times New Roman"/>
      <w:kern w:val="0"/>
      <w:sz w:val="28"/>
      <w:szCs w:val="28"/>
      <w:lang w:val="zh-CN"/>
    </w:rPr>
  </w:style>
  <w:style w:type="character" w:customStyle="1" w:styleId="131">
    <w:name w:val="font41"/>
    <w:qFormat/>
    <w:uiPriority w:val="0"/>
    <w:rPr>
      <w:rFonts w:hint="eastAsia" w:ascii="宋体" w:hAnsi="宋体" w:eastAsia="宋体" w:cs="宋体"/>
      <w:b/>
      <w:color w:val="000000"/>
      <w:sz w:val="28"/>
      <w:szCs w:val="28"/>
      <w:u w:val="none"/>
    </w:rPr>
  </w:style>
  <w:style w:type="character" w:customStyle="1" w:styleId="132">
    <w:name w:val="正文缩进 字符"/>
    <w:link w:val="16"/>
    <w:uiPriority w:val="0"/>
    <w:rPr>
      <w:rFonts w:ascii="CG Times" w:hAnsi="CG Times" w:eastAsia="宋体" w:cs="Times New Roman"/>
      <w:kern w:val="0"/>
      <w:sz w:val="24"/>
      <w:szCs w:val="20"/>
    </w:rPr>
  </w:style>
  <w:style w:type="character" w:customStyle="1" w:styleId="133">
    <w:name w:val="日期 Char1"/>
    <w:qFormat/>
    <w:uiPriority w:val="99"/>
    <w:rPr>
      <w:kern w:val="2"/>
      <w:sz w:val="21"/>
      <w:szCs w:val="24"/>
    </w:rPr>
  </w:style>
  <w:style w:type="character" w:customStyle="1" w:styleId="134">
    <w:name w:val="Char Char3"/>
    <w:uiPriority w:val="0"/>
    <w:rPr>
      <w:rFonts w:ascii="宋体" w:hAnsi="Courier New" w:cs="宋体"/>
      <w:kern w:val="2"/>
      <w:sz w:val="21"/>
      <w:szCs w:val="21"/>
    </w:rPr>
  </w:style>
  <w:style w:type="character" w:customStyle="1" w:styleId="135">
    <w:name w:val="标题 字符"/>
    <w:link w:val="48"/>
    <w:qFormat/>
    <w:uiPriority w:val="10"/>
    <w:rPr>
      <w:rFonts w:ascii="黑体" w:hAnsi="黑体" w:eastAsia="黑体" w:cs="Times New Roman"/>
      <w:sz w:val="44"/>
      <w:szCs w:val="28"/>
    </w:rPr>
  </w:style>
  <w:style w:type="character" w:customStyle="1" w:styleId="136">
    <w:name w:val="批注框文本 字符"/>
    <w:link w:val="30"/>
    <w:qFormat/>
    <w:uiPriority w:val="99"/>
    <w:rPr>
      <w:rFonts w:ascii="Times New Roman" w:hAnsi="Times New Roman" w:eastAsia="宋体" w:cs="Times New Roman"/>
      <w:sz w:val="18"/>
      <w:szCs w:val="18"/>
    </w:rPr>
  </w:style>
  <w:style w:type="character" w:customStyle="1" w:styleId="137">
    <w:name w:val="正文文本 字符"/>
    <w:qFormat/>
    <w:uiPriority w:val="0"/>
    <w:rPr>
      <w:rFonts w:ascii="Times New Roman" w:hAnsi="Times New Roman" w:eastAsia="宋体" w:cs="Times New Roman"/>
      <w:szCs w:val="24"/>
    </w:rPr>
  </w:style>
  <w:style w:type="character" w:customStyle="1" w:styleId="138">
    <w:name w:val="批注文字 字符1"/>
    <w:basedOn w:val="49"/>
    <w:semiHidden/>
    <w:uiPriority w:val="99"/>
    <w:rPr>
      <w:rFonts w:ascii="Calibri" w:hAnsi="Calibri" w:eastAsia="宋体" w:cs="Times New Roman"/>
    </w:rPr>
  </w:style>
  <w:style w:type="paragraph" w:customStyle="1" w:styleId="139">
    <w:name w:val="条"/>
    <w:basedOn w:val="2"/>
    <w:qFormat/>
    <w:uiPriority w:val="0"/>
    <w:pPr>
      <w:tabs>
        <w:tab w:val="left" w:pos="1680"/>
      </w:tabs>
      <w:spacing w:before="200" w:after="180" w:line="240" w:lineRule="auto"/>
      <w:ind w:left="1680" w:hanging="1260"/>
      <w:jc w:val="center"/>
    </w:pPr>
    <w:rPr>
      <w:rFonts w:ascii="Arial" w:hAnsi="宋体" w:eastAsia="黑体"/>
      <w:b w:val="0"/>
      <w:bCs w:val="0"/>
      <w:w w:val="80"/>
      <w:sz w:val="28"/>
      <w:szCs w:val="52"/>
    </w:rPr>
  </w:style>
  <w:style w:type="character" w:customStyle="1" w:styleId="140">
    <w:name w:val="批注主题 字符1"/>
    <w:basedOn w:val="138"/>
    <w:semiHidden/>
    <w:uiPriority w:val="99"/>
    <w:rPr>
      <w:rFonts w:ascii="Calibri" w:hAnsi="Calibri" w:eastAsia="宋体" w:cs="Times New Roman"/>
      <w:b/>
      <w:bCs/>
    </w:rPr>
  </w:style>
  <w:style w:type="character" w:customStyle="1" w:styleId="141">
    <w:name w:val="正文首行缩进 字符1"/>
    <w:basedOn w:val="92"/>
    <w:semiHidden/>
    <w:uiPriority w:val="99"/>
    <w:rPr>
      <w:rFonts w:ascii="Calibri" w:hAnsi="Calibri" w:eastAsia="宋体" w:cs="Times New Roman"/>
    </w:rPr>
  </w:style>
  <w:style w:type="character" w:customStyle="1" w:styleId="142">
    <w:name w:val="正文文本缩进 2 字符1"/>
    <w:basedOn w:val="49"/>
    <w:semiHidden/>
    <w:qFormat/>
    <w:uiPriority w:val="99"/>
    <w:rPr>
      <w:rFonts w:ascii="Calibri" w:hAnsi="Calibri" w:eastAsia="宋体" w:cs="Times New Roman"/>
    </w:rPr>
  </w:style>
  <w:style w:type="paragraph" w:customStyle="1" w:styleId="143">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character" w:customStyle="1" w:styleId="144">
    <w:name w:val="文档结构图 字符1"/>
    <w:basedOn w:val="49"/>
    <w:semiHidden/>
    <w:qFormat/>
    <w:uiPriority w:val="99"/>
    <w:rPr>
      <w:rFonts w:ascii="Microsoft YaHei UI" w:hAnsi="Calibri" w:eastAsia="Microsoft YaHei UI" w:cs="Times New Roman"/>
      <w:sz w:val="18"/>
      <w:szCs w:val="18"/>
    </w:rPr>
  </w:style>
  <w:style w:type="paragraph" w:customStyle="1" w:styleId="145">
    <w:name w:val="AODocTxtL5"/>
    <w:basedOn w:val="146"/>
    <w:qFormat/>
    <w:uiPriority w:val="0"/>
    <w:pPr>
      <w:tabs>
        <w:tab w:val="left" w:pos="360"/>
      </w:tabs>
    </w:pPr>
  </w:style>
  <w:style w:type="paragraph" w:customStyle="1" w:styleId="146">
    <w:name w:val="AODocTxt"/>
    <w:basedOn w:val="147"/>
    <w:qFormat/>
    <w:uiPriority w:val="0"/>
    <w:pPr>
      <w:spacing w:before="240"/>
    </w:pPr>
  </w:style>
  <w:style w:type="paragraph" w:customStyle="1" w:styleId="147">
    <w:name w:val="AOBodyTxt"/>
    <w:basedOn w:val="148"/>
    <w:next w:val="146"/>
    <w:qFormat/>
    <w:uiPriority w:val="0"/>
  </w:style>
  <w:style w:type="paragraph" w:customStyle="1" w:styleId="148">
    <w:name w:val="AONormal"/>
    <w:qFormat/>
    <w:uiPriority w:val="0"/>
    <w:pPr>
      <w:spacing w:line="260" w:lineRule="atLeast"/>
      <w:jc w:val="both"/>
    </w:pPr>
    <w:rPr>
      <w:rFonts w:ascii="Times New Roman" w:hAnsi="Times New Roman" w:eastAsia="宋体" w:cs="Times New Roman"/>
      <w:kern w:val="0"/>
      <w:sz w:val="22"/>
      <w:szCs w:val="20"/>
      <w:lang w:val="en-GB" w:eastAsia="en-US" w:bidi="ar-SA"/>
    </w:rPr>
  </w:style>
  <w:style w:type="paragraph" w:customStyle="1" w:styleId="149">
    <w:name w:val="font7"/>
    <w:basedOn w:val="1"/>
    <w:qFormat/>
    <w:uiPriority w:val="0"/>
    <w:pPr>
      <w:widowControl/>
      <w:spacing w:before="100" w:beforeAutospacing="1" w:after="100" w:afterAutospacing="1"/>
      <w:jc w:val="left"/>
    </w:pPr>
    <w:rPr>
      <w:rFonts w:ascii="宋体" w:hAnsi="宋体" w:cs="宋体"/>
      <w:color w:val="000000"/>
      <w:kern w:val="0"/>
      <w:sz w:val="22"/>
    </w:rPr>
  </w:style>
  <w:style w:type="character" w:customStyle="1" w:styleId="150">
    <w:name w:val="脚注文本 字符1"/>
    <w:basedOn w:val="49"/>
    <w:semiHidden/>
    <w:qFormat/>
    <w:uiPriority w:val="99"/>
    <w:rPr>
      <w:rFonts w:ascii="Calibri" w:hAnsi="Calibri" w:eastAsia="宋体" w:cs="Times New Roman"/>
      <w:sz w:val="18"/>
      <w:szCs w:val="18"/>
    </w:rPr>
  </w:style>
  <w:style w:type="paragraph" w:customStyle="1" w:styleId="15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52">
    <w:name w:val="CM122"/>
    <w:basedOn w:val="1"/>
    <w:next w:val="1"/>
    <w:qFormat/>
    <w:uiPriority w:val="0"/>
    <w:pPr>
      <w:autoSpaceDE w:val="0"/>
      <w:autoSpaceDN w:val="0"/>
      <w:adjustRightInd w:val="0"/>
      <w:spacing w:after="733"/>
      <w:jc w:val="left"/>
    </w:pPr>
    <w:rPr>
      <w:rFonts w:ascii="隶书" w:hAnsi="Times New Roman" w:eastAsia="隶书"/>
      <w:kern w:val="0"/>
      <w:sz w:val="24"/>
      <w:szCs w:val="24"/>
    </w:rPr>
  </w:style>
  <w:style w:type="character" w:customStyle="1" w:styleId="153">
    <w:name w:val="正文文本 3 字符1"/>
    <w:basedOn w:val="49"/>
    <w:semiHidden/>
    <w:qFormat/>
    <w:uiPriority w:val="99"/>
    <w:rPr>
      <w:rFonts w:ascii="Calibri" w:hAnsi="Calibri" w:eastAsia="宋体" w:cs="Times New Roman"/>
      <w:sz w:val="16"/>
      <w:szCs w:val="16"/>
    </w:rPr>
  </w:style>
  <w:style w:type="paragraph" w:customStyle="1" w:styleId="154">
    <w:name w:val="AOHeadings"/>
    <w:basedOn w:val="147"/>
    <w:next w:val="146"/>
    <w:qFormat/>
    <w:uiPriority w:val="0"/>
    <w:pPr>
      <w:spacing w:before="240"/>
    </w:pPr>
  </w:style>
  <w:style w:type="character" w:customStyle="1" w:styleId="155">
    <w:name w:val="正文文本缩进 字符1"/>
    <w:basedOn w:val="49"/>
    <w:semiHidden/>
    <w:qFormat/>
    <w:uiPriority w:val="99"/>
    <w:rPr>
      <w:rFonts w:ascii="Calibri" w:hAnsi="Calibri" w:eastAsia="宋体" w:cs="Times New Roman"/>
    </w:rPr>
  </w:style>
  <w:style w:type="character" w:customStyle="1" w:styleId="156">
    <w:name w:val="纯文本 字符1"/>
    <w:basedOn w:val="49"/>
    <w:semiHidden/>
    <w:qFormat/>
    <w:uiPriority w:val="99"/>
    <w:rPr>
      <w:rFonts w:hAnsi="Courier New" w:cs="Courier New" w:asciiTheme="minorEastAsia"/>
    </w:rPr>
  </w:style>
  <w:style w:type="paragraph" w:customStyle="1" w:styleId="157">
    <w:name w:val="AODefPara"/>
    <w:basedOn w:val="158"/>
    <w:qFormat/>
    <w:uiPriority w:val="0"/>
    <w:pPr>
      <w:tabs>
        <w:tab w:val="left" w:pos="360"/>
      </w:tabs>
      <w:outlineLvl w:val="6"/>
    </w:pPr>
  </w:style>
  <w:style w:type="paragraph" w:customStyle="1" w:styleId="158">
    <w:name w:val="AODefHead"/>
    <w:basedOn w:val="147"/>
    <w:next w:val="157"/>
    <w:qFormat/>
    <w:uiPriority w:val="0"/>
    <w:pPr>
      <w:tabs>
        <w:tab w:val="left" w:pos="720"/>
      </w:tabs>
      <w:spacing w:before="240"/>
      <w:ind w:left="720" w:hanging="720"/>
      <w:outlineLvl w:val="5"/>
    </w:pPr>
  </w:style>
  <w:style w:type="character" w:customStyle="1" w:styleId="159">
    <w:name w:val="日期 字符1"/>
    <w:basedOn w:val="49"/>
    <w:semiHidden/>
    <w:qFormat/>
    <w:uiPriority w:val="99"/>
    <w:rPr>
      <w:rFonts w:ascii="Calibri" w:hAnsi="Calibri" w:eastAsia="宋体" w:cs="Times New Roman"/>
    </w:rPr>
  </w:style>
  <w:style w:type="character" w:customStyle="1" w:styleId="160">
    <w:name w:val="批注框文本 字符1"/>
    <w:basedOn w:val="49"/>
    <w:semiHidden/>
    <w:qFormat/>
    <w:uiPriority w:val="99"/>
    <w:rPr>
      <w:rFonts w:ascii="Calibri" w:hAnsi="Calibri" w:eastAsia="宋体" w:cs="Times New Roman"/>
      <w:sz w:val="18"/>
      <w:szCs w:val="18"/>
    </w:rPr>
  </w:style>
  <w:style w:type="paragraph" w:customStyle="1" w:styleId="161">
    <w:name w:val="AOSignatory"/>
    <w:basedOn w:val="147"/>
    <w:next w:val="146"/>
    <w:qFormat/>
    <w:uiPriority w:val="0"/>
    <w:pPr>
      <w:pageBreakBefore/>
      <w:spacing w:before="240" w:after="240"/>
      <w:jc w:val="center"/>
    </w:pPr>
    <w:rPr>
      <w:b/>
      <w:caps/>
    </w:rPr>
  </w:style>
  <w:style w:type="character" w:customStyle="1" w:styleId="162">
    <w:name w:val="页眉 字符1"/>
    <w:basedOn w:val="49"/>
    <w:semiHidden/>
    <w:qFormat/>
    <w:uiPriority w:val="99"/>
    <w:rPr>
      <w:rFonts w:ascii="Calibri" w:hAnsi="Calibri" w:eastAsia="宋体" w:cs="Times New Roman"/>
      <w:sz w:val="18"/>
      <w:szCs w:val="18"/>
    </w:rPr>
  </w:style>
  <w:style w:type="paragraph" w:customStyle="1" w:styleId="163">
    <w:name w:val="AOHead4"/>
    <w:basedOn w:val="154"/>
    <w:next w:val="164"/>
    <w:qFormat/>
    <w:uiPriority w:val="0"/>
    <w:pPr>
      <w:outlineLvl w:val="3"/>
    </w:pPr>
  </w:style>
  <w:style w:type="paragraph" w:customStyle="1" w:styleId="164">
    <w:name w:val="AODocTxtL3"/>
    <w:basedOn w:val="146"/>
    <w:qFormat/>
    <w:uiPriority w:val="0"/>
    <w:pPr>
      <w:tabs>
        <w:tab w:val="left" w:pos="2160"/>
      </w:tabs>
      <w:ind w:left="2160" w:hanging="420"/>
    </w:pPr>
  </w:style>
  <w:style w:type="character" w:customStyle="1" w:styleId="165">
    <w:name w:val="页脚 字符1"/>
    <w:basedOn w:val="49"/>
    <w:semiHidden/>
    <w:qFormat/>
    <w:uiPriority w:val="99"/>
    <w:rPr>
      <w:rFonts w:ascii="Calibri" w:hAnsi="Calibri" w:eastAsia="宋体" w:cs="Times New Roman"/>
      <w:sz w:val="18"/>
      <w:szCs w:val="18"/>
    </w:rPr>
  </w:style>
  <w:style w:type="paragraph" w:customStyle="1" w:styleId="166">
    <w:name w:val="列出段落3"/>
    <w:basedOn w:val="1"/>
    <w:unhideWhenUsed/>
    <w:qFormat/>
    <w:uiPriority w:val="99"/>
    <w:pPr>
      <w:ind w:firstLine="420" w:firstLineChars="200"/>
    </w:pPr>
    <w:rPr>
      <w:rFonts w:ascii="Times New Roman" w:hAnsi="Times New Roman"/>
      <w:szCs w:val="24"/>
    </w:rPr>
  </w:style>
  <w:style w:type="character" w:customStyle="1" w:styleId="167">
    <w:name w:val="副标题 字符1"/>
    <w:basedOn w:val="49"/>
    <w:qFormat/>
    <w:uiPriority w:val="11"/>
    <w:rPr>
      <w:b/>
      <w:bCs/>
      <w:kern w:val="28"/>
      <w:sz w:val="32"/>
      <w:szCs w:val="32"/>
    </w:rPr>
  </w:style>
  <w:style w:type="character" w:customStyle="1" w:styleId="168">
    <w:name w:val="正文首行缩进 2 字符1"/>
    <w:basedOn w:val="155"/>
    <w:semiHidden/>
    <w:qFormat/>
    <w:uiPriority w:val="99"/>
    <w:rPr>
      <w:rFonts w:ascii="Calibri" w:hAnsi="Calibri" w:eastAsia="宋体" w:cs="Times New Roman"/>
    </w:rPr>
  </w:style>
  <w:style w:type="character" w:customStyle="1" w:styleId="169">
    <w:name w:val="正文文本缩进 3 字符1"/>
    <w:basedOn w:val="49"/>
    <w:semiHidden/>
    <w:qFormat/>
    <w:uiPriority w:val="99"/>
    <w:rPr>
      <w:rFonts w:ascii="Calibri" w:hAnsi="Calibri" w:eastAsia="宋体" w:cs="Times New Roman"/>
      <w:sz w:val="16"/>
      <w:szCs w:val="16"/>
    </w:rPr>
  </w:style>
  <w:style w:type="character" w:customStyle="1" w:styleId="170">
    <w:name w:val="标题 字符1"/>
    <w:basedOn w:val="49"/>
    <w:qFormat/>
    <w:uiPriority w:val="10"/>
    <w:rPr>
      <w:rFonts w:asciiTheme="majorHAnsi" w:hAnsiTheme="majorHAnsi" w:eastAsiaTheme="majorEastAsia" w:cstheme="majorBidi"/>
      <w:b/>
      <w:bCs/>
      <w:sz w:val="32"/>
      <w:szCs w:val="32"/>
    </w:rPr>
  </w:style>
  <w:style w:type="paragraph" w:customStyle="1" w:styleId="171">
    <w:name w:val="Level 1.fo"/>
    <w:basedOn w:val="1"/>
    <w:qFormat/>
    <w:uiPriority w:val="0"/>
    <w:pPr>
      <w:widowControl/>
      <w:spacing w:before="240"/>
      <w:ind w:left="720"/>
      <w:jc w:val="left"/>
    </w:pPr>
    <w:rPr>
      <w:rFonts w:ascii="Palatino" w:hAnsi="Palatino"/>
      <w:kern w:val="0"/>
      <w:sz w:val="22"/>
      <w:szCs w:val="20"/>
      <w:lang w:val="en-AU"/>
    </w:rPr>
  </w:style>
  <w:style w:type="character" w:customStyle="1" w:styleId="172">
    <w:name w:val="HTML 预设格式 字符1"/>
    <w:basedOn w:val="49"/>
    <w:semiHidden/>
    <w:qFormat/>
    <w:uiPriority w:val="99"/>
    <w:rPr>
      <w:rFonts w:ascii="Courier New" w:hAnsi="Courier New" w:eastAsia="宋体" w:cs="Courier New"/>
      <w:sz w:val="20"/>
      <w:szCs w:val="20"/>
    </w:rPr>
  </w:style>
  <w:style w:type="character" w:customStyle="1" w:styleId="173">
    <w:name w:val="正文文本 2 字符1"/>
    <w:basedOn w:val="49"/>
    <w:semiHidden/>
    <w:qFormat/>
    <w:uiPriority w:val="99"/>
    <w:rPr>
      <w:rFonts w:ascii="Calibri" w:hAnsi="Calibri" w:eastAsia="宋体" w:cs="Times New Roman"/>
    </w:rPr>
  </w:style>
  <w:style w:type="paragraph" w:customStyle="1" w:styleId="174">
    <w:name w:val="AOTOCHeading"/>
    <w:basedOn w:val="154"/>
    <w:next w:val="146"/>
    <w:qFormat/>
    <w:uiPriority w:val="0"/>
    <w:pPr>
      <w:tabs>
        <w:tab w:val="right" w:pos="9000"/>
      </w:tabs>
      <w:spacing w:after="240"/>
    </w:pPr>
    <w:rPr>
      <w:b/>
    </w:rPr>
  </w:style>
  <w:style w:type="paragraph" w:customStyle="1" w:styleId="175">
    <w:name w:val="AOAppPartTitle"/>
    <w:basedOn w:val="176"/>
    <w:next w:val="146"/>
    <w:qFormat/>
    <w:uiPriority w:val="0"/>
  </w:style>
  <w:style w:type="paragraph" w:customStyle="1" w:styleId="176">
    <w:name w:val="AOAppTitle"/>
    <w:basedOn w:val="177"/>
    <w:next w:val="146"/>
    <w:qFormat/>
    <w:uiPriority w:val="0"/>
    <w:pPr>
      <w:outlineLvl w:val="1"/>
    </w:pPr>
    <w:rPr>
      <w:b/>
    </w:rPr>
  </w:style>
  <w:style w:type="paragraph" w:customStyle="1" w:styleId="177">
    <w:name w:val="AOAttachments"/>
    <w:basedOn w:val="147"/>
    <w:next w:val="146"/>
    <w:qFormat/>
    <w:uiPriority w:val="0"/>
    <w:pPr>
      <w:spacing w:before="240"/>
      <w:jc w:val="center"/>
    </w:pPr>
    <w:rPr>
      <w:caps/>
    </w:rPr>
  </w:style>
  <w:style w:type="paragraph" w:customStyle="1" w:styleId="178">
    <w:name w:val="AOTOCTitle"/>
    <w:basedOn w:val="154"/>
    <w:next w:val="174"/>
    <w:qFormat/>
    <w:uiPriority w:val="0"/>
    <w:pPr>
      <w:jc w:val="center"/>
    </w:pPr>
    <w:rPr>
      <w:b/>
      <w:caps/>
    </w:rPr>
  </w:style>
  <w:style w:type="paragraph" w:customStyle="1" w:styleId="179">
    <w:name w:val="样式3"/>
    <w:basedOn w:val="1"/>
    <w:qFormat/>
    <w:uiPriority w:val="0"/>
    <w:pPr>
      <w:tabs>
        <w:tab w:val="left" w:pos="482"/>
        <w:tab w:val="left" w:pos="840"/>
      </w:tabs>
      <w:ind w:left="840" w:hanging="420"/>
    </w:pPr>
    <w:rPr>
      <w:rFonts w:ascii="黑体" w:hAnsi="Times New Roman" w:eastAsia="黑体"/>
      <w:sz w:val="24"/>
      <w:szCs w:val="24"/>
    </w:rPr>
  </w:style>
  <w:style w:type="paragraph" w:customStyle="1" w:styleId="180">
    <w:name w:val="font11"/>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81">
    <w:name w:val="Char Char Char1 Char"/>
    <w:basedOn w:val="1"/>
    <w:qFormat/>
    <w:uiPriority w:val="0"/>
    <w:rPr>
      <w:rFonts w:ascii="Times New Roman" w:hAnsi="Times New Roman"/>
      <w:szCs w:val="21"/>
    </w:rPr>
  </w:style>
  <w:style w:type="paragraph" w:customStyle="1" w:styleId="182">
    <w:name w:val="正文缩进2格"/>
    <w:basedOn w:val="1"/>
    <w:qFormat/>
    <w:uiPriority w:val="0"/>
    <w:pPr>
      <w:spacing w:line="600" w:lineRule="exact"/>
      <w:ind w:firstLine="639" w:firstLineChars="206"/>
    </w:pPr>
    <w:rPr>
      <w:rFonts w:ascii="仿宋_GB2312" w:hAnsi="宋体" w:eastAsia="仿宋_GB2312"/>
      <w:sz w:val="31"/>
      <w:szCs w:val="20"/>
    </w:rPr>
  </w:style>
  <w:style w:type="paragraph" w:customStyle="1" w:styleId="183">
    <w:name w:val="aoBodyDocumentReference"/>
    <w:basedOn w:val="1"/>
    <w:qFormat/>
    <w:uiPriority w:val="0"/>
    <w:pPr>
      <w:widowControl/>
    </w:pPr>
    <w:rPr>
      <w:rFonts w:ascii="Times New Roman" w:hAnsi="Times New Roman"/>
      <w:caps/>
      <w:kern w:val="0"/>
      <w:sz w:val="16"/>
      <w:szCs w:val="20"/>
      <w:lang w:val="en-GB" w:eastAsia="en-US"/>
    </w:rPr>
  </w:style>
  <w:style w:type="paragraph" w:customStyle="1" w:styleId="184">
    <w:name w:val="AOSchHead"/>
    <w:basedOn w:val="177"/>
    <w:next w:val="185"/>
    <w:qFormat/>
    <w:uiPriority w:val="0"/>
    <w:pPr>
      <w:pageBreakBefore/>
      <w:outlineLvl w:val="0"/>
    </w:pPr>
  </w:style>
  <w:style w:type="paragraph" w:customStyle="1" w:styleId="185">
    <w:name w:val="AOSchTitle"/>
    <w:basedOn w:val="177"/>
    <w:next w:val="146"/>
    <w:qFormat/>
    <w:uiPriority w:val="0"/>
    <w:pPr>
      <w:outlineLvl w:val="1"/>
    </w:pPr>
    <w:rPr>
      <w:b/>
    </w:rPr>
  </w:style>
  <w:style w:type="paragraph" w:customStyle="1" w:styleId="186">
    <w:name w:val="AODocTxtL6"/>
    <w:basedOn w:val="146"/>
    <w:qFormat/>
    <w:uiPriority w:val="0"/>
    <w:pPr>
      <w:tabs>
        <w:tab w:val="left" w:pos="360"/>
      </w:tabs>
    </w:pPr>
  </w:style>
  <w:style w:type="paragraph" w:customStyle="1" w:styleId="187">
    <w:name w:val="xl7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88">
    <w:name w:val="列出段落1"/>
    <w:basedOn w:val="1"/>
    <w:qFormat/>
    <w:uiPriority w:val="0"/>
    <w:pPr>
      <w:ind w:firstLine="420" w:firstLineChars="200"/>
    </w:pPr>
    <w:rPr>
      <w:rFonts w:ascii="Times New Roman" w:hAnsi="Times New Roman"/>
      <w:szCs w:val="24"/>
    </w:rPr>
  </w:style>
  <w:style w:type="paragraph" w:customStyle="1" w:styleId="189">
    <w:name w:val="xl76"/>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90">
    <w:name w:val="Style2"/>
    <w:basedOn w:val="1"/>
    <w:uiPriority w:val="0"/>
    <w:pPr>
      <w:keepNext/>
      <w:widowControl/>
      <w:spacing w:after="240"/>
      <w:ind w:left="720"/>
    </w:pPr>
    <w:rPr>
      <w:rFonts w:ascii="Times New Roman" w:hAnsi="Times New Roman" w:eastAsia="BatangChe"/>
      <w:b/>
      <w:kern w:val="0"/>
      <w:sz w:val="22"/>
      <w:szCs w:val="20"/>
      <w:lang w:val="en-GB" w:eastAsia="ko-KR"/>
    </w:rPr>
  </w:style>
  <w:style w:type="paragraph" w:customStyle="1" w:styleId="191">
    <w:name w:val="AOAnxPartHead"/>
    <w:basedOn w:val="192"/>
    <w:next w:val="194"/>
    <w:uiPriority w:val="0"/>
    <w:pPr>
      <w:pageBreakBefore w:val="0"/>
      <w:tabs>
        <w:tab w:val="left" w:pos="720"/>
        <w:tab w:val="left" w:pos="1492"/>
      </w:tabs>
      <w:ind w:left="1492" w:hanging="360"/>
    </w:pPr>
  </w:style>
  <w:style w:type="paragraph" w:customStyle="1" w:styleId="192">
    <w:name w:val="AOAnxHead"/>
    <w:basedOn w:val="177"/>
    <w:next w:val="193"/>
    <w:uiPriority w:val="0"/>
    <w:pPr>
      <w:pageBreakBefore/>
      <w:tabs>
        <w:tab w:val="left" w:pos="720"/>
      </w:tabs>
      <w:ind w:left="720" w:hanging="720"/>
      <w:outlineLvl w:val="0"/>
    </w:pPr>
  </w:style>
  <w:style w:type="paragraph" w:customStyle="1" w:styleId="193">
    <w:name w:val="AOAnxTitle"/>
    <w:basedOn w:val="177"/>
    <w:next w:val="146"/>
    <w:uiPriority w:val="0"/>
    <w:pPr>
      <w:outlineLvl w:val="1"/>
    </w:pPr>
    <w:rPr>
      <w:b/>
    </w:rPr>
  </w:style>
  <w:style w:type="paragraph" w:customStyle="1" w:styleId="194">
    <w:name w:val="AOAnxPartTitle"/>
    <w:basedOn w:val="193"/>
    <w:next w:val="146"/>
    <w:uiPriority w:val="0"/>
  </w:style>
  <w:style w:type="paragraph" w:customStyle="1" w:styleId="195">
    <w:name w:val="AOFPCopyright"/>
    <w:basedOn w:val="196"/>
    <w:uiPriority w:val="0"/>
    <w:pPr>
      <w:jc w:val="left"/>
    </w:pPr>
    <w:rPr>
      <w:caps/>
    </w:rPr>
  </w:style>
  <w:style w:type="paragraph" w:customStyle="1" w:styleId="196">
    <w:name w:val="AOFPTxt"/>
    <w:basedOn w:val="197"/>
    <w:uiPriority w:val="0"/>
    <w:pPr>
      <w:jc w:val="center"/>
    </w:pPr>
    <w:rPr>
      <w:b/>
    </w:rPr>
  </w:style>
  <w:style w:type="paragraph" w:customStyle="1" w:styleId="197">
    <w:name w:val="AOFPBP"/>
    <w:basedOn w:val="148"/>
    <w:next w:val="196"/>
    <w:uiPriority w:val="0"/>
  </w:style>
  <w:style w:type="paragraph" w:customStyle="1" w:styleId="198">
    <w:name w:val="AOListNumber"/>
    <w:basedOn w:val="147"/>
    <w:uiPriority w:val="0"/>
    <w:pPr>
      <w:spacing w:before="240"/>
    </w:pPr>
  </w:style>
  <w:style w:type="paragraph" w:customStyle="1" w:styleId="199">
    <w:name w:val="Header 1"/>
    <w:basedOn w:val="1"/>
    <w:uiPriority w:val="0"/>
    <w:pPr>
      <w:widowControl/>
      <w:pBdr>
        <w:bottom w:val="single" w:color="auto" w:sz="4" w:space="1"/>
      </w:pBdr>
      <w:tabs>
        <w:tab w:val="right" w:pos="9029"/>
      </w:tabs>
    </w:pPr>
    <w:rPr>
      <w:rFonts w:ascii="Times New Roman" w:hAnsi="Times New Roman"/>
      <w:kern w:val="0"/>
      <w:sz w:val="16"/>
      <w:szCs w:val="20"/>
      <w:lang w:val="en-GB" w:eastAsia="en-US"/>
    </w:rPr>
  </w:style>
  <w:style w:type="paragraph" w:customStyle="1" w:styleId="200">
    <w:name w:val="xl63"/>
    <w:basedOn w:val="1"/>
    <w:uiPriority w:val="0"/>
    <w:pPr>
      <w:widowControl/>
      <w:spacing w:before="100" w:beforeAutospacing="1" w:after="100" w:afterAutospacing="1"/>
      <w:jc w:val="center"/>
    </w:pPr>
    <w:rPr>
      <w:rFonts w:ascii="宋体" w:hAnsi="宋体" w:cs="宋体"/>
      <w:kern w:val="0"/>
      <w:sz w:val="24"/>
      <w:szCs w:val="24"/>
    </w:rPr>
  </w:style>
  <w:style w:type="paragraph" w:customStyle="1" w:styleId="201">
    <w:name w:val="1"/>
    <w:basedOn w:val="1"/>
    <w:next w:val="26"/>
    <w:uiPriority w:val="0"/>
    <w:rPr>
      <w:rFonts w:ascii="宋体" w:hAnsi="Courier New"/>
      <w:szCs w:val="20"/>
    </w:rPr>
  </w:style>
  <w:style w:type="paragraph" w:customStyle="1" w:styleId="202">
    <w:name w:val="yu"/>
    <w:basedOn w:val="1"/>
    <w:uiPriority w:val="0"/>
    <w:pPr>
      <w:autoSpaceDE w:val="0"/>
      <w:autoSpaceDN w:val="0"/>
      <w:adjustRightInd w:val="0"/>
      <w:spacing w:before="120" w:after="120" w:line="360" w:lineRule="atLeast"/>
      <w:ind w:left="720" w:firstLine="533"/>
    </w:pPr>
    <w:rPr>
      <w:rFonts w:ascii="宋体" w:hAnsi="Times New Roman"/>
      <w:kern w:val="0"/>
      <w:sz w:val="24"/>
      <w:szCs w:val="24"/>
    </w:rPr>
  </w:style>
  <w:style w:type="paragraph" w:customStyle="1" w:styleId="203">
    <w:name w:val="Level(I)"/>
    <w:basedOn w:val="1"/>
    <w:next w:val="204"/>
    <w:uiPriority w:val="0"/>
    <w:pPr>
      <w:widowControl/>
      <w:tabs>
        <w:tab w:val="left" w:pos="3600"/>
      </w:tabs>
      <w:spacing w:before="240"/>
      <w:ind w:left="3600" w:hanging="720"/>
      <w:jc w:val="left"/>
      <w:outlineLvl w:val="6"/>
    </w:pPr>
    <w:rPr>
      <w:rFonts w:ascii="Palatino" w:hAnsi="Palatino"/>
      <w:kern w:val="0"/>
      <w:sz w:val="22"/>
      <w:szCs w:val="20"/>
      <w:lang w:val="en-AU"/>
    </w:rPr>
  </w:style>
  <w:style w:type="paragraph" w:customStyle="1" w:styleId="204">
    <w:name w:val="Level (I)fo"/>
    <w:basedOn w:val="1"/>
    <w:uiPriority w:val="0"/>
    <w:pPr>
      <w:widowControl/>
      <w:spacing w:before="240"/>
      <w:ind w:left="3600"/>
      <w:jc w:val="left"/>
    </w:pPr>
    <w:rPr>
      <w:rFonts w:ascii="Palatino" w:hAnsi="Palatino"/>
      <w:kern w:val="0"/>
      <w:sz w:val="22"/>
      <w:szCs w:val="20"/>
      <w:lang w:val="en-AU"/>
    </w:rPr>
  </w:style>
  <w:style w:type="paragraph" w:customStyle="1" w:styleId="205">
    <w:name w:val="OmniPage #77"/>
    <w:uiPriority w:val="0"/>
    <w:pPr>
      <w:widowControl w:val="0"/>
      <w:tabs>
        <w:tab w:val="left" w:pos="2352"/>
        <w:tab w:val="left" w:pos="2502"/>
        <w:tab w:val="left" w:pos="2746"/>
        <w:tab w:val="right" w:pos="8376"/>
      </w:tabs>
      <w:suppressAutoHyphens/>
      <w:spacing w:line="222" w:lineRule="exact"/>
    </w:pPr>
    <w:rPr>
      <w:rFonts w:ascii="Courier" w:hAnsi="Courier" w:eastAsia="宋体" w:cs="Times New Roman"/>
      <w:snapToGrid w:val="0"/>
      <w:kern w:val="0"/>
      <w:sz w:val="24"/>
      <w:szCs w:val="20"/>
      <w:lang w:val="en-US" w:eastAsia="ko-KR" w:bidi="ar-SA"/>
    </w:rPr>
  </w:style>
  <w:style w:type="paragraph" w:customStyle="1" w:styleId="206">
    <w:name w:val="AOHeaderC"/>
    <w:basedOn w:val="207"/>
    <w:uiPriority w:val="0"/>
    <w:pPr>
      <w:jc w:val="left"/>
    </w:pPr>
    <w:rPr>
      <w:sz w:val="16"/>
    </w:rPr>
  </w:style>
  <w:style w:type="paragraph" w:customStyle="1" w:styleId="207">
    <w:name w:val="AOHeaderL"/>
    <w:basedOn w:val="148"/>
    <w:uiPriority w:val="0"/>
  </w:style>
  <w:style w:type="paragraph" w:customStyle="1" w:styleId="208">
    <w:name w:val="AODocTxtL7"/>
    <w:basedOn w:val="146"/>
    <w:uiPriority w:val="0"/>
    <w:pPr>
      <w:tabs>
        <w:tab w:val="left" w:pos="360"/>
      </w:tabs>
    </w:pPr>
  </w:style>
  <w:style w:type="paragraph" w:customStyle="1" w:styleId="209">
    <w:name w:val="标题 41"/>
    <w:basedOn w:val="1"/>
    <w:qFormat/>
    <w:uiPriority w:val="0"/>
    <w:pPr>
      <w:autoSpaceDE w:val="0"/>
      <w:autoSpaceDN w:val="0"/>
      <w:adjustRightInd w:val="0"/>
      <w:jc w:val="left"/>
      <w:outlineLvl w:val="3"/>
    </w:pPr>
    <w:rPr>
      <w:rFonts w:ascii="Arial" w:hAnsi="Arial" w:cs="Arial"/>
      <w:kern w:val="0"/>
      <w:sz w:val="28"/>
      <w:szCs w:val="28"/>
    </w:rPr>
  </w:style>
  <w:style w:type="paragraph" w:customStyle="1" w:styleId="210">
    <w:name w:val="Zchn Zchn1 Char Char Zchn Zchn"/>
    <w:basedOn w:val="1"/>
    <w:uiPriority w:val="0"/>
    <w:pPr>
      <w:widowControl/>
      <w:topLinePunct/>
      <w:autoSpaceDE w:val="0"/>
      <w:autoSpaceDN w:val="0"/>
      <w:spacing w:line="520" w:lineRule="exact"/>
      <w:ind w:firstLine="560" w:firstLineChars="200"/>
    </w:pPr>
    <w:rPr>
      <w:rFonts w:ascii="Times New Roman" w:hAnsi="Times New Roman"/>
      <w:szCs w:val="24"/>
    </w:rPr>
  </w:style>
  <w:style w:type="paragraph" w:customStyle="1" w:styleId="211">
    <w:name w:val="font6"/>
    <w:basedOn w:val="1"/>
    <w:uiPriority w:val="0"/>
    <w:pPr>
      <w:widowControl/>
      <w:spacing w:before="100" w:beforeAutospacing="1" w:after="100" w:afterAutospacing="1"/>
      <w:jc w:val="left"/>
    </w:pPr>
    <w:rPr>
      <w:rFonts w:ascii="宋体" w:hAnsi="宋体" w:cs="宋体"/>
      <w:color w:val="000000"/>
      <w:kern w:val="0"/>
      <w:sz w:val="22"/>
    </w:rPr>
  </w:style>
  <w:style w:type="paragraph" w:customStyle="1" w:styleId="212">
    <w:name w:val="xl64"/>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13">
    <w:name w:val="Level 1."/>
    <w:basedOn w:val="1"/>
    <w:next w:val="171"/>
    <w:uiPriority w:val="0"/>
    <w:pPr>
      <w:widowControl/>
      <w:tabs>
        <w:tab w:val="left" w:pos="720"/>
      </w:tabs>
      <w:spacing w:before="240"/>
      <w:ind w:left="720" w:hanging="720"/>
      <w:jc w:val="left"/>
      <w:outlineLvl w:val="1"/>
    </w:pPr>
    <w:rPr>
      <w:rFonts w:ascii="Palatino" w:hAnsi="Palatino"/>
      <w:kern w:val="0"/>
      <w:sz w:val="22"/>
      <w:szCs w:val="20"/>
      <w:lang w:val="en-AU"/>
    </w:rPr>
  </w:style>
  <w:style w:type="paragraph" w:customStyle="1" w:styleId="214">
    <w:name w:val="AOBPTxtC"/>
    <w:basedOn w:val="215"/>
    <w:uiPriority w:val="0"/>
    <w:pPr>
      <w:jc w:val="center"/>
    </w:pPr>
  </w:style>
  <w:style w:type="paragraph" w:customStyle="1" w:styleId="215">
    <w:name w:val="AOBPTxtL"/>
    <w:basedOn w:val="197"/>
    <w:uiPriority w:val="0"/>
    <w:pPr>
      <w:jc w:val="left"/>
    </w:pPr>
  </w:style>
  <w:style w:type="paragraph" w:customStyle="1" w:styleId="216">
    <w:name w:val="xl80"/>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17">
    <w:name w:val="AO(A)"/>
    <w:basedOn w:val="147"/>
    <w:next w:val="146"/>
    <w:qFormat/>
    <w:uiPriority w:val="0"/>
    <w:pPr>
      <w:spacing w:before="240"/>
      <w:ind w:left="720" w:hanging="720"/>
    </w:pPr>
  </w:style>
  <w:style w:type="paragraph" w:customStyle="1" w:styleId="218">
    <w:name w:val="列出段落11"/>
    <w:basedOn w:val="1"/>
    <w:qFormat/>
    <w:uiPriority w:val="34"/>
    <w:pPr>
      <w:ind w:firstLine="420" w:firstLineChars="200"/>
    </w:pPr>
  </w:style>
  <w:style w:type="paragraph" w:customStyle="1" w:styleId="219">
    <w:name w:val="AOTOCs"/>
    <w:basedOn w:val="148"/>
    <w:next w:val="35"/>
    <w:uiPriority w:val="0"/>
  </w:style>
  <w:style w:type="paragraph" w:customStyle="1" w:styleId="220">
    <w:name w:val="Level(A)"/>
    <w:basedOn w:val="1"/>
    <w:next w:val="221"/>
    <w:qFormat/>
    <w:uiPriority w:val="0"/>
    <w:pPr>
      <w:widowControl/>
      <w:tabs>
        <w:tab w:val="left" w:pos="2880"/>
      </w:tabs>
      <w:spacing w:before="240"/>
      <w:ind w:left="2880" w:hanging="720"/>
      <w:jc w:val="left"/>
      <w:outlineLvl w:val="5"/>
    </w:pPr>
    <w:rPr>
      <w:rFonts w:ascii="Palatino" w:hAnsi="Palatino"/>
      <w:kern w:val="0"/>
      <w:sz w:val="22"/>
      <w:szCs w:val="20"/>
      <w:lang w:val="en-AU"/>
    </w:rPr>
  </w:style>
  <w:style w:type="paragraph" w:customStyle="1" w:styleId="221">
    <w:name w:val="Level (A)fo"/>
    <w:basedOn w:val="1"/>
    <w:uiPriority w:val="0"/>
    <w:pPr>
      <w:widowControl/>
      <w:spacing w:before="240"/>
      <w:ind w:left="2880"/>
      <w:jc w:val="left"/>
    </w:pPr>
    <w:rPr>
      <w:rFonts w:ascii="Palatino" w:hAnsi="Palatino"/>
      <w:kern w:val="0"/>
      <w:sz w:val="22"/>
      <w:szCs w:val="20"/>
      <w:lang w:val="en-AU"/>
    </w:rPr>
  </w:style>
  <w:style w:type="paragraph" w:customStyle="1" w:styleId="222">
    <w:name w:val="AOFPTitle"/>
    <w:basedOn w:val="196"/>
    <w:qFormat/>
    <w:uiPriority w:val="0"/>
    <w:rPr>
      <w:caps/>
      <w:sz w:val="32"/>
    </w:rPr>
  </w:style>
  <w:style w:type="paragraph" w:customStyle="1" w:styleId="223">
    <w:name w:val="Level (a)fo"/>
    <w:basedOn w:val="1"/>
    <w:uiPriority w:val="0"/>
    <w:pPr>
      <w:widowControl/>
      <w:spacing w:before="240"/>
      <w:ind w:left="1440"/>
      <w:jc w:val="left"/>
    </w:pPr>
    <w:rPr>
      <w:rFonts w:ascii="Palatino" w:hAnsi="Palatino"/>
      <w:kern w:val="0"/>
      <w:sz w:val="22"/>
      <w:szCs w:val="20"/>
      <w:lang w:val="en-AU"/>
    </w:rPr>
  </w:style>
  <w:style w:type="paragraph" w:customStyle="1" w:styleId="224">
    <w:name w:val="AOAppHead"/>
    <w:basedOn w:val="177"/>
    <w:next w:val="176"/>
    <w:uiPriority w:val="0"/>
    <w:pPr>
      <w:pageBreakBefore/>
      <w:outlineLvl w:val="0"/>
    </w:pPr>
  </w:style>
  <w:style w:type="paragraph" w:customStyle="1" w:styleId="225">
    <w:name w:val="列出段落5"/>
    <w:basedOn w:val="1"/>
    <w:qFormat/>
    <w:uiPriority w:val="0"/>
    <w:pPr>
      <w:ind w:firstLine="420" w:firstLineChars="200"/>
    </w:pPr>
  </w:style>
  <w:style w:type="paragraph" w:customStyle="1" w:styleId="226">
    <w:name w:val="AOHeaderR"/>
    <w:basedOn w:val="207"/>
    <w:uiPriority w:val="0"/>
    <w:pPr>
      <w:jc w:val="right"/>
    </w:pPr>
    <w:rPr>
      <w:sz w:val="16"/>
    </w:rPr>
  </w:style>
  <w:style w:type="paragraph" w:customStyle="1" w:styleId="227">
    <w:name w:val="样式1"/>
    <w:basedOn w:val="2"/>
    <w:qFormat/>
    <w:uiPriority w:val="0"/>
    <w:pPr>
      <w:spacing w:before="200" w:after="180" w:line="240" w:lineRule="auto"/>
      <w:jc w:val="center"/>
    </w:pPr>
    <w:rPr>
      <w:rFonts w:ascii="Arial" w:eastAsia="黑体"/>
      <w:b w:val="0"/>
      <w:bCs w:val="0"/>
      <w:w w:val="80"/>
      <w:sz w:val="52"/>
      <w:szCs w:val="52"/>
    </w:rPr>
  </w:style>
  <w:style w:type="paragraph" w:customStyle="1" w:styleId="228">
    <w:name w:val="正文二级"/>
    <w:basedOn w:val="1"/>
    <w:uiPriority w:val="0"/>
    <w:pPr>
      <w:spacing w:before="156" w:beforeLines="50" w:after="156" w:afterLines="50" w:line="360" w:lineRule="auto"/>
      <w:ind w:left="540" w:leftChars="257"/>
    </w:pPr>
    <w:rPr>
      <w:rFonts w:ascii="CG Times" w:hAnsi="CG Times"/>
      <w:sz w:val="24"/>
      <w:szCs w:val="20"/>
    </w:rPr>
  </w:style>
  <w:style w:type="paragraph" w:customStyle="1" w:styleId="229">
    <w:name w:val="AOHead3"/>
    <w:basedOn w:val="154"/>
    <w:next w:val="230"/>
    <w:uiPriority w:val="0"/>
    <w:pPr>
      <w:spacing w:line="360" w:lineRule="auto"/>
      <w:ind w:left="420" w:leftChars="100" w:right="210" w:rightChars="100"/>
      <w:outlineLvl w:val="2"/>
    </w:pPr>
    <w:rPr>
      <w:rFonts w:ascii="宋体" w:hAnsi="宋体"/>
      <w:color w:val="000000"/>
      <w:sz w:val="24"/>
      <w:lang w:eastAsia="zh-CN"/>
    </w:rPr>
  </w:style>
  <w:style w:type="paragraph" w:customStyle="1" w:styleId="230">
    <w:name w:val="AODocTxtL2"/>
    <w:basedOn w:val="146"/>
    <w:uiPriority w:val="0"/>
    <w:pPr>
      <w:tabs>
        <w:tab w:val="left" w:pos="1740"/>
      </w:tabs>
      <w:ind w:left="1740" w:hanging="420"/>
    </w:pPr>
  </w:style>
  <w:style w:type="paragraph" w:customStyle="1" w:styleId="231">
    <w:name w:val="AOAltHead4"/>
    <w:basedOn w:val="163"/>
    <w:next w:val="230"/>
    <w:uiPriority w:val="0"/>
    <w:pPr>
      <w:ind w:left="1440"/>
    </w:pPr>
  </w:style>
  <w:style w:type="paragraph" w:customStyle="1" w:styleId="232">
    <w:name w:val="List Paragraph1"/>
    <w:uiPriority w:val="0"/>
    <w:pPr>
      <w:ind w:firstLine="420" w:firstLineChars="200"/>
    </w:pPr>
    <w:rPr>
      <w:rFonts w:ascii="Times New Roman" w:hAnsi="Times New Roman" w:eastAsia="宋体" w:cs="Times New Roman"/>
      <w:kern w:val="0"/>
      <w:sz w:val="20"/>
      <w:szCs w:val="20"/>
      <w:lang w:val="en-US" w:eastAsia="zh-CN" w:bidi="ar-SA"/>
    </w:rPr>
  </w:style>
  <w:style w:type="paragraph" w:customStyle="1" w:styleId="233">
    <w:name w:val="xl75"/>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34">
    <w:name w:val="列出段落2"/>
    <w:basedOn w:val="1"/>
    <w:qFormat/>
    <w:uiPriority w:val="99"/>
    <w:pPr>
      <w:ind w:firstLine="420" w:firstLineChars="200"/>
    </w:pPr>
    <w:rPr>
      <w:rFonts w:ascii="Times New Roman" w:hAnsi="Times New Roman"/>
      <w:szCs w:val="24"/>
    </w:rPr>
  </w:style>
  <w:style w:type="paragraph" w:customStyle="1" w:styleId="235">
    <w:name w:val="Level (i)fo"/>
    <w:basedOn w:val="1"/>
    <w:uiPriority w:val="0"/>
    <w:pPr>
      <w:widowControl/>
      <w:spacing w:before="240"/>
      <w:ind w:left="2160"/>
      <w:jc w:val="left"/>
    </w:pPr>
    <w:rPr>
      <w:rFonts w:ascii="Palatino" w:hAnsi="Palatino"/>
      <w:kern w:val="0"/>
      <w:sz w:val="22"/>
      <w:szCs w:val="20"/>
      <w:lang w:val="en-AU"/>
    </w:rPr>
  </w:style>
  <w:style w:type="paragraph" w:customStyle="1" w:styleId="236">
    <w:name w:val="AOGenNum1"/>
    <w:basedOn w:val="147"/>
    <w:next w:val="237"/>
    <w:uiPriority w:val="0"/>
    <w:pPr>
      <w:keepNext/>
      <w:spacing w:before="240"/>
      <w:ind w:left="720"/>
    </w:pPr>
    <w:rPr>
      <w:b/>
      <w:caps/>
    </w:rPr>
  </w:style>
  <w:style w:type="paragraph" w:customStyle="1" w:styleId="237">
    <w:name w:val="AOGenNum1Para"/>
    <w:basedOn w:val="236"/>
    <w:next w:val="238"/>
    <w:uiPriority w:val="0"/>
  </w:style>
  <w:style w:type="paragraph" w:customStyle="1" w:styleId="238">
    <w:name w:val="AOGenNum1List"/>
    <w:basedOn w:val="236"/>
    <w:uiPriority w:val="0"/>
  </w:style>
  <w:style w:type="paragraph" w:customStyle="1" w:styleId="239">
    <w:name w:val="AOLocation"/>
    <w:basedOn w:val="197"/>
    <w:uiPriority w:val="0"/>
    <w:pPr>
      <w:spacing w:before="160"/>
      <w:jc w:val="center"/>
    </w:pPr>
  </w:style>
  <w:style w:type="paragraph" w:customStyle="1" w:styleId="240">
    <w:name w:val="TOC 标题1"/>
    <w:basedOn w:val="2"/>
    <w:next w:val="1"/>
    <w:unhideWhenUsed/>
    <w:qFormat/>
    <w:uiPriority w:val="39"/>
    <w:pPr>
      <w:outlineLvl w:val="9"/>
    </w:pPr>
  </w:style>
  <w:style w:type="paragraph" w:customStyle="1" w:styleId="241">
    <w:name w:val="font5"/>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242">
    <w:name w:val="公开招标文件"/>
    <w:basedOn w:val="1"/>
    <w:qFormat/>
    <w:uiPriority w:val="0"/>
    <w:pPr>
      <w:spacing w:line="1000" w:lineRule="exact"/>
      <w:jc w:val="center"/>
    </w:pPr>
    <w:rPr>
      <w:rFonts w:ascii="宋体" w:hAnsi="宋体" w:cs="宋体"/>
      <w:b/>
      <w:bCs/>
      <w:sz w:val="92"/>
      <w:szCs w:val="20"/>
    </w:rPr>
  </w:style>
  <w:style w:type="paragraph" w:customStyle="1" w:styleId="243">
    <w:name w:val="AODocTxtL4"/>
    <w:basedOn w:val="146"/>
    <w:uiPriority w:val="0"/>
    <w:pPr>
      <w:tabs>
        <w:tab w:val="left" w:pos="2580"/>
      </w:tabs>
      <w:ind w:left="2580" w:hanging="420"/>
    </w:pPr>
  </w:style>
  <w:style w:type="paragraph" w:customStyle="1" w:styleId="244">
    <w:name w:val="标题 21"/>
    <w:basedOn w:val="1"/>
    <w:qFormat/>
    <w:uiPriority w:val="1"/>
    <w:pPr>
      <w:autoSpaceDE w:val="0"/>
      <w:autoSpaceDN w:val="0"/>
      <w:adjustRightInd w:val="0"/>
      <w:ind w:left="2890"/>
      <w:jc w:val="left"/>
      <w:outlineLvl w:val="1"/>
    </w:pPr>
    <w:rPr>
      <w:rFonts w:ascii="宋体" w:hAnsi="Times New Roman" w:cs="宋体"/>
      <w:kern w:val="0"/>
      <w:sz w:val="49"/>
      <w:szCs w:val="49"/>
    </w:rPr>
  </w:style>
  <w:style w:type="paragraph" w:customStyle="1" w:styleId="245">
    <w:name w:val="AOFPDate"/>
    <w:basedOn w:val="196"/>
    <w:uiPriority w:val="0"/>
  </w:style>
  <w:style w:type="paragraph" w:customStyle="1" w:styleId="246">
    <w:name w:val="标题 31"/>
    <w:basedOn w:val="1"/>
    <w:uiPriority w:val="0"/>
    <w:pPr>
      <w:autoSpaceDE w:val="0"/>
      <w:autoSpaceDN w:val="0"/>
      <w:adjustRightInd w:val="0"/>
      <w:jc w:val="left"/>
      <w:outlineLvl w:val="2"/>
    </w:pPr>
    <w:rPr>
      <w:rFonts w:ascii="宋体" w:hAnsi="Times New Roman" w:cs="宋体"/>
      <w:kern w:val="0"/>
      <w:sz w:val="31"/>
      <w:szCs w:val="31"/>
    </w:rPr>
  </w:style>
  <w:style w:type="paragraph" w:customStyle="1" w:styleId="247">
    <w:name w:val="样式4"/>
    <w:basedOn w:val="1"/>
    <w:qFormat/>
    <w:uiPriority w:val="0"/>
    <w:rPr>
      <w:rFonts w:ascii="Arial" w:hAnsi="Arial" w:cs="Arial"/>
      <w:b/>
      <w:sz w:val="24"/>
      <w:szCs w:val="24"/>
    </w:rPr>
  </w:style>
  <w:style w:type="paragraph" w:customStyle="1" w:styleId="248">
    <w:name w:val="一层"/>
    <w:basedOn w:val="2"/>
    <w:qFormat/>
    <w:uiPriority w:val="0"/>
    <w:pPr>
      <w:tabs>
        <w:tab w:val="left" w:pos="540"/>
        <w:tab w:val="left" w:pos="720"/>
      </w:tabs>
      <w:spacing w:before="0" w:after="0" w:line="500" w:lineRule="exact"/>
      <w:jc w:val="center"/>
    </w:pPr>
    <w:rPr>
      <w:rFonts w:ascii="楷体_GB2312" w:hAnsi="宋体" w:eastAsia="楷体_GB2312"/>
      <w:bCs w:val="0"/>
      <w:w w:val="80"/>
      <w:sz w:val="24"/>
      <w:szCs w:val="52"/>
    </w:rPr>
  </w:style>
  <w:style w:type="paragraph" w:customStyle="1" w:styleId="249">
    <w:name w:val="AODocTxtL8"/>
    <w:basedOn w:val="146"/>
    <w:uiPriority w:val="0"/>
    <w:pPr>
      <w:tabs>
        <w:tab w:val="left" w:pos="360"/>
      </w:tabs>
    </w:pPr>
  </w:style>
  <w:style w:type="paragraph" w:customStyle="1" w:styleId="250">
    <w:name w:val="ct"/>
    <w:basedOn w:val="1"/>
    <w:qFormat/>
    <w:uiPriority w:val="0"/>
    <w:pPr>
      <w:spacing w:before="240"/>
      <w:jc w:val="center"/>
    </w:pPr>
    <w:rPr>
      <w:rFonts w:ascii="Palatino" w:hAnsi="Palatino"/>
      <w:b/>
      <w:kern w:val="0"/>
      <w:sz w:val="28"/>
      <w:szCs w:val="20"/>
    </w:rPr>
  </w:style>
  <w:style w:type="paragraph" w:customStyle="1" w:styleId="251">
    <w:name w:val="Char Char Char1"/>
    <w:basedOn w:val="1"/>
    <w:uiPriority w:val="0"/>
    <w:rPr>
      <w:rFonts w:ascii="Tahoma" w:hAnsi="Tahoma"/>
      <w:sz w:val="24"/>
      <w:szCs w:val="20"/>
    </w:rPr>
  </w:style>
  <w:style w:type="paragraph" w:customStyle="1" w:styleId="252">
    <w:name w:val="标题 61"/>
    <w:basedOn w:val="1"/>
    <w:qFormat/>
    <w:uiPriority w:val="0"/>
    <w:pPr>
      <w:autoSpaceDE w:val="0"/>
      <w:autoSpaceDN w:val="0"/>
      <w:adjustRightInd w:val="0"/>
      <w:ind w:left="20"/>
      <w:jc w:val="left"/>
      <w:outlineLvl w:val="5"/>
    </w:pPr>
    <w:rPr>
      <w:rFonts w:ascii="Times New Roman" w:hAnsi="Times New Roman"/>
      <w:kern w:val="0"/>
      <w:sz w:val="24"/>
      <w:szCs w:val="24"/>
    </w:rPr>
  </w:style>
  <w:style w:type="paragraph" w:customStyle="1" w:styleId="253">
    <w:name w:val="AOGenNum3"/>
    <w:basedOn w:val="147"/>
    <w:next w:val="254"/>
    <w:uiPriority w:val="0"/>
    <w:pPr>
      <w:spacing w:before="240"/>
      <w:ind w:left="5040"/>
    </w:pPr>
  </w:style>
  <w:style w:type="paragraph" w:customStyle="1" w:styleId="254">
    <w:name w:val="AOGenNum3List"/>
    <w:basedOn w:val="253"/>
    <w:uiPriority w:val="0"/>
    <w:pPr>
      <w:tabs>
        <w:tab w:val="left" w:pos="360"/>
      </w:tabs>
      <w:ind w:left="0"/>
    </w:pPr>
  </w:style>
  <w:style w:type="paragraph" w:customStyle="1" w:styleId="255">
    <w:name w:val="Char Char Char Char Char Char Char"/>
    <w:basedOn w:val="1"/>
    <w:uiPriority w:val="0"/>
    <w:rPr>
      <w:rFonts w:ascii="Times New Roman" w:hAnsi="Times New Roman"/>
      <w:szCs w:val="21"/>
    </w:rPr>
  </w:style>
  <w:style w:type="paragraph" w:customStyle="1" w:styleId="256">
    <w:name w:val="Char"/>
    <w:basedOn w:val="1"/>
    <w:uiPriority w:val="0"/>
    <w:rPr>
      <w:rFonts w:ascii="Times New Roman" w:hAnsi="Times New Roman"/>
      <w:szCs w:val="21"/>
    </w:rPr>
  </w:style>
  <w:style w:type="paragraph" w:customStyle="1" w:styleId="257">
    <w:name w:val="AOSchPartHead"/>
    <w:basedOn w:val="184"/>
    <w:next w:val="258"/>
    <w:uiPriority w:val="0"/>
    <w:pPr>
      <w:pageBreakBefore w:val="0"/>
      <w:tabs>
        <w:tab w:val="left" w:pos="360"/>
      </w:tabs>
    </w:pPr>
  </w:style>
  <w:style w:type="paragraph" w:customStyle="1" w:styleId="258">
    <w:name w:val="AOSchPartTitle"/>
    <w:basedOn w:val="185"/>
    <w:next w:val="146"/>
    <w:uiPriority w:val="0"/>
  </w:style>
  <w:style w:type="paragraph" w:customStyle="1" w:styleId="259">
    <w:name w:val="AOGenNum2List"/>
    <w:basedOn w:val="260"/>
    <w:uiPriority w:val="0"/>
    <w:pPr>
      <w:keepNext w:val="0"/>
      <w:tabs>
        <w:tab w:val="left" w:pos="360"/>
      </w:tabs>
      <w:ind w:left="0"/>
    </w:pPr>
    <w:rPr>
      <w:b w:val="0"/>
    </w:rPr>
  </w:style>
  <w:style w:type="paragraph" w:customStyle="1" w:styleId="260">
    <w:name w:val="AOGenNum2"/>
    <w:basedOn w:val="147"/>
    <w:next w:val="261"/>
    <w:uiPriority w:val="0"/>
    <w:pPr>
      <w:keepNext/>
      <w:spacing w:before="240"/>
      <w:ind w:left="2880"/>
    </w:pPr>
    <w:rPr>
      <w:b/>
    </w:rPr>
  </w:style>
  <w:style w:type="paragraph" w:customStyle="1" w:styleId="261">
    <w:name w:val="AOGenNum2Para"/>
    <w:basedOn w:val="260"/>
    <w:next w:val="259"/>
    <w:uiPriority w:val="0"/>
    <w:pPr>
      <w:keepNext w:val="0"/>
      <w:tabs>
        <w:tab w:val="left" w:pos="360"/>
      </w:tabs>
      <w:ind w:left="0"/>
    </w:pPr>
    <w:rPr>
      <w:b w:val="0"/>
    </w:rPr>
  </w:style>
  <w:style w:type="paragraph" w:customStyle="1" w:styleId="262">
    <w:name w:val="xl69"/>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63">
    <w:name w:val="xl81"/>
    <w:basedOn w:val="1"/>
    <w:uiPriority w:val="0"/>
    <w:pPr>
      <w:widowControl/>
      <w:pBdr>
        <w:top w:val="single" w:color="auto" w:sz="4" w:space="0"/>
        <w:bottom w:val="single" w:color="auto" w:sz="4" w:space="0"/>
        <w:right w:val="single" w:color="auto" w:sz="4" w:space="0"/>
      </w:pBdr>
      <w:shd w:val="clear" w:color="000000" w:fill="DBEEF3"/>
      <w:spacing w:before="100" w:beforeAutospacing="1" w:after="100" w:afterAutospacing="1"/>
      <w:jc w:val="center"/>
    </w:pPr>
    <w:rPr>
      <w:rFonts w:ascii="仿宋" w:hAnsi="仿宋" w:eastAsia="仿宋" w:cs="宋体"/>
      <w:color w:val="000000"/>
      <w:kern w:val="0"/>
      <w:sz w:val="20"/>
      <w:szCs w:val="20"/>
    </w:rPr>
  </w:style>
  <w:style w:type="paragraph" w:customStyle="1" w:styleId="264">
    <w:name w:val="AOFooterC"/>
    <w:basedOn w:val="265"/>
    <w:uiPriority w:val="0"/>
    <w:pPr>
      <w:jc w:val="center"/>
    </w:pPr>
    <w:rPr>
      <w:sz w:val="16"/>
    </w:rPr>
  </w:style>
  <w:style w:type="paragraph" w:customStyle="1" w:styleId="265">
    <w:name w:val="AOFooterL"/>
    <w:basedOn w:val="148"/>
    <w:uiPriority w:val="0"/>
  </w:style>
  <w:style w:type="paragraph" w:customStyle="1" w:styleId="266">
    <w:name w:val="AOHead5"/>
    <w:basedOn w:val="154"/>
    <w:next w:val="243"/>
    <w:uiPriority w:val="0"/>
    <w:pPr>
      <w:outlineLvl w:val="4"/>
    </w:pPr>
  </w:style>
  <w:style w:type="paragraph" w:customStyle="1" w:styleId="267">
    <w:name w:val="AOHead"/>
    <w:basedOn w:val="154"/>
    <w:next w:val="268"/>
    <w:uiPriority w:val="0"/>
    <w:pPr>
      <w:keepNext/>
      <w:pageBreakBefore/>
      <w:tabs>
        <w:tab w:val="left" w:pos="3600"/>
      </w:tabs>
      <w:ind w:left="3600" w:hanging="720"/>
      <w:jc w:val="center"/>
      <w:outlineLvl w:val="0"/>
    </w:pPr>
    <w:rPr>
      <w:b/>
      <w:caps/>
      <w:kern w:val="28"/>
    </w:rPr>
  </w:style>
  <w:style w:type="paragraph" w:customStyle="1" w:styleId="268">
    <w:name w:val="AOHead1"/>
    <w:basedOn w:val="154"/>
    <w:next w:val="269"/>
    <w:uiPriority w:val="0"/>
    <w:pPr>
      <w:keepNext/>
      <w:spacing w:before="0" w:line="360" w:lineRule="auto"/>
      <w:ind w:left="420"/>
      <w:jc w:val="center"/>
    </w:pPr>
    <w:rPr>
      <w:rFonts w:ascii="黑体" w:hAnsi="宋体" w:eastAsia="黑体"/>
      <w:bCs/>
      <w:caps/>
      <w:color w:val="000000"/>
      <w:kern w:val="28"/>
      <w:sz w:val="30"/>
      <w:lang w:val="en-US" w:eastAsia="zh-CN"/>
    </w:rPr>
  </w:style>
  <w:style w:type="paragraph" w:customStyle="1" w:styleId="269">
    <w:name w:val="AODocTxtL1"/>
    <w:basedOn w:val="146"/>
    <w:uiPriority w:val="0"/>
  </w:style>
  <w:style w:type="paragraph" w:customStyle="1" w:styleId="270">
    <w:name w:val="Header 2"/>
    <w:basedOn w:val="199"/>
    <w:uiPriority w:val="0"/>
    <w:pPr>
      <w:pBdr>
        <w:bottom w:val="none" w:color="auto" w:sz="0" w:space="0"/>
      </w:pBdr>
    </w:pPr>
  </w:style>
  <w:style w:type="paragraph" w:customStyle="1" w:styleId="271">
    <w:name w:val="xl79"/>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72">
    <w:name w:val="AOAltHead2"/>
    <w:basedOn w:val="273"/>
    <w:next w:val="269"/>
    <w:uiPriority w:val="0"/>
    <w:pPr>
      <w:keepNext w:val="0"/>
    </w:pPr>
    <w:rPr>
      <w:b/>
    </w:rPr>
  </w:style>
  <w:style w:type="paragraph" w:customStyle="1" w:styleId="273">
    <w:name w:val="AOHead2"/>
    <w:basedOn w:val="1"/>
    <w:next w:val="1"/>
    <w:uiPriority w:val="0"/>
    <w:pPr>
      <w:keepNext/>
      <w:widowControl/>
      <w:spacing w:line="360" w:lineRule="auto"/>
      <w:ind w:right="210" w:rightChars="100"/>
      <w:outlineLvl w:val="0"/>
    </w:pPr>
    <w:rPr>
      <w:rFonts w:ascii="Arial" w:hAnsi="Arial" w:eastAsia="黑体" w:cs="Arial"/>
      <w:bCs/>
      <w:kern w:val="28"/>
      <w:sz w:val="24"/>
      <w:szCs w:val="24"/>
      <w:lang w:val="en-GB"/>
    </w:rPr>
  </w:style>
  <w:style w:type="paragraph" w:customStyle="1" w:styleId="274">
    <w:name w:val="aoSpecial"/>
    <w:basedOn w:val="1"/>
    <w:uiPriority w:val="0"/>
    <w:pPr>
      <w:widowControl/>
      <w:spacing w:before="220" w:after="440"/>
    </w:pPr>
    <w:rPr>
      <w:rFonts w:ascii="Times New Roman" w:hAnsi="Times New Roman"/>
      <w:b/>
      <w:caps/>
      <w:kern w:val="0"/>
      <w:sz w:val="22"/>
      <w:szCs w:val="20"/>
      <w:lang w:val="en-GB" w:eastAsia="en-US"/>
    </w:rPr>
  </w:style>
  <w:style w:type="paragraph" w:customStyle="1" w:styleId="275">
    <w:name w:val="AO(1)"/>
    <w:basedOn w:val="147"/>
    <w:next w:val="146"/>
    <w:uiPriority w:val="0"/>
    <w:pPr>
      <w:spacing w:before="240"/>
      <w:ind w:left="720"/>
    </w:pPr>
  </w:style>
  <w:style w:type="paragraph" w:customStyle="1" w:styleId="276">
    <w:name w:val="标题 51"/>
    <w:basedOn w:val="1"/>
    <w:qFormat/>
    <w:uiPriority w:val="0"/>
    <w:pPr>
      <w:autoSpaceDE w:val="0"/>
      <w:autoSpaceDN w:val="0"/>
      <w:adjustRightInd w:val="0"/>
      <w:jc w:val="left"/>
      <w:outlineLvl w:val="4"/>
    </w:pPr>
    <w:rPr>
      <w:rFonts w:ascii="宋体" w:hAnsi="Times New Roman" w:cs="宋体"/>
      <w:kern w:val="0"/>
      <w:sz w:val="27"/>
      <w:szCs w:val="27"/>
    </w:rPr>
  </w:style>
  <w:style w:type="paragraph" w:customStyle="1" w:styleId="277">
    <w:name w:val="Char1"/>
    <w:basedOn w:val="1"/>
    <w:uiPriority w:val="0"/>
    <w:pPr>
      <w:tabs>
        <w:tab w:val="left" w:pos="360"/>
      </w:tabs>
      <w:ind w:left="360" w:hanging="360" w:hangingChars="200"/>
    </w:pPr>
    <w:rPr>
      <w:rFonts w:ascii="Times New Roman" w:hAnsi="Times New Roman"/>
      <w:sz w:val="24"/>
      <w:szCs w:val="24"/>
    </w:rPr>
  </w:style>
  <w:style w:type="paragraph" w:customStyle="1" w:styleId="278">
    <w:name w:val="修订1"/>
    <w:semiHidden/>
    <w:uiPriority w:val="99"/>
    <w:rPr>
      <w:rFonts w:ascii="Calibri" w:hAnsi="Calibri" w:eastAsia="宋体" w:cs="Times New Roman"/>
      <w:kern w:val="2"/>
      <w:sz w:val="21"/>
      <w:szCs w:val="22"/>
      <w:lang w:val="en-US" w:eastAsia="zh-CN" w:bidi="ar-SA"/>
    </w:rPr>
  </w:style>
  <w:style w:type="paragraph" w:customStyle="1" w:styleId="279">
    <w:name w:val="AOAltHead1"/>
    <w:basedOn w:val="268"/>
    <w:next w:val="269"/>
    <w:uiPriority w:val="0"/>
    <w:pPr>
      <w:keepNext w:val="0"/>
    </w:pPr>
    <w:rPr>
      <w:b/>
      <w:caps w:val="0"/>
    </w:rPr>
  </w:style>
  <w:style w:type="paragraph" w:customStyle="1" w:styleId="280">
    <w:name w:val="AOAppPartHead"/>
    <w:basedOn w:val="224"/>
    <w:next w:val="175"/>
    <w:uiPriority w:val="0"/>
    <w:pPr>
      <w:pageBreakBefore w:val="0"/>
      <w:tabs>
        <w:tab w:val="left" w:pos="360"/>
      </w:tabs>
      <w:ind w:left="360" w:hanging="360"/>
    </w:pPr>
  </w:style>
  <w:style w:type="paragraph" w:customStyle="1" w:styleId="281">
    <w:name w:val="默认段落字体 Para Char Char Char Char"/>
    <w:basedOn w:val="1"/>
    <w:qFormat/>
    <w:uiPriority w:val="0"/>
    <w:pPr>
      <w:spacing w:line="360" w:lineRule="auto"/>
    </w:pPr>
    <w:rPr>
      <w:rFonts w:ascii="Times New Roman" w:hAnsi="Times New Roman"/>
      <w:szCs w:val="24"/>
    </w:rPr>
  </w:style>
  <w:style w:type="paragraph" w:customStyle="1" w:styleId="282">
    <w:name w:val="Level (i)"/>
    <w:basedOn w:val="1"/>
    <w:next w:val="235"/>
    <w:uiPriority w:val="0"/>
    <w:pPr>
      <w:widowControl/>
      <w:tabs>
        <w:tab w:val="left" w:pos="2160"/>
      </w:tabs>
      <w:spacing w:before="240"/>
      <w:ind w:left="2160" w:hanging="720"/>
      <w:jc w:val="left"/>
      <w:outlineLvl w:val="4"/>
    </w:pPr>
    <w:rPr>
      <w:rFonts w:ascii="Palatino" w:hAnsi="Palatino"/>
      <w:kern w:val="0"/>
      <w:sz w:val="22"/>
      <w:szCs w:val="20"/>
      <w:lang w:val="en-AU"/>
    </w:rPr>
  </w:style>
  <w:style w:type="paragraph" w:customStyle="1" w:styleId="283">
    <w:name w:val="AOHead6"/>
    <w:basedOn w:val="154"/>
    <w:next w:val="145"/>
    <w:uiPriority w:val="0"/>
    <w:pPr>
      <w:tabs>
        <w:tab w:val="left" w:pos="2160"/>
      </w:tabs>
      <w:ind w:left="2160" w:hanging="720"/>
      <w:outlineLvl w:val="5"/>
    </w:pPr>
  </w:style>
  <w:style w:type="paragraph" w:customStyle="1" w:styleId="284">
    <w:name w:val="AOBullet"/>
    <w:basedOn w:val="147"/>
    <w:uiPriority w:val="0"/>
    <w:pPr>
      <w:tabs>
        <w:tab w:val="left" w:pos="720"/>
      </w:tabs>
      <w:spacing w:before="240"/>
      <w:ind w:left="720" w:hanging="720"/>
    </w:pPr>
  </w:style>
  <w:style w:type="paragraph" w:customStyle="1" w:styleId="285">
    <w:name w:val="AOFPTxtCaps"/>
    <w:basedOn w:val="196"/>
    <w:uiPriority w:val="0"/>
    <w:rPr>
      <w:caps/>
    </w:rPr>
  </w:style>
  <w:style w:type="paragraph" w:customStyle="1" w:styleId="286">
    <w:name w:val="toc3"/>
    <w:basedOn w:val="1"/>
    <w:uiPriority w:val="0"/>
    <w:pPr>
      <w:widowControl/>
      <w:tabs>
        <w:tab w:val="left" w:pos="720"/>
        <w:tab w:val="right" w:pos="9029"/>
      </w:tabs>
    </w:pPr>
    <w:rPr>
      <w:rFonts w:ascii="Times New Roman" w:hAnsi="Times New Roman" w:eastAsia="LF Song"/>
      <w:kern w:val="0"/>
      <w:sz w:val="24"/>
      <w:szCs w:val="20"/>
    </w:rPr>
  </w:style>
  <w:style w:type="paragraph" w:customStyle="1" w:styleId="287">
    <w:name w:val="font9"/>
    <w:basedOn w:val="1"/>
    <w:uiPriority w:val="0"/>
    <w:pPr>
      <w:widowControl/>
      <w:spacing w:before="100" w:beforeAutospacing="1" w:after="100" w:afterAutospacing="1"/>
      <w:jc w:val="left"/>
    </w:pPr>
    <w:rPr>
      <w:rFonts w:ascii="Times New Roman" w:hAnsi="Times New Roman"/>
      <w:color w:val="000000"/>
      <w:kern w:val="0"/>
      <w:sz w:val="18"/>
      <w:szCs w:val="18"/>
    </w:rPr>
  </w:style>
  <w:style w:type="paragraph" w:customStyle="1" w:styleId="288">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89">
    <w:name w:val="xl74"/>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90">
    <w:name w:val="默认段落字体 Para Char Char Char Char Char Char Char Char Char Char Char Char Char"/>
    <w:basedOn w:val="1"/>
    <w:qFormat/>
    <w:uiPriority w:val="0"/>
    <w:rPr>
      <w:rFonts w:ascii="Times New Roman" w:hAnsi="Times New Roman"/>
      <w:szCs w:val="24"/>
    </w:rPr>
  </w:style>
  <w:style w:type="paragraph" w:customStyle="1" w:styleId="291">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92">
    <w:name w:val="font8"/>
    <w:basedOn w:val="1"/>
    <w:uiPriority w:val="0"/>
    <w:pPr>
      <w:widowControl/>
      <w:spacing w:before="100" w:beforeAutospacing="1" w:after="100" w:afterAutospacing="1"/>
      <w:jc w:val="left"/>
    </w:pPr>
    <w:rPr>
      <w:rFonts w:ascii="宋体" w:hAnsi="宋体" w:cs="宋体"/>
      <w:color w:val="000000"/>
      <w:kern w:val="0"/>
      <w:sz w:val="22"/>
    </w:rPr>
  </w:style>
  <w:style w:type="paragraph" w:customStyle="1" w:styleId="293">
    <w:name w:val="封面编号"/>
    <w:basedOn w:val="1"/>
    <w:uiPriority w:val="0"/>
    <w:pPr>
      <w:spacing w:line="360" w:lineRule="auto"/>
      <w:jc w:val="center"/>
    </w:pPr>
    <w:rPr>
      <w:rFonts w:ascii="黑体" w:hAnsi="宋体" w:eastAsia="黑体" w:cs="宋体"/>
      <w:b/>
      <w:bCs/>
      <w:sz w:val="38"/>
      <w:szCs w:val="20"/>
    </w:rPr>
  </w:style>
  <w:style w:type="paragraph" w:customStyle="1" w:styleId="294">
    <w:name w:val="无间隔2"/>
    <w:qFormat/>
    <w:uiPriority w:val="0"/>
    <w:rPr>
      <w:rFonts w:ascii="Calibri" w:hAnsi="Calibri" w:eastAsia="宋体" w:cs="Times New Roman"/>
      <w:kern w:val="2"/>
      <w:sz w:val="22"/>
      <w:szCs w:val="22"/>
      <w:lang w:val="en-US" w:eastAsia="zh-CN" w:bidi="ar-SA"/>
    </w:rPr>
  </w:style>
  <w:style w:type="paragraph" w:customStyle="1" w:styleId="295">
    <w:name w:val="xl72"/>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96">
    <w:name w:val="Char Char Char Char Char Char 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297">
    <w:name w:val="列出段落4"/>
    <w:basedOn w:val="1"/>
    <w:qFormat/>
    <w:uiPriority w:val="99"/>
    <w:pPr>
      <w:ind w:firstLine="420" w:firstLineChars="200"/>
    </w:pPr>
    <w:rPr>
      <w:rFonts w:ascii="Times New Roman" w:hAnsi="Times New Roman"/>
      <w:szCs w:val="24"/>
    </w:rPr>
  </w:style>
  <w:style w:type="paragraph" w:customStyle="1" w:styleId="298">
    <w:name w:val="列出段落6"/>
    <w:basedOn w:val="1"/>
    <w:qFormat/>
    <w:uiPriority w:val="99"/>
    <w:pPr>
      <w:ind w:firstLine="420" w:firstLineChars="200"/>
    </w:pPr>
    <w:rPr>
      <w:rFonts w:ascii="Times New Roman" w:hAnsi="Times New Roman"/>
      <w:szCs w:val="24"/>
    </w:rPr>
  </w:style>
  <w:style w:type="paragraph" w:customStyle="1" w:styleId="299">
    <w:name w:val="font0"/>
    <w:basedOn w:val="1"/>
    <w:uiPriority w:val="0"/>
    <w:pPr>
      <w:widowControl/>
      <w:spacing w:before="100" w:beforeAutospacing="1" w:after="100" w:afterAutospacing="1"/>
      <w:jc w:val="left"/>
    </w:pPr>
    <w:rPr>
      <w:rFonts w:ascii="宋体" w:hAnsi="宋体" w:cs="宋体"/>
      <w:color w:val="000000"/>
      <w:kern w:val="0"/>
      <w:sz w:val="22"/>
    </w:rPr>
  </w:style>
  <w:style w:type="paragraph" w:customStyle="1" w:styleId="300">
    <w:name w:val="TOC 标题2"/>
    <w:basedOn w:val="2"/>
    <w:next w:val="1"/>
    <w:unhideWhenUsed/>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301">
    <w:name w:val="p0"/>
    <w:basedOn w:val="1"/>
    <w:uiPriority w:val="0"/>
    <w:pPr>
      <w:widowControl/>
      <w:jc w:val="left"/>
    </w:pPr>
    <w:rPr>
      <w:rFonts w:ascii="Times New Roman" w:hAnsi="Times New Roman"/>
      <w:kern w:val="0"/>
      <w:szCs w:val="21"/>
    </w:rPr>
  </w:style>
  <w:style w:type="paragraph" w:customStyle="1" w:styleId="302">
    <w:name w:val="Table Paragraph"/>
    <w:basedOn w:val="1"/>
    <w:qFormat/>
    <w:uiPriority w:val="1"/>
    <w:pPr>
      <w:autoSpaceDE w:val="0"/>
      <w:autoSpaceDN w:val="0"/>
      <w:adjustRightInd w:val="0"/>
      <w:jc w:val="left"/>
    </w:pPr>
    <w:rPr>
      <w:rFonts w:ascii="Times New Roman" w:hAnsi="Times New Roman"/>
      <w:kern w:val="0"/>
      <w:sz w:val="24"/>
      <w:szCs w:val="24"/>
    </w:rPr>
  </w:style>
  <w:style w:type="paragraph" w:customStyle="1" w:styleId="303">
    <w:name w:val="Level (a)"/>
    <w:basedOn w:val="1"/>
    <w:next w:val="223"/>
    <w:uiPriority w:val="0"/>
    <w:pPr>
      <w:widowControl/>
      <w:tabs>
        <w:tab w:val="left" w:pos="1440"/>
      </w:tabs>
      <w:spacing w:before="240"/>
      <w:ind w:left="1440" w:hanging="720"/>
      <w:jc w:val="left"/>
      <w:outlineLvl w:val="3"/>
    </w:pPr>
    <w:rPr>
      <w:rFonts w:ascii="Palatino" w:hAnsi="Palatino"/>
      <w:kern w:val="0"/>
      <w:sz w:val="22"/>
      <w:szCs w:val="20"/>
      <w:lang w:val="en-AU"/>
    </w:rPr>
  </w:style>
  <w:style w:type="paragraph" w:customStyle="1" w:styleId="304">
    <w:name w:val="表格文字"/>
    <w:basedOn w:val="1"/>
    <w:qFormat/>
    <w:uiPriority w:val="0"/>
    <w:pPr>
      <w:jc w:val="center"/>
    </w:pPr>
    <w:rPr>
      <w:rFonts w:ascii="Times New Roman" w:hAnsi="Times New Roman" w:cs="宋体"/>
      <w:bCs/>
      <w:szCs w:val="20"/>
    </w:rPr>
  </w:style>
  <w:style w:type="paragraph" w:customStyle="1" w:styleId="305">
    <w:name w:val="Level 1.1"/>
    <w:basedOn w:val="1"/>
    <w:next w:val="306"/>
    <w:uiPriority w:val="0"/>
    <w:pPr>
      <w:widowControl/>
      <w:tabs>
        <w:tab w:val="left" w:pos="720"/>
      </w:tabs>
      <w:spacing w:before="240"/>
      <w:ind w:left="720" w:hanging="706"/>
      <w:jc w:val="left"/>
      <w:outlineLvl w:val="2"/>
    </w:pPr>
    <w:rPr>
      <w:rFonts w:ascii="Palatino" w:hAnsi="Palatino"/>
      <w:kern w:val="0"/>
      <w:sz w:val="22"/>
      <w:szCs w:val="20"/>
      <w:lang w:val="en-AU"/>
    </w:rPr>
  </w:style>
  <w:style w:type="paragraph" w:customStyle="1" w:styleId="306">
    <w:name w:val="Level 1.1fo"/>
    <w:basedOn w:val="1"/>
    <w:uiPriority w:val="0"/>
    <w:pPr>
      <w:widowControl/>
      <w:spacing w:before="240"/>
      <w:ind w:left="720"/>
      <w:jc w:val="left"/>
    </w:pPr>
    <w:rPr>
      <w:rFonts w:ascii="Palatino" w:hAnsi="Palatino"/>
      <w:kern w:val="0"/>
      <w:sz w:val="22"/>
      <w:szCs w:val="20"/>
      <w:lang w:val="en-AU"/>
    </w:rPr>
  </w:style>
  <w:style w:type="paragraph" w:customStyle="1" w:styleId="307">
    <w:name w:val="Table of Contents"/>
    <w:basedOn w:val="48"/>
    <w:uiPriority w:val="0"/>
    <w:pPr>
      <w:widowControl/>
      <w:spacing w:beforeLines="0" w:afterLines="0" w:line="240" w:lineRule="auto"/>
      <w:ind w:firstLine="0" w:firstLineChars="0"/>
      <w:outlineLvl w:val="0"/>
    </w:pPr>
    <w:rPr>
      <w:rFonts w:ascii="B Frutiger Bold" w:hAnsi="B Frutiger Bold" w:eastAsia="宋体"/>
      <w:b/>
      <w:sz w:val="24"/>
      <w:szCs w:val="20"/>
      <w:lang w:val="en-AU"/>
    </w:rPr>
  </w:style>
  <w:style w:type="paragraph" w:customStyle="1" w:styleId="308">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09">
    <w:name w:val="AOBPTitle"/>
    <w:basedOn w:val="215"/>
    <w:uiPriority w:val="0"/>
    <w:pPr>
      <w:jc w:val="center"/>
    </w:pPr>
    <w:rPr>
      <w:b/>
      <w:caps/>
    </w:rPr>
  </w:style>
  <w:style w:type="paragraph" w:customStyle="1" w:styleId="310">
    <w:name w:val="Default"/>
    <w:qFormat/>
    <w:uiPriority w:val="99"/>
    <w:pPr>
      <w:widowControl w:val="0"/>
      <w:autoSpaceDE w:val="0"/>
      <w:autoSpaceDN w:val="0"/>
      <w:adjustRightInd w:val="0"/>
    </w:pPr>
    <w:rPr>
      <w:rFonts w:ascii="PMCFK I+ Futura" w:hAnsi="Times New Roman" w:eastAsia="PMCFK I+ Futura" w:cs="PMCFK I+ Futura"/>
      <w:color w:val="000000"/>
      <w:kern w:val="0"/>
      <w:sz w:val="24"/>
      <w:szCs w:val="24"/>
      <w:lang w:val="en-US" w:eastAsia="zh-CN" w:bidi="ar-SA"/>
    </w:rPr>
  </w:style>
  <w:style w:type="paragraph" w:customStyle="1" w:styleId="311">
    <w:name w:val="样式 (符号) 宋体 小四 加粗 段前: 7.8 磅 段后: 7.8 磅 行距: 多倍行距 1.25 字行"/>
    <w:basedOn w:val="1"/>
    <w:next w:val="3"/>
    <w:qFormat/>
    <w:uiPriority w:val="0"/>
    <w:pPr>
      <w:spacing w:before="156" w:after="156" w:line="300" w:lineRule="auto"/>
    </w:pPr>
    <w:rPr>
      <w:rFonts w:ascii="Times New Roman" w:hAnsi="宋体" w:cs="宋体"/>
      <w:b/>
      <w:bCs/>
      <w:sz w:val="24"/>
      <w:szCs w:val="20"/>
    </w:rPr>
  </w:style>
  <w:style w:type="paragraph" w:customStyle="1" w:styleId="312">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13">
    <w:name w:val="Char1 Char Char Char"/>
    <w:basedOn w:val="1"/>
    <w:uiPriority w:val="0"/>
    <w:pPr>
      <w:spacing w:line="360" w:lineRule="auto"/>
      <w:ind w:firstLine="200" w:firstLineChars="200"/>
    </w:pPr>
    <w:rPr>
      <w:rFonts w:ascii="宋体" w:hAnsi="宋体" w:cs="宋体"/>
      <w:sz w:val="24"/>
      <w:szCs w:val="24"/>
    </w:rPr>
  </w:style>
  <w:style w:type="paragraph" w:customStyle="1" w:styleId="314">
    <w:name w:val="p16"/>
    <w:basedOn w:val="1"/>
    <w:uiPriority w:val="0"/>
    <w:pPr>
      <w:widowControl/>
      <w:snapToGrid w:val="0"/>
      <w:spacing w:after="156" w:afterLines="50" w:line="540" w:lineRule="atLeast"/>
      <w:ind w:firstLine="315"/>
    </w:pPr>
    <w:rPr>
      <w:rFonts w:ascii="宋体" w:hAnsi="宋体" w:cs="宋体"/>
      <w:kern w:val="0"/>
      <w:sz w:val="24"/>
      <w:szCs w:val="24"/>
    </w:rPr>
  </w:style>
  <w:style w:type="paragraph" w:customStyle="1" w:styleId="315">
    <w:name w:val="段"/>
    <w:basedOn w:val="1"/>
    <w:qFormat/>
    <w:uiPriority w:val="0"/>
    <w:pPr>
      <w:adjustRightInd w:val="0"/>
      <w:snapToGrid w:val="0"/>
      <w:spacing w:line="360" w:lineRule="auto"/>
      <w:ind w:firstLine="410"/>
    </w:pPr>
    <w:rPr>
      <w:rFonts w:ascii="Times New Roman" w:hAnsi="Times New Roman"/>
      <w:sz w:val="24"/>
      <w:szCs w:val="20"/>
    </w:rPr>
  </w:style>
  <w:style w:type="paragraph" w:customStyle="1" w:styleId="316">
    <w:name w:val="AOPlainFooter"/>
    <w:basedOn w:val="1"/>
    <w:next w:val="1"/>
    <w:uiPriority w:val="0"/>
    <w:pPr>
      <w:widowControl/>
      <w:jc w:val="right"/>
    </w:pPr>
    <w:rPr>
      <w:rFonts w:ascii="Times New Roman" w:hAnsi="Times New Roman"/>
      <w:kern w:val="0"/>
      <w:sz w:val="16"/>
      <w:szCs w:val="20"/>
      <w:lang w:val="en-GB" w:eastAsia="en-US"/>
    </w:rPr>
  </w:style>
  <w:style w:type="paragraph" w:customStyle="1" w:styleId="317">
    <w:name w:val="xl78"/>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18">
    <w:name w:val="xl70"/>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19">
    <w:name w:val="封面第一行"/>
    <w:basedOn w:val="1"/>
    <w:qFormat/>
    <w:uiPriority w:val="0"/>
    <w:pPr>
      <w:spacing w:line="360" w:lineRule="auto"/>
      <w:jc w:val="center"/>
    </w:pPr>
    <w:rPr>
      <w:rFonts w:ascii="黑体" w:hAnsi="宋体" w:eastAsia="黑体" w:cs="宋体"/>
      <w:sz w:val="56"/>
      <w:szCs w:val="20"/>
    </w:rPr>
  </w:style>
  <w:style w:type="paragraph" w:customStyle="1" w:styleId="320">
    <w:name w:val="AOFooterR"/>
    <w:basedOn w:val="265"/>
    <w:uiPriority w:val="0"/>
    <w:pPr>
      <w:jc w:val="right"/>
    </w:pPr>
    <w:rPr>
      <w:sz w:val="16"/>
    </w:rPr>
  </w:style>
  <w:style w:type="paragraph" w:customStyle="1" w:styleId="321">
    <w:name w:val="标题 11"/>
    <w:basedOn w:val="1"/>
    <w:qFormat/>
    <w:uiPriority w:val="1"/>
    <w:pPr>
      <w:autoSpaceDE w:val="0"/>
      <w:autoSpaceDN w:val="0"/>
      <w:adjustRightInd w:val="0"/>
      <w:ind w:left="2068"/>
      <w:jc w:val="left"/>
      <w:outlineLvl w:val="0"/>
    </w:pPr>
    <w:rPr>
      <w:rFonts w:ascii="宋体" w:hAnsi="Times New Roman" w:cs="宋体"/>
      <w:kern w:val="0"/>
      <w:sz w:val="50"/>
      <w:szCs w:val="50"/>
    </w:rPr>
  </w:style>
  <w:style w:type="paragraph" w:customStyle="1" w:styleId="322">
    <w:name w:val="样式2"/>
    <w:basedOn w:val="273"/>
    <w:qFormat/>
    <w:uiPriority w:val="0"/>
  </w:style>
  <w:style w:type="paragraph" w:customStyle="1" w:styleId="323">
    <w:name w:val="AOAltHead3"/>
    <w:basedOn w:val="229"/>
    <w:next w:val="269"/>
    <w:uiPriority w:val="0"/>
    <w:pPr>
      <w:ind w:left="720"/>
    </w:pPr>
  </w:style>
  <w:style w:type="paragraph" w:customStyle="1" w:styleId="324">
    <w:name w:val="AOBPTxtR"/>
    <w:basedOn w:val="215"/>
    <w:uiPriority w:val="0"/>
    <w:pPr>
      <w:jc w:val="right"/>
    </w:pPr>
  </w:style>
  <w:style w:type="paragraph" w:customStyle="1" w:styleId="325">
    <w:name w:val="font10"/>
    <w:basedOn w:val="1"/>
    <w:uiPriority w:val="0"/>
    <w:pPr>
      <w:widowControl/>
      <w:spacing w:before="100" w:beforeAutospacing="1" w:after="100" w:afterAutospacing="1"/>
      <w:jc w:val="left"/>
    </w:pPr>
    <w:rPr>
      <w:rFonts w:ascii="Times New Roman" w:hAnsi="Times New Roman"/>
      <w:color w:val="000000"/>
      <w:kern w:val="0"/>
      <w:sz w:val="18"/>
      <w:szCs w:val="18"/>
    </w:rPr>
  </w:style>
  <w:style w:type="paragraph" w:customStyle="1" w:styleId="326">
    <w:name w:val="AOAltHead5"/>
    <w:basedOn w:val="266"/>
    <w:next w:val="164"/>
    <w:uiPriority w:val="0"/>
  </w:style>
  <w:style w:type="paragraph" w:customStyle="1" w:styleId="327">
    <w:name w:val="Footer 1"/>
    <w:basedOn w:val="1"/>
    <w:next w:val="1"/>
    <w:uiPriority w:val="0"/>
    <w:pPr>
      <w:widowControl/>
      <w:pBdr>
        <w:top w:val="single" w:color="auto" w:sz="4" w:space="1"/>
      </w:pBdr>
    </w:pPr>
    <w:rPr>
      <w:rFonts w:ascii="Times New Roman" w:hAnsi="Times New Roman"/>
      <w:kern w:val="0"/>
      <w:sz w:val="16"/>
      <w:szCs w:val="20"/>
      <w:lang w:val="en-GB" w:eastAsia="en-US"/>
    </w:rPr>
  </w:style>
  <w:style w:type="paragraph" w:customStyle="1" w:styleId="328">
    <w:name w:val="AOAltHead6"/>
    <w:basedOn w:val="283"/>
    <w:next w:val="243"/>
    <w:uiPriority w:val="0"/>
    <w:pPr>
      <w:ind w:left="0" w:firstLine="0"/>
    </w:pPr>
  </w:style>
  <w:style w:type="paragraph" w:customStyle="1" w:styleId="329">
    <w:name w:val="AOTitle"/>
    <w:basedOn w:val="154"/>
    <w:next w:val="174"/>
    <w:uiPriority w:val="0"/>
    <w:pPr>
      <w:jc w:val="center"/>
    </w:pPr>
    <w:rPr>
      <w:b/>
      <w:caps/>
    </w:rPr>
  </w:style>
  <w:style w:type="table" w:customStyle="1" w:styleId="330">
    <w:name w:val="网格型1"/>
    <w:basedOn w:val="57"/>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331">
    <w:name w:val="List Paragraph"/>
    <w:basedOn w:val="1"/>
    <w:qFormat/>
    <w:uiPriority w:val="99"/>
    <w:pPr>
      <w:ind w:firstLine="420" w:firstLineChars="200"/>
    </w:pPr>
  </w:style>
  <w:style w:type="character" w:customStyle="1" w:styleId="332">
    <w:name w:val="未处理的提及1"/>
    <w:basedOn w:val="49"/>
    <w:semiHidden/>
    <w:unhideWhenUsed/>
    <w:uiPriority w:val="99"/>
    <w:rPr>
      <w:color w:val="808080"/>
      <w:shd w:val="clear" w:color="auto" w:fill="E6E6E6"/>
    </w:rPr>
  </w:style>
  <w:style w:type="character" w:styleId="333">
    <w:name w:val="Placeholder Text"/>
    <w:basedOn w:val="49"/>
    <w:unhideWhenUsed/>
    <w:uiPriority w:val="99"/>
    <w:rPr>
      <w:color w:val="808080"/>
    </w:rPr>
  </w:style>
  <w:style w:type="character" w:customStyle="1" w:styleId="334">
    <w:name w:val="未处理的提及2"/>
    <w:basedOn w:val="49"/>
    <w:semiHidden/>
    <w:unhideWhenUsed/>
    <w:uiPriority w:val="99"/>
    <w:rPr>
      <w:color w:val="808080"/>
      <w:shd w:val="clear" w:color="auto" w:fill="E6E6E6"/>
    </w:rPr>
  </w:style>
  <w:style w:type="table" w:customStyle="1" w:styleId="335">
    <w:name w:val="网格型2"/>
    <w:basedOn w:val="57"/>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36">
    <w:name w:val="Unresolved Mention"/>
    <w:basedOn w:val="49"/>
    <w:semiHidden/>
    <w:unhideWhenUsed/>
    <w:uiPriority w:val="99"/>
    <w:rPr>
      <w:color w:val="605E5C"/>
      <w:shd w:val="clear" w:color="auto" w:fill="E1DFDD"/>
    </w:rPr>
  </w:style>
  <w:style w:type="paragraph" w:customStyle="1" w:styleId="337">
    <w:name w:val="Revision"/>
    <w:hidden/>
    <w:semiHidden/>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143</Pages>
  <Words>15854</Words>
  <Characters>90373</Characters>
  <Lines>753</Lines>
  <Paragraphs>212</Paragraphs>
  <TotalTime>311</TotalTime>
  <ScaleCrop>false</ScaleCrop>
  <LinksUpToDate>false</LinksUpToDate>
  <CharactersWithSpaces>106015</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2018-09-16T02:43:00Z</dcterms:created>
  <dc:creator>sunkexxbei</dc:creator>
  <cp:lastModifiedBy>Administrator</cp:lastModifiedBy>
  <cp:lastPrinted>2018-09-18T11:43:00Z</cp:lastPrinted>
  <dcterms:modified xsi:type="dcterms:W3CDTF">2018-09-21T09:06:07Z</dcterms:modified>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