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14:paraId="1E2C7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2" w:hRule="atLeast"/>
        </w:trPr>
        <w:tc>
          <w:tcPr>
            <w:tcW w:w="8748" w:type="dxa"/>
          </w:tcPr>
          <w:p w14:paraId="52FEDD3A">
            <w:pPr>
              <w:pStyle w:val="3"/>
              <w:keepNext w:val="0"/>
              <w:keepLines w:val="0"/>
              <w:pageBreakBefore w:val="0"/>
              <w:widowControl w:val="0"/>
              <w:kinsoku/>
              <w:wordWrap/>
              <w:overflowPunct/>
              <w:topLinePunct w:val="0"/>
              <w:bidi w:val="0"/>
              <w:adjustRightInd/>
              <w:snapToGrid/>
              <w:spacing w:line="360" w:lineRule="auto"/>
              <w:textAlignment w:val="auto"/>
              <w:rPr>
                <w:rFonts w:asciiTheme="majorEastAsia" w:hAnsiTheme="majorEastAsia" w:eastAsiaTheme="majorEastAsia"/>
              </w:rPr>
            </w:pPr>
            <w:r>
              <w:rPr>
                <w:rFonts w:hint="eastAsia" w:hAnsi="宋体" w:cs="宋体"/>
                <w:color w:val="000000"/>
                <w:highlight w:val="none"/>
              </w:rPr>
              <w:t>一、</w:t>
            </w:r>
            <w:r>
              <w:rPr>
                <w:rFonts w:hint="eastAsia" w:asciiTheme="majorEastAsia" w:hAnsiTheme="majorEastAsia" w:eastAsiaTheme="majorEastAsia"/>
              </w:rPr>
              <w:t>工程概况：</w:t>
            </w:r>
            <w:r>
              <w:rPr>
                <w:rFonts w:hint="eastAsia" w:asciiTheme="majorEastAsia" w:hAnsiTheme="majorEastAsia" w:eastAsiaTheme="majorEastAsia"/>
                <w:lang w:val="en-US" w:eastAsia="zh-CN"/>
              </w:rPr>
              <w:t>杭州电子科技大学下沙校区六教男女卫生间改造工程</w:t>
            </w:r>
            <w:r>
              <w:rPr>
                <w:rFonts w:hint="eastAsia" w:hAnsi="宋体" w:cs="宋体"/>
                <w:lang w:eastAsia="zh-CN"/>
              </w:rPr>
              <w:t>，</w:t>
            </w:r>
            <w:r>
              <w:rPr>
                <w:rFonts w:hint="eastAsia" w:hAnsi="宋体" w:cs="宋体"/>
                <w:lang w:val="en-US" w:eastAsia="zh-CN"/>
              </w:rPr>
              <w:t>工程范围为</w:t>
            </w:r>
            <w:r>
              <w:rPr>
                <w:rFonts w:hint="eastAsia" w:asciiTheme="majorEastAsia" w:hAnsiTheme="majorEastAsia" w:eastAsiaTheme="majorEastAsia"/>
                <w:lang w:val="en-US" w:eastAsia="zh-CN"/>
              </w:rPr>
              <w:t>杭州电子科技大学下沙校区六教男女卫生间改造工程</w:t>
            </w:r>
            <w:r>
              <w:rPr>
                <w:rFonts w:hint="eastAsia" w:hAnsi="宋体" w:cs="宋体"/>
                <w:lang w:val="en-US" w:eastAsia="zh-CN"/>
              </w:rPr>
              <w:t>工程量清单内所有内容，</w:t>
            </w:r>
            <w:r>
              <w:rPr>
                <w:rFonts w:hint="eastAsia" w:cs="宋体" w:asciiTheme="majorEastAsia" w:hAnsiTheme="majorEastAsia" w:eastAsiaTheme="majorEastAsia"/>
                <w:color w:val="000000"/>
                <w:lang w:val="en-US" w:eastAsia="zh-CN"/>
              </w:rPr>
              <w:t>含卫生间隔断板更换、镜面玻璃更换、洗手台支架加固、破损扣板更换、平板灯更换等，</w:t>
            </w:r>
            <w:r>
              <w:rPr>
                <w:rFonts w:hint="eastAsia" w:cs="宋体" w:asciiTheme="majorEastAsia" w:hAnsiTheme="majorEastAsia" w:eastAsiaTheme="majorEastAsia"/>
                <w:color w:val="000000"/>
              </w:rPr>
              <w:t>具体内容和工程做法详见</w:t>
            </w:r>
            <w:r>
              <w:rPr>
                <w:rFonts w:hint="eastAsia" w:cs="宋体" w:asciiTheme="majorEastAsia" w:hAnsiTheme="majorEastAsia" w:eastAsiaTheme="majorEastAsia"/>
                <w:color w:val="000000"/>
                <w:lang w:val="en-US" w:eastAsia="zh-CN"/>
              </w:rPr>
              <w:t>工程量清单及招标文件</w:t>
            </w:r>
            <w:r>
              <w:rPr>
                <w:rFonts w:hint="eastAsia" w:cs="宋体" w:asciiTheme="majorEastAsia" w:hAnsiTheme="majorEastAsia" w:eastAsiaTheme="majorEastAsia"/>
                <w:color w:val="000000"/>
              </w:rPr>
              <w:t>。</w:t>
            </w:r>
            <w:bookmarkStart w:id="0" w:name="_GoBack"/>
            <w:bookmarkEnd w:id="0"/>
          </w:p>
          <w:p w14:paraId="692ABF1D">
            <w:pPr>
              <w:autoSpaceDE w:val="0"/>
              <w:autoSpaceDN w:val="0"/>
              <w:adjustRightInd w:val="0"/>
              <w:spacing w:line="360" w:lineRule="auto"/>
              <w:rPr>
                <w:rFonts w:ascii="宋体" w:hAnsi="宋体" w:cs="宋体"/>
                <w:color w:val="000000"/>
                <w:szCs w:val="21"/>
                <w:highlight w:val="none"/>
              </w:rPr>
            </w:pPr>
            <w:r>
              <w:rPr>
                <w:rFonts w:hint="eastAsia" w:ascii="宋体" w:hAnsi="宋体" w:cs="宋体"/>
                <w:color w:val="000000"/>
                <w:szCs w:val="21"/>
                <w:highlight w:val="none"/>
              </w:rPr>
              <w:t>二、工程招标范围：</w:t>
            </w:r>
            <w:r>
              <w:rPr>
                <w:rFonts w:hint="eastAsia" w:cs="宋体" w:eastAsiaTheme="majorEastAsia"/>
                <w:color w:val="000000"/>
                <w:szCs w:val="21"/>
                <w:lang w:val="en-US" w:eastAsia="zh-CN"/>
              </w:rPr>
              <w:t>详见工程量清单及招标文件</w:t>
            </w:r>
            <w:r>
              <w:rPr>
                <w:rFonts w:hint="eastAsia" w:cs="宋体"/>
                <w:color w:val="000000"/>
                <w:szCs w:val="21"/>
              </w:rPr>
              <w:t>。</w:t>
            </w:r>
          </w:p>
          <w:p w14:paraId="7A46138B">
            <w:pPr>
              <w:autoSpaceDE w:val="0"/>
              <w:autoSpaceDN w:val="0"/>
              <w:adjustRightInd w:val="0"/>
              <w:spacing w:line="360" w:lineRule="auto"/>
              <w:rPr>
                <w:rFonts w:hAnsi="宋体" w:cs="宋体"/>
                <w:color w:val="000000"/>
                <w:highlight w:val="none"/>
              </w:rPr>
            </w:pPr>
            <w:r>
              <w:rPr>
                <w:rFonts w:hint="eastAsia" w:hAnsi="宋体" w:cs="宋体"/>
                <w:color w:val="000000"/>
                <w:highlight w:val="none"/>
              </w:rPr>
              <w:t>三、编制依据：</w:t>
            </w:r>
          </w:p>
          <w:p w14:paraId="206F9FD7">
            <w:pPr>
              <w:autoSpaceDE w:val="0"/>
              <w:autoSpaceDN w:val="0"/>
              <w:adjustRightInd w:val="0"/>
              <w:spacing w:line="360" w:lineRule="auto"/>
              <w:ind w:firstLine="420"/>
              <w:rPr>
                <w:rFonts w:ascii="宋体" w:hAnsi="宋体" w:cs="宋体"/>
                <w:color w:val="000000"/>
                <w:szCs w:val="21"/>
                <w:highlight w:val="none"/>
              </w:rPr>
            </w:pPr>
            <w:r>
              <w:rPr>
                <w:rFonts w:ascii="宋体" w:hAnsi="宋体" w:cs="宋体"/>
                <w:color w:val="000000"/>
                <w:szCs w:val="21"/>
                <w:highlight w:val="none"/>
              </w:rPr>
              <w:t>1</w:t>
            </w:r>
            <w:r>
              <w:rPr>
                <w:rFonts w:hint="eastAsia" w:ascii="宋体" w:hAnsi="宋体" w:cs="宋体"/>
                <w:color w:val="000000"/>
                <w:szCs w:val="21"/>
                <w:highlight w:val="none"/>
              </w:rPr>
              <w:t>.《建设工程工程量清单计价规范》（GB50500—2013）；</w:t>
            </w:r>
          </w:p>
          <w:p w14:paraId="17C052D8">
            <w:pPr>
              <w:autoSpaceDE w:val="0"/>
              <w:autoSpaceDN w:val="0"/>
              <w:adjustRightInd w:val="0"/>
              <w:spacing w:line="360" w:lineRule="auto"/>
              <w:ind w:firstLine="420"/>
              <w:rPr>
                <w:rFonts w:ascii="宋体" w:hAnsi="宋体" w:cs="宋体"/>
                <w:color w:val="000000"/>
                <w:szCs w:val="21"/>
                <w:highlight w:val="none"/>
              </w:rPr>
            </w:pPr>
            <w:r>
              <w:rPr>
                <w:rFonts w:ascii="宋体" w:hAnsi="宋体" w:cs="宋体"/>
                <w:color w:val="000000"/>
                <w:szCs w:val="21"/>
                <w:highlight w:val="none"/>
              </w:rPr>
              <w:t>2</w:t>
            </w:r>
            <w:r>
              <w:rPr>
                <w:rFonts w:hint="eastAsia" w:ascii="宋体" w:hAnsi="宋体" w:cs="宋体"/>
                <w:color w:val="000000"/>
                <w:szCs w:val="21"/>
                <w:highlight w:val="none"/>
              </w:rPr>
              <w:t>.《房屋建筑与装饰工程工程量计算规范》（GB50854—2013）；</w:t>
            </w:r>
          </w:p>
          <w:p w14:paraId="6A9EC04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3.《通用安装工程工程量计算规范》（GB50856—2013）；</w:t>
            </w:r>
          </w:p>
          <w:p w14:paraId="06707921">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4．</w:t>
            </w:r>
            <w:r>
              <w:rPr>
                <w:rFonts w:hint="eastAsia" w:cs="宋体" w:asciiTheme="majorEastAsia" w:hAnsiTheme="majorEastAsia" w:eastAsiaTheme="majorEastAsia"/>
                <w:color w:val="000000"/>
                <w:szCs w:val="21"/>
                <w:highlight w:val="none"/>
              </w:rPr>
              <w:t>《浙江省建设工程工程量清单计价指引》（2</w:t>
            </w:r>
            <w:r>
              <w:rPr>
                <w:rFonts w:cs="宋体" w:asciiTheme="majorEastAsia" w:hAnsiTheme="majorEastAsia" w:eastAsiaTheme="majorEastAsia"/>
                <w:color w:val="000000"/>
                <w:szCs w:val="21"/>
                <w:highlight w:val="none"/>
              </w:rPr>
              <w:t>013</w:t>
            </w:r>
            <w:r>
              <w:rPr>
                <w:rFonts w:hint="eastAsia" w:cs="宋体" w:asciiTheme="majorEastAsia" w:hAnsiTheme="majorEastAsia" w:eastAsiaTheme="majorEastAsia"/>
                <w:color w:val="000000"/>
                <w:szCs w:val="21"/>
                <w:highlight w:val="none"/>
              </w:rPr>
              <w:t>版）；</w:t>
            </w:r>
          </w:p>
          <w:p w14:paraId="24FC10B8">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5．《关于印发建设工程工程量计算规范（2013）浙江省补充规定的通知》（浙建站计﹝2013﹞63号）；</w:t>
            </w:r>
          </w:p>
          <w:p w14:paraId="7430B29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6．《杭州市建设工程工程量清单计价实施细则（201</w:t>
            </w:r>
            <w:r>
              <w:rPr>
                <w:rFonts w:ascii="宋体" w:hAnsi="宋体" w:cs="宋体"/>
                <w:color w:val="000000"/>
                <w:szCs w:val="21"/>
                <w:highlight w:val="none"/>
              </w:rPr>
              <w:t>8</w:t>
            </w:r>
            <w:r>
              <w:rPr>
                <w:rFonts w:hint="eastAsia" w:ascii="宋体" w:hAnsi="宋体" w:cs="宋体"/>
                <w:color w:val="000000"/>
                <w:szCs w:val="21"/>
                <w:highlight w:val="none"/>
              </w:rPr>
              <w:t>年修订）》；</w:t>
            </w:r>
          </w:p>
          <w:p w14:paraId="6C04F79C">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7．《浙江省建设工程计价规则》（2018版）；</w:t>
            </w:r>
          </w:p>
          <w:p w14:paraId="17F811EF">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8.《关于增值税调整后我省建设工程计价依据增值税税率及有关计价调整的通知》（浙建建发[2019]92号 ）；</w:t>
            </w:r>
          </w:p>
          <w:p w14:paraId="00EC0C76">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9.《杭州市城乡建设委员会关于推进杭州市建筑施工领域安全生产责任保险工作的通知》（杭建工发[2021]384号）、《关于明确杭州市建筑施工领域安全生产责任保险费用计取的通知》（杭建招标造价中心[2021]84号）；</w:t>
            </w:r>
          </w:p>
          <w:p w14:paraId="7240F7B6">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10.《省建设厅关于调整建筑工程安全文明施工费的通知》（浙建建发[2022]37号）；</w:t>
            </w:r>
          </w:p>
          <w:p w14:paraId="40352B5F">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11.关于贯彻《省建设厅关于调整建筑工程安全文明施工费的通知》的通知（杭建市发[2022]54号）；</w:t>
            </w:r>
          </w:p>
          <w:p w14:paraId="0C5AA2E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12．省、市建设行政主管部门以及工程造价管理机构颁发的相关计价办法和计价规定；</w:t>
            </w:r>
          </w:p>
          <w:p w14:paraId="026B6B3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13．其他与工程项目有关的规范、标准和技术资料；</w:t>
            </w:r>
          </w:p>
          <w:p w14:paraId="5F7D3F7F">
            <w:pPr>
              <w:autoSpaceDE w:val="0"/>
              <w:autoSpaceDN w:val="0"/>
              <w:adjustRightInd w:val="0"/>
              <w:spacing w:line="360" w:lineRule="auto"/>
              <w:ind w:firstLine="1"/>
              <w:jc w:val="left"/>
              <w:rPr>
                <w:rFonts w:ascii="宋体" w:hAnsi="宋体" w:cs="宋体"/>
                <w:color w:val="000000"/>
                <w:szCs w:val="21"/>
                <w:highlight w:val="none"/>
              </w:rPr>
            </w:pPr>
            <w:r>
              <w:rPr>
                <w:rFonts w:hint="eastAsia" w:ascii="宋体" w:hAnsi="宋体" w:cs="宋体"/>
                <w:color w:val="000000"/>
                <w:szCs w:val="21"/>
                <w:highlight w:val="none"/>
              </w:rPr>
              <w:t xml:space="preserve">   </w:t>
            </w:r>
            <w:r>
              <w:rPr>
                <w:rFonts w:ascii="宋体" w:hAnsi="宋体" w:cs="宋体"/>
                <w:color w:val="000000"/>
                <w:szCs w:val="21"/>
                <w:highlight w:val="none"/>
              </w:rPr>
              <w:t xml:space="preserve"> </w:t>
            </w:r>
            <w:r>
              <w:rPr>
                <w:rFonts w:hint="eastAsia" w:ascii="宋体" w:hAnsi="宋体" w:cs="宋体"/>
                <w:color w:val="000000"/>
                <w:szCs w:val="21"/>
                <w:highlight w:val="none"/>
              </w:rPr>
              <w:t>14．施工现场实际情况、工程特点、常规施工方案；</w:t>
            </w:r>
          </w:p>
          <w:p w14:paraId="09172A2F">
            <w:pPr>
              <w:pStyle w:val="3"/>
              <w:tabs>
                <w:tab w:val="left" w:pos="3060"/>
              </w:tabs>
              <w:spacing w:line="360" w:lineRule="auto"/>
              <w:ind w:firstLine="1"/>
              <w:rPr>
                <w:rFonts w:hAnsi="宋体" w:cs="宋体"/>
                <w:color w:val="000000"/>
                <w:highlight w:val="none"/>
              </w:rPr>
            </w:pPr>
            <w:r>
              <w:rPr>
                <w:rFonts w:hint="eastAsia" w:hAnsi="宋体" w:cs="宋体"/>
                <w:color w:val="000000"/>
                <w:highlight w:val="none"/>
              </w:rPr>
              <w:t>四、报价要求：</w:t>
            </w:r>
          </w:p>
          <w:p w14:paraId="279CA9F9">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1．工程量清单应与投标人须知，通用合同条款、专用合同条款、技术标准和要求及图纸等文件结合起来查阅与理解，并根据现场实际情况综合考虑报价；</w:t>
            </w:r>
          </w:p>
          <w:p w14:paraId="7734B7C4">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2．工程量清单中所列的工程数量是估算的或设计的预计数量，仅作为投标的共同基础，不作为最终结算与支付的依据。实际支付应按实际完成的工程量。由承包人按技术标准和要求规定的计算方法，以监理工程师认可的尺寸、断面计量，按工程量清单的单价和总额价计算与支付金额；或者根据具体情况，按合同条款的规定，由监理工程师确定的单价和总额价计算支付金额；</w:t>
            </w:r>
          </w:p>
          <w:p w14:paraId="149BA2B3">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3．工程量清单中本合同工程的每一个细目，都需填入单价；对于没有填入单价或总额价的细目，其费用应视为包括在工作量清单的其他单价或总额价中，承包人必须按监理工程师指令完成工程量清单中未填入单价或总额价的工程细目，但不能得到结算与支付；</w:t>
            </w:r>
          </w:p>
          <w:p w14:paraId="08682F2A">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4</w:t>
            </w:r>
            <w:r>
              <w:rPr>
                <w:rFonts w:hint="eastAsia" w:hAnsi="宋体" w:cs="宋体"/>
                <w:color w:val="000000"/>
                <w:highlight w:val="none"/>
              </w:rPr>
              <w:t>．安全文明施工基本费费率不得低于《浙江省建设工程计价规则》（2018版）规定的下限，按市区工程计取，其中疫情常态化防控及“智慧工地”费用计取按照：浙建建发[2022]37号文件执行，包含在安全文明施工费内，具体如下：</w:t>
            </w:r>
          </w:p>
          <w:p w14:paraId="3E7A4E9A">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装饰工程：取费基数为“人工费</w:t>
            </w:r>
            <w:r>
              <w:rPr>
                <w:rFonts w:hAnsi="宋体" w:cs="宋体"/>
                <w:color w:val="000000"/>
                <w:highlight w:val="none"/>
              </w:rPr>
              <w:t>+</w:t>
            </w:r>
            <w:r>
              <w:rPr>
                <w:rFonts w:hint="eastAsia" w:hAnsi="宋体" w:cs="宋体"/>
                <w:color w:val="000000"/>
                <w:highlight w:val="none"/>
              </w:rPr>
              <w:t>机械费”，最低费率为：5.91%；</w:t>
            </w:r>
          </w:p>
          <w:p w14:paraId="72F15236">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5</w:t>
            </w:r>
            <w:r>
              <w:rPr>
                <w:rFonts w:hint="eastAsia" w:hAnsi="宋体" w:cs="宋体"/>
                <w:color w:val="000000"/>
                <w:highlight w:val="none"/>
              </w:rPr>
              <w:t>．规费费率不得低于《浙江省建设工程计价规则》（</w:t>
            </w:r>
            <w:r>
              <w:rPr>
                <w:rFonts w:hAnsi="宋体" w:cs="宋体"/>
                <w:color w:val="000000"/>
                <w:highlight w:val="none"/>
              </w:rPr>
              <w:t>201</w:t>
            </w:r>
            <w:r>
              <w:rPr>
                <w:rFonts w:hint="eastAsia" w:hAnsi="宋体" w:cs="宋体"/>
                <w:color w:val="000000"/>
                <w:highlight w:val="none"/>
              </w:rPr>
              <w:t>8版）的30%，具体如下：</w:t>
            </w:r>
          </w:p>
          <w:p w14:paraId="30B48742">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装饰工程：取费基数为“人工费</w:t>
            </w:r>
            <w:r>
              <w:rPr>
                <w:rFonts w:hAnsi="宋体" w:cs="宋体"/>
                <w:color w:val="000000"/>
                <w:highlight w:val="none"/>
              </w:rPr>
              <w:t>+</w:t>
            </w:r>
            <w:r>
              <w:rPr>
                <w:rFonts w:hint="eastAsia" w:hAnsi="宋体" w:cs="宋体"/>
                <w:color w:val="000000"/>
                <w:highlight w:val="none"/>
              </w:rPr>
              <w:t>机械费”，最低费率为：8.38%；</w:t>
            </w:r>
          </w:p>
          <w:p w14:paraId="7DE92CFD">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6</w:t>
            </w:r>
            <w:r>
              <w:rPr>
                <w:rFonts w:hint="eastAsia" w:hAnsi="宋体" w:cs="宋体"/>
                <w:color w:val="000000"/>
                <w:highlight w:val="none"/>
              </w:rPr>
              <w:t>．根据杭建市发【2018】578号文规定，企业管理费报价不得低于省建设行政主管部门颁发的施工费用定额和相关取费计价文件规定的对应专业工程企业管理费弹性费率下限乘以20%的计算值。其中安责险计取按照：杭建工发[2021] 384号文件，杭建招标造价中心[2021]84号文件结合本项目实际情况，自行考虑，包含在企业管理费内。同时，投标人必须对企业管理费中所包含的现场临时宿舍空调设施、安全生产责任保险等费用，在相应的清单明细表中(表2-5)进行单独费用报价分析。具体如下：</w:t>
            </w:r>
          </w:p>
          <w:p w14:paraId="7556BEFC">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装饰工程：取费基数为“人工费</w:t>
            </w:r>
            <w:r>
              <w:rPr>
                <w:rFonts w:hAnsi="宋体" w:cs="宋体"/>
                <w:color w:val="000000"/>
                <w:highlight w:val="none"/>
              </w:rPr>
              <w:t>+</w:t>
            </w:r>
            <w:r>
              <w:rPr>
                <w:rFonts w:hint="eastAsia" w:hAnsi="宋体" w:cs="宋体"/>
                <w:color w:val="000000"/>
                <w:highlight w:val="none"/>
              </w:rPr>
              <w:t>机械费”，最低费率为：2.28%；</w:t>
            </w:r>
          </w:p>
          <w:p w14:paraId="60AE8021">
            <w:pPr>
              <w:pStyle w:val="3"/>
              <w:numPr>
                <w:ilvl w:val="0"/>
                <w:numId w:val="1"/>
              </w:numPr>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税金应根据《浙江省建设工程计价规则》（2018版）的规定及浙建建发[2019]92号的相关规定以（税前工程造价）为取费基数, 取费费率为：9%。</w:t>
            </w:r>
          </w:p>
          <w:p w14:paraId="6642032B">
            <w:pPr>
              <w:spacing w:line="360" w:lineRule="exact"/>
              <w:rPr>
                <w:rFonts w:hint="eastAsia" w:ascii="宋体" w:hAnsi="宋体" w:eastAsia="宋体" w:cs="宋体"/>
                <w:color w:val="auto"/>
                <w:kern w:val="24"/>
                <w:sz w:val="21"/>
                <w:szCs w:val="21"/>
                <w:highlight w:val="none"/>
                <w:lang w:val="en-US" w:eastAsia="zh-CN"/>
              </w:rPr>
            </w:pPr>
            <w:r>
              <w:rPr>
                <w:rFonts w:hint="eastAsia" w:ascii="宋体" w:hAnsi="宋体" w:cs="宋体"/>
                <w:b w:val="0"/>
                <w:bCs w:val="0"/>
                <w:szCs w:val="21"/>
                <w:highlight w:val="none"/>
              </w:rPr>
              <w:t>五、招标人自行采购材料的名称、规格型号、数量，要求总承包人提供的服务内容</w:t>
            </w:r>
            <w:r>
              <w:rPr>
                <w:rFonts w:hint="eastAsia" w:ascii="宋体" w:hAnsi="宋体" w:cs="宋体"/>
                <w:b w:val="0"/>
                <w:bCs w:val="0"/>
                <w:szCs w:val="21"/>
                <w:highlight w:val="none"/>
                <w:lang w:eastAsia="zh-CN"/>
              </w:rPr>
              <w:t>：</w:t>
            </w:r>
            <w:r>
              <w:rPr>
                <w:rFonts w:hint="eastAsia" w:ascii="宋体" w:hAnsi="宋体" w:cs="宋体"/>
                <w:b w:val="0"/>
                <w:bCs w:val="0"/>
                <w:szCs w:val="21"/>
                <w:highlight w:val="none"/>
                <w:lang w:val="en-US" w:eastAsia="zh-CN"/>
              </w:rPr>
              <w:t>无。</w:t>
            </w:r>
          </w:p>
          <w:p w14:paraId="2DCFD74C">
            <w:pPr>
              <w:pStyle w:val="3"/>
              <w:spacing w:line="360" w:lineRule="auto"/>
              <w:rPr>
                <w:rFonts w:hAnsi="宋体" w:cs="宋体"/>
                <w:color w:val="000000"/>
                <w:highlight w:val="none"/>
              </w:rPr>
            </w:pPr>
            <w:r>
              <w:rPr>
                <w:rFonts w:hint="eastAsia" w:hAnsi="宋体" w:cs="宋体"/>
                <w:color w:val="000000"/>
                <w:highlight w:val="none"/>
                <w:lang w:val="en-US" w:eastAsia="zh-CN"/>
              </w:rPr>
              <w:t>六</w:t>
            </w:r>
            <w:r>
              <w:rPr>
                <w:rFonts w:hint="eastAsia" w:hAnsi="宋体" w:cs="宋体"/>
                <w:color w:val="000000"/>
                <w:highlight w:val="none"/>
              </w:rPr>
              <w:t>、材料：</w:t>
            </w:r>
          </w:p>
          <w:p w14:paraId="7B37A108">
            <w:pPr>
              <w:keepNext w:val="0"/>
              <w:keepLines w:val="0"/>
              <w:pageBreakBefore w:val="0"/>
              <w:widowControl w:val="0"/>
              <w:tabs>
                <w:tab w:val="left" w:pos="0"/>
              </w:tabs>
              <w:kinsoku/>
              <w:wordWrap/>
              <w:overflowPunct/>
              <w:topLinePunct/>
              <w:autoSpaceDE/>
              <w:autoSpaceDN/>
              <w:bidi w:val="0"/>
              <w:adjustRightInd/>
              <w:snapToGrid/>
              <w:spacing w:line="440" w:lineRule="exact"/>
              <w:ind w:firstLine="420" w:firstLineChars="200"/>
              <w:jc w:val="left"/>
              <w:textAlignment w:val="auto"/>
              <w:rPr>
                <w:rFonts w:hint="eastAsia" w:ascii="宋体" w:hAnsi="宋体"/>
                <w:szCs w:val="21"/>
                <w:highlight w:val="none"/>
              </w:rPr>
            </w:pPr>
            <w:r>
              <w:rPr>
                <w:rFonts w:hint="eastAsia" w:ascii="宋体" w:hAnsi="宋体"/>
                <w:szCs w:val="21"/>
                <w:highlight w:val="none"/>
              </w:rPr>
              <w:t>（一）材料均须是优等品、原厂产品（注：联营厂产品除外）并且需在投标报价时列清主材价格、品牌、产地，人工、辅料等费用均应计入综合单价。所有材料在订货前一周必须书面材料报业主、监理认可、封样。如果施工方因各种原因采购不到投标时所确定的品牌，须得甲方认可，且甲方不承担任何增加费用。</w:t>
            </w:r>
          </w:p>
          <w:p w14:paraId="59A59272">
            <w:pPr>
              <w:keepNext w:val="0"/>
              <w:keepLines w:val="0"/>
              <w:pageBreakBefore w:val="0"/>
              <w:widowControl w:val="0"/>
              <w:kinsoku/>
              <w:wordWrap/>
              <w:overflowPunct/>
              <w:autoSpaceDE/>
              <w:autoSpaceDN/>
              <w:bidi w:val="0"/>
              <w:adjustRightInd/>
              <w:snapToGrid/>
              <w:spacing w:line="400" w:lineRule="exact"/>
              <w:ind w:firstLine="420" w:firstLineChars="200"/>
              <w:textAlignment w:val="auto"/>
              <w:rPr>
                <w:rFonts w:ascii="宋体" w:hAnsi="宋体"/>
                <w:szCs w:val="21"/>
                <w:highlight w:val="none"/>
              </w:rPr>
            </w:pPr>
            <w:r>
              <w:rPr>
                <w:rFonts w:hint="eastAsia" w:ascii="宋体" w:hAnsi="宋体"/>
                <w:szCs w:val="21"/>
                <w:highlight w:val="none"/>
              </w:rPr>
              <w:t>（二）其他的设备、材料等采购：</w:t>
            </w:r>
          </w:p>
          <w:p w14:paraId="4F3EA272">
            <w:pPr>
              <w:spacing w:line="400" w:lineRule="exact"/>
              <w:ind w:firstLine="420" w:firstLineChars="200"/>
              <w:rPr>
                <w:rFonts w:ascii="宋体" w:hAnsi="宋体"/>
                <w:szCs w:val="21"/>
                <w:highlight w:val="none"/>
              </w:rPr>
            </w:pPr>
            <w:r>
              <w:rPr>
                <w:rFonts w:hint="eastAsia" w:ascii="宋体" w:hAnsi="宋体"/>
                <w:szCs w:val="21"/>
                <w:highlight w:val="none"/>
              </w:rPr>
              <w:t>1、所有招标人未确定品牌厂家的材料必须采用信誉好、品牌好、知名度高、同等行业中规模中等以上的生产厂家的产品，产品必须满足国家质量标准，由投标人自行采购；</w:t>
            </w:r>
          </w:p>
          <w:p w14:paraId="2C10F120">
            <w:pPr>
              <w:spacing w:line="400" w:lineRule="exact"/>
              <w:ind w:firstLine="420" w:firstLineChars="200"/>
              <w:rPr>
                <w:rFonts w:ascii="宋体" w:hAnsi="宋体"/>
                <w:szCs w:val="21"/>
                <w:highlight w:val="none"/>
              </w:rPr>
            </w:pPr>
            <w:r>
              <w:rPr>
                <w:rFonts w:hint="eastAsia" w:ascii="宋体" w:hAnsi="宋体"/>
                <w:szCs w:val="21"/>
                <w:highlight w:val="none"/>
              </w:rPr>
              <w:t>2、投标人在材料采购前，投标人须将品牌和基本相关资料（采购的材料厂家须是在同行业中具备中等规模以上、品牌信誉较好）送招标人，经招标人书面认可后方可采购。投标人在施工前必须提供样品、样本并经发包人确认后方可施工，否则招标人有权要求投标人无条件进行调换，由此产生的费用由投标人自负；若投标人已施工，招标人有权要求投标人拆除和重新施工，由投标人承担拆除和重新施工的费用，工期不予顺延；</w:t>
            </w:r>
          </w:p>
          <w:p w14:paraId="7455F87A">
            <w:pPr>
              <w:tabs>
                <w:tab w:val="left" w:pos="0"/>
              </w:tabs>
              <w:topLinePunct/>
              <w:spacing w:line="440" w:lineRule="exact"/>
              <w:ind w:firstLine="420" w:firstLineChars="200"/>
              <w:jc w:val="left"/>
              <w:rPr>
                <w:rFonts w:ascii="宋体" w:hAnsi="宋体" w:cs="宋体"/>
                <w:kern w:val="0"/>
                <w:szCs w:val="21"/>
                <w:highlight w:val="none"/>
                <w:lang w:val="zh-CN"/>
              </w:rPr>
            </w:pPr>
            <w:r>
              <w:rPr>
                <w:rFonts w:hint="eastAsia" w:ascii="宋体" w:hAnsi="宋体"/>
                <w:szCs w:val="21"/>
                <w:highlight w:val="none"/>
              </w:rPr>
              <w:t>3、招标人有权对材料品牌进行变更，投标人应服从并做好配合工作。</w:t>
            </w:r>
            <w:r>
              <w:rPr>
                <w:rFonts w:ascii="宋体" w:hAnsi="宋体" w:cs="宋体"/>
                <w:kern w:val="0"/>
                <w:szCs w:val="21"/>
                <w:highlight w:val="none"/>
                <w:lang w:val="zh-CN"/>
              </w:rPr>
              <w:t xml:space="preserve">  </w:t>
            </w:r>
          </w:p>
          <w:p w14:paraId="59782B16">
            <w:pPr>
              <w:pStyle w:val="3"/>
              <w:spacing w:line="360" w:lineRule="auto"/>
              <w:rPr>
                <w:rFonts w:hAnsi="宋体" w:cs="宋体"/>
                <w:color w:val="000000"/>
                <w:highlight w:val="none"/>
              </w:rPr>
            </w:pPr>
            <w:r>
              <w:rPr>
                <w:rFonts w:hint="eastAsia" w:hAnsi="宋体" w:cs="宋体"/>
                <w:color w:val="000000"/>
                <w:highlight w:val="none"/>
                <w:lang w:val="en-US" w:eastAsia="zh-CN"/>
              </w:rPr>
              <w:t>七</w:t>
            </w:r>
            <w:r>
              <w:rPr>
                <w:rFonts w:hint="eastAsia" w:hAnsi="宋体" w:cs="宋体"/>
                <w:color w:val="000000"/>
                <w:highlight w:val="none"/>
              </w:rPr>
              <w:t>、其他说明：</w:t>
            </w:r>
          </w:p>
          <w:p w14:paraId="03908809">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各投标单位在进行综合单价报价时必须结合施工图、招标文件中的相关条款及清单描述进行报价，清单子目中未能对各节点详图进行完全性描述的必须结合施工图详细节点进行报价，否则视为已计入相应项目综合单价中；若招标文件中的相关条款与清单描述有冲突，投标单位在答疑时提出疑问，未提出的以招标人解释为准；</w:t>
            </w:r>
          </w:p>
          <w:p w14:paraId="10ABED16">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2.各投标单位需要在相应的子目中综合考虑费用；</w:t>
            </w:r>
          </w:p>
          <w:p w14:paraId="798294FB">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3.措施费中以“项”为单位措施项目均一次性包干，费用由各投标单位根据施工组织设计方案自行考虑报价，应考虑现场的各种风险因素；</w:t>
            </w:r>
          </w:p>
          <w:p w14:paraId="73B15276">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4.请投标人充分考虑本工程所有设备单体调试和系统调试完成且经甲方验收后所需的相关调试费用（如水电费等）、满足设备运行环境和储存环境产生的费用（如通风、照明等），并计入投标总价内，各投标单位需要在相应的子目中综合考虑费用整；</w:t>
            </w:r>
          </w:p>
          <w:p w14:paraId="60A9B4D1">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5.根据工程量清单报价原则“固定综合单价”，以“项”为单位的工程量清单项目综合单价为包干价，请投标单位根据项目实际情况合理报价；</w:t>
            </w:r>
          </w:p>
          <w:p w14:paraId="43A835F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6.本项目所用材料承包人必须按国家有关标准和施工图纸要求采购，采购前应先提交其样品（质量等级、规格、颜色等）经监理工程师、发包人代表、使用方等确认许可后方可采购。对部分材料的颜色，在实施过程中有可能根据实际效果进行调整，但费用一律按投标报价执行，各投标单位需要在相应的子目中综合考虑费用；</w:t>
            </w:r>
          </w:p>
          <w:p w14:paraId="450DF18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7.分部分项工程量清单中的工程量是按实物净量计算，一切损耗均应在投标报价内；</w:t>
            </w:r>
          </w:p>
          <w:p w14:paraId="749C57BB">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8.投标人应充分考虑周边建筑、道路和地下管线设施的保护费用，并考虑在总投标价中；</w:t>
            </w:r>
          </w:p>
          <w:p w14:paraId="443B7F1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 xml:space="preserve">9.本工程所有的材料的环保等级必须满足国家及地方标准，符合验收相关规范； </w:t>
            </w:r>
          </w:p>
          <w:p w14:paraId="60DE43A8">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10.投标人应充分考虑脚手架等技术措施，相应费用计入技术措施费中，并充分考虑报价风险，今后结算不进行调整；</w:t>
            </w:r>
          </w:p>
          <w:p w14:paraId="720DE25D">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11.各投标单位应根据现场实际情况自行考虑，包含施工范围内所有的原结构和建筑垃圾拆除及外运等,所有外运物弃置场地及运距由投标人自行综合考虑，相应费用均计入报价，今后不作调整；</w:t>
            </w:r>
          </w:p>
          <w:p w14:paraId="482E8E3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12.相关工艺施工前应做的基层清理工作应包含在投标报价中，清单特征描述中不再一一描述；</w:t>
            </w:r>
          </w:p>
          <w:p w14:paraId="221D921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13.本清单项目特征描述不完整时，投标单位应结合施工图及相关规范、规定等进行综合考虑；</w:t>
            </w:r>
          </w:p>
          <w:p w14:paraId="46D0CBC5">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14.本工程按照《杭州市人民政府办公厅关于印发杭州市建设工程推广应用预拌砂浆管理办法的通知》（杭政办函【2011】32号文件）的要求使用预拌砂浆，投标人应将使用预拌砂浆的费用计入投标报价；</w:t>
            </w:r>
          </w:p>
          <w:p w14:paraId="64C88F12">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15.本工程砼按《杭州市商品混凝土管理办法 杭州市政府令第115号》文件要求使用商品混凝土。</w:t>
            </w:r>
          </w:p>
          <w:p w14:paraId="12707BD4">
            <w:pPr>
              <w:pStyle w:val="3"/>
              <w:spacing w:line="360" w:lineRule="auto"/>
              <w:rPr>
                <w:rFonts w:hint="default"/>
              </w:rPr>
            </w:pPr>
            <w:r>
              <w:rPr>
                <w:rFonts w:hint="eastAsia" w:hAnsi="宋体" w:cs="宋体"/>
                <w:color w:val="000000"/>
                <w:highlight w:val="none"/>
                <w:lang w:val="en-US" w:eastAsia="zh-CN"/>
              </w:rPr>
              <w:t>八</w:t>
            </w:r>
            <w:r>
              <w:rPr>
                <w:rFonts w:hint="eastAsia" w:hAnsi="宋体" w:cs="宋体"/>
                <w:color w:val="000000"/>
                <w:highlight w:val="none"/>
                <w:lang w:val="zh-CN"/>
              </w:rPr>
              <w:t>、其他不详之处，详见国家及地方标准。</w:t>
            </w:r>
          </w:p>
          <w:p w14:paraId="06572AAC">
            <w:pPr>
              <w:tabs>
                <w:tab w:val="left" w:pos="0"/>
              </w:tabs>
              <w:topLinePunct/>
              <w:spacing w:line="440" w:lineRule="exact"/>
              <w:jc w:val="left"/>
              <w:rPr>
                <w:rFonts w:hint="default" w:ascii="Times New Roman" w:hAnsi="Times New Roman" w:eastAsia="宋体" w:cs="Times New Roman"/>
                <w:b/>
                <w:kern w:val="1"/>
                <w:sz w:val="21"/>
                <w:szCs w:val="21"/>
              </w:rPr>
            </w:pPr>
            <w:r>
              <w:rPr>
                <w:rFonts w:hint="default" w:ascii="Times New Roman" w:hAnsi="Times New Roman" w:eastAsia="宋体" w:cs="Times New Roman"/>
                <w:b/>
                <w:kern w:val="1"/>
                <w:sz w:val="21"/>
                <w:szCs w:val="21"/>
              </w:rPr>
              <w:t>品牌推荐表：</w:t>
            </w:r>
          </w:p>
          <w:p w14:paraId="3F64F334">
            <w:pPr>
              <w:spacing w:line="360" w:lineRule="auto"/>
              <w:jc w:val="center"/>
              <w:rPr>
                <w:rFonts w:hint="default" w:ascii="Times New Roman" w:hAnsi="Times New Roman" w:eastAsia="宋体" w:cs="Times New Roman"/>
                <w:kern w:val="1"/>
                <w:sz w:val="21"/>
                <w:szCs w:val="21"/>
              </w:rPr>
            </w:pPr>
            <w:r>
              <w:rPr>
                <w:rFonts w:hint="default" w:ascii="Times New Roman" w:hAnsi="Times New Roman" w:eastAsia="宋体" w:cs="Times New Roman"/>
                <w:kern w:val="1"/>
                <w:sz w:val="21"/>
                <w:szCs w:val="21"/>
              </w:rPr>
              <w:t>招标人推荐材料、设备品牌一览表</w:t>
            </w:r>
          </w:p>
          <w:tbl>
            <w:tblPr>
              <w:tblStyle w:val="8"/>
              <w:tblW w:w="0" w:type="auto"/>
              <w:tblInd w:w="202" w:type="dxa"/>
              <w:tblLayout w:type="fixed"/>
              <w:tblCellMar>
                <w:top w:w="0" w:type="dxa"/>
                <w:left w:w="108" w:type="dxa"/>
                <w:bottom w:w="0" w:type="dxa"/>
                <w:right w:w="108" w:type="dxa"/>
              </w:tblCellMar>
            </w:tblPr>
            <w:tblGrid>
              <w:gridCol w:w="678"/>
              <w:gridCol w:w="2268"/>
              <w:gridCol w:w="2637"/>
              <w:gridCol w:w="1470"/>
              <w:gridCol w:w="1200"/>
            </w:tblGrid>
            <w:tr w14:paraId="65FBAB5F">
              <w:tblPrEx>
                <w:tblCellMar>
                  <w:top w:w="0" w:type="dxa"/>
                  <w:left w:w="108" w:type="dxa"/>
                  <w:bottom w:w="0" w:type="dxa"/>
                  <w:right w:w="108" w:type="dxa"/>
                </w:tblCellMar>
              </w:tblPrEx>
              <w:trPr>
                <w:trHeight w:val="268" w:hRule="atLeast"/>
              </w:trPr>
              <w:tc>
                <w:tcPr>
                  <w:tcW w:w="678" w:type="dxa"/>
                  <w:tcBorders>
                    <w:top w:val="single" w:color="000000" w:sz="4" w:space="0"/>
                    <w:left w:val="single" w:color="000000" w:sz="4" w:space="0"/>
                    <w:bottom w:val="single" w:color="000000" w:sz="4" w:space="0"/>
                    <w:right w:val="single" w:color="000000" w:sz="4" w:space="0"/>
                  </w:tcBorders>
                  <w:noWrap w:val="0"/>
                  <w:vAlign w:val="center"/>
                </w:tcPr>
                <w:p w14:paraId="2C441E97">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序号</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54A69BF5">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材料名称</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53FF0592">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品牌或产地</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6057494A">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等级</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DABAA26">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备注</w:t>
                  </w:r>
                </w:p>
              </w:tc>
            </w:tr>
            <w:tr w14:paraId="74F96452">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FC5A6F">
                  <w:pPr>
                    <w:jc w:val="center"/>
                    <w:rPr>
                      <w:rFonts w:hint="default"/>
                      <w:lang w:val="en-US" w:eastAsia="zh-CN"/>
                    </w:rPr>
                  </w:pPr>
                  <w:r>
                    <w:rPr>
                      <w:rFonts w:hint="eastAsia" w:ascii="宋体" w:hAnsi="宋体" w:cs="宋体"/>
                      <w:sz w:val="21"/>
                      <w:szCs w:val="21"/>
                      <w:lang w:val="en-US" w:eastAsia="zh-CN"/>
                    </w:rPr>
                    <w:t>1</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165C60">
                  <w:pPr>
                    <w:jc w:val="center"/>
                    <w:rPr>
                      <w:rFonts w:hint="eastAsia" w:ascii="宋体" w:hAnsi="宋体" w:cs="宋体"/>
                      <w:sz w:val="21"/>
                      <w:szCs w:val="21"/>
                      <w:lang w:val="en-US" w:eastAsia="zh-CN"/>
                    </w:rPr>
                  </w:pPr>
                  <w:r>
                    <w:rPr>
                      <w:rFonts w:hint="eastAsia" w:ascii="宋体" w:hAnsi="宋体" w:cs="宋体"/>
                      <w:sz w:val="21"/>
                      <w:szCs w:val="21"/>
                      <w:lang w:val="en-US" w:eastAsia="zh-CN"/>
                    </w:rPr>
                    <w:t>铝扣板、洁净板等</w:t>
                  </w:r>
                </w:p>
                <w:p w14:paraId="51DF19F9">
                  <w:pPr>
                    <w:jc w:val="center"/>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集成吊顶</w:t>
                  </w:r>
                </w:p>
              </w:tc>
              <w:tc>
                <w:tcPr>
                  <w:tcW w:w="263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44AE908">
                  <w:pPr>
                    <w:jc w:val="center"/>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友邦、奥普、法狮龙</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D4ECD25">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B8E511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2B2AC521">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EAACA5">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2154C801">
                  <w:pPr>
                    <w:jc w:val="center"/>
                    <w:rPr>
                      <w:rFonts w:hint="eastAsia" w:ascii="宋体" w:hAnsi="宋体" w:eastAsia="宋体" w:cs="宋体"/>
                      <w:sz w:val="21"/>
                      <w:szCs w:val="21"/>
                    </w:rPr>
                  </w:pPr>
                  <w:r>
                    <w:rPr>
                      <w:rFonts w:hint="eastAsia" w:ascii="宋体" w:hAnsi="宋体" w:eastAsia="宋体" w:cs="宋体"/>
                      <w:sz w:val="21"/>
                      <w:szCs w:val="21"/>
                    </w:rPr>
                    <w:t>电线</w:t>
                  </w:r>
                  <w:r>
                    <w:rPr>
                      <w:rFonts w:hint="eastAsia" w:ascii="宋体" w:hAnsi="宋体" w:eastAsia="宋体" w:cs="宋体"/>
                      <w:sz w:val="21"/>
                      <w:szCs w:val="21"/>
                      <w:lang w:eastAsia="zh-CN"/>
                    </w:rPr>
                    <w:t>、</w:t>
                  </w:r>
                  <w:r>
                    <w:rPr>
                      <w:rFonts w:hint="eastAsia" w:ascii="宋体" w:hAnsi="宋体" w:eastAsia="宋体" w:cs="宋体"/>
                      <w:sz w:val="21"/>
                      <w:szCs w:val="21"/>
                    </w:rPr>
                    <w:t>电缆</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1A2F96B0">
                  <w:pPr>
                    <w:jc w:val="center"/>
                    <w:rPr>
                      <w:rFonts w:hint="eastAsia" w:ascii="宋体" w:hAnsi="宋体" w:eastAsia="宋体" w:cs="宋体"/>
                      <w:sz w:val="21"/>
                      <w:szCs w:val="21"/>
                    </w:rPr>
                  </w:pPr>
                  <w:r>
                    <w:rPr>
                      <w:rFonts w:hint="eastAsia" w:ascii="宋体" w:hAnsi="宋体" w:eastAsia="宋体" w:cs="宋体"/>
                      <w:sz w:val="21"/>
                      <w:szCs w:val="21"/>
                    </w:rPr>
                    <w:t>元通、万马、永通</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7590228E">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23E9A02">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4B0F7C18">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BD7DFA">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6E067B2B">
                  <w:pPr>
                    <w:jc w:val="center"/>
                    <w:rPr>
                      <w:rFonts w:hint="eastAsia" w:ascii="宋体" w:hAnsi="宋体" w:eastAsia="宋体" w:cs="宋体"/>
                      <w:sz w:val="21"/>
                      <w:szCs w:val="21"/>
                    </w:rPr>
                  </w:pPr>
                  <w:r>
                    <w:rPr>
                      <w:rFonts w:hint="eastAsia" w:ascii="宋体" w:hAnsi="宋体" w:eastAsia="宋体" w:cs="宋体"/>
                      <w:sz w:val="21"/>
                      <w:szCs w:val="21"/>
                    </w:rPr>
                    <w:t>LED灯具</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4435F949">
                  <w:pPr>
                    <w:jc w:val="center"/>
                    <w:rPr>
                      <w:rFonts w:hint="eastAsia" w:ascii="宋体" w:hAnsi="宋体" w:eastAsia="宋体" w:cs="宋体"/>
                      <w:sz w:val="21"/>
                      <w:szCs w:val="21"/>
                    </w:rPr>
                  </w:pPr>
                  <w:r>
                    <w:rPr>
                      <w:rFonts w:hint="eastAsia" w:ascii="宋体" w:hAnsi="宋体" w:eastAsia="宋体" w:cs="宋体"/>
                      <w:sz w:val="21"/>
                      <w:szCs w:val="21"/>
                    </w:rPr>
                    <w:t>雷士、松下、三雄极光</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704D9058">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87235EA">
                  <w:pPr>
                    <w:jc w:val="center"/>
                    <w:rPr>
                      <w:rFonts w:hint="eastAsia" w:ascii="宋体" w:hAnsi="宋体" w:eastAsia="宋体" w:cs="宋体"/>
                      <w:sz w:val="21"/>
                      <w:szCs w:val="21"/>
                    </w:rPr>
                  </w:pPr>
                  <w:r>
                    <w:rPr>
                      <w:rFonts w:hint="eastAsia" w:ascii="宋体" w:hAnsi="宋体" w:eastAsia="宋体" w:cs="宋体"/>
                      <w:sz w:val="21"/>
                      <w:szCs w:val="21"/>
                    </w:rPr>
                    <w:t>或相当于</w:t>
                  </w:r>
                </w:p>
              </w:tc>
            </w:tr>
          </w:tbl>
          <w:p w14:paraId="658CBB49">
            <w:pPr>
              <w:pStyle w:val="3"/>
              <w:spacing w:line="360" w:lineRule="auto"/>
              <w:rPr>
                <w:rFonts w:hint="eastAsia" w:hAnsi="宋体" w:cs="宋体"/>
                <w:color w:val="000000"/>
                <w:highlight w:val="none"/>
                <w:lang w:val="zh-CN"/>
              </w:rPr>
            </w:pPr>
            <w:r>
              <w:rPr>
                <w:rFonts w:hint="default" w:ascii="Times New Roman" w:hAnsi="Times New Roman" w:eastAsia="宋体" w:cs="Times New Roman"/>
                <w:kern w:val="1"/>
                <w:sz w:val="21"/>
                <w:szCs w:val="21"/>
              </w:rPr>
              <w:t>注意：涂料、油漆、多层板、细木工板要达到环保E1级标准。</w:t>
            </w:r>
            <w:r>
              <w:rPr>
                <w:rFonts w:ascii="宋体" w:hAnsi="宋体" w:cs="宋体"/>
                <w:kern w:val="0"/>
                <w:szCs w:val="21"/>
                <w:highlight w:val="none"/>
                <w:lang w:val="zh-CN"/>
              </w:rPr>
              <w:t xml:space="preserve"> </w:t>
            </w:r>
          </w:p>
        </w:tc>
      </w:tr>
    </w:tbl>
    <w:p w14:paraId="2AB86B1C">
      <w:pPr>
        <w:pStyle w:val="3"/>
        <w:tabs>
          <w:tab w:val="left" w:pos="0"/>
        </w:tabs>
      </w:pPr>
    </w:p>
    <w:sectPr>
      <w:headerReference r:id="rId3" w:type="default"/>
      <w:pgSz w:w="11906" w:h="16838"/>
      <w:pgMar w:top="935" w:right="1800" w:bottom="623" w:left="1800" w:header="737"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54FA8">
    <w:r>
      <mc:AlternateContent>
        <mc:Choice Requires="wps">
          <w:drawing>
            <wp:anchor distT="45720" distB="45720" distL="114300" distR="114300" simplePos="0" relativeHeight="251659264" behindDoc="0" locked="0" layoutInCell="1" allowOverlap="1">
              <wp:simplePos x="0" y="0"/>
              <wp:positionH relativeFrom="column">
                <wp:posOffset>-86995</wp:posOffset>
              </wp:positionH>
              <wp:positionV relativeFrom="paragraph">
                <wp:posOffset>212090</wp:posOffset>
              </wp:positionV>
              <wp:extent cx="5535295" cy="676910"/>
              <wp:effectExtent l="4445" t="4445" r="22860" b="23495"/>
              <wp:wrapSquare wrapText="bothSides"/>
              <wp:docPr id="1" name="文本框 2"/>
              <wp:cNvGraphicFramePr/>
              <a:graphic xmlns:a="http://schemas.openxmlformats.org/drawingml/2006/main">
                <a:graphicData uri="http://schemas.microsoft.com/office/word/2010/wordprocessingShape">
                  <wps:wsp>
                    <wps:cNvSpPr txBox="1"/>
                    <wps:spPr>
                      <a:xfrm>
                        <a:off x="0" y="0"/>
                        <a:ext cx="5535295" cy="6769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CD547AA">
                          <w:pPr>
                            <w:pStyle w:val="3"/>
                            <w:tabs>
                              <w:tab w:val="left" w:pos="0"/>
                            </w:tabs>
                            <w:jc w:val="center"/>
                            <w:rPr>
                              <w:b/>
                              <w:sz w:val="48"/>
                              <w:szCs w:val="48"/>
                            </w:rPr>
                          </w:pPr>
                          <w:r>
                            <w:rPr>
                              <w:rFonts w:hint="eastAsia"/>
                              <w:b/>
                              <w:sz w:val="48"/>
                              <w:szCs w:val="48"/>
                            </w:rPr>
                            <w:t>工程量清单编制总说明</w:t>
                          </w:r>
                        </w:p>
                        <w:p w14:paraId="40450DA2">
                          <w:pPr>
                            <w:rPr>
                              <w:rFonts w:hint="eastAsia" w:ascii="宋体" w:hAnsi="宋体" w:eastAsia="宋体" w:cs="宋体"/>
                              <w:sz w:val="21"/>
                              <w:szCs w:val="21"/>
                            </w:rPr>
                          </w:pPr>
                          <w:r>
                            <w:rPr>
                              <w:rFonts w:hint="eastAsia" w:ascii="宋体" w:hAnsi="宋体" w:eastAsia="宋体" w:cs="宋体"/>
                              <w:sz w:val="21"/>
                              <w:szCs w:val="21"/>
                            </w:rPr>
                            <w:t xml:space="preserve">工程名称: </w:t>
                          </w:r>
                          <w:r>
                            <w:rPr>
                              <w:rFonts w:hint="eastAsia" w:asciiTheme="majorEastAsia" w:hAnsiTheme="majorEastAsia" w:eastAsiaTheme="majorEastAsia"/>
                              <w:lang w:val="en-US" w:eastAsia="zh-CN"/>
                            </w:rPr>
                            <w:t xml:space="preserve">杭州电子科技大学下沙校区六教男女卫生间改造工程           </w:t>
                          </w:r>
                          <w:r>
                            <w:rPr>
                              <w:rFonts w:hint="eastAsia" w:ascii="宋体" w:hAnsi="宋体" w:eastAsia="宋体" w:cs="宋体"/>
                              <w:sz w:val="21"/>
                              <w:szCs w:val="21"/>
                            </w:rPr>
                            <w:t>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Arabic  \* MERGEFORMAT</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页，共</w:t>
                          </w:r>
                          <w:r>
                            <w:rPr>
                              <w:rFonts w:hint="eastAsia" w:ascii="宋体" w:hAnsi="宋体" w:cs="宋体"/>
                              <w:sz w:val="21"/>
                              <w:szCs w:val="21"/>
                              <w:lang w:val="en-US" w:eastAsia="zh-CN"/>
                            </w:rPr>
                            <w:t>4</w:t>
                          </w:r>
                          <w:r>
                            <w:rPr>
                              <w:rFonts w:hint="eastAsia" w:ascii="宋体" w:hAnsi="宋体" w:eastAsia="宋体" w:cs="宋体"/>
                              <w:sz w:val="21"/>
                              <w:szCs w:val="21"/>
                            </w:rPr>
                            <w:t>页</w:t>
                          </w:r>
                        </w:p>
                        <w:p w14:paraId="421259F5">
                          <w:pPr>
                            <w:rPr>
                              <w:rFonts w:hint="eastAsia" w:ascii="宋体" w:hAnsi="宋体" w:eastAsia="宋体" w:cs="宋体"/>
                              <w:sz w:val="21"/>
                              <w:szCs w:val="21"/>
                            </w:rPr>
                          </w:pPr>
                        </w:p>
                      </w:txbxContent>
                    </wps:txbx>
                    <wps:bodyPr vert="horz" anchor="t" upright="1"/>
                  </wps:wsp>
                </a:graphicData>
              </a:graphic>
            </wp:anchor>
          </w:drawing>
        </mc:Choice>
        <mc:Fallback>
          <w:pict>
            <v:shape id="文本框 2" o:spid="_x0000_s1026" o:spt="202" type="#_x0000_t202" style="position:absolute;left:0pt;margin-left:-6.85pt;margin-top:16.7pt;height:53.3pt;width:435.85pt;mso-wrap-distance-bottom:3.6pt;mso-wrap-distance-left:9pt;mso-wrap-distance-right:9pt;mso-wrap-distance-top:3.6pt;z-index:251659264;mso-width-relative:page;mso-height-relative:page;" fillcolor="#FFFFFF" filled="t" stroked="t" coordsize="21600,21600" o:gfxdata="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yf+VjYAAAACgEAAA8A&#10;AAAAAAAAAQAgAAAAIgAAAGRycy9kb3ducmV2LnhtbFBLAQIUABQAAAAIAIdO4kBFAkw+FwIAAE0E&#10;AAAOAAAAAAAAAAEAIAAAACcBAABkcnMvZTJvRG9jLnhtbFBLBQYAAAAABgAGAFkBAACwBQAAAAA=&#10;">
              <v:fill on="t" focussize="0,0"/>
              <v:stroke color="#FFFFFF" joinstyle="miter"/>
              <v:imagedata o:title=""/>
              <o:lock v:ext="edit" aspectratio="f"/>
              <v:textbox>
                <w:txbxContent>
                  <w:p w14:paraId="7CD547AA">
                    <w:pPr>
                      <w:pStyle w:val="3"/>
                      <w:tabs>
                        <w:tab w:val="left" w:pos="0"/>
                      </w:tabs>
                      <w:jc w:val="center"/>
                      <w:rPr>
                        <w:b/>
                        <w:sz w:val="48"/>
                        <w:szCs w:val="48"/>
                      </w:rPr>
                    </w:pPr>
                    <w:r>
                      <w:rPr>
                        <w:rFonts w:hint="eastAsia"/>
                        <w:b/>
                        <w:sz w:val="48"/>
                        <w:szCs w:val="48"/>
                      </w:rPr>
                      <w:t>工程量清单编制总说明</w:t>
                    </w:r>
                  </w:p>
                  <w:p w14:paraId="40450DA2">
                    <w:pPr>
                      <w:rPr>
                        <w:rFonts w:hint="eastAsia" w:ascii="宋体" w:hAnsi="宋体" w:eastAsia="宋体" w:cs="宋体"/>
                        <w:sz w:val="21"/>
                        <w:szCs w:val="21"/>
                      </w:rPr>
                    </w:pPr>
                    <w:r>
                      <w:rPr>
                        <w:rFonts w:hint="eastAsia" w:ascii="宋体" w:hAnsi="宋体" w:eastAsia="宋体" w:cs="宋体"/>
                        <w:sz w:val="21"/>
                        <w:szCs w:val="21"/>
                      </w:rPr>
                      <w:t xml:space="preserve">工程名称: </w:t>
                    </w:r>
                    <w:r>
                      <w:rPr>
                        <w:rFonts w:hint="eastAsia" w:asciiTheme="majorEastAsia" w:hAnsiTheme="majorEastAsia" w:eastAsiaTheme="majorEastAsia"/>
                        <w:lang w:val="en-US" w:eastAsia="zh-CN"/>
                      </w:rPr>
                      <w:t xml:space="preserve">杭州电子科技大学下沙校区六教男女卫生间改造工程           </w:t>
                    </w:r>
                    <w:r>
                      <w:rPr>
                        <w:rFonts w:hint="eastAsia" w:ascii="宋体" w:hAnsi="宋体" w:eastAsia="宋体" w:cs="宋体"/>
                        <w:sz w:val="21"/>
                        <w:szCs w:val="21"/>
                      </w:rPr>
                      <w:t>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Arabic  \* MERGEFORMAT</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页，共</w:t>
                    </w:r>
                    <w:r>
                      <w:rPr>
                        <w:rFonts w:hint="eastAsia" w:ascii="宋体" w:hAnsi="宋体" w:cs="宋体"/>
                        <w:sz w:val="21"/>
                        <w:szCs w:val="21"/>
                        <w:lang w:val="en-US" w:eastAsia="zh-CN"/>
                      </w:rPr>
                      <w:t>4</w:t>
                    </w:r>
                    <w:r>
                      <w:rPr>
                        <w:rFonts w:hint="eastAsia" w:ascii="宋体" w:hAnsi="宋体" w:eastAsia="宋体" w:cs="宋体"/>
                        <w:sz w:val="21"/>
                        <w:szCs w:val="21"/>
                      </w:rPr>
                      <w:t>页</w:t>
                    </w:r>
                  </w:p>
                  <w:p w14:paraId="421259F5">
                    <w:pPr>
                      <w:rPr>
                        <w:rFonts w:hint="eastAsia" w:ascii="宋体" w:hAnsi="宋体" w:eastAsia="宋体" w:cs="宋体"/>
                        <w:sz w:val="21"/>
                        <w:szCs w:val="21"/>
                      </w:rPr>
                    </w:pPr>
                  </w:p>
                </w:txbxContent>
              </v:textbox>
              <w10:wrap type="square"/>
            </v:shape>
          </w:pict>
        </mc:Fallback>
      </mc:AlternateConten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CB0A9"/>
    <w:multiLevelType w:val="singleLevel"/>
    <w:tmpl w:val="B2BCB0A9"/>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mMzcwOTczMTU1NjAyMmFlNDY0NzUzZWY4NTdlNjgifQ=="/>
  </w:docVars>
  <w:rsids>
    <w:rsidRoot w:val="005506DA"/>
    <w:rsid w:val="0000106E"/>
    <w:rsid w:val="00001626"/>
    <w:rsid w:val="00010045"/>
    <w:rsid w:val="000117BD"/>
    <w:rsid w:val="00014762"/>
    <w:rsid w:val="00022758"/>
    <w:rsid w:val="0004286F"/>
    <w:rsid w:val="00046E06"/>
    <w:rsid w:val="0004768E"/>
    <w:rsid w:val="00051319"/>
    <w:rsid w:val="0005219B"/>
    <w:rsid w:val="00067B8E"/>
    <w:rsid w:val="000706AD"/>
    <w:rsid w:val="000815C8"/>
    <w:rsid w:val="00093C6F"/>
    <w:rsid w:val="000953D0"/>
    <w:rsid w:val="000A6659"/>
    <w:rsid w:val="000B28FC"/>
    <w:rsid w:val="000B6CD7"/>
    <w:rsid w:val="000C3E0C"/>
    <w:rsid w:val="000C6CD8"/>
    <w:rsid w:val="000D0320"/>
    <w:rsid w:val="000D0BC4"/>
    <w:rsid w:val="000E2B8F"/>
    <w:rsid w:val="000E6C7C"/>
    <w:rsid w:val="000E78F6"/>
    <w:rsid w:val="000F25B3"/>
    <w:rsid w:val="000F746E"/>
    <w:rsid w:val="00102451"/>
    <w:rsid w:val="0010306B"/>
    <w:rsid w:val="00103108"/>
    <w:rsid w:val="001159CA"/>
    <w:rsid w:val="001215F9"/>
    <w:rsid w:val="00121792"/>
    <w:rsid w:val="001248E8"/>
    <w:rsid w:val="00136525"/>
    <w:rsid w:val="0014537E"/>
    <w:rsid w:val="00154736"/>
    <w:rsid w:val="001575DC"/>
    <w:rsid w:val="00164107"/>
    <w:rsid w:val="0016739C"/>
    <w:rsid w:val="00173C4D"/>
    <w:rsid w:val="00184D00"/>
    <w:rsid w:val="0018760C"/>
    <w:rsid w:val="001A1BDB"/>
    <w:rsid w:val="001A1E48"/>
    <w:rsid w:val="001A3107"/>
    <w:rsid w:val="001B12DB"/>
    <w:rsid w:val="001B151E"/>
    <w:rsid w:val="001B17ED"/>
    <w:rsid w:val="001B2CA4"/>
    <w:rsid w:val="001C5BB5"/>
    <w:rsid w:val="001D2C85"/>
    <w:rsid w:val="001D6310"/>
    <w:rsid w:val="001E2ABA"/>
    <w:rsid w:val="001F33AC"/>
    <w:rsid w:val="001F438E"/>
    <w:rsid w:val="001F7EBA"/>
    <w:rsid w:val="0021344D"/>
    <w:rsid w:val="00213D32"/>
    <w:rsid w:val="00214FD0"/>
    <w:rsid w:val="00225318"/>
    <w:rsid w:val="00225EE6"/>
    <w:rsid w:val="00227933"/>
    <w:rsid w:val="00244E28"/>
    <w:rsid w:val="002560B6"/>
    <w:rsid w:val="002573DB"/>
    <w:rsid w:val="0027376F"/>
    <w:rsid w:val="00274CE7"/>
    <w:rsid w:val="00283C5D"/>
    <w:rsid w:val="002A21CF"/>
    <w:rsid w:val="002A5219"/>
    <w:rsid w:val="002B08AF"/>
    <w:rsid w:val="002B21BF"/>
    <w:rsid w:val="002B4CCE"/>
    <w:rsid w:val="002B7B66"/>
    <w:rsid w:val="002D313C"/>
    <w:rsid w:val="002D3275"/>
    <w:rsid w:val="002E5BA8"/>
    <w:rsid w:val="002F6090"/>
    <w:rsid w:val="002F671B"/>
    <w:rsid w:val="002F7E8E"/>
    <w:rsid w:val="00300A42"/>
    <w:rsid w:val="003022B3"/>
    <w:rsid w:val="003050A5"/>
    <w:rsid w:val="00306338"/>
    <w:rsid w:val="003144E1"/>
    <w:rsid w:val="00317861"/>
    <w:rsid w:val="00334B7B"/>
    <w:rsid w:val="003459AF"/>
    <w:rsid w:val="00350DF6"/>
    <w:rsid w:val="003518E8"/>
    <w:rsid w:val="00353D9F"/>
    <w:rsid w:val="00356EDA"/>
    <w:rsid w:val="00360037"/>
    <w:rsid w:val="003709E6"/>
    <w:rsid w:val="003730D3"/>
    <w:rsid w:val="00377321"/>
    <w:rsid w:val="0038740A"/>
    <w:rsid w:val="003900F3"/>
    <w:rsid w:val="003A239F"/>
    <w:rsid w:val="003A5A9C"/>
    <w:rsid w:val="003A7CBB"/>
    <w:rsid w:val="003B665A"/>
    <w:rsid w:val="003C0F0B"/>
    <w:rsid w:val="003C1F68"/>
    <w:rsid w:val="003D3322"/>
    <w:rsid w:val="003D3BF4"/>
    <w:rsid w:val="003D48F1"/>
    <w:rsid w:val="003E067C"/>
    <w:rsid w:val="003E44DC"/>
    <w:rsid w:val="003E6069"/>
    <w:rsid w:val="003E6FEA"/>
    <w:rsid w:val="003F4E0D"/>
    <w:rsid w:val="00400A29"/>
    <w:rsid w:val="00400FCC"/>
    <w:rsid w:val="00401994"/>
    <w:rsid w:val="00412313"/>
    <w:rsid w:val="00413684"/>
    <w:rsid w:val="00416C17"/>
    <w:rsid w:val="00417EF4"/>
    <w:rsid w:val="00426332"/>
    <w:rsid w:val="00427A78"/>
    <w:rsid w:val="0043052A"/>
    <w:rsid w:val="0043455A"/>
    <w:rsid w:val="004405E8"/>
    <w:rsid w:val="0044213D"/>
    <w:rsid w:val="00453801"/>
    <w:rsid w:val="0045789F"/>
    <w:rsid w:val="00463084"/>
    <w:rsid w:val="004743E7"/>
    <w:rsid w:val="00476074"/>
    <w:rsid w:val="00477345"/>
    <w:rsid w:val="00487526"/>
    <w:rsid w:val="004903B1"/>
    <w:rsid w:val="00490DD2"/>
    <w:rsid w:val="00492A90"/>
    <w:rsid w:val="00494246"/>
    <w:rsid w:val="004A32ED"/>
    <w:rsid w:val="004A4917"/>
    <w:rsid w:val="004A5D4D"/>
    <w:rsid w:val="004A6723"/>
    <w:rsid w:val="004B12E5"/>
    <w:rsid w:val="004B33BA"/>
    <w:rsid w:val="004B59C1"/>
    <w:rsid w:val="004B74A8"/>
    <w:rsid w:val="004E4F7E"/>
    <w:rsid w:val="004F4F81"/>
    <w:rsid w:val="004F58EB"/>
    <w:rsid w:val="004F6E33"/>
    <w:rsid w:val="004F7BAB"/>
    <w:rsid w:val="005004B9"/>
    <w:rsid w:val="00502254"/>
    <w:rsid w:val="0050276A"/>
    <w:rsid w:val="005033AC"/>
    <w:rsid w:val="00511D85"/>
    <w:rsid w:val="005214F8"/>
    <w:rsid w:val="00526A7A"/>
    <w:rsid w:val="005331ED"/>
    <w:rsid w:val="005438FD"/>
    <w:rsid w:val="005506DA"/>
    <w:rsid w:val="0056070F"/>
    <w:rsid w:val="00562001"/>
    <w:rsid w:val="00571A3B"/>
    <w:rsid w:val="005841D3"/>
    <w:rsid w:val="00593246"/>
    <w:rsid w:val="005A28EC"/>
    <w:rsid w:val="005C150A"/>
    <w:rsid w:val="005C42BA"/>
    <w:rsid w:val="005D0AB2"/>
    <w:rsid w:val="005D5CB4"/>
    <w:rsid w:val="00601206"/>
    <w:rsid w:val="00602390"/>
    <w:rsid w:val="0061067F"/>
    <w:rsid w:val="00611541"/>
    <w:rsid w:val="00611B7A"/>
    <w:rsid w:val="0061779F"/>
    <w:rsid w:val="00622FAF"/>
    <w:rsid w:val="006351CD"/>
    <w:rsid w:val="006456F2"/>
    <w:rsid w:val="0064624D"/>
    <w:rsid w:val="006467EF"/>
    <w:rsid w:val="00651787"/>
    <w:rsid w:val="006539E6"/>
    <w:rsid w:val="00653BA9"/>
    <w:rsid w:val="006551D2"/>
    <w:rsid w:val="00656DBC"/>
    <w:rsid w:val="00657643"/>
    <w:rsid w:val="00664C4D"/>
    <w:rsid w:val="006666B2"/>
    <w:rsid w:val="00667B76"/>
    <w:rsid w:val="00674E5B"/>
    <w:rsid w:val="00674EB9"/>
    <w:rsid w:val="00682A4C"/>
    <w:rsid w:val="00693CA5"/>
    <w:rsid w:val="00695FD6"/>
    <w:rsid w:val="006A2097"/>
    <w:rsid w:val="006A261E"/>
    <w:rsid w:val="006A4673"/>
    <w:rsid w:val="006B1523"/>
    <w:rsid w:val="006C75C4"/>
    <w:rsid w:val="006D673A"/>
    <w:rsid w:val="006E221C"/>
    <w:rsid w:val="006F04E5"/>
    <w:rsid w:val="006F3345"/>
    <w:rsid w:val="006F37DF"/>
    <w:rsid w:val="00716247"/>
    <w:rsid w:val="00726864"/>
    <w:rsid w:val="00726A32"/>
    <w:rsid w:val="00727874"/>
    <w:rsid w:val="00727C03"/>
    <w:rsid w:val="00730C9F"/>
    <w:rsid w:val="00731869"/>
    <w:rsid w:val="007335DB"/>
    <w:rsid w:val="00734542"/>
    <w:rsid w:val="007350E2"/>
    <w:rsid w:val="007449A9"/>
    <w:rsid w:val="0075463D"/>
    <w:rsid w:val="007617DB"/>
    <w:rsid w:val="0077128E"/>
    <w:rsid w:val="00771870"/>
    <w:rsid w:val="007747BE"/>
    <w:rsid w:val="00780E60"/>
    <w:rsid w:val="00793EB7"/>
    <w:rsid w:val="007A3571"/>
    <w:rsid w:val="007A532B"/>
    <w:rsid w:val="007A6115"/>
    <w:rsid w:val="007A7252"/>
    <w:rsid w:val="007B1A65"/>
    <w:rsid w:val="007B3E00"/>
    <w:rsid w:val="007C0946"/>
    <w:rsid w:val="007C67E3"/>
    <w:rsid w:val="007D2292"/>
    <w:rsid w:val="007E1EFE"/>
    <w:rsid w:val="007E294E"/>
    <w:rsid w:val="007F1D79"/>
    <w:rsid w:val="007F635C"/>
    <w:rsid w:val="007F7AA5"/>
    <w:rsid w:val="00800A26"/>
    <w:rsid w:val="00812D89"/>
    <w:rsid w:val="00817C47"/>
    <w:rsid w:val="00823809"/>
    <w:rsid w:val="008240F5"/>
    <w:rsid w:val="008257EB"/>
    <w:rsid w:val="0083654F"/>
    <w:rsid w:val="00836BAC"/>
    <w:rsid w:val="00836F74"/>
    <w:rsid w:val="00841035"/>
    <w:rsid w:val="00841DAC"/>
    <w:rsid w:val="0084459A"/>
    <w:rsid w:val="0084682F"/>
    <w:rsid w:val="00855BF2"/>
    <w:rsid w:val="0086310E"/>
    <w:rsid w:val="008727EE"/>
    <w:rsid w:val="00874E85"/>
    <w:rsid w:val="00875515"/>
    <w:rsid w:val="0088323C"/>
    <w:rsid w:val="00884082"/>
    <w:rsid w:val="00884C50"/>
    <w:rsid w:val="008A2C46"/>
    <w:rsid w:val="008B2078"/>
    <w:rsid w:val="008B31DE"/>
    <w:rsid w:val="008B4870"/>
    <w:rsid w:val="008B5B1C"/>
    <w:rsid w:val="008C7002"/>
    <w:rsid w:val="008D1BE1"/>
    <w:rsid w:val="008D37B3"/>
    <w:rsid w:val="008D4EE8"/>
    <w:rsid w:val="008E4041"/>
    <w:rsid w:val="008F7834"/>
    <w:rsid w:val="0090397F"/>
    <w:rsid w:val="00905704"/>
    <w:rsid w:val="009076DF"/>
    <w:rsid w:val="00910A34"/>
    <w:rsid w:val="00915DC5"/>
    <w:rsid w:val="009175FE"/>
    <w:rsid w:val="00917BFD"/>
    <w:rsid w:val="009240E3"/>
    <w:rsid w:val="0093620E"/>
    <w:rsid w:val="00940BBE"/>
    <w:rsid w:val="00943D87"/>
    <w:rsid w:val="009448E3"/>
    <w:rsid w:val="00946151"/>
    <w:rsid w:val="00953409"/>
    <w:rsid w:val="00956F67"/>
    <w:rsid w:val="009610B4"/>
    <w:rsid w:val="009663DA"/>
    <w:rsid w:val="00975C8F"/>
    <w:rsid w:val="0098398A"/>
    <w:rsid w:val="00991BB2"/>
    <w:rsid w:val="009A2EA9"/>
    <w:rsid w:val="009A3971"/>
    <w:rsid w:val="009A48E0"/>
    <w:rsid w:val="009A5A13"/>
    <w:rsid w:val="009B1EA6"/>
    <w:rsid w:val="009B5677"/>
    <w:rsid w:val="009B7735"/>
    <w:rsid w:val="009D0857"/>
    <w:rsid w:val="009D1B9B"/>
    <w:rsid w:val="009D53BD"/>
    <w:rsid w:val="009E0AB4"/>
    <w:rsid w:val="009E18B3"/>
    <w:rsid w:val="009E5709"/>
    <w:rsid w:val="009E70A5"/>
    <w:rsid w:val="009F00A5"/>
    <w:rsid w:val="009F2C3C"/>
    <w:rsid w:val="009F3768"/>
    <w:rsid w:val="009F70DA"/>
    <w:rsid w:val="00A020E9"/>
    <w:rsid w:val="00A04CB4"/>
    <w:rsid w:val="00A12514"/>
    <w:rsid w:val="00A13976"/>
    <w:rsid w:val="00A20E5B"/>
    <w:rsid w:val="00A331DA"/>
    <w:rsid w:val="00A42EEB"/>
    <w:rsid w:val="00A4335E"/>
    <w:rsid w:val="00A50FC7"/>
    <w:rsid w:val="00A67366"/>
    <w:rsid w:val="00A718CF"/>
    <w:rsid w:val="00A76C3D"/>
    <w:rsid w:val="00A842DD"/>
    <w:rsid w:val="00A86646"/>
    <w:rsid w:val="00AA6C7D"/>
    <w:rsid w:val="00AB5967"/>
    <w:rsid w:val="00AC0A39"/>
    <w:rsid w:val="00AC342B"/>
    <w:rsid w:val="00AC5436"/>
    <w:rsid w:val="00AD430E"/>
    <w:rsid w:val="00AD45C7"/>
    <w:rsid w:val="00AE7D7C"/>
    <w:rsid w:val="00AF467B"/>
    <w:rsid w:val="00B02D67"/>
    <w:rsid w:val="00B05EA5"/>
    <w:rsid w:val="00B10DF4"/>
    <w:rsid w:val="00B12D49"/>
    <w:rsid w:val="00B20347"/>
    <w:rsid w:val="00B30C05"/>
    <w:rsid w:val="00B40BD3"/>
    <w:rsid w:val="00B466AF"/>
    <w:rsid w:val="00B6309D"/>
    <w:rsid w:val="00B87FD3"/>
    <w:rsid w:val="00B964F1"/>
    <w:rsid w:val="00BA0DBD"/>
    <w:rsid w:val="00BA3875"/>
    <w:rsid w:val="00BB15A4"/>
    <w:rsid w:val="00BB3AE2"/>
    <w:rsid w:val="00BC1E8F"/>
    <w:rsid w:val="00BD5CA2"/>
    <w:rsid w:val="00BE0C28"/>
    <w:rsid w:val="00C045E0"/>
    <w:rsid w:val="00C06599"/>
    <w:rsid w:val="00C1055D"/>
    <w:rsid w:val="00C1255A"/>
    <w:rsid w:val="00C131FB"/>
    <w:rsid w:val="00C2099E"/>
    <w:rsid w:val="00C244A8"/>
    <w:rsid w:val="00C25272"/>
    <w:rsid w:val="00C34FAC"/>
    <w:rsid w:val="00C57C65"/>
    <w:rsid w:val="00C74CC6"/>
    <w:rsid w:val="00C82DE7"/>
    <w:rsid w:val="00C91635"/>
    <w:rsid w:val="00C97F82"/>
    <w:rsid w:val="00CB0612"/>
    <w:rsid w:val="00CB1D51"/>
    <w:rsid w:val="00CB4F91"/>
    <w:rsid w:val="00CC5E80"/>
    <w:rsid w:val="00CD2A6D"/>
    <w:rsid w:val="00CD5F08"/>
    <w:rsid w:val="00CD7ACE"/>
    <w:rsid w:val="00CD7E61"/>
    <w:rsid w:val="00CE1DAD"/>
    <w:rsid w:val="00CF0110"/>
    <w:rsid w:val="00D049BD"/>
    <w:rsid w:val="00D0566F"/>
    <w:rsid w:val="00D12FFC"/>
    <w:rsid w:val="00D17041"/>
    <w:rsid w:val="00D24C22"/>
    <w:rsid w:val="00D379F8"/>
    <w:rsid w:val="00D37E82"/>
    <w:rsid w:val="00D526A6"/>
    <w:rsid w:val="00D526BD"/>
    <w:rsid w:val="00D55216"/>
    <w:rsid w:val="00D574EE"/>
    <w:rsid w:val="00D602E0"/>
    <w:rsid w:val="00D60AF4"/>
    <w:rsid w:val="00D61E53"/>
    <w:rsid w:val="00D75207"/>
    <w:rsid w:val="00D80E44"/>
    <w:rsid w:val="00D87293"/>
    <w:rsid w:val="00DA1727"/>
    <w:rsid w:val="00DA4404"/>
    <w:rsid w:val="00DB05A2"/>
    <w:rsid w:val="00DC2667"/>
    <w:rsid w:val="00DC41B8"/>
    <w:rsid w:val="00DC4796"/>
    <w:rsid w:val="00DC56BE"/>
    <w:rsid w:val="00DC7AA1"/>
    <w:rsid w:val="00DD0A8E"/>
    <w:rsid w:val="00DE6900"/>
    <w:rsid w:val="00E00F5E"/>
    <w:rsid w:val="00E04B6C"/>
    <w:rsid w:val="00E117A3"/>
    <w:rsid w:val="00E13A29"/>
    <w:rsid w:val="00E14A64"/>
    <w:rsid w:val="00E44C0F"/>
    <w:rsid w:val="00E453F7"/>
    <w:rsid w:val="00E54237"/>
    <w:rsid w:val="00E547A5"/>
    <w:rsid w:val="00E54AC2"/>
    <w:rsid w:val="00E55D33"/>
    <w:rsid w:val="00E635F8"/>
    <w:rsid w:val="00E64D13"/>
    <w:rsid w:val="00E6713C"/>
    <w:rsid w:val="00E76738"/>
    <w:rsid w:val="00E86A3A"/>
    <w:rsid w:val="00E970FA"/>
    <w:rsid w:val="00EA10C1"/>
    <w:rsid w:val="00EB13AC"/>
    <w:rsid w:val="00EC1061"/>
    <w:rsid w:val="00EC3012"/>
    <w:rsid w:val="00ED1FAF"/>
    <w:rsid w:val="00ED4DBE"/>
    <w:rsid w:val="00EE392A"/>
    <w:rsid w:val="00EF020C"/>
    <w:rsid w:val="00EF45E7"/>
    <w:rsid w:val="00F05528"/>
    <w:rsid w:val="00F05673"/>
    <w:rsid w:val="00F06B03"/>
    <w:rsid w:val="00F16BBB"/>
    <w:rsid w:val="00F217E8"/>
    <w:rsid w:val="00F23BD1"/>
    <w:rsid w:val="00F24885"/>
    <w:rsid w:val="00F26E88"/>
    <w:rsid w:val="00F32DDB"/>
    <w:rsid w:val="00F34949"/>
    <w:rsid w:val="00F365D3"/>
    <w:rsid w:val="00F4210A"/>
    <w:rsid w:val="00F42EE4"/>
    <w:rsid w:val="00F514DA"/>
    <w:rsid w:val="00F52546"/>
    <w:rsid w:val="00F6646E"/>
    <w:rsid w:val="00F757EB"/>
    <w:rsid w:val="00F75B9A"/>
    <w:rsid w:val="00F80063"/>
    <w:rsid w:val="00F801FE"/>
    <w:rsid w:val="00F95101"/>
    <w:rsid w:val="00FA4613"/>
    <w:rsid w:val="00FA698C"/>
    <w:rsid w:val="00FB5399"/>
    <w:rsid w:val="00FC1EBB"/>
    <w:rsid w:val="00FC753C"/>
    <w:rsid w:val="00FD1E23"/>
    <w:rsid w:val="00FD6BA9"/>
    <w:rsid w:val="00FE0F38"/>
    <w:rsid w:val="00FE67D8"/>
    <w:rsid w:val="01095475"/>
    <w:rsid w:val="03366EA6"/>
    <w:rsid w:val="03392FBC"/>
    <w:rsid w:val="0B7F1CA7"/>
    <w:rsid w:val="0C396B4C"/>
    <w:rsid w:val="0E613268"/>
    <w:rsid w:val="0F090DE9"/>
    <w:rsid w:val="12BF28AB"/>
    <w:rsid w:val="13347445"/>
    <w:rsid w:val="150A6237"/>
    <w:rsid w:val="1564315E"/>
    <w:rsid w:val="158F443B"/>
    <w:rsid w:val="17A4103D"/>
    <w:rsid w:val="17B943BD"/>
    <w:rsid w:val="18BA19F3"/>
    <w:rsid w:val="18E13BCB"/>
    <w:rsid w:val="1A003988"/>
    <w:rsid w:val="1AEE7B63"/>
    <w:rsid w:val="1B617245"/>
    <w:rsid w:val="1B6E25C4"/>
    <w:rsid w:val="1C523A68"/>
    <w:rsid w:val="1CA97C35"/>
    <w:rsid w:val="1D641E26"/>
    <w:rsid w:val="1E320A25"/>
    <w:rsid w:val="1FB44D03"/>
    <w:rsid w:val="1FD04999"/>
    <w:rsid w:val="227B58D9"/>
    <w:rsid w:val="246C2EE2"/>
    <w:rsid w:val="24AB704C"/>
    <w:rsid w:val="25537BFE"/>
    <w:rsid w:val="2583364F"/>
    <w:rsid w:val="26181E3F"/>
    <w:rsid w:val="27160108"/>
    <w:rsid w:val="2801460D"/>
    <w:rsid w:val="28136AE6"/>
    <w:rsid w:val="28940A5E"/>
    <w:rsid w:val="2AFC6642"/>
    <w:rsid w:val="2B7D5822"/>
    <w:rsid w:val="2B8D57C9"/>
    <w:rsid w:val="2C183950"/>
    <w:rsid w:val="2E6115DE"/>
    <w:rsid w:val="2EE638B2"/>
    <w:rsid w:val="315546E1"/>
    <w:rsid w:val="32421F05"/>
    <w:rsid w:val="3251196A"/>
    <w:rsid w:val="32D541E9"/>
    <w:rsid w:val="344572AC"/>
    <w:rsid w:val="34BE3FC5"/>
    <w:rsid w:val="35596F99"/>
    <w:rsid w:val="365232D0"/>
    <w:rsid w:val="376C67F2"/>
    <w:rsid w:val="38631C99"/>
    <w:rsid w:val="38741687"/>
    <w:rsid w:val="3B464036"/>
    <w:rsid w:val="3C601127"/>
    <w:rsid w:val="3CD46665"/>
    <w:rsid w:val="4033368A"/>
    <w:rsid w:val="40CB28E7"/>
    <w:rsid w:val="41A1696E"/>
    <w:rsid w:val="438C4271"/>
    <w:rsid w:val="43C024AB"/>
    <w:rsid w:val="453B44DF"/>
    <w:rsid w:val="4698326B"/>
    <w:rsid w:val="497242D2"/>
    <w:rsid w:val="49951CE4"/>
    <w:rsid w:val="49A41BDF"/>
    <w:rsid w:val="4A3F4DA2"/>
    <w:rsid w:val="4A62606A"/>
    <w:rsid w:val="4A652AEB"/>
    <w:rsid w:val="4B90280D"/>
    <w:rsid w:val="4C1C277B"/>
    <w:rsid w:val="4CD13B0A"/>
    <w:rsid w:val="4D515E48"/>
    <w:rsid w:val="4E110852"/>
    <w:rsid w:val="4F6339A5"/>
    <w:rsid w:val="50456116"/>
    <w:rsid w:val="50B60EBE"/>
    <w:rsid w:val="526B2003"/>
    <w:rsid w:val="53014E26"/>
    <w:rsid w:val="53973ACB"/>
    <w:rsid w:val="54016821"/>
    <w:rsid w:val="54951AC4"/>
    <w:rsid w:val="55FA2C72"/>
    <w:rsid w:val="56C63E25"/>
    <w:rsid w:val="57255D0E"/>
    <w:rsid w:val="578564E2"/>
    <w:rsid w:val="585821BA"/>
    <w:rsid w:val="587766E0"/>
    <w:rsid w:val="588C69A8"/>
    <w:rsid w:val="591F3539"/>
    <w:rsid w:val="5B551E15"/>
    <w:rsid w:val="5C5F065B"/>
    <w:rsid w:val="5CE9261B"/>
    <w:rsid w:val="5F681F1D"/>
    <w:rsid w:val="5FDE3F8D"/>
    <w:rsid w:val="644A7BC0"/>
    <w:rsid w:val="64572A05"/>
    <w:rsid w:val="65614110"/>
    <w:rsid w:val="6563635E"/>
    <w:rsid w:val="667B2F54"/>
    <w:rsid w:val="68352A03"/>
    <w:rsid w:val="6B1D0764"/>
    <w:rsid w:val="6B6725A3"/>
    <w:rsid w:val="6C264CF2"/>
    <w:rsid w:val="6D07065E"/>
    <w:rsid w:val="6F07626B"/>
    <w:rsid w:val="717F3467"/>
    <w:rsid w:val="72035D78"/>
    <w:rsid w:val="722577FA"/>
    <w:rsid w:val="72435ED2"/>
    <w:rsid w:val="730C00E3"/>
    <w:rsid w:val="73621405"/>
    <w:rsid w:val="74890514"/>
    <w:rsid w:val="74B2104F"/>
    <w:rsid w:val="756248C1"/>
    <w:rsid w:val="76740D50"/>
    <w:rsid w:val="77122EE5"/>
    <w:rsid w:val="773744A0"/>
    <w:rsid w:val="794A4EA4"/>
    <w:rsid w:val="7BE44282"/>
    <w:rsid w:val="7CCD2F68"/>
    <w:rsid w:val="7D8B76B8"/>
    <w:rsid w:val="7DAD40C0"/>
    <w:rsid w:val="7E435130"/>
    <w:rsid w:val="7F6B1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next w:val="1"/>
    <w:autoRedefine/>
    <w:qFormat/>
    <w:uiPriority w:val="0"/>
    <w:pPr>
      <w:widowControl w:val="0"/>
      <w:spacing w:after="120"/>
      <w:jc w:val="both"/>
    </w:pPr>
    <w:rPr>
      <w:rFonts w:ascii="Calibri" w:hAnsi="Calibri" w:eastAsia="宋体" w:cs="Times New Roman"/>
      <w:kern w:val="2"/>
      <w:sz w:val="28"/>
      <w:szCs w:val="24"/>
      <w:lang w:val="en-US" w:eastAsia="zh-CN" w:bidi="ar-SA"/>
    </w:rPr>
  </w:style>
  <w:style w:type="paragraph" w:styleId="3">
    <w:name w:val="Plain Text"/>
    <w:basedOn w:val="1"/>
    <w:link w:val="16"/>
    <w:autoRedefine/>
    <w:qFormat/>
    <w:uiPriority w:val="0"/>
    <w:rPr>
      <w:rFonts w:ascii="宋体" w:hAnsi="Courier New" w:cs="Courier New"/>
      <w:szCs w:val="21"/>
    </w:rPr>
  </w:style>
  <w:style w:type="paragraph" w:styleId="4">
    <w:name w:val="Balloon Text"/>
    <w:basedOn w:val="1"/>
    <w:autoRedefine/>
    <w:semiHidden/>
    <w:qFormat/>
    <w:uiPriority w:val="0"/>
    <w:rPr>
      <w:sz w:val="18"/>
      <w:szCs w:val="18"/>
    </w:rPr>
  </w:style>
  <w:style w:type="paragraph" w:styleId="5">
    <w:name w:val="footer"/>
    <w:basedOn w:val="1"/>
    <w:link w:val="15"/>
    <w:autoRedefine/>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qFormat/>
    <w:uiPriority w:val="39"/>
    <w:pPr>
      <w:spacing w:before="120" w:after="120"/>
      <w:jc w:val="left"/>
    </w:pPr>
    <w:rPr>
      <w:rFonts w:ascii="Calibri" w:hAnsi="Calibri"/>
      <w:b/>
      <w:bCs/>
      <w:caps/>
      <w:sz w:val="20"/>
    </w:rPr>
  </w:style>
  <w:style w:type="table" w:styleId="9">
    <w:name w:val="Table Grid"/>
    <w:basedOn w:val="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Char"/>
    <w:basedOn w:val="1"/>
    <w:autoRedefine/>
    <w:qFormat/>
    <w:uiPriority w:val="0"/>
    <w:rPr>
      <w:rFonts w:ascii="仿宋_GB2312" w:eastAsia="仿宋_GB2312"/>
      <w:b/>
      <w:sz w:val="32"/>
      <w:szCs w:val="32"/>
    </w:rPr>
  </w:style>
  <w:style w:type="paragraph" w:customStyle="1" w:styleId="13">
    <w:name w:val="_Style 10"/>
    <w:basedOn w:val="1"/>
    <w:autoRedefine/>
    <w:qFormat/>
    <w:uiPriority w:val="0"/>
    <w:pPr>
      <w:ind w:firstLine="480"/>
    </w:pPr>
  </w:style>
  <w:style w:type="character" w:customStyle="1" w:styleId="14">
    <w:name w:val="页眉 字符"/>
    <w:basedOn w:val="10"/>
    <w:link w:val="6"/>
    <w:qFormat/>
    <w:uiPriority w:val="0"/>
    <w:rPr>
      <w:kern w:val="2"/>
      <w:sz w:val="18"/>
      <w:szCs w:val="18"/>
    </w:rPr>
  </w:style>
  <w:style w:type="character" w:customStyle="1" w:styleId="15">
    <w:name w:val="页脚 字符"/>
    <w:basedOn w:val="10"/>
    <w:link w:val="5"/>
    <w:qFormat/>
    <w:uiPriority w:val="0"/>
    <w:rPr>
      <w:kern w:val="2"/>
      <w:sz w:val="18"/>
      <w:szCs w:val="18"/>
    </w:rPr>
  </w:style>
  <w:style w:type="character" w:customStyle="1" w:styleId="16">
    <w:name w:val="纯文本 字符"/>
    <w:basedOn w:val="10"/>
    <w:link w:val="3"/>
    <w:autoRedefine/>
    <w:qFormat/>
    <w:uiPriority w:val="0"/>
    <w:rPr>
      <w:rFonts w:ascii="宋体" w:hAnsi="Courier New" w:cs="Courier New"/>
      <w:kern w:val="2"/>
      <w:sz w:val="21"/>
      <w:szCs w:val="21"/>
    </w:rPr>
  </w:style>
  <w:style w:type="paragraph" w:styleId="1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JUJU猫宽带宝藏会员版</Company>
  <Pages>4</Pages>
  <Words>3223</Words>
  <Characters>3406</Characters>
  <Lines>37</Lines>
  <Paragraphs>10</Paragraphs>
  <TotalTime>0</TotalTime>
  <ScaleCrop>false</ScaleCrop>
  <LinksUpToDate>false</LinksUpToDate>
  <CharactersWithSpaces>3424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2017-10-26T07:53:00Z</dcterms:created>
  <dc:creator>yulong</dc:creator>
  <cp:lastModifiedBy>gx3</cp:lastModifiedBy>
  <cp:lastPrinted>2022-07-05T06:43:00Z</cp:lastPrinted>
  <dcterms:modified xsi:type="dcterms:W3CDTF">2025-06-19T10:01:31Z</dcterms:modified>
  <dc:title>编制总说明</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CC07AE87BEEE4EF0BA3A4B2C2397955B</vt:lpwstr>
  </property>
  <property fmtid="{D5CDD505-2E9C-101B-9397-08002B2CF9AE}" pid="4" name="KSOTemplateDocerSaveRecord">
    <vt:lpwstr>eyJoZGlkIjoiNDhmMzcwOTczMTU1NjAyMmFlNDY0NzUzZWY4NTdlNjgifQ==</vt:lpwstr>
  </property>
</Properties>
</file>