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2"/>
          <w:szCs w:val="52"/>
          <w:lang w:eastAsia="zh-CN"/>
        </w:rPr>
        <w:t>绍兴市职业教育中心（绍兴技师学院）东西教学组团膜结构雨棚项目</w:t>
      </w:r>
    </w:p>
    <w:p>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YH2024-04035</w:t>
      </w:r>
    </w:p>
    <w:tbl>
      <w:tblPr>
        <w:tblStyle w:val="63"/>
        <w:tblW w:w="6596" w:type="dxa"/>
        <w:jc w:val="center"/>
        <w:tblLayout w:type="fixed"/>
        <w:tblCellMar>
          <w:top w:w="0" w:type="dxa"/>
          <w:left w:w="108" w:type="dxa"/>
          <w:bottom w:w="0" w:type="dxa"/>
          <w:right w:w="108" w:type="dxa"/>
        </w:tblCellMar>
      </w:tblPr>
      <w:tblGrid>
        <w:gridCol w:w="2356"/>
        <w:gridCol w:w="4240"/>
      </w:tblGrid>
      <w:tr>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绍兴市职业教育中心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728647"/>
      <w:bookmarkEnd w:id="3"/>
      <w:bookmarkStart w:id="4" w:name="_Hlt74729822"/>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绍兴市职业教育中心（绍兴技师学院）东西教学组团膜结构雨棚项目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年月日点分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YH2024-04035</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绍兴市职业教育中心（绍兴技师学院）东西教学组团膜结构雨棚项目</w:t>
      </w:r>
    </w:p>
    <w:p>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1566000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1566000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绍兴市职业教育中心（绍兴技师学院）东西教学组团膜结构雨棚项目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1566000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年月日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19"/>
      <w:bookmarkStart w:id="12" w:name="_Toc35393637"/>
      <w:bookmarkStart w:id="13" w:name="_Toc28359096"/>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hint="eastAsia" w:ascii="仿宋" w:hAnsi="仿宋" w:eastAsia="仿宋" w:cs="仿宋"/>
          <w:color w:val="auto"/>
          <w:sz w:val="24"/>
          <w:highlight w:val="none"/>
          <w:u w:val="none"/>
          <w:lang w:eastAsia="zh-CN"/>
        </w:rPr>
      </w:pPr>
      <w:bookmarkStart w:id="15" w:name="_Toc28359020"/>
      <w:bookmarkStart w:id="16" w:name="_Toc28359097"/>
      <w:bookmarkStart w:id="17" w:name="_Toc35393807"/>
      <w:bookmarkStart w:id="18" w:name="_Toc35393638"/>
      <w:r>
        <w:rPr>
          <w:rFonts w:hint="eastAsia" w:ascii="仿宋" w:hAnsi="仿宋" w:eastAsia="仿宋" w:cs="仿宋"/>
          <w:color w:val="auto"/>
          <w:sz w:val="24"/>
          <w:highlight w:val="none"/>
          <w:u w:val="none"/>
        </w:rPr>
        <w:t>名称：</w:t>
      </w:r>
      <w:r>
        <w:rPr>
          <w:rFonts w:hint="eastAsia" w:ascii="仿宋" w:hAnsi="仿宋" w:eastAsia="仿宋" w:cs="仿宋"/>
          <w:color w:val="auto"/>
          <w:sz w:val="24"/>
          <w:highlight w:val="none"/>
          <w:u w:val="none"/>
          <w:lang w:eastAsia="zh-CN"/>
        </w:rPr>
        <w:t>绍兴市职业教育中心</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地址：绍兴市越城区平江路579号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项目联系人（询问）：吕旺力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项目联系方式（询问）：13335858550</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质疑联</w:t>
      </w:r>
      <w:bookmarkStart w:id="190" w:name="_GoBack"/>
      <w:r>
        <w:rPr>
          <w:rFonts w:hint="eastAsia" w:ascii="仿宋" w:hAnsi="仿宋" w:eastAsia="仿宋" w:cs="仿宋"/>
          <w:kern w:val="0"/>
          <w:sz w:val="24"/>
        </w:rPr>
        <w:t>系人：屠彬辉</w:t>
      </w:r>
      <w:r>
        <w:rPr>
          <w:rFonts w:hint="eastAsia" w:ascii="仿宋" w:hAnsi="仿宋" w:eastAsia="仿宋" w:cs="仿宋"/>
          <w:kern w:val="0"/>
          <w:sz w:val="24"/>
        </w:rPr>
        <w:t xml:space="preserve">   </w:t>
      </w:r>
    </w:p>
    <w:bookmarkEnd w:id="190"/>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kern w:val="0"/>
          <w:sz w:val="24"/>
        </w:rPr>
        <w:t>质疑联系方式：0575-88611533</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35393639"/>
      <w:bookmarkStart w:id="20" w:name="_Toc28359021"/>
      <w:bookmarkStart w:id="21" w:name="_Toc28359098"/>
      <w:bookmarkStart w:id="22" w:name="_Toc35393808"/>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凌静、阮建宏</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lang w:val="en-US" w:eastAsia="zh-CN"/>
              </w:rPr>
              <w:t xml:space="preserve">  /  </w:t>
            </w:r>
            <w:r>
              <w:rPr>
                <w:rFonts w:hint="eastAsia" w:ascii="仿宋" w:hAnsi="仿宋" w:eastAsia="仿宋" w:cs="仿宋"/>
                <w:sz w:val="24"/>
              </w:rPr>
              <w:t>,地点：</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，联系人：</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，联系方式：</w:t>
            </w:r>
            <w:r>
              <w:rPr>
                <w:rFonts w:hint="eastAsia" w:ascii="仿宋" w:hAnsi="仿宋" w:eastAsia="仿宋" w:cs="仿宋"/>
                <w:sz w:val="24"/>
                <w:u w:val="single"/>
                <w:lang w:val="en-US" w:eastAsia="zh-CN"/>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green"/>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，讲解演示人员不超过</w:t>
            </w:r>
            <w:r>
              <w:rPr>
                <w:rFonts w:hint="eastAsia" w:ascii="仿宋" w:hAnsi="仿宋" w:eastAsia="仿宋" w:cs="仿宋"/>
                <w:color w:val="auto"/>
                <w:sz w:val="24"/>
                <w:highlight w:val="none"/>
                <w:u w:val="single"/>
                <w:lang w:val="en-US" w:eastAsia="zh-CN"/>
              </w:rPr>
              <w:t xml:space="preserve"> 3 </w:t>
            </w:r>
            <w:r>
              <w:rPr>
                <w:rFonts w:hint="eastAsia" w:ascii="仿宋" w:hAnsi="仿宋" w:eastAsia="仿宋" w:cs="仿宋"/>
                <w:color w:val="auto"/>
                <w:sz w:val="24"/>
                <w:highlight w:val="none"/>
                <w:lang w:val="zh-CN"/>
              </w:rPr>
              <w:t>人。讲解演示所用电脑等设备由供应商自备。现场讲解演示人员进场时提供讲解人员名单（加盖公章或授权代表签名）及身份证明，否则不得讲解演示。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color w:val="auto"/>
                <w:sz w:val="24"/>
                <w:highlight w:val="green"/>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suppressLineNumbers w:val="0"/>
              <w:kinsoku/>
              <w:wordWrap/>
              <w:overflowPunct/>
              <w:topLinePunct w:val="0"/>
              <w:autoSpaceDE/>
              <w:autoSpaceDN/>
              <w:bidi w:val="0"/>
              <w:snapToGrid/>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color w:val="000000"/>
                <w:kern w:val="0"/>
                <w:sz w:val="24"/>
                <w:szCs w:val="24"/>
                <w:highlight w:val="none"/>
                <w:u w:val="single"/>
                <w:lang w:val="en-US" w:eastAsia="zh-CN" w:bidi="ar"/>
              </w:rPr>
              <w:t xml:space="preserve"> 膜材 </w:t>
            </w:r>
            <w:r>
              <w:rPr>
                <w:rFonts w:hint="eastAsia" w:ascii="仿宋" w:hAnsi="仿宋" w:eastAsia="仿宋" w:cs="仿宋"/>
                <w:sz w:val="24"/>
                <w:highlight w:val="none"/>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color w:val="000000"/>
                <w:kern w:val="0"/>
                <w:sz w:val="24"/>
                <w:szCs w:val="24"/>
                <w:highlight w:val="none"/>
                <w:u w:val="single"/>
                <w:lang w:val="en-US" w:eastAsia="zh-CN" w:bidi="ar"/>
              </w:rPr>
              <w:t>工业</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r>
              <w:rPr>
                <w:rFonts w:hint="eastAsia" w:ascii="仿宋" w:hAnsi="仿宋" w:eastAsia="仿宋" w:cs="仿宋"/>
                <w:sz w:val="24"/>
                <w:lang w:eastAsia="zh-CN"/>
              </w:rPr>
              <w:t>，</w:t>
            </w:r>
            <w:r>
              <w:rPr>
                <w:rFonts w:hint="eastAsia" w:ascii="仿宋" w:hAnsi="仿宋" w:eastAsia="仿宋" w:cs="仿宋"/>
                <w:sz w:val="24"/>
                <w:lang w:val="en-US" w:eastAsia="zh-CN"/>
              </w:rPr>
              <w:t>100-500万部分为1.1%</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_Toc164416483"/>
      <w:bookmarkStart w:id="24" w:name="第三部分"/>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8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8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82"/>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hint="eastAsia"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3"/>
        <w:spacing w:line="288" w:lineRule="auto"/>
        <w:ind w:firstLine="726"/>
        <w:jc w:val="center"/>
        <w:rPr>
          <w:rFonts w:hint="eastAsia" w:ascii="仿宋" w:hAnsi="仿宋" w:eastAsia="仿宋" w:cs="仿宋"/>
          <w:b/>
          <w:sz w:val="32"/>
          <w:szCs w:val="32"/>
        </w:rPr>
      </w:pPr>
      <w:bookmarkStart w:id="26" w:name="_Toc81372953"/>
      <w:bookmarkStart w:id="27" w:name="_Toc81372776"/>
      <w:bookmarkStart w:id="28" w:name="_Toc84325929"/>
    </w:p>
    <w:p>
      <w:pPr>
        <w:pStyle w:val="33"/>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keepNext w:val="0"/>
        <w:keepLines w:val="0"/>
        <w:pageBreakBefore w:val="0"/>
        <w:widowControl/>
        <w:kinsoku/>
        <w:wordWrap/>
        <w:overflowPunct/>
        <w:topLinePunct w:val="0"/>
        <w:bidi w:val="0"/>
        <w:adjustRightInd w:val="0"/>
        <w:snapToGrid/>
        <w:spacing w:line="288" w:lineRule="auto"/>
        <w:jc w:val="center"/>
        <w:textAlignment w:val="auto"/>
        <w:rPr>
          <w:rFonts w:hint="eastAsia" w:ascii="仿宋" w:hAnsi="仿宋" w:eastAsia="仿宋" w:cs="仿宋"/>
          <w:b/>
          <w:bCs/>
          <w:color w:val="000000"/>
          <w:kern w:val="0"/>
          <w:sz w:val="24"/>
          <w:szCs w:val="24"/>
          <w:lang w:val="en-US" w:eastAsia="zh-CN" w:bidi="ar"/>
        </w:rPr>
      </w:pPr>
      <w:bookmarkStart w:id="29" w:name="第五部分"/>
      <w:bookmarkStart w:id="30" w:name="_Toc86217003"/>
      <w:r>
        <w:rPr>
          <w:rFonts w:hint="eastAsia" w:ascii="仿宋" w:hAnsi="仿宋" w:eastAsia="仿宋" w:cs="仿宋"/>
          <w:b/>
          <w:sz w:val="36"/>
          <w:szCs w:val="36"/>
        </w:rPr>
        <w:t>第三部分   招标项目范围及要求</w:t>
      </w:r>
    </w:p>
    <w:p>
      <w:pPr>
        <w:keepNext w:val="0"/>
        <w:keepLines w:val="0"/>
        <w:pageBreakBefore w:val="0"/>
        <w:widowControl/>
        <w:kinsoku/>
        <w:wordWrap/>
        <w:overflowPunct/>
        <w:topLinePunct w:val="0"/>
        <w:bidi w:val="0"/>
        <w:adjustRightInd w:val="0"/>
        <w:snapToGrid/>
        <w:spacing w:line="288"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一</w:t>
      </w:r>
      <w:r>
        <w:rPr>
          <w:rFonts w:hint="eastAsia" w:ascii="仿宋" w:hAnsi="仿宋" w:eastAsia="仿宋" w:cs="仿宋"/>
          <w:b/>
          <w:bCs/>
          <w:color w:val="000000"/>
          <w:kern w:val="0"/>
          <w:sz w:val="24"/>
          <w:szCs w:val="24"/>
          <w:lang w:bidi="ar"/>
        </w:rPr>
        <w:t>、</w:t>
      </w:r>
      <w:r>
        <w:rPr>
          <w:rFonts w:hint="eastAsia" w:ascii="仿宋" w:hAnsi="仿宋" w:eastAsia="仿宋" w:cs="仿宋"/>
          <w:b/>
          <w:bCs/>
          <w:color w:val="000000"/>
          <w:kern w:val="0"/>
          <w:sz w:val="24"/>
          <w:szCs w:val="24"/>
          <w:lang w:val="en-US" w:eastAsia="zh-CN" w:bidi="ar"/>
        </w:rPr>
        <w:t>采购</w:t>
      </w:r>
      <w:r>
        <w:rPr>
          <w:rFonts w:hint="eastAsia" w:ascii="仿宋" w:hAnsi="仿宋" w:eastAsia="仿宋" w:cs="仿宋"/>
          <w:b/>
          <w:bCs/>
          <w:color w:val="000000"/>
          <w:kern w:val="0"/>
          <w:sz w:val="24"/>
          <w:szCs w:val="24"/>
          <w:lang w:bidi="ar"/>
        </w:rPr>
        <w:t>需求清单</w:t>
      </w:r>
    </w:p>
    <w:tbl>
      <w:tblPr>
        <w:tblStyle w:val="64"/>
        <w:tblpPr w:leftFromText="180" w:rightFromText="180" w:vertAnchor="text" w:tblpX="10214" w:tblpY="-6402"/>
        <w:tblOverlap w:val="never"/>
        <w:tblW w:w="1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 w:hRule="atLeast"/>
        </w:trPr>
        <w:tc>
          <w:tcPr>
            <w:tcW w:w="1518" w:type="dxa"/>
          </w:tcPr>
          <w:p>
            <w:pPr>
              <w:pStyle w:val="23"/>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bCs/>
                <w:sz w:val="24"/>
                <w:szCs w:val="24"/>
                <w:lang w:val="en-US" w:bidi="ar-SA"/>
              </w:rPr>
            </w:pPr>
          </w:p>
        </w:tc>
      </w:tr>
    </w:tbl>
    <w:p>
      <w:pPr>
        <w:keepNext w:val="0"/>
        <w:keepLines w:val="0"/>
        <w:pageBreakBefore w:val="0"/>
        <w:kinsoku/>
        <w:wordWrap/>
        <w:overflowPunct/>
        <w:topLinePunct w:val="0"/>
        <w:bidi w:val="0"/>
        <w:snapToGrid/>
        <w:spacing w:line="288" w:lineRule="auto"/>
        <w:ind w:firstLine="482" w:firstLineChars="200"/>
        <w:jc w:val="both"/>
        <w:outlineLvl w:val="0"/>
        <w:rPr>
          <w:rFonts w:hint="eastAsia" w:ascii="仿宋" w:hAnsi="仿宋" w:eastAsia="仿宋" w:cs="仿宋"/>
          <w:b/>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val="en-US" w:eastAsia="zh-CN"/>
        </w:rPr>
        <w:t>膜结构雨棚清单参数</w:t>
      </w:r>
      <w:r>
        <w:rPr>
          <w:rFonts w:hint="eastAsia" w:ascii="仿宋" w:hAnsi="仿宋" w:eastAsia="仿宋" w:cs="仿宋"/>
          <w:b/>
          <w:bCs/>
          <w:sz w:val="24"/>
          <w:szCs w:val="24"/>
        </w:rPr>
        <w:t>要求：</w:t>
      </w:r>
    </w:p>
    <w:tbl>
      <w:tblPr>
        <w:tblStyle w:val="63"/>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7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br w:type="page"/>
            </w:r>
            <w:r>
              <w:rPr>
                <w:rFonts w:hint="eastAsia" w:ascii="仿宋" w:hAnsi="仿宋" w:eastAsia="仿宋" w:cs="仿宋"/>
                <w:b/>
                <w:color w:val="000000"/>
                <w:sz w:val="24"/>
                <w:szCs w:val="24"/>
              </w:rPr>
              <w:t>名称</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rPr>
              <w:t>规格、技术参数及要求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lang w:val="en-US" w:eastAsia="zh-CN"/>
              </w:rPr>
            </w:pPr>
            <w:r>
              <w:rPr>
                <w:rFonts w:hint="eastAsia" w:ascii="仿宋" w:hAnsi="仿宋" w:eastAsia="仿宋" w:cs="仿宋"/>
                <w:b w:val="0"/>
                <w:bCs/>
                <w:color w:val="000000"/>
                <w:sz w:val="24"/>
                <w:szCs w:val="24"/>
                <w:lang w:val="en-US" w:eastAsia="zh-CN"/>
              </w:rPr>
              <w:t>单套尺寸</w:t>
            </w:r>
          </w:p>
        </w:tc>
        <w:tc>
          <w:tcPr>
            <w:tcW w:w="7824" w:type="dxa"/>
            <w:noWrap w:val="0"/>
            <w:tcMar>
              <w:top w:w="57" w:type="dxa"/>
              <w:left w:w="108" w:type="dxa"/>
              <w:bottom w:w="0" w:type="dxa"/>
              <w:right w:w="108" w:type="dxa"/>
            </w:tcMar>
            <w:vAlign w:val="center"/>
          </w:tcPr>
          <w:tbl>
            <w:tblPr>
              <w:tblStyle w:val="63"/>
              <w:tblW w:w="6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6"/>
              <w:gridCol w:w="1000"/>
              <w:gridCol w:w="1086"/>
              <w:gridCol w:w="1002"/>
              <w:gridCol w:w="1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1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设备名称</w:t>
                  </w:r>
                </w:p>
              </w:tc>
              <w:tc>
                <w:tcPr>
                  <w:tcW w:w="1000"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数量</w:t>
                  </w:r>
                </w:p>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（套）</w:t>
                  </w:r>
                </w:p>
              </w:tc>
              <w:tc>
                <w:tcPr>
                  <w:tcW w:w="108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长度（米）</w:t>
                  </w:r>
                </w:p>
              </w:tc>
              <w:tc>
                <w:tcPr>
                  <w:tcW w:w="1002"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深度（米）</w:t>
                  </w:r>
                </w:p>
              </w:tc>
              <w:tc>
                <w:tcPr>
                  <w:tcW w:w="1638"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面积（平方）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西组团西侧雨棚6</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西组团西侧雨棚7</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西组团西侧雨棚8</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西组团西侧雨棚9</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西组团西侧雨棚10</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西组团西侧雨棚16</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西组团西侧雨棚17</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西组团西侧雨棚18</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汇总</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3391.5</w:t>
                  </w:r>
                </w:p>
              </w:tc>
            </w:tr>
          </w:tbl>
          <w:p>
            <w:pPr>
              <w:keepNext w:val="0"/>
              <w:keepLines w:val="0"/>
              <w:pageBreakBefore w:val="0"/>
              <w:kinsoku/>
              <w:wordWrap/>
              <w:overflowPunct/>
              <w:topLinePunct w:val="0"/>
              <w:bidi w:val="0"/>
              <w:snapToGrid/>
              <w:spacing w:line="288" w:lineRule="auto"/>
              <w:jc w:val="left"/>
              <w:rPr>
                <w:rFonts w:hint="eastAsia" w:ascii="仿宋" w:hAnsi="仿宋" w:eastAsia="仿宋" w:cs="仿宋"/>
                <w:b/>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数量</w:t>
            </w:r>
          </w:p>
        </w:tc>
        <w:tc>
          <w:tcPr>
            <w:tcW w:w="7824" w:type="dxa"/>
            <w:noWrap w:val="0"/>
            <w:vAlign w:val="center"/>
          </w:tcPr>
          <w:p>
            <w:pPr>
              <w:keepNext w:val="0"/>
              <w:keepLines w:val="0"/>
              <w:pageBreakBefore w:val="0"/>
              <w:kinsoku/>
              <w:wordWrap/>
              <w:overflowPunct/>
              <w:topLinePunct w:val="0"/>
              <w:bidi w:val="0"/>
              <w:snapToGrid/>
              <w:spacing w:line="288" w:lineRule="auto"/>
              <w:jc w:val="left"/>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立面图1深度6米</w:t>
            </w:r>
          </w:p>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要求参考</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3813175" cy="3355340"/>
                  <wp:effectExtent l="0" t="0" r="12065" b="12700"/>
                  <wp:docPr id="12" name="图片 12" descr="169370938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709389146"/>
                          <pic:cNvPicPr>
                            <a:picLocks noChangeAspect="1"/>
                          </pic:cNvPicPr>
                        </pic:nvPicPr>
                        <pic:blipFill>
                          <a:blip r:embed="rId28"/>
                          <a:stretch>
                            <a:fillRect/>
                          </a:stretch>
                        </pic:blipFill>
                        <pic:spPr>
                          <a:xfrm>
                            <a:off x="0" y="0"/>
                            <a:ext cx="3813175" cy="3355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立面图2深度3米</w:t>
            </w:r>
          </w:p>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要求参考</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2319655" cy="2184400"/>
                  <wp:effectExtent l="0" t="0" r="12065" b="10160"/>
                  <wp:docPr id="13" name="图片 13" descr="17048486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4848624148"/>
                          <pic:cNvPicPr>
                            <a:picLocks noChangeAspect="1"/>
                          </pic:cNvPicPr>
                        </pic:nvPicPr>
                        <pic:blipFill>
                          <a:blip r:embed="rId29"/>
                          <a:stretch>
                            <a:fillRect/>
                          </a:stretch>
                        </pic:blipFill>
                        <pic:spPr>
                          <a:xfrm>
                            <a:off x="0" y="0"/>
                            <a:ext cx="2319655" cy="2184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立柱</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图1：H580-400*150*6*6  图2：H300-120*6*6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横梁</w:t>
            </w:r>
          </w:p>
        </w:tc>
        <w:tc>
          <w:tcPr>
            <w:tcW w:w="7824" w:type="dxa"/>
            <w:noWrap w:val="0"/>
            <w:vAlign w:val="center"/>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图1：H400-150*150*6*6   图2：H250-120*6*6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膜材</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1、钢结构热镀锌处理，表面打磨除锈，采用环氧富锌底漆两道、氯化橡胶面漆两道，面漆颜色为白色。</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2、▲膜材的断裂强度(最大拉力 )：经向抗拉强度≥7300N/50mm，纬向抗拉强度≥5800N/50mm；</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sz w:val="24"/>
                <w:szCs w:val="24"/>
                <w:lang w:val="en-US" w:eastAsia="zh-CN"/>
              </w:rPr>
              <w:t>3、▲膜材的抗撕裂强度（撕裂力）：经向≥220N；纬向≥190N；</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4、膜材的最大伸长率：</w:t>
            </w:r>
            <w:r>
              <w:rPr>
                <w:rFonts w:hint="eastAsia" w:ascii="仿宋" w:hAnsi="仿宋" w:eastAsia="仿宋" w:cs="仿宋"/>
                <w:color w:val="auto"/>
                <w:sz w:val="24"/>
                <w:szCs w:val="24"/>
                <w:lang w:val="en-US" w:eastAsia="zh-CN"/>
              </w:rPr>
              <w:t>经向≥10%；纬向≥10%</w:t>
            </w:r>
            <w:r>
              <w:rPr>
                <w:rFonts w:hint="eastAsia" w:ascii="仿宋" w:hAnsi="仿宋" w:eastAsia="仿宋" w:cs="仿宋"/>
                <w:color w:val="auto"/>
                <w:kern w:val="0"/>
                <w:sz w:val="24"/>
                <w:szCs w:val="24"/>
                <w:lang w:val="en-US" w:eastAsia="zh-CN" w:bidi="ar"/>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5、膜材的成品布克重：≥1500g/m2</w:t>
            </w:r>
            <w:r>
              <w:rPr>
                <w:rFonts w:hint="eastAsia" w:ascii="仿宋" w:hAnsi="仿宋" w:eastAsia="仿宋" w:cs="仿宋"/>
                <w:color w:val="auto"/>
                <w:kern w:val="0"/>
                <w:sz w:val="24"/>
                <w:szCs w:val="24"/>
                <w:lang w:val="en-US" w:eastAsia="zh-CN" w:bidi="ar"/>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6、膜材厚度：≥0.90mm；</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7、膜材基布采用超细玻璃纤维纱EC6（3-5微米丝经）编织，表面带永久性超高自洁性二氧化钛涂层；</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8、▲膜材采用PTFE材质。</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备注：以上参数均需提供</w:t>
            </w:r>
            <w:r>
              <w:rPr>
                <w:rFonts w:hint="eastAsia" w:ascii="仿宋" w:hAnsi="仿宋" w:eastAsia="仿宋" w:cs="仿宋"/>
                <w:b/>
                <w:bCs/>
                <w:color w:val="auto"/>
                <w:kern w:val="0"/>
                <w:sz w:val="24"/>
                <w:szCs w:val="24"/>
                <w:lang w:val="en-US" w:eastAsia="zh-CN"/>
              </w:rPr>
              <w:t>具有CNAS或CMA标识的合格检测报告复印件加盖投标人公章</w:t>
            </w:r>
            <w:r>
              <w:rPr>
                <w:rFonts w:hint="eastAsia" w:ascii="仿宋" w:hAnsi="仿宋" w:eastAsia="仿宋" w:cs="仿宋"/>
                <w:b/>
                <w:bCs/>
                <w:color w:val="auto"/>
                <w:sz w:val="24"/>
                <w:szCs w:val="24"/>
                <w:lang w:val="en-US" w:eastAsia="zh-CN"/>
              </w:rPr>
              <w:t>为佐证</w:t>
            </w:r>
            <w:r>
              <w:rPr>
                <w:rFonts w:hint="eastAsia" w:ascii="仿宋" w:hAnsi="仿宋" w:eastAsia="仿宋"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lang w:val="en-US" w:eastAsia="zh-CN"/>
              </w:rPr>
              <w:t>特性</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lang w:val="en-US" w:eastAsia="zh-CN"/>
              </w:rPr>
              <w:t>1、</w:t>
            </w:r>
            <w:r>
              <w:rPr>
                <w:rFonts w:hint="eastAsia" w:ascii="仿宋" w:hAnsi="仿宋" w:eastAsia="仿宋" w:cs="仿宋"/>
                <w:i w:val="0"/>
                <w:iCs w:val="0"/>
                <w:color w:val="auto"/>
                <w:sz w:val="24"/>
                <w:szCs w:val="24"/>
              </w:rPr>
              <w:t>抗风等级</w:t>
            </w:r>
            <w:r>
              <w:rPr>
                <w:rFonts w:hint="eastAsia" w:ascii="仿宋" w:hAnsi="仿宋" w:eastAsia="仿宋" w:cs="仿宋"/>
                <w:i w:val="0"/>
                <w:iCs w:val="0"/>
                <w:color w:val="auto"/>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rPr>
              <w:t>8级</w:t>
            </w:r>
            <w:r>
              <w:rPr>
                <w:rFonts w:hint="eastAsia" w:ascii="仿宋" w:hAnsi="仿宋" w:eastAsia="仿宋" w:cs="仿宋"/>
                <w:i w:val="0"/>
                <w:iCs w:val="0"/>
                <w:color w:val="auto"/>
                <w:sz w:val="24"/>
                <w:szCs w:val="24"/>
                <w:highlight w:val="none"/>
              </w:rPr>
              <w:t xml:space="preserve"> </w:t>
            </w:r>
            <w:r>
              <w:rPr>
                <w:rFonts w:hint="eastAsia" w:ascii="仿宋" w:hAnsi="仿宋" w:eastAsia="仿宋" w:cs="仿宋"/>
                <w:i w:val="0"/>
                <w:iCs w:val="0"/>
                <w:color w:val="auto"/>
                <w:sz w:val="24"/>
                <w:szCs w:val="24"/>
                <w:highlight w:val="none"/>
                <w:lang w:eastAsia="zh-CN"/>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i w:val="0"/>
                <w:iCs w:val="0"/>
                <w:color w:val="auto"/>
                <w:sz w:val="24"/>
                <w:szCs w:val="24"/>
                <w:lang w:val="en-US" w:eastAsia="zh-CN"/>
              </w:rPr>
              <w:t>2、</w:t>
            </w:r>
            <w:r>
              <w:rPr>
                <w:rFonts w:hint="eastAsia" w:ascii="仿宋" w:hAnsi="仿宋" w:eastAsia="仿宋" w:cs="仿宋"/>
                <w:i w:val="0"/>
                <w:iCs w:val="0"/>
                <w:color w:val="auto"/>
                <w:sz w:val="24"/>
                <w:szCs w:val="24"/>
              </w:rPr>
              <w:t>抗雪载</w:t>
            </w:r>
            <w:r>
              <w:rPr>
                <w:rFonts w:hint="eastAsia" w:ascii="仿宋" w:hAnsi="仿宋" w:eastAsia="仿宋" w:cs="仿宋"/>
                <w:i w:val="0"/>
                <w:iCs w:val="0"/>
                <w:color w:val="auto"/>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lang w:val="en-US" w:eastAsia="zh-CN"/>
              </w:rPr>
              <w:t>1.5KN/m2；</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i w:val="0"/>
                <w:iCs w:val="0"/>
                <w:color w:val="auto"/>
                <w:sz w:val="24"/>
                <w:szCs w:val="24"/>
                <w:lang w:val="en-US" w:eastAsia="zh-CN"/>
              </w:rPr>
              <w:t>3、▲阻燃等级：</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lang w:val="en-US" w:eastAsia="zh-CN"/>
              </w:rPr>
              <w:t>B1级；</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b/>
                <w:bCs/>
                <w:color w:val="auto"/>
                <w:sz w:val="24"/>
                <w:szCs w:val="24"/>
                <w:lang w:val="en-US" w:eastAsia="zh-CN"/>
              </w:rPr>
              <w:t>备注：以上参数均需提供</w:t>
            </w:r>
            <w:r>
              <w:rPr>
                <w:rFonts w:hint="eastAsia" w:ascii="仿宋" w:hAnsi="仿宋" w:eastAsia="仿宋" w:cs="仿宋"/>
                <w:b/>
                <w:bCs/>
                <w:color w:val="auto"/>
                <w:kern w:val="0"/>
                <w:sz w:val="24"/>
                <w:szCs w:val="24"/>
                <w:lang w:val="en-US" w:eastAsia="zh-CN"/>
              </w:rPr>
              <w:t>具有CNAS或CMA标识的合格检测报告复印件加盖投标人公章</w:t>
            </w:r>
            <w:r>
              <w:rPr>
                <w:rFonts w:hint="eastAsia" w:ascii="仿宋" w:hAnsi="仿宋" w:eastAsia="仿宋" w:cs="仿宋"/>
                <w:b/>
                <w:bCs/>
                <w:color w:val="auto"/>
                <w:sz w:val="24"/>
                <w:szCs w:val="24"/>
                <w:lang w:val="en-US" w:eastAsia="zh-CN"/>
              </w:rPr>
              <w:t>为佐证</w:t>
            </w:r>
            <w:r>
              <w:rPr>
                <w:rFonts w:hint="eastAsia" w:ascii="仿宋" w:hAnsi="仿宋" w:eastAsia="仿宋"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质量</w:t>
            </w:r>
          </w:p>
        </w:tc>
        <w:tc>
          <w:tcPr>
            <w:tcW w:w="7824" w:type="dxa"/>
            <w:noWrap w:val="0"/>
            <w:vAlign w:val="top"/>
          </w:tcPr>
          <w:p>
            <w:pPr>
              <w:keepNext w:val="0"/>
              <w:keepLines w:val="0"/>
              <w:pageBreakBefore w:val="0"/>
              <w:tabs>
                <w:tab w:val="left" w:pos="853"/>
              </w:tabs>
              <w:kinsoku/>
              <w:wordWrap/>
              <w:overflowPunct/>
              <w:topLinePunct w:val="0"/>
              <w:bidi w:val="0"/>
              <w:snapToGrid/>
              <w:spacing w:line="28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使用寿命15年以上经久耐用</w:t>
            </w:r>
          </w:p>
        </w:tc>
      </w:tr>
    </w:tbl>
    <w:p>
      <w:pPr>
        <w:keepNext w:val="0"/>
        <w:keepLines w:val="0"/>
        <w:pageBreakBefore w:val="0"/>
        <w:kinsoku/>
        <w:wordWrap/>
        <w:overflowPunct/>
        <w:topLinePunct w:val="0"/>
        <w:bidi w:val="0"/>
        <w:snapToGrid/>
        <w:spacing w:line="288" w:lineRule="auto"/>
        <w:ind w:firstLine="482" w:firstLineChars="200"/>
        <w:rPr>
          <w:rFonts w:hint="eastAsia" w:ascii="仿宋" w:hAnsi="仿宋" w:eastAsia="仿宋" w:cs="仿宋"/>
          <w:b/>
          <w:bCs/>
          <w:sz w:val="24"/>
          <w:szCs w:val="24"/>
          <w:lang w:val="en-US" w:eastAsia="zh-CN"/>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雨棚配套设施设备清单</w:t>
      </w:r>
      <w:r>
        <w:rPr>
          <w:rFonts w:hint="eastAsia" w:ascii="仿宋" w:hAnsi="仿宋" w:eastAsia="仿宋" w:cs="仿宋"/>
          <w:b/>
          <w:bCs/>
          <w:sz w:val="24"/>
          <w:szCs w:val="24"/>
        </w:rPr>
        <w:t>：</w:t>
      </w:r>
    </w:p>
    <w:tbl>
      <w:tblPr>
        <w:tblStyle w:val="64"/>
        <w:tblW w:w="918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33"/>
        <w:gridCol w:w="5552"/>
        <w:gridCol w:w="786"/>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b/>
                <w:bCs/>
                <w:sz w:val="24"/>
                <w:szCs w:val="24"/>
              </w:rPr>
              <w:t>监控</w:t>
            </w:r>
            <w:r>
              <w:rPr>
                <w:rFonts w:hint="eastAsia" w:ascii="仿宋" w:hAnsi="仿宋" w:eastAsia="仿宋" w:cs="仿宋"/>
                <w:b/>
                <w:bCs/>
                <w:sz w:val="24"/>
                <w:szCs w:val="24"/>
                <w:lang w:val="en-US" w:eastAsia="zh-CN"/>
              </w:rPr>
              <w:t>配套要求</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必须与校园原有总监控统一汇入设备兼容</w:t>
            </w:r>
            <w:r>
              <w:rPr>
                <w:rFonts w:hint="eastAsia" w:ascii="仿宋" w:hAnsi="仿宋" w:eastAsia="仿宋" w:cs="仿宋"/>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5552"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规格参数</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枪机</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1、400万筒型网络摄像机，最高分辨率可达2688 × 1520 @25 fps，在该分辨率下可输出实时图像；</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2、支持Smart侦测：10项事件检测，1项异常检测，支持萤石平台接入，支持背光补偿，强光抑制，3D数字降噪，120 dB宽动态适应不同使用环境；</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3、内置麦克风，采用高效阵列红外灯，使用寿命长，红外照射距离最远可达30 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4、传感器类型：1/3" Progressive Scan CMOS</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最低照度：彩色：0.005 Lux @（F1.2，AGC ON），0 Lux with IR；</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5、宽动态：120 dB ，焦距&amp;视场角：2.8 mm，水平视场角：97°，垂直视场角：52.3°，对角视场角：114.3°，4 mm，水平视场角：78.8°，垂直视场角：40.5°，对角视场角：93.9°</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6 mm，水平视场角：49.1°，垂直视场角：26.3°，对角视场角：57.2°，8 mm，水平视场角：37.5°，垂直视场角：20.7°，对角视场角：43.3°，12 mm，水平视场角：23.4°，垂直视场角：13.3°，对角线视场角：26.8°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补光距离：最远可达30 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6、防补光过曝：支持；</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7、红外波长范围：850 nm；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8、补光灯类型：红外灯 ，最大图像尺寸：2688 × 1520（默认2560 × 1440）；</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9、视频压缩标准：主码流：H.265/H.264；</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10、子码流：H.265/H.264/MJPEG；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11、音频：内置麦克风；</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12、网络：RJ45 10 M/100 M自适应以太网口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13、恢复出厂设置：支持客户端或浏览器恢复；</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14、启动和工作温湿度：-30 ℃~60 ℃，湿度小于95%（无凝结）；</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15、供电方式：DC：12 V ± 25%，支持防反接保护，PoE：802.3af，Class 3；</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17、电流及功耗：DC：12 V，0.41 A，最大功耗：5 W，PoE：802.3af，36 V~57 V，0.18 A~0.11 A，最大功耗：6.5 W；</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18、电源接口类型：Ø5.5 mm圆口；</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19、防护：IP66。</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20、★包含每台枪机视频接入采购方原监控平台授权。</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支吊架</w:t>
            </w:r>
          </w:p>
        </w:tc>
        <w:tc>
          <w:tcPr>
            <w:tcW w:w="5552"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FF0000"/>
                <w:sz w:val="24"/>
                <w:szCs w:val="24"/>
              </w:rPr>
            </w:pP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NVR</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（至少</w:t>
            </w: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128</w:t>
            </w:r>
            <w:r>
              <w:rPr>
                <w:rFonts w:hint="eastAsia" w:ascii="仿宋" w:hAnsi="仿宋" w:eastAsia="仿宋" w:cs="仿宋"/>
                <w:color w:val="auto"/>
                <w:sz w:val="24"/>
                <w:szCs w:val="24"/>
              </w:rPr>
              <w:t>路网络视频接入</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24盘位）</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1、具有2个HDMI接口、2个DP接口、2个V-DP接口、1个VGA接口、4个 RJ45 2.5Gbps网络接口；2个USB2.0接口、4个USB3.0接口、1个RS232接口、1个RS485接口（可接入RS485键盘）、1个eSata接口；1+1冗余电源，1+1冗余风扇；具有1路音频输入接口、1路音频输出接口、16路报警输入接口、8路报警输出接口、可内置24块SATA3.0接口硬盘。可选配4个千兆网络光口; 可选配2个V-SAS接口（可接入2个存储扩展柜）；前面板可选配1个7英寸LCD屏幕；</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2、▲可插拔式安装主板、风扇、电源模块，并且风扇、冗余电源模块可热插拔（以公安部检测报告为准）；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3、支持最大接入带宽 1024Mbps，最大存储带宽 1024Mbps，最大转发带宽 1024Mbps；</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4、▲主板支持8通道输出，包括HDMI1、HDMI2、DP1、DP2、V-DP1、V-DP2、VGA和选配的前面板，各输出口均支持显示系统主菜单；且每路均可分别进行预览、录像、查看及配置操作（以公安部检测报告为准）；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5、▲支持3种输出模式：4K模式、单8K模式和双8K模式。在4K模式下，支持选取；</w:t>
            </w:r>
          </w:p>
          <w:p>
            <w:pPr>
              <w:keepNext w:val="0"/>
              <w:keepLines w:val="0"/>
              <w:pageBreakBefore w:val="0"/>
              <w:numPr>
                <w:ilvl w:val="0"/>
                <w:numId w:val="1"/>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HDMI1/HDMI2/DP1/DP2或者HDMI1/HDMI2</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V-DP1/V-DP2作为输出口，输出4组异源4K(4096×2160)视频图像。在单8K模式下，支持选取DP1/DP2/V-DP1/V-DP2四个输出口中的任一个输出口为8K(7680×4320)输出口，HDMI1和HDMI2仍可为异源4K(4096×2160)输出。在双8K模式下，仅可选择DP1/DP2或者V-DP1/V-DP2输出异源双8K(7680×4320)视频图像（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7、▲可同时显示输出64路2MP、 H.265 编码、25fps、1920×1080 格式的视频图像（以公安部检测报告为准）；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8、▲接入警戒摄像机，支持对 IPC 的声音和闪光参数进行配置， 支持通过移动侦测、区域入侵、越界侦测、进入区域和离开区域事件联动一个或多个 IPC 的声光报警，可以对声光联动一键撤防（以公安部检测报告为准）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可接入128路高空抛物行为检测摄像机，支持在预览界面实时展示高空抛物事件轨迹并弹窗回放轨迹信息；</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硬盘</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单盘容量：8TB；</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硬盘接口：SATA；</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转速：5400RPM；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lang w:eastAsia="zh-CN"/>
              </w:rPr>
            </w:pPr>
            <w:r>
              <w:rPr>
                <w:rFonts w:hint="eastAsia" w:ascii="仿宋" w:hAnsi="仿宋" w:eastAsia="仿宋" w:cs="仿宋"/>
                <w:sz w:val="24"/>
                <w:szCs w:val="24"/>
              </w:rPr>
              <w:t>缓存：256MB</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FF0000"/>
                <w:sz w:val="24"/>
                <w:szCs w:val="24"/>
                <w:lang w:eastAsia="zh-CN"/>
              </w:rPr>
            </w:pPr>
            <w:r>
              <w:rPr>
                <w:rFonts w:hint="eastAsia" w:ascii="仿宋" w:hAnsi="仿宋" w:eastAsia="仿宋" w:cs="仿宋"/>
                <w:color w:val="auto"/>
                <w:sz w:val="24"/>
                <w:szCs w:val="24"/>
                <w:lang w:val="en-US" w:eastAsia="zh-CN"/>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交换机</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1.交换容量≥335Gbps，包转发率≥102Mpps，以官网所列最低参数为准，提供官网清晰截图及链接证明；</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2.≥16个10/100/1000Base-T自适应以太网端口，≥4个千兆SFP口；</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3.实现ERPS功能，能够快速阻断环路，链路收敛时间≤50ms；</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4、支持POE供电，整机功率≥170W；</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5.实现CPU保护功能，能限制非法报文对CPU的攻击，保护交换机在各种环境下稳定工作；</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▲6.连接到主设备就可以自动化上线，可以被管理设备统一管理，实现自动配置功能；</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▲7.可配合上端管理设备，实现整网拓扑可视，实现在网络设备上对整网交换机的统一管理，无需再额外配置网管平台；</w:t>
            </w:r>
            <w:r>
              <w:rPr>
                <w:rFonts w:hint="eastAsia" w:ascii="仿宋" w:hAnsi="仿宋" w:eastAsia="仿宋" w:cs="仿宋"/>
                <w:b/>
                <w:bCs/>
                <w:color w:val="auto"/>
                <w:sz w:val="24"/>
                <w:szCs w:val="24"/>
                <w:lang w:val="en-US" w:eastAsia="zh-CN"/>
              </w:rPr>
              <w:t xml:space="preserve">（提供官方清晰截图证明） </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8.支持IRF本地负载分担，流量可以均匀负载分担到各个堆叠链路；</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9.支持OAM(802.1AG， 802.3AH)以太网运行、维护和管理标准； </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10.符合IEEE 802.3az（EEE）节能标准；</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11.服务要求：提供原厂三年维保。</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监控</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JDG管材</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Ø</w:t>
            </w:r>
            <w:r>
              <w:rPr>
                <w:rFonts w:hint="eastAsia" w:ascii="仿宋" w:hAnsi="仿宋" w:eastAsia="仿宋" w:cs="仿宋"/>
                <w:color w:val="auto"/>
                <w:sz w:val="24"/>
                <w:szCs w:val="24"/>
                <w:lang w:val="en-US" w:eastAsia="zh-CN"/>
              </w:rPr>
              <w:t>16</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非屏蔽六类</w:t>
            </w:r>
            <w:r>
              <w:rPr>
                <w:rFonts w:hint="eastAsia" w:ascii="仿宋" w:hAnsi="仿宋" w:eastAsia="仿宋" w:cs="仿宋"/>
                <w:color w:val="auto"/>
                <w:sz w:val="24"/>
                <w:szCs w:val="24"/>
              </w:rPr>
              <w:t>类双绞线</w:t>
            </w:r>
          </w:p>
        </w:tc>
        <w:tc>
          <w:tcPr>
            <w:tcW w:w="5552" w:type="dxa"/>
          </w:tcPr>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UTP</w:t>
            </w:r>
            <w:r>
              <w:rPr>
                <w:rFonts w:hint="eastAsia" w:ascii="仿宋" w:hAnsi="仿宋" w:eastAsia="仿宋" w:cs="仿宋"/>
                <w:color w:val="auto"/>
                <w:sz w:val="24"/>
                <w:szCs w:val="24"/>
                <w:lang w:val="en-US" w:eastAsia="zh-CN"/>
              </w:rPr>
              <w:t>6；</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材质：聚酯纤维；</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材质：无氧铜(99.97%)；</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导体结构：0.53mm±0.01mm；</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绝缘材质：HDPE；</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护套材料：PVC；</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护套颜色：橙色；</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长度：305m±2m；</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工作温度：–20°C ~ +60°C；</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执行标准：GB/T 18015.5-2007；</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箱</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接线板</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插口2+3；</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信号防雷模块</w:t>
            </w:r>
          </w:p>
        </w:tc>
        <w:tc>
          <w:tcPr>
            <w:tcW w:w="5552" w:type="dxa"/>
            <w:vAlign w:val="top"/>
          </w:tcPr>
          <w:p>
            <w:pPr>
              <w:keepNext w:val="0"/>
              <w:keepLines w:val="0"/>
              <w:pageBreakBefore w:val="0"/>
              <w:kinsoku/>
              <w:wordWrap/>
              <w:overflowPunct/>
              <w:topLinePunct w:val="0"/>
              <w:bidi w:val="0"/>
              <w:snapToGrid/>
              <w:spacing w:line="288"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RJ45信号防雷模块；</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路</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监控</w:t>
            </w:r>
            <w:r>
              <w:rPr>
                <w:rFonts w:hint="eastAsia" w:ascii="仿宋" w:hAnsi="仿宋" w:eastAsia="仿宋" w:cs="仿宋"/>
                <w:sz w:val="24"/>
                <w:szCs w:val="24"/>
              </w:rPr>
              <w:t>辅材</w:t>
            </w:r>
          </w:p>
        </w:tc>
        <w:tc>
          <w:tcPr>
            <w:tcW w:w="5552" w:type="dxa"/>
            <w:vAlign w:val="top"/>
          </w:tcPr>
          <w:p>
            <w:pPr>
              <w:keepNext w:val="0"/>
              <w:keepLines w:val="0"/>
              <w:pageBreakBefore w:val="0"/>
              <w:kinsoku/>
              <w:wordWrap/>
              <w:overflowPunct/>
              <w:topLinePunct w:val="0"/>
              <w:bidi w:val="0"/>
              <w:snapToGrid/>
              <w:spacing w:line="288"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跳线、RJ45头、不锈钢螺丝螺母、不锈钢抱箍、接线端子；</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批</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b/>
                <w:bCs/>
                <w:sz w:val="24"/>
                <w:szCs w:val="24"/>
              </w:rPr>
              <w:t>照明</w:t>
            </w:r>
            <w:r>
              <w:rPr>
                <w:rFonts w:hint="eastAsia" w:ascii="仿宋" w:hAnsi="仿宋" w:eastAsia="仿宋" w:cs="仿宋"/>
                <w:b/>
                <w:bCs/>
                <w:sz w:val="24"/>
                <w:szCs w:val="24"/>
                <w:lang w:val="en-US" w:eastAsia="zh-CN"/>
              </w:rPr>
              <w:t>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吸顶灯</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功率20W、工作温度-40到50度、光通量2000LX、色温6500K；</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照明</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JDG管材</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Ø</w:t>
            </w:r>
            <w:r>
              <w:rPr>
                <w:rFonts w:hint="eastAsia" w:ascii="仿宋" w:hAnsi="仿宋" w:eastAsia="仿宋" w:cs="仿宋"/>
                <w:sz w:val="24"/>
                <w:szCs w:val="24"/>
                <w:lang w:val="en-US" w:eastAsia="zh-CN"/>
              </w:rPr>
              <w:t>16；</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电线</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lang w:eastAsia="zh-CN"/>
              </w:rPr>
            </w:pPr>
            <w:r>
              <w:rPr>
                <w:rFonts w:hint="eastAsia" w:ascii="仿宋" w:hAnsi="仿宋" w:eastAsia="仿宋" w:cs="仿宋"/>
                <w:sz w:val="24"/>
                <w:szCs w:val="24"/>
              </w:rPr>
              <w:t>BV1.5</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断路器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10A/1P</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根据电气系统图</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时控开关</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满足设计要求；</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壁挂配电箱</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304不锈钢订制1.0MM厚，120（深）*250（宽）*350MM（高），一块隔板，锁，IP55，接地极40*4扁铁2.5米+40*4角铁1.5米；</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防浪涌模块</w:t>
            </w:r>
          </w:p>
        </w:tc>
        <w:tc>
          <w:tcPr>
            <w:tcW w:w="5552" w:type="dxa"/>
          </w:tcPr>
          <w:p>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根据电气系统图；</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照明</w:t>
            </w:r>
            <w:r>
              <w:rPr>
                <w:rFonts w:hint="eastAsia" w:ascii="仿宋" w:hAnsi="仿宋" w:eastAsia="仿宋" w:cs="仿宋"/>
                <w:sz w:val="24"/>
                <w:szCs w:val="24"/>
              </w:rPr>
              <w:t>辅材</w:t>
            </w:r>
          </w:p>
        </w:tc>
        <w:tc>
          <w:tcPr>
            <w:tcW w:w="5552" w:type="dxa"/>
            <w:vAlign w:val="top"/>
          </w:tcPr>
          <w:p>
            <w:pPr>
              <w:keepNext w:val="0"/>
              <w:keepLines w:val="0"/>
              <w:pageBreakBefore w:val="0"/>
              <w:kinsoku/>
              <w:wordWrap/>
              <w:overflowPunct/>
              <w:topLinePunct w:val="0"/>
              <w:bidi w:val="0"/>
              <w:snapToGrid/>
              <w:spacing w:line="288"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不锈钢螺丝螺母、不锈钢抱箍、接线端子；</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批</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b/>
                <w:bCs/>
                <w:sz w:val="24"/>
                <w:szCs w:val="24"/>
              </w:rPr>
              <w:t>消防</w:t>
            </w:r>
            <w:r>
              <w:rPr>
                <w:rFonts w:hint="eastAsia" w:ascii="仿宋" w:hAnsi="仿宋" w:eastAsia="仿宋" w:cs="仿宋"/>
                <w:b/>
                <w:bCs/>
                <w:sz w:val="24"/>
                <w:szCs w:val="24"/>
                <w:lang w:val="en-US" w:eastAsia="zh-CN"/>
              </w:rPr>
              <w:t>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室外</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消防柜</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微型消防站柜子，柜子尺寸1800*850，冷轧钢板，静电喷涂，厚度1.2；</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干粉</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3KG；</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水基</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不锈钢钢瓶3L；</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气熔胶</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500 g铝瓶；</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悬挂式</w:t>
            </w:r>
            <w:r>
              <w:rPr>
                <w:rFonts w:hint="eastAsia" w:ascii="仿宋" w:hAnsi="仿宋" w:eastAsia="仿宋" w:cs="仿宋"/>
                <w:sz w:val="24"/>
                <w:szCs w:val="24"/>
              </w:rPr>
              <w:t>干粉</w:t>
            </w:r>
            <w:r>
              <w:rPr>
                <w:rFonts w:hint="eastAsia" w:ascii="仿宋" w:hAnsi="仿宋" w:eastAsia="仿宋" w:cs="仿宋"/>
                <w:sz w:val="24"/>
                <w:szCs w:val="24"/>
                <w:lang w:val="en-US" w:eastAsia="zh-CN"/>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4KG，保护范围：4.9-6.5M3，直径265*325MM，灭火温度：68℃（全自动），使用年限：</w:t>
            </w:r>
            <w:r>
              <w:rPr>
                <w:rFonts w:hint="eastAsia" w:ascii="仿宋" w:hAnsi="仿宋" w:eastAsia="仿宋" w:cs="仿宋"/>
                <w:color w:val="auto"/>
                <w:sz w:val="24"/>
                <w:szCs w:val="24"/>
                <w:lang w:val="en-US" w:eastAsia="zh-CN"/>
              </w:rPr>
              <w:t>≥</w:t>
            </w:r>
            <w:r>
              <w:rPr>
                <w:rFonts w:hint="eastAsia" w:ascii="仿宋" w:hAnsi="仿宋" w:eastAsia="仿宋" w:cs="仿宋"/>
                <w:sz w:val="24"/>
                <w:szCs w:val="24"/>
                <w:lang w:val="en-US" w:eastAsia="zh-CN"/>
              </w:rPr>
              <w:t>20年；</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rPr>
            </w:pPr>
            <w:r>
              <w:rPr>
                <w:rFonts w:hint="eastAsia" w:ascii="仿宋" w:hAnsi="仿宋" w:eastAsia="仿宋" w:cs="仿宋"/>
                <w:b/>
                <w:bCs/>
                <w:sz w:val="24"/>
                <w:szCs w:val="24"/>
                <w:lang w:val="en-US" w:eastAsia="zh-CN"/>
              </w:rPr>
              <w:t>其他配套要求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反光标识</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3M反光标识</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批</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bl>
    <w:p>
      <w:pPr>
        <w:pStyle w:val="58"/>
        <w:keepNext w:val="0"/>
        <w:keepLines w:val="0"/>
        <w:pageBreakBefore w:val="0"/>
        <w:widowControl w:val="0"/>
        <w:numPr>
          <w:ilvl w:val="0"/>
          <w:numId w:val="0"/>
        </w:numPr>
        <w:kinsoku/>
        <w:wordWrap/>
        <w:overflowPunct/>
        <w:topLinePunct w:val="0"/>
        <w:bidi w:val="0"/>
        <w:snapToGrid/>
        <w:spacing w:before="0" w:beforeAutospacing="0" w:after="0" w:afterAutospacing="0" w:line="288" w:lineRule="auto"/>
        <w:ind w:firstLine="482" w:firstLineChars="200"/>
        <w:jc w:val="both"/>
        <w:rPr>
          <w:rFonts w:hint="eastAsia" w:ascii="仿宋" w:hAnsi="仿宋" w:eastAsia="仿宋" w:cs="仿宋"/>
          <w:b/>
          <w:bCs/>
          <w:i w:val="0"/>
          <w:caps w:val="0"/>
          <w:strike/>
          <w:dstrike w:val="0"/>
          <w:color w:val="auto"/>
          <w:spacing w:val="0"/>
          <w:sz w:val="24"/>
          <w:szCs w:val="24"/>
          <w:shd w:val="clear" w:fill="FFFFFF"/>
        </w:rPr>
      </w:pPr>
      <w:r>
        <w:rPr>
          <w:rFonts w:hint="eastAsia" w:ascii="仿宋" w:hAnsi="仿宋" w:eastAsia="仿宋" w:cs="仿宋"/>
          <w:b/>
          <w:bCs/>
          <w:color w:val="auto"/>
          <w:sz w:val="24"/>
          <w:szCs w:val="24"/>
          <w:lang w:val="en-US" w:eastAsia="zh-CN"/>
        </w:rPr>
        <w:t>（三）安装</w:t>
      </w:r>
      <w:r>
        <w:rPr>
          <w:rFonts w:hint="eastAsia" w:ascii="仿宋" w:hAnsi="仿宋" w:eastAsia="仿宋" w:cs="仿宋"/>
          <w:b/>
          <w:bCs/>
          <w:color w:val="auto"/>
          <w:sz w:val="24"/>
          <w:szCs w:val="24"/>
        </w:rPr>
        <w:t>要求</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i w:val="0"/>
          <w:caps w:val="0"/>
          <w:color w:val="auto"/>
          <w:spacing w:val="0"/>
          <w:sz w:val="24"/>
          <w:szCs w:val="24"/>
          <w:shd w:val="clear" w:fill="FFFFFF"/>
          <w:lang w:val="en-US" w:eastAsia="zh-CN"/>
        </w:rPr>
        <w:t>1、学校原停车棚移位一套，包含原充电桩电源及充电设备回装。原停车棚移位后喷涂白色面漆，颜色需与新建33套颜色一致。</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2、本项目安装过程中涉及的辅材、安装等，都已包含在投标报价中，后期不予追加费用。</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color w:val="auto"/>
          <w:sz w:val="24"/>
          <w:szCs w:val="24"/>
          <w:lang w:val="en-US" w:eastAsia="zh-CN"/>
        </w:rPr>
        <w:t>3、投标时，投标单位须提供针对本项目膜结构雨棚的设计施工图（特别是立柱和基础）。此外，图纸中须体现涉及相关抗雪、抗风、抗震的指标。</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i w:val="0"/>
          <w:caps w:val="0"/>
          <w:color w:val="auto"/>
          <w:spacing w:val="0"/>
          <w:sz w:val="24"/>
          <w:szCs w:val="24"/>
          <w:shd w:val="clear" w:fill="FFFFFF"/>
          <w:lang w:val="en-US" w:eastAsia="zh-CN"/>
        </w:rPr>
        <w:t>4、中标单位在施工前须与采购人确定最终设计施工方案图纸，并</w:t>
      </w:r>
      <w:r>
        <w:rPr>
          <w:rFonts w:hint="eastAsia" w:ascii="仿宋" w:hAnsi="仿宋" w:eastAsia="仿宋" w:cs="仿宋"/>
          <w:color w:val="auto"/>
          <w:sz w:val="24"/>
          <w:szCs w:val="24"/>
          <w:lang w:val="en-US" w:eastAsia="zh-CN"/>
        </w:rPr>
        <w:t>出具带出图章的蓝图，设计出图相关费用由中标单位支付，投标人在投标时需综合考虑此部分费用并包含在投标报价中。</w:t>
      </w:r>
    </w:p>
    <w:p>
      <w:pPr>
        <w:keepNext w:val="0"/>
        <w:keepLines w:val="0"/>
        <w:pageBreakBefore w:val="0"/>
        <w:widowControl/>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b/>
          <w:bCs/>
          <w:color w:val="auto"/>
          <w:sz w:val="24"/>
          <w:szCs w:val="24"/>
          <w:shd w:val="clear" w:fill="FFFFFF"/>
        </w:rPr>
      </w:pPr>
      <w:r>
        <w:rPr>
          <w:rFonts w:hint="eastAsia" w:ascii="仿宋" w:hAnsi="仿宋" w:eastAsia="仿宋" w:cs="仿宋"/>
          <w:b/>
          <w:bCs/>
          <w:color w:val="auto"/>
          <w:sz w:val="24"/>
          <w:szCs w:val="24"/>
          <w:shd w:val="clear" w:fill="FFFFFF"/>
          <w:lang w:eastAsia="zh-CN"/>
        </w:rPr>
        <w:t>（</w:t>
      </w:r>
      <w:r>
        <w:rPr>
          <w:rFonts w:hint="eastAsia" w:ascii="仿宋" w:hAnsi="仿宋" w:eastAsia="仿宋" w:cs="仿宋"/>
          <w:b/>
          <w:bCs/>
          <w:color w:val="auto"/>
          <w:sz w:val="24"/>
          <w:szCs w:val="24"/>
          <w:shd w:val="clear" w:fill="FFFFFF"/>
          <w:lang w:val="en-US" w:eastAsia="zh-CN"/>
        </w:rPr>
        <w:t>四</w:t>
      </w:r>
      <w:r>
        <w:rPr>
          <w:rFonts w:hint="eastAsia" w:ascii="仿宋" w:hAnsi="仿宋" w:eastAsia="仿宋" w:cs="仿宋"/>
          <w:b/>
          <w:bCs/>
          <w:color w:val="auto"/>
          <w:sz w:val="24"/>
          <w:szCs w:val="24"/>
          <w:shd w:val="clear" w:fill="FFFFFF"/>
          <w:lang w:eastAsia="zh-CN"/>
        </w:rPr>
        <w:t>）</w:t>
      </w:r>
      <w:r>
        <w:rPr>
          <w:rFonts w:hint="eastAsia" w:ascii="仿宋" w:hAnsi="仿宋" w:eastAsia="仿宋" w:cs="仿宋"/>
          <w:b/>
          <w:bCs/>
          <w:color w:val="auto"/>
          <w:sz w:val="24"/>
          <w:szCs w:val="24"/>
          <w:shd w:val="clear" w:fill="FFFFFF"/>
          <w:lang w:val="en-US" w:eastAsia="zh-CN"/>
        </w:rPr>
        <w:t>膜材</w:t>
      </w:r>
      <w:r>
        <w:rPr>
          <w:rFonts w:hint="eastAsia" w:ascii="仿宋" w:hAnsi="仿宋" w:eastAsia="仿宋" w:cs="仿宋"/>
          <w:b/>
          <w:bCs/>
          <w:color w:val="auto"/>
          <w:sz w:val="24"/>
          <w:szCs w:val="24"/>
          <w:shd w:val="clear" w:fill="FFFFFF"/>
        </w:rPr>
        <w:t>验收要求</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b w:val="0"/>
          <w:bCs w:val="0"/>
          <w:color w:val="auto"/>
          <w:sz w:val="24"/>
          <w:szCs w:val="24"/>
          <w:u w:val="none"/>
          <w:shd w:val="clear" w:fill="FFFFFF"/>
          <w:lang w:val="en-US" w:eastAsia="zh-CN"/>
        </w:rPr>
        <w:t>合同签订后中标单位需在规定时间及地点进行</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lang w:val="en-US" w:eastAsia="zh-CN"/>
        </w:rPr>
        <w:t>供货，</w:t>
      </w:r>
      <w:r>
        <w:rPr>
          <w:rFonts w:hint="eastAsia" w:ascii="仿宋" w:hAnsi="仿宋" w:eastAsia="仿宋" w:cs="仿宋"/>
          <w:b w:val="0"/>
          <w:bCs w:val="0"/>
          <w:color w:val="auto"/>
          <w:sz w:val="24"/>
          <w:szCs w:val="24"/>
          <w:u w:val="none"/>
          <w:shd w:val="clear" w:fill="FFFFFF"/>
        </w:rPr>
        <w:t>采购人将</w:t>
      </w:r>
      <w:r>
        <w:rPr>
          <w:rFonts w:hint="eastAsia" w:ascii="仿宋" w:hAnsi="仿宋" w:eastAsia="仿宋" w:cs="仿宋"/>
          <w:b w:val="0"/>
          <w:bCs w:val="0"/>
          <w:color w:val="auto"/>
          <w:sz w:val="24"/>
          <w:szCs w:val="24"/>
          <w:u w:val="none"/>
          <w:shd w:val="clear" w:fill="FFFFFF"/>
          <w:lang w:eastAsia="zh-CN"/>
        </w:rPr>
        <w:t>对</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rPr>
        <w:t>由采购人委托</w:t>
      </w:r>
      <w:r>
        <w:rPr>
          <w:rFonts w:hint="eastAsia" w:ascii="仿宋" w:hAnsi="仿宋" w:eastAsia="仿宋" w:cs="仿宋"/>
          <w:b w:val="0"/>
          <w:bCs w:val="0"/>
          <w:color w:val="auto"/>
          <w:sz w:val="24"/>
          <w:szCs w:val="24"/>
          <w:u w:val="none"/>
          <w:shd w:val="clear" w:fill="FFFFFF"/>
          <w:lang w:eastAsia="zh-CN"/>
        </w:rPr>
        <w:t>具有</w:t>
      </w:r>
      <w:r>
        <w:rPr>
          <w:rFonts w:hint="eastAsia" w:ascii="仿宋" w:hAnsi="仿宋" w:eastAsia="仿宋" w:cs="仿宋"/>
          <w:b w:val="0"/>
          <w:bCs w:val="0"/>
          <w:color w:val="auto"/>
          <w:sz w:val="24"/>
          <w:szCs w:val="24"/>
          <w:u w:val="none"/>
          <w:shd w:val="clear" w:fill="FFFFFF"/>
        </w:rPr>
        <w:t>法定</w:t>
      </w:r>
      <w:r>
        <w:rPr>
          <w:rFonts w:hint="eastAsia" w:ascii="仿宋" w:hAnsi="仿宋" w:eastAsia="仿宋" w:cs="仿宋"/>
          <w:b w:val="0"/>
          <w:bCs w:val="0"/>
          <w:color w:val="auto"/>
          <w:sz w:val="24"/>
          <w:szCs w:val="24"/>
          <w:u w:val="none"/>
          <w:shd w:val="clear" w:fill="FFFFFF"/>
          <w:lang w:eastAsia="zh-CN"/>
        </w:rPr>
        <w:t>资质（</w:t>
      </w:r>
      <w:r>
        <w:rPr>
          <w:rFonts w:hint="eastAsia" w:ascii="仿宋" w:hAnsi="仿宋" w:eastAsia="仿宋" w:cs="仿宋"/>
          <w:b w:val="0"/>
          <w:bCs w:val="0"/>
          <w:color w:val="auto"/>
          <w:sz w:val="24"/>
          <w:szCs w:val="24"/>
          <w:u w:val="none"/>
          <w:shd w:val="clear" w:fill="FFFFFF"/>
          <w:lang w:val="en-US" w:eastAsia="zh-CN"/>
        </w:rPr>
        <w:t>CNAS国家实验室认可</w:t>
      </w:r>
      <w:r>
        <w:rPr>
          <w:rFonts w:hint="eastAsia" w:ascii="仿宋" w:hAnsi="仿宋" w:eastAsia="仿宋" w:cs="仿宋"/>
          <w:b w:val="0"/>
          <w:bCs w:val="0"/>
          <w:color w:val="auto"/>
          <w:sz w:val="24"/>
          <w:szCs w:val="24"/>
          <w:u w:val="none"/>
          <w:shd w:val="clear" w:fill="FFFFFF"/>
          <w:lang w:eastAsia="zh-CN"/>
        </w:rPr>
        <w:t>）的检测机构</w:t>
      </w:r>
      <w:r>
        <w:rPr>
          <w:rFonts w:hint="eastAsia" w:ascii="仿宋" w:hAnsi="仿宋" w:eastAsia="仿宋" w:cs="仿宋"/>
          <w:b w:val="0"/>
          <w:bCs w:val="0"/>
          <w:color w:val="auto"/>
          <w:sz w:val="24"/>
          <w:szCs w:val="24"/>
          <w:u w:val="none"/>
          <w:shd w:val="clear" w:fill="FFFFFF"/>
        </w:rPr>
        <w:t>进行</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lang w:eastAsia="zh-CN"/>
        </w:rPr>
        <w:t>，</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lang w:eastAsia="zh-CN"/>
        </w:rPr>
        <w:t>合格后方可进行整体安装。</w:t>
      </w:r>
      <w:r>
        <w:rPr>
          <w:rFonts w:hint="eastAsia" w:ascii="仿宋" w:hAnsi="仿宋" w:eastAsia="仿宋" w:cs="仿宋"/>
          <w:b w:val="0"/>
          <w:bCs w:val="0"/>
          <w:color w:val="auto"/>
          <w:sz w:val="24"/>
          <w:szCs w:val="24"/>
          <w:u w:val="none"/>
          <w:shd w:val="clear" w:fill="FFFFFF"/>
        </w:rPr>
        <w:t>若</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不合格，采购人</w:t>
      </w:r>
      <w:r>
        <w:rPr>
          <w:rFonts w:hint="eastAsia" w:ascii="仿宋" w:hAnsi="仿宋" w:eastAsia="仿宋" w:cs="仿宋"/>
          <w:b w:val="0"/>
          <w:bCs w:val="0"/>
          <w:color w:val="auto"/>
          <w:sz w:val="24"/>
          <w:szCs w:val="24"/>
          <w:u w:val="none"/>
          <w:shd w:val="clear" w:fill="FFFFFF"/>
          <w:lang w:eastAsia="zh-CN"/>
        </w:rPr>
        <w:t>可</w:t>
      </w:r>
      <w:r>
        <w:rPr>
          <w:rFonts w:hint="eastAsia" w:ascii="仿宋" w:hAnsi="仿宋" w:eastAsia="仿宋" w:cs="仿宋"/>
          <w:b w:val="0"/>
          <w:bCs w:val="0"/>
          <w:color w:val="auto"/>
          <w:sz w:val="24"/>
          <w:szCs w:val="24"/>
          <w:u w:val="none"/>
          <w:shd w:val="clear" w:fill="FFFFFF"/>
        </w:rPr>
        <w:t>给予一次在规定时间内完成整改的机会</w:t>
      </w:r>
      <w:r>
        <w:rPr>
          <w:rFonts w:hint="eastAsia" w:ascii="仿宋" w:hAnsi="仿宋" w:eastAsia="仿宋" w:cs="仿宋"/>
          <w:b w:val="0"/>
          <w:bCs w:val="0"/>
          <w:color w:val="auto"/>
          <w:sz w:val="24"/>
          <w:szCs w:val="24"/>
          <w:u w:val="none"/>
          <w:shd w:val="clear" w:fill="FFFFFF"/>
          <w:lang w:eastAsia="zh-CN"/>
        </w:rPr>
        <w:t>，</w:t>
      </w:r>
      <w:r>
        <w:rPr>
          <w:rFonts w:hint="eastAsia" w:ascii="仿宋" w:hAnsi="仿宋" w:eastAsia="仿宋" w:cs="仿宋"/>
          <w:b w:val="0"/>
          <w:bCs w:val="0"/>
          <w:color w:val="auto"/>
          <w:sz w:val="24"/>
          <w:szCs w:val="24"/>
          <w:u w:val="none"/>
          <w:shd w:val="clear" w:fill="FFFFFF"/>
        </w:rPr>
        <w:t>如不能完成整改或整改后</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仍然不合格的，则采购人有权解除合同，并罚没履约保证金，由中标人承担因此产生的全部费用，并追究其相关责任。解除合同后本项目</w:t>
      </w:r>
      <w:r>
        <w:rPr>
          <w:rFonts w:hint="eastAsia" w:ascii="仿宋" w:hAnsi="仿宋" w:eastAsia="仿宋" w:cs="仿宋"/>
          <w:b w:val="0"/>
          <w:bCs w:val="0"/>
          <w:color w:val="auto"/>
          <w:sz w:val="24"/>
          <w:szCs w:val="24"/>
          <w:u w:val="none"/>
          <w:shd w:val="clear" w:fill="FFFFFF"/>
          <w:lang w:val="en-US" w:eastAsia="zh-CN"/>
        </w:rPr>
        <w:t>如政策允许，</w:t>
      </w:r>
      <w:r>
        <w:rPr>
          <w:rFonts w:hint="eastAsia" w:ascii="仿宋" w:hAnsi="仿宋" w:eastAsia="仿宋" w:cs="仿宋"/>
          <w:b w:val="0"/>
          <w:bCs w:val="0"/>
          <w:color w:val="auto"/>
          <w:sz w:val="24"/>
          <w:szCs w:val="24"/>
          <w:u w:val="none"/>
          <w:shd w:val="clear" w:fill="FFFFFF"/>
        </w:rPr>
        <w:t>由排名下一位的中标候选人接替，以此类推。本环节</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费用由中标单位承担。</w:t>
      </w:r>
    </w:p>
    <w:p>
      <w:pPr>
        <w:keepNext w:val="0"/>
        <w:keepLines w:val="0"/>
        <w:pageBreakBefore w:val="0"/>
        <w:kinsoku/>
        <w:wordWrap/>
        <w:overflowPunct/>
        <w:topLinePunct w:val="0"/>
        <w:bidi w:val="0"/>
        <w:snapToGrid/>
        <w:spacing w:line="288"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）售后服务：</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1、质保期要求：</w:t>
      </w:r>
      <w:r>
        <w:rPr>
          <w:rFonts w:hint="eastAsia" w:ascii="仿宋" w:hAnsi="仿宋" w:eastAsia="仿宋" w:cs="仿宋"/>
          <w:sz w:val="24"/>
          <w:szCs w:val="24"/>
          <w:lang w:val="en-US" w:eastAsia="zh-CN"/>
        </w:rPr>
        <w:t>项目整体免费质保不少于3</w:t>
      </w:r>
      <w:r>
        <w:rPr>
          <w:rFonts w:hint="eastAsia" w:ascii="仿宋" w:hAnsi="仿宋" w:eastAsia="仿宋" w:cs="仿宋"/>
          <w:sz w:val="24"/>
          <w:szCs w:val="24"/>
        </w:rPr>
        <w:t>年</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其中膜材免费质保不少于15年</w:t>
      </w:r>
      <w:r>
        <w:rPr>
          <w:rFonts w:hint="eastAsia" w:ascii="仿宋" w:hAnsi="仿宋" w:eastAsia="仿宋" w:cs="仿宋"/>
          <w:sz w:val="24"/>
          <w:szCs w:val="24"/>
        </w:rPr>
        <w:t>。质保期是以成交供应商提供的货物通过最终验收合格之日起计算。在质量保证期内，成交供应商应对所投货物出现的质量及安全问题负责处理解决，非人为因素的质量问题，一切无条件调换、免费维修；</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2、质量保证期内成交供应商应对由于设计、工艺或材料的缺陷而发生的任何不足和故障负责任。质量保证期内提供及时的</w:t>
      </w:r>
      <w:r>
        <w:rPr>
          <w:rFonts w:hint="eastAsia" w:ascii="仿宋" w:hAnsi="仿宋" w:eastAsia="仿宋" w:cs="仿宋"/>
          <w:sz w:val="24"/>
          <w:szCs w:val="24"/>
          <w:lang w:val="en-US" w:eastAsia="zh-CN"/>
        </w:rPr>
        <w:t>免费</w:t>
      </w:r>
      <w:r>
        <w:rPr>
          <w:rFonts w:hint="eastAsia" w:ascii="仿宋" w:hAnsi="仿宋" w:eastAsia="仿宋" w:cs="仿宋"/>
          <w:sz w:val="24"/>
          <w:szCs w:val="24"/>
        </w:rPr>
        <w:t>升级服务；</w:t>
      </w:r>
    </w:p>
    <w:p>
      <w:pPr>
        <w:pStyle w:val="33"/>
        <w:keepNext w:val="0"/>
        <w:keepLines w:val="0"/>
        <w:pageBreakBefore w:val="0"/>
        <w:kinsoku/>
        <w:wordWrap/>
        <w:overflowPunct/>
        <w:topLinePunct w:val="0"/>
        <w:autoSpaceDE/>
        <w:autoSpaceDN/>
        <w:bidi w:val="0"/>
        <w:snapToGrid/>
        <w:spacing w:line="288" w:lineRule="auto"/>
        <w:ind w:firstLine="480" w:firstLineChars="200"/>
        <w:jc w:val="left"/>
        <w:textAlignment w:val="auto"/>
        <w:rPr>
          <w:rFonts w:hint="eastAsia" w:ascii="仿宋" w:hAnsi="仿宋" w:eastAsia="仿宋" w:cs="仿宋"/>
          <w:b/>
          <w:color w:val="auto"/>
          <w:sz w:val="24"/>
          <w:szCs w:val="24"/>
          <w:lang w:val="en-US" w:eastAsia="zh-CN"/>
        </w:rPr>
      </w:pPr>
      <w:r>
        <w:rPr>
          <w:rFonts w:hint="eastAsia" w:ascii="仿宋" w:hAnsi="仿宋" w:eastAsia="仿宋" w:cs="仿宋"/>
          <w:sz w:val="24"/>
          <w:szCs w:val="24"/>
        </w:rPr>
        <w:t>3、技术支持要求：质保期内出现问题，2小时内响应，6小时内到达现场，24小时内解决问题，若故障在检修24小时后仍无法排除，应在2日内免费提供不低于故障产品规格型号档次的备用产品供采购人使用，直至故障修复。</w:t>
      </w:r>
    </w:p>
    <w:p>
      <w:pPr>
        <w:pStyle w:val="33"/>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rPr>
        <w:t>、</w:t>
      </w:r>
      <w:r>
        <w:rPr>
          <w:rFonts w:hint="eastAsia" w:ascii="仿宋" w:hAnsi="仿宋" w:eastAsia="仿宋" w:cs="仿宋"/>
          <w:b/>
          <w:bCs/>
          <w:color w:val="auto"/>
          <w:sz w:val="24"/>
          <w:szCs w:val="24"/>
        </w:rPr>
        <w:t>商务要求</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1.履约保证金：中标人交纳中标额的1％的履约保证金给采购人，在项目验收合格后一次性退还（不计息）。</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2.付款方式：</w:t>
      </w:r>
      <w:r>
        <w:rPr>
          <w:rFonts w:hint="eastAsia" w:ascii="仿宋" w:hAnsi="仿宋" w:eastAsia="仿宋" w:cs="仿宋"/>
          <w:kern w:val="0"/>
          <w:sz w:val="24"/>
          <w:szCs w:val="24"/>
          <w:lang w:val="zh-CN"/>
        </w:rPr>
        <w:t>按《浙江省财政厅关于进一步发挥政府采购政策功能全力推动经济稳进提质的通知》（浙财采监〔2022〕3号）文件要求执行，具体付款方式由双方协商后在合同中明确。</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完工期</w:t>
      </w:r>
      <w:r>
        <w:rPr>
          <w:rFonts w:hint="eastAsia" w:ascii="仿宋" w:hAnsi="仿宋" w:eastAsia="仿宋" w:cs="仿宋"/>
          <w:color w:val="auto"/>
          <w:kern w:val="0"/>
          <w:sz w:val="24"/>
          <w:szCs w:val="24"/>
        </w:rPr>
        <w:t>：</w:t>
      </w:r>
      <w:r>
        <w:rPr>
          <w:rFonts w:hint="eastAsia" w:ascii="仿宋" w:hAnsi="仿宋" w:eastAsia="仿宋" w:cs="仿宋"/>
          <w:i w:val="0"/>
          <w:caps w:val="0"/>
          <w:color w:val="auto"/>
          <w:spacing w:val="0"/>
          <w:sz w:val="24"/>
          <w:szCs w:val="24"/>
          <w:shd w:val="clear" w:fill="FFFFFF"/>
          <w:lang w:val="en-US" w:eastAsia="zh-CN"/>
        </w:rPr>
        <w:t>合同签订后50个工作日内</w:t>
      </w:r>
      <w:r>
        <w:rPr>
          <w:rFonts w:hint="eastAsia" w:ascii="仿宋" w:hAnsi="仿宋" w:eastAsia="仿宋" w:cs="仿宋"/>
          <w:color w:val="auto"/>
          <w:kern w:val="0"/>
          <w:sz w:val="24"/>
          <w:szCs w:val="24"/>
        </w:rPr>
        <w:t>，将所需货物送达用户单位并安装调试完毕</w:t>
      </w:r>
      <w:r>
        <w:rPr>
          <w:rFonts w:hint="eastAsia" w:ascii="仿宋" w:hAnsi="仿宋" w:eastAsia="仿宋" w:cs="仿宋"/>
          <w:color w:val="auto"/>
          <w:kern w:val="0"/>
          <w:sz w:val="24"/>
          <w:szCs w:val="24"/>
          <w:lang w:eastAsia="zh-CN"/>
        </w:rPr>
        <w:t>（抽样抽项检测</w:t>
      </w:r>
      <w:r>
        <w:rPr>
          <w:rFonts w:hint="eastAsia" w:ascii="仿宋" w:hAnsi="仿宋" w:eastAsia="仿宋" w:cs="仿宋"/>
          <w:color w:val="auto"/>
          <w:kern w:val="0"/>
          <w:sz w:val="24"/>
          <w:szCs w:val="24"/>
          <w:lang w:val="en-US" w:eastAsia="zh-CN"/>
        </w:rPr>
        <w:t>时间不计入完工期</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.所有货物必须原包装到指定安装地点安装，所需一切费用均包含在投标报价中。</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.中标人不得将本合同项目分包、转包加工，外购产品由中标人统一配备。</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.安全文明要求：在实施过程中引起的一切安全问题，由中标单位承担完全责任。做好清洁工作卫生工作。</w:t>
      </w:r>
    </w:p>
    <w:p>
      <w:pPr>
        <w:widowControl/>
        <w:snapToGrid w:val="0"/>
        <w:spacing w:line="288" w:lineRule="auto"/>
        <w:ind w:firstLine="480" w:firstLineChars="200"/>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7.如设备安装时间与采购单位的日常教学时间重叠，必须做好安装区域场地的安全防护隔离工作，确保采购单位的人员通行、活动等安全。</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spacing w:line="288" w:lineRule="auto"/>
        <w:jc w:val="both"/>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spacing w:line="288" w:lineRule="auto"/>
        <w:jc w:val="both"/>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31" w:name="_Toc3029"/>
      <w:bookmarkStart w:id="32" w:name="_Toc2232"/>
      <w:bookmarkStart w:id="33" w:name="_Toc24059"/>
      <w:r>
        <w:rPr>
          <w:rFonts w:hint="eastAsia" w:ascii="仿宋" w:hAnsi="仿宋" w:eastAsia="仿宋" w:cs="仿宋"/>
          <w:b/>
          <w:sz w:val="24"/>
        </w:rPr>
        <w:t>1.1 合同组成部分</w:t>
      </w:r>
      <w:bookmarkEnd w:id="31"/>
      <w:bookmarkEnd w:id="32"/>
      <w:bookmarkEnd w:id="33"/>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4" w:name="_Toc21295"/>
      <w:bookmarkStart w:id="35" w:name="_Toc27126"/>
      <w:bookmarkStart w:id="36" w:name="_Toc24300"/>
      <w:r>
        <w:rPr>
          <w:rFonts w:hint="eastAsia" w:ascii="仿宋" w:hAnsi="仿宋" w:eastAsia="仿宋" w:cs="仿宋"/>
          <w:b/>
          <w:sz w:val="24"/>
        </w:rPr>
        <w:t>1.2 货物</w:t>
      </w:r>
      <w:bookmarkEnd w:id="34"/>
      <w:bookmarkEnd w:id="35"/>
      <w:bookmarkEnd w:id="36"/>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u w:val="none"/>
        </w:rPr>
        <w:t>；</w:t>
      </w:r>
    </w:p>
    <w:p>
      <w:pPr>
        <w:spacing w:line="288" w:lineRule="auto"/>
        <w:ind w:firstLine="482" w:firstLineChars="200"/>
        <w:outlineLvl w:val="0"/>
        <w:rPr>
          <w:rFonts w:ascii="仿宋" w:hAnsi="仿宋" w:eastAsia="仿宋" w:cs="仿宋"/>
          <w:b/>
          <w:sz w:val="24"/>
        </w:rPr>
      </w:pPr>
      <w:bookmarkStart w:id="37" w:name="_Toc21631"/>
      <w:bookmarkStart w:id="38" w:name="_Toc21551"/>
      <w:bookmarkStart w:id="39" w:name="_Toc23292"/>
      <w:r>
        <w:rPr>
          <w:rFonts w:hint="eastAsia" w:ascii="仿宋" w:hAnsi="仿宋" w:eastAsia="仿宋" w:cs="仿宋"/>
          <w:b/>
          <w:sz w:val="24"/>
        </w:rPr>
        <w:t>1.3 价款</w:t>
      </w:r>
      <w:bookmarkEnd w:id="37"/>
      <w:bookmarkEnd w:id="38"/>
      <w:bookmarkEnd w:id="39"/>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w:t>
      </w:r>
      <w:r>
        <w:rPr>
          <w:rFonts w:hint="eastAsia" w:ascii="仿宋" w:hAnsi="仿宋" w:eastAsia="仿宋" w:cs="仿宋"/>
          <w:sz w:val="24"/>
        </w:rPr>
        <w:t>元（大写：</w:t>
      </w:r>
      <w:r>
        <w:rPr>
          <w:rFonts w:hint="eastAsia" w:ascii="仿宋" w:hAnsi="仿宋" w:eastAsia="仿宋" w:cs="仿宋"/>
          <w:sz w:val="24"/>
          <w:u w:val="single"/>
        </w:rPr>
        <w:t>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bl>
    <w:p>
      <w:pPr>
        <w:pStyle w:val="961"/>
        <w:spacing w:before="0" w:beforeAutospacing="0" w:after="0" w:afterAutospacing="0" w:line="288" w:lineRule="auto"/>
        <w:ind w:firstLine="480"/>
        <w:rPr>
          <w:rFonts w:ascii="仿宋" w:hAnsi="仿宋" w:eastAsia="仿宋" w:cs="仿宋"/>
          <w:b/>
        </w:rPr>
      </w:pPr>
      <w:bookmarkStart w:id="40" w:name="_Toc10340"/>
      <w:bookmarkStart w:id="41" w:name="_Toc22618"/>
      <w:bookmarkStart w:id="42" w:name="_Toc1814"/>
      <w:r>
        <w:rPr>
          <w:rFonts w:hint="eastAsia" w:ascii="仿宋" w:hAnsi="仿宋" w:eastAsia="仿宋" w:cs="仿宋"/>
          <w:b/>
        </w:rPr>
        <w:t>1.4履约保证金</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40"/>
      <w:bookmarkEnd w:id="41"/>
      <w:bookmarkEnd w:id="42"/>
      <w:r>
        <w:rPr>
          <w:rFonts w:hint="eastAsia" w:ascii="仿宋" w:hAnsi="仿宋" w:eastAsia="仿宋" w:cs="仿宋"/>
          <w:b/>
          <w:sz w:val="24"/>
        </w:rPr>
        <w:t>预付款</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3" w:name="_Toc32071"/>
      <w:bookmarkStart w:id="44" w:name="_Toc19304"/>
      <w:bookmarkStart w:id="45" w:name="_Toc2846"/>
      <w:r>
        <w:rPr>
          <w:rFonts w:hint="eastAsia" w:ascii="仿宋" w:hAnsi="仿宋" w:eastAsia="仿宋" w:cs="仿宋"/>
          <w:b/>
          <w:sz w:val="24"/>
        </w:rPr>
        <w:t>1.7货物交付期限、地点和方式</w:t>
      </w:r>
      <w:bookmarkEnd w:id="43"/>
      <w:bookmarkEnd w:id="44"/>
      <w:bookmarkEnd w:id="45"/>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6" w:name="_Toc21423"/>
      <w:bookmarkStart w:id="47" w:name="_Toc19554"/>
      <w:bookmarkStart w:id="48" w:name="_Toc27250"/>
      <w:r>
        <w:rPr>
          <w:rFonts w:hint="eastAsia" w:ascii="仿宋" w:hAnsi="仿宋" w:eastAsia="仿宋" w:cs="仿宋"/>
          <w:b/>
          <w:sz w:val="24"/>
        </w:rPr>
        <w:t>1.8违约责任</w:t>
      </w:r>
      <w:bookmarkEnd w:id="46"/>
      <w:bookmarkEnd w:id="47"/>
      <w:bookmarkEnd w:id="48"/>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49" w:name="_Toc28375"/>
      <w:bookmarkStart w:id="50" w:name="_Toc16021"/>
      <w:bookmarkStart w:id="51" w:name="_Toc15583"/>
      <w:r>
        <w:rPr>
          <w:rFonts w:hint="eastAsia" w:ascii="仿宋" w:hAnsi="仿宋" w:eastAsia="仿宋" w:cs="仿宋"/>
          <w:b/>
          <w:sz w:val="24"/>
        </w:rPr>
        <w:t>1.9合同争议的解决</w:t>
      </w:r>
      <w:bookmarkEnd w:id="49"/>
      <w:bookmarkEnd w:id="50"/>
      <w:bookmarkEnd w:id="51"/>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2" w:name="_Toc7245"/>
      <w:bookmarkStart w:id="53" w:name="_Toc15322"/>
      <w:bookmarkStart w:id="54" w:name="_Toc11173"/>
      <w:r>
        <w:rPr>
          <w:rFonts w:hint="eastAsia" w:ascii="仿宋" w:hAnsi="仿宋" w:eastAsia="仿宋" w:cs="仿宋"/>
          <w:b/>
          <w:sz w:val="24"/>
        </w:rPr>
        <w:t>2.0 合同生效</w:t>
      </w:r>
      <w:bookmarkEnd w:id="52"/>
      <w:bookmarkEnd w:id="53"/>
      <w:bookmarkEnd w:id="54"/>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en-US" w:eastAsia="zh-CN"/>
        </w:rPr>
        <w:t xml:space="preserve">                               </w:t>
      </w:r>
      <w:r>
        <w:rPr>
          <w:rFonts w:hint="eastAsia" w:ascii="仿宋" w:hAnsi="仿宋" w:eastAsia="仿宋" w:cs="仿宋"/>
          <w:sz w:val="24"/>
        </w:rPr>
        <w:t>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pPr>
        <w:spacing w:line="288" w:lineRule="auto"/>
        <w:ind w:firstLine="482" w:firstLineChars="200"/>
        <w:outlineLvl w:val="0"/>
        <w:rPr>
          <w:rFonts w:ascii="仿宋" w:hAnsi="仿宋" w:eastAsia="仿宋" w:cs="仿宋"/>
          <w:b/>
          <w:sz w:val="24"/>
        </w:rPr>
      </w:pPr>
      <w:bookmarkStart w:id="55" w:name="_Ref467379109"/>
      <w:bookmarkStart w:id="56" w:name="_Ref467379205"/>
      <w:bookmarkStart w:id="57" w:name="_Ref467378499"/>
      <w:bookmarkStart w:id="58" w:name="_Ref467378463"/>
      <w:bookmarkStart w:id="59" w:name="_Toc259093669"/>
      <w:bookmarkStart w:id="60" w:name="_Toc19614"/>
      <w:bookmarkStart w:id="61" w:name="_Ref467378404"/>
      <w:bookmarkStart w:id="62" w:name="_Toc16917"/>
      <w:bookmarkStart w:id="63" w:name="_Ref467379094"/>
      <w:bookmarkStart w:id="64" w:name="_Ref467379225"/>
      <w:bookmarkStart w:id="65" w:name="_Ref467379195"/>
      <w:bookmarkStart w:id="66" w:name="_Toc487900349"/>
      <w:bookmarkStart w:id="67" w:name="_Toc28763"/>
      <w:bookmarkStart w:id="68" w:name="_Toc279701240"/>
      <w:bookmarkStart w:id="69" w:name="_Ref467379214"/>
      <w:bookmarkStart w:id="70" w:name="_Ref467379101"/>
      <w:r>
        <w:rPr>
          <w:rFonts w:hint="eastAsia" w:ascii="仿宋" w:hAnsi="仿宋" w:eastAsia="仿宋" w:cs="仿宋"/>
          <w:b/>
          <w:sz w:val="24"/>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71" w:name="_Ref467378840"/>
      <w:r>
        <w:rPr>
          <w:rFonts w:hint="eastAsia" w:ascii="仿宋" w:hAnsi="仿宋" w:eastAsia="仿宋" w:cs="仿宋"/>
          <w:sz w:val="24"/>
        </w:rPr>
        <w:t>2.1.4 “甲方”系指与中标或成交供应商签署合同的采购人</w:t>
      </w:r>
      <w:bookmarkEnd w:id="71"/>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72" w:name="_Ref467379400"/>
      <w:r>
        <w:rPr>
          <w:rFonts w:hint="eastAsia" w:ascii="仿宋" w:hAnsi="仿宋" w:eastAsia="仿宋" w:cs="仿宋"/>
          <w:sz w:val="24"/>
        </w:rPr>
        <w:t>2.1.5 “乙方”系指根据合同约定交付货物的中标或成交供应商</w:t>
      </w:r>
      <w:bookmarkEnd w:id="7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73" w:name="_Ref467379436"/>
      <w:r>
        <w:rPr>
          <w:rFonts w:hint="eastAsia" w:ascii="仿宋" w:hAnsi="仿宋" w:eastAsia="仿宋" w:cs="仿宋"/>
          <w:sz w:val="24"/>
        </w:rPr>
        <w:t>2.1.6 “现场”系指合同约定货物将要运至或者安装的地点。</w:t>
      </w:r>
      <w:bookmarkEnd w:id="73"/>
    </w:p>
    <w:p>
      <w:pPr>
        <w:spacing w:line="288" w:lineRule="auto"/>
        <w:ind w:firstLine="482" w:firstLineChars="200"/>
        <w:outlineLvl w:val="0"/>
        <w:rPr>
          <w:rFonts w:ascii="仿宋" w:hAnsi="仿宋" w:eastAsia="仿宋" w:cs="仿宋"/>
          <w:b/>
          <w:sz w:val="24"/>
        </w:rPr>
      </w:pPr>
      <w:bookmarkStart w:id="74" w:name="_Toc27635"/>
      <w:bookmarkStart w:id="75" w:name="_Toc279701241"/>
      <w:bookmarkStart w:id="76" w:name="_Toc487900350"/>
      <w:bookmarkStart w:id="77" w:name="_Toc32504"/>
      <w:bookmarkStart w:id="78" w:name="_Toc13336"/>
      <w:bookmarkStart w:id="79" w:name="_Toc259093670"/>
      <w:r>
        <w:rPr>
          <w:rFonts w:hint="eastAsia" w:ascii="仿宋" w:hAnsi="仿宋" w:eastAsia="仿宋" w:cs="仿宋"/>
          <w:b/>
          <w:sz w:val="24"/>
        </w:rPr>
        <w:t>2.2 技术规范</w:t>
      </w:r>
      <w:bookmarkEnd w:id="74"/>
      <w:bookmarkEnd w:id="75"/>
      <w:bookmarkEnd w:id="76"/>
      <w:bookmarkEnd w:id="77"/>
      <w:bookmarkEnd w:id="78"/>
      <w:bookmarkEnd w:id="79"/>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0" w:name="_Toc279701242"/>
      <w:bookmarkStart w:id="81" w:name="_Toc259093671"/>
      <w:bookmarkStart w:id="82" w:name="_Toc27853"/>
      <w:bookmarkStart w:id="83" w:name="_Toc487900351"/>
      <w:bookmarkStart w:id="84" w:name="_Toc31634"/>
      <w:bookmarkStart w:id="85" w:name="_Toc9829"/>
      <w:r>
        <w:rPr>
          <w:rFonts w:hint="eastAsia" w:ascii="仿宋" w:hAnsi="仿宋" w:eastAsia="仿宋" w:cs="仿宋"/>
          <w:b/>
          <w:sz w:val="24"/>
        </w:rPr>
        <w:t>2.3 知识产权</w:t>
      </w:r>
      <w:bookmarkEnd w:id="80"/>
      <w:bookmarkEnd w:id="81"/>
      <w:bookmarkEnd w:id="82"/>
      <w:bookmarkEnd w:id="83"/>
      <w:bookmarkEnd w:id="84"/>
      <w:bookmarkEnd w:id="85"/>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6" w:name="_Toc11932"/>
      <w:bookmarkStart w:id="87" w:name="_Toc29149"/>
      <w:bookmarkStart w:id="88" w:name="_Toc4194"/>
      <w:r>
        <w:rPr>
          <w:rFonts w:hint="eastAsia" w:ascii="仿宋" w:hAnsi="仿宋" w:eastAsia="仿宋" w:cs="仿宋"/>
          <w:b/>
          <w:sz w:val="24"/>
        </w:rPr>
        <w:t>2.4 包装和装运</w:t>
      </w:r>
      <w:bookmarkEnd w:id="86"/>
      <w:bookmarkEnd w:id="87"/>
      <w:bookmarkEnd w:id="88"/>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9" w:name="_Toc259093674"/>
      <w:bookmarkStart w:id="90" w:name="_Ref467379527"/>
      <w:bookmarkStart w:id="91" w:name="_Toc487900354"/>
      <w:bookmarkStart w:id="92" w:name="_Ref467379536"/>
      <w:bookmarkStart w:id="93" w:name="_Ref467379542"/>
      <w:bookmarkStart w:id="94" w:name="_Ref467378541"/>
      <w:bookmarkStart w:id="95" w:name="_Ref467378591"/>
      <w:bookmarkStart w:id="96" w:name="_Toc279701245"/>
      <w:bookmarkStart w:id="97" w:name="_Toc30272"/>
      <w:bookmarkStart w:id="98" w:name="_Toc19074"/>
      <w:bookmarkStart w:id="99" w:name="_Toc26182"/>
      <w:r>
        <w:rPr>
          <w:rFonts w:hint="eastAsia" w:ascii="仿宋" w:hAnsi="仿宋" w:eastAsia="仿宋" w:cs="仿宋"/>
          <w:b/>
          <w:sz w:val="24"/>
        </w:rPr>
        <w:t>2.</w:t>
      </w:r>
      <w:bookmarkEnd w:id="89"/>
      <w:bookmarkEnd w:id="90"/>
      <w:bookmarkEnd w:id="91"/>
      <w:bookmarkEnd w:id="92"/>
      <w:bookmarkEnd w:id="93"/>
      <w:bookmarkEnd w:id="94"/>
      <w:bookmarkEnd w:id="95"/>
      <w:bookmarkEnd w:id="96"/>
      <w:r>
        <w:rPr>
          <w:rFonts w:hint="eastAsia" w:ascii="仿宋" w:hAnsi="仿宋" w:eastAsia="仿宋" w:cs="仿宋"/>
          <w:b/>
          <w:sz w:val="24"/>
        </w:rPr>
        <w:t>5 履约检查和问题反馈</w:t>
      </w:r>
      <w:bookmarkEnd w:id="97"/>
      <w:bookmarkEnd w:id="98"/>
      <w:bookmarkEnd w:id="99"/>
    </w:p>
    <w:p>
      <w:pPr>
        <w:spacing w:line="288" w:lineRule="auto"/>
        <w:ind w:firstLine="480" w:firstLineChars="200"/>
        <w:rPr>
          <w:rFonts w:ascii="仿宋" w:hAnsi="仿宋" w:eastAsia="仿宋" w:cs="仿宋"/>
          <w:sz w:val="24"/>
        </w:rPr>
      </w:pPr>
      <w:bookmarkStart w:id="100" w:name="_Ref467379657"/>
      <w:r>
        <w:rPr>
          <w:rFonts w:hint="eastAsia" w:ascii="仿宋" w:hAnsi="仿宋" w:eastAsia="仿宋" w:cs="仿宋"/>
          <w:sz w:val="24"/>
        </w:rPr>
        <w:t>2.5.1</w:t>
      </w:r>
      <w:bookmarkEnd w:id="100"/>
      <w:bookmarkStart w:id="101" w:name="_Toc186431854"/>
      <w:bookmarkStart w:id="102" w:name="_Toc279701247"/>
      <w:bookmarkStart w:id="103" w:name="_Ref467379807"/>
      <w:bookmarkStart w:id="104" w:name="_Ref467379793"/>
      <w:bookmarkStart w:id="105" w:name="_Toc259093676"/>
      <w:bookmarkStart w:id="106" w:name="_Toc48790035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sz w:val="24"/>
        </w:rPr>
        <w:t>。</w:t>
      </w:r>
    </w:p>
    <w:bookmarkEnd w:id="102"/>
    <w:bookmarkEnd w:id="103"/>
    <w:bookmarkEnd w:id="104"/>
    <w:bookmarkEnd w:id="105"/>
    <w:bookmarkEnd w:id="106"/>
    <w:bookmarkEnd w:id="107"/>
    <w:p>
      <w:pPr>
        <w:spacing w:line="288" w:lineRule="auto"/>
        <w:ind w:firstLine="482" w:firstLineChars="200"/>
        <w:outlineLvl w:val="0"/>
        <w:rPr>
          <w:rFonts w:ascii="仿宋" w:hAnsi="仿宋" w:eastAsia="仿宋" w:cs="仿宋"/>
          <w:b/>
          <w:sz w:val="24"/>
        </w:rPr>
      </w:pPr>
      <w:bookmarkStart w:id="108" w:name="_Ref467379863"/>
      <w:bookmarkStart w:id="109" w:name="_Ref467379852"/>
      <w:bookmarkStart w:id="110" w:name="_Ref467379923"/>
      <w:bookmarkStart w:id="111" w:name="_Toc487900358"/>
      <w:bookmarkStart w:id="112" w:name="_Toc259093677"/>
      <w:bookmarkStart w:id="113" w:name="_Toc279701248"/>
      <w:bookmarkStart w:id="114" w:name="_Toc3225"/>
      <w:bookmarkStart w:id="115" w:name="_Toc774"/>
      <w:bookmarkStart w:id="116" w:name="_Toc16110"/>
      <w:r>
        <w:rPr>
          <w:rFonts w:hint="eastAsia" w:ascii="仿宋" w:hAnsi="仿宋" w:eastAsia="仿宋" w:cs="仿宋"/>
          <w:b/>
          <w:sz w:val="24"/>
        </w:rPr>
        <w:t>2.6 技术资料</w:t>
      </w:r>
      <w:bookmarkEnd w:id="108"/>
      <w:bookmarkEnd w:id="109"/>
      <w:bookmarkEnd w:id="110"/>
      <w:bookmarkEnd w:id="111"/>
      <w:bookmarkEnd w:id="112"/>
      <w:bookmarkEnd w:id="113"/>
      <w:r>
        <w:rPr>
          <w:rFonts w:hint="eastAsia" w:ascii="仿宋" w:hAnsi="仿宋" w:eastAsia="仿宋" w:cs="仿宋"/>
          <w:b/>
          <w:sz w:val="24"/>
        </w:rPr>
        <w:t>和保密义务</w:t>
      </w:r>
      <w:bookmarkEnd w:id="114"/>
      <w:bookmarkEnd w:id="115"/>
      <w:bookmarkEnd w:id="116"/>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7" w:name="_Toc7860"/>
      <w:r>
        <w:rPr>
          <w:rFonts w:hint="eastAsia" w:ascii="仿宋" w:hAnsi="仿宋" w:eastAsia="仿宋" w:cs="仿宋"/>
          <w:b/>
          <w:sz w:val="24"/>
        </w:rPr>
        <w:t>2.7 质量保证</w:t>
      </w:r>
      <w:bookmarkEnd w:id="117"/>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18" w:name="_Toc17244"/>
      <w:bookmarkStart w:id="119" w:name="_Toc279701252"/>
      <w:bookmarkStart w:id="120" w:name="_Toc259093681"/>
      <w:bookmarkStart w:id="121" w:name="_Toc487900362"/>
      <w:r>
        <w:rPr>
          <w:rFonts w:hint="eastAsia" w:ascii="仿宋" w:hAnsi="仿宋" w:eastAsia="仿宋" w:cs="仿宋"/>
          <w:b/>
          <w:sz w:val="24"/>
        </w:rPr>
        <w:t>2.8 货物的风险负担</w:t>
      </w:r>
      <w:bookmarkEnd w:id="118"/>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22" w:name="_Toc14055"/>
      <w:r>
        <w:rPr>
          <w:rFonts w:hint="eastAsia" w:ascii="仿宋" w:hAnsi="仿宋" w:eastAsia="仿宋" w:cs="仿宋"/>
          <w:b/>
          <w:sz w:val="24"/>
        </w:rPr>
        <w:t>2.9 延迟交货</w:t>
      </w:r>
      <w:bookmarkEnd w:id="119"/>
      <w:bookmarkEnd w:id="120"/>
      <w:bookmarkEnd w:id="121"/>
      <w:bookmarkEnd w:id="122"/>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23" w:name="_Toc7502"/>
      <w:bookmarkStart w:id="124" w:name="_Toc259093683"/>
      <w:bookmarkStart w:id="125" w:name="_Toc487900364"/>
      <w:bookmarkStart w:id="126" w:name="_Ref467378121"/>
      <w:bookmarkStart w:id="127" w:name="_Toc279701254"/>
      <w:r>
        <w:rPr>
          <w:rFonts w:hint="eastAsia" w:ascii="仿宋" w:hAnsi="仿宋" w:eastAsia="仿宋" w:cs="仿宋"/>
          <w:b/>
          <w:sz w:val="24"/>
        </w:rPr>
        <w:t>2.10 合同变更</w:t>
      </w:r>
      <w:bookmarkEnd w:id="123"/>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28" w:name="_Toc259093688"/>
      <w:bookmarkStart w:id="129" w:name="_Toc487900369"/>
      <w:bookmarkStart w:id="130" w:name="_Toc279701259"/>
    </w:p>
    <w:p>
      <w:pPr>
        <w:spacing w:line="288" w:lineRule="auto"/>
        <w:ind w:firstLine="482" w:firstLineChars="200"/>
        <w:outlineLvl w:val="0"/>
        <w:rPr>
          <w:rFonts w:ascii="仿宋" w:hAnsi="仿宋" w:eastAsia="仿宋" w:cs="仿宋"/>
          <w:b/>
          <w:sz w:val="24"/>
        </w:rPr>
      </w:pPr>
      <w:bookmarkStart w:id="131" w:name="_Toc10366"/>
      <w:bookmarkStart w:id="132" w:name="_Toc22955"/>
      <w:bookmarkStart w:id="133" w:name="_Toc15237"/>
      <w:r>
        <w:rPr>
          <w:rFonts w:hint="eastAsia" w:ascii="仿宋" w:hAnsi="仿宋" w:eastAsia="仿宋" w:cs="仿宋"/>
          <w:b/>
          <w:sz w:val="24"/>
        </w:rPr>
        <w:t>2.11 合同转让</w:t>
      </w:r>
      <w:bookmarkEnd w:id="128"/>
      <w:bookmarkEnd w:id="129"/>
      <w:bookmarkEnd w:id="130"/>
      <w:r>
        <w:rPr>
          <w:rFonts w:hint="eastAsia" w:ascii="仿宋" w:hAnsi="仿宋" w:eastAsia="仿宋" w:cs="仿宋"/>
          <w:b/>
          <w:sz w:val="24"/>
        </w:rPr>
        <w:t>和分包</w:t>
      </w:r>
      <w:bookmarkEnd w:id="131"/>
      <w:bookmarkEnd w:id="132"/>
      <w:bookmarkEnd w:id="133"/>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34" w:name="_Toc13566"/>
      <w:bookmarkStart w:id="135" w:name="_Toc14066"/>
      <w:bookmarkStart w:id="136" w:name="_Toc16508"/>
      <w:r>
        <w:rPr>
          <w:rFonts w:hint="eastAsia" w:ascii="仿宋" w:hAnsi="仿宋" w:eastAsia="仿宋" w:cs="仿宋"/>
          <w:b/>
          <w:sz w:val="24"/>
        </w:rPr>
        <w:t>2.12 不可抗力</w:t>
      </w:r>
      <w:bookmarkEnd w:id="134"/>
      <w:bookmarkEnd w:id="135"/>
      <w:bookmarkEnd w:id="136"/>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37" w:name="_Toc6969"/>
      <w:bookmarkStart w:id="138" w:name="_Toc487900365"/>
      <w:bookmarkStart w:id="139" w:name="_Toc30676"/>
      <w:bookmarkStart w:id="140" w:name="_Toc279701255"/>
      <w:bookmarkStart w:id="141" w:name="_Toc689"/>
      <w:bookmarkStart w:id="142" w:name="_Toc259093684"/>
      <w:r>
        <w:rPr>
          <w:rFonts w:hint="eastAsia" w:ascii="仿宋" w:hAnsi="仿宋" w:eastAsia="仿宋" w:cs="仿宋"/>
          <w:b/>
          <w:sz w:val="24"/>
        </w:rPr>
        <w:t>2.13 税费</w:t>
      </w:r>
      <w:bookmarkEnd w:id="137"/>
      <w:bookmarkEnd w:id="138"/>
      <w:bookmarkEnd w:id="139"/>
      <w:bookmarkEnd w:id="140"/>
      <w:bookmarkEnd w:id="141"/>
      <w:bookmarkEnd w:id="142"/>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43" w:name="_Toc279701258"/>
      <w:bookmarkStart w:id="144" w:name="_Toc487900368"/>
      <w:bookmarkStart w:id="145" w:name="_Toc7102"/>
      <w:bookmarkStart w:id="146" w:name="_Toc259093687"/>
      <w:bookmarkStart w:id="147" w:name="_Toc8298"/>
      <w:bookmarkStart w:id="148" w:name="_Toc16959"/>
      <w:r>
        <w:rPr>
          <w:rFonts w:hint="eastAsia" w:ascii="仿宋" w:hAnsi="仿宋" w:eastAsia="仿宋" w:cs="仿宋"/>
          <w:b/>
          <w:sz w:val="24"/>
        </w:rPr>
        <w:t>2.14乙方破产</w:t>
      </w:r>
      <w:bookmarkEnd w:id="143"/>
      <w:bookmarkEnd w:id="144"/>
      <w:bookmarkEnd w:id="145"/>
      <w:bookmarkEnd w:id="146"/>
      <w:bookmarkEnd w:id="147"/>
      <w:bookmarkEnd w:id="148"/>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49" w:name="_Toc15387"/>
      <w:bookmarkStart w:id="150" w:name="_Toc6134"/>
      <w:bookmarkStart w:id="151" w:name="_Toc29333"/>
      <w:r>
        <w:rPr>
          <w:rFonts w:hint="eastAsia" w:ascii="仿宋" w:hAnsi="仿宋" w:eastAsia="仿宋" w:cs="仿宋"/>
          <w:b/>
          <w:sz w:val="24"/>
        </w:rPr>
        <w:t>2.15 合同中止、终止</w:t>
      </w:r>
      <w:bookmarkEnd w:id="149"/>
      <w:bookmarkEnd w:id="150"/>
      <w:bookmarkEnd w:id="151"/>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52" w:name="_Toc1125"/>
      <w:bookmarkStart w:id="153" w:name="_Toc14563"/>
      <w:bookmarkStart w:id="154" w:name="_Toc6596"/>
      <w:r>
        <w:rPr>
          <w:rFonts w:hint="eastAsia" w:ascii="仿宋" w:hAnsi="仿宋" w:eastAsia="仿宋" w:cs="仿宋"/>
          <w:b/>
          <w:sz w:val="24"/>
        </w:rPr>
        <w:t>2.16检验和验收</w:t>
      </w:r>
      <w:bookmarkEnd w:id="152"/>
      <w:bookmarkEnd w:id="153"/>
      <w:bookmarkEnd w:id="154"/>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4"/>
    <w:bookmarkEnd w:id="125"/>
    <w:bookmarkEnd w:id="126"/>
    <w:bookmarkEnd w:id="127"/>
    <w:p>
      <w:pPr>
        <w:spacing w:line="288" w:lineRule="auto"/>
        <w:ind w:firstLine="482" w:firstLineChars="200"/>
        <w:outlineLvl w:val="0"/>
        <w:rPr>
          <w:rFonts w:ascii="仿宋" w:hAnsi="仿宋" w:eastAsia="仿宋" w:cs="仿宋"/>
          <w:b/>
          <w:sz w:val="24"/>
        </w:rPr>
      </w:pPr>
      <w:bookmarkStart w:id="155" w:name="_Toc259093690"/>
      <w:bookmarkStart w:id="156" w:name="_Toc487900371"/>
      <w:bookmarkStart w:id="157" w:name="_Toc279701261"/>
      <w:bookmarkStart w:id="158" w:name="_Toc11284"/>
      <w:bookmarkStart w:id="159" w:name="_Toc19604"/>
      <w:bookmarkStart w:id="160" w:name="_Toc25182"/>
      <w:r>
        <w:rPr>
          <w:rFonts w:hint="eastAsia" w:ascii="仿宋" w:hAnsi="仿宋" w:eastAsia="仿宋" w:cs="仿宋"/>
          <w:b/>
          <w:sz w:val="24"/>
        </w:rPr>
        <w:t>2.17 通知</w:t>
      </w:r>
      <w:bookmarkEnd w:id="155"/>
      <w:bookmarkEnd w:id="156"/>
      <w:bookmarkEnd w:id="157"/>
      <w:r>
        <w:rPr>
          <w:rFonts w:hint="eastAsia" w:ascii="仿宋" w:hAnsi="仿宋" w:eastAsia="仿宋" w:cs="仿宋"/>
          <w:b/>
          <w:sz w:val="24"/>
        </w:rPr>
        <w:t>和送达</w:t>
      </w:r>
      <w:bookmarkEnd w:id="158"/>
      <w:bookmarkEnd w:id="159"/>
      <w:bookmarkEnd w:id="160"/>
    </w:p>
    <w:p>
      <w:pPr>
        <w:spacing w:line="288" w:lineRule="auto"/>
        <w:ind w:firstLine="480" w:firstLineChars="200"/>
        <w:rPr>
          <w:rFonts w:ascii="仿宋" w:hAnsi="仿宋" w:eastAsia="仿宋" w:cs="仿宋"/>
          <w:sz w:val="24"/>
        </w:rPr>
      </w:pPr>
      <w:bookmarkStart w:id="161" w:name="_Toc6698"/>
      <w:bookmarkStart w:id="162" w:name="_Toc3135"/>
      <w:bookmarkStart w:id="163" w:name="_Toc259093691"/>
      <w:bookmarkStart w:id="164" w:name="_Toc279701262"/>
      <w:bookmarkStart w:id="165" w:name="_Toc487900372"/>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1"/>
      <w:bookmarkEnd w:id="162"/>
    </w:p>
    <w:p>
      <w:pPr>
        <w:spacing w:line="288" w:lineRule="auto"/>
        <w:ind w:firstLine="480" w:firstLineChars="200"/>
        <w:rPr>
          <w:rFonts w:ascii="仿宋" w:hAnsi="仿宋" w:eastAsia="仿宋" w:cs="仿宋"/>
          <w:sz w:val="24"/>
        </w:rPr>
      </w:pPr>
      <w:bookmarkStart w:id="166" w:name="_Toc23294"/>
      <w:bookmarkStart w:id="167"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pPr>
        <w:spacing w:line="288" w:lineRule="auto"/>
        <w:ind w:firstLine="482" w:firstLineChars="200"/>
        <w:outlineLvl w:val="0"/>
        <w:rPr>
          <w:rFonts w:ascii="仿宋" w:hAnsi="仿宋" w:eastAsia="仿宋" w:cs="仿宋"/>
          <w:b/>
          <w:sz w:val="24"/>
        </w:rPr>
      </w:pPr>
      <w:bookmarkStart w:id="168" w:name="_Toc18540"/>
      <w:bookmarkStart w:id="169" w:name="_Toc4355"/>
      <w:bookmarkStart w:id="170" w:name="_Toc30599"/>
      <w:r>
        <w:rPr>
          <w:rFonts w:hint="eastAsia" w:ascii="仿宋" w:hAnsi="仿宋" w:eastAsia="仿宋" w:cs="仿宋"/>
          <w:b/>
          <w:sz w:val="24"/>
        </w:rPr>
        <w:t>2.18 计量单位</w:t>
      </w:r>
      <w:bookmarkEnd w:id="163"/>
      <w:bookmarkEnd w:id="164"/>
      <w:bookmarkEnd w:id="165"/>
      <w:bookmarkEnd w:id="168"/>
      <w:bookmarkEnd w:id="169"/>
      <w:bookmarkEnd w:id="170"/>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71" w:name="_Toc259093692"/>
      <w:bookmarkStart w:id="172" w:name="_Toc10330"/>
      <w:bookmarkStart w:id="173" w:name="_Toc12773"/>
      <w:bookmarkStart w:id="174" w:name="_Toc279701263"/>
      <w:bookmarkStart w:id="175" w:name="_Toc487900373"/>
      <w:bookmarkStart w:id="176" w:name="_Toc18567"/>
      <w:r>
        <w:rPr>
          <w:rFonts w:hint="eastAsia" w:ascii="仿宋" w:hAnsi="仿宋" w:eastAsia="仿宋" w:cs="仿宋"/>
          <w:b/>
          <w:sz w:val="24"/>
        </w:rPr>
        <w:t>2.19 合同使用的文字和适用的法律</w:t>
      </w:r>
      <w:bookmarkEnd w:id="171"/>
      <w:bookmarkEnd w:id="172"/>
      <w:bookmarkEnd w:id="173"/>
      <w:bookmarkEnd w:id="174"/>
      <w:bookmarkEnd w:id="175"/>
      <w:bookmarkEnd w:id="176"/>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hint="eastAsia" w:ascii="仿宋" w:hAnsi="仿宋" w:eastAsia="仿宋" w:cs="仿宋"/>
          <w:b/>
          <w:sz w:val="24"/>
        </w:rPr>
      </w:pPr>
      <w:bookmarkStart w:id="177" w:name="_Toc14001"/>
      <w:bookmarkStart w:id="178" w:name="_Toc19890"/>
      <w:bookmarkStart w:id="179" w:name="_Toc6885"/>
      <w:r>
        <w:rPr>
          <w:rFonts w:hint="eastAsia" w:ascii="仿宋" w:hAnsi="仿宋" w:eastAsia="仿宋" w:cs="仿宋"/>
          <w:b/>
          <w:sz w:val="24"/>
        </w:rPr>
        <w:t>2.20 合同份数</w:t>
      </w:r>
      <w:bookmarkEnd w:id="177"/>
      <w:bookmarkEnd w:id="178"/>
      <w:bookmarkEnd w:id="179"/>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sz w:val="28"/>
          <w:szCs w:val="28"/>
        </w:rPr>
      </w:pPr>
      <w:r>
        <w:rPr>
          <w:rFonts w:hint="eastAsia" w:ascii="仿宋" w:hAnsi="仿宋" w:eastAsia="仿宋" w:cs="仿宋"/>
          <w:sz w:val="24"/>
        </w:rPr>
        <w:br w:type="page"/>
      </w:r>
      <w:r>
        <w:rPr>
          <w:rFonts w:hint="eastAsia" w:ascii="仿宋" w:hAnsi="仿宋" w:eastAsia="仿宋" w:cs="仿宋"/>
          <w:b/>
          <w:sz w:val="28"/>
          <w:szCs w:val="28"/>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pPr w:leftFromText="180" w:rightFromText="180" w:vertAnchor="text" w:horzAnchor="page" w:tblpX="1436" w:tblpY="118"/>
        <w:tblOverlap w:val="never"/>
        <w:tblW w:w="909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2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25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25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25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25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256" w:type="dxa"/>
            <w:vAlign w:val="center"/>
          </w:tcPr>
          <w:p>
            <w:pPr>
              <w:spacing w:line="288" w:lineRule="auto"/>
              <w:rPr>
                <w:rFonts w:ascii="仿宋" w:hAnsi="仿宋" w:eastAsia="仿宋" w:cs="仿宋"/>
                <w:sz w:val="24"/>
              </w:rPr>
            </w:pPr>
          </w:p>
        </w:tc>
      </w:tr>
      <w:tr>
        <w:tblPrEx>
          <w:tblCellMar>
            <w:top w:w="0" w:type="dxa"/>
            <w:left w:w="28" w:type="dxa"/>
            <w:bottom w:w="0" w:type="dxa"/>
            <w:right w:w="28" w:type="dxa"/>
          </w:tblCellMar>
        </w:tblPrEx>
        <w:trPr>
          <w:trHeight w:val="352"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25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both"/>
        <w:rPr>
          <w:rFonts w:ascii="仿宋" w:hAnsi="仿宋" w:eastAsia="仿宋" w:cs="仿宋"/>
          <w:b/>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rFonts w:hint="eastAsia" w:ascii="仿宋" w:hAnsi="仿宋" w:eastAsia="仿宋" w:cs="仿宋"/>
          <w:b/>
          <w:color w:val="auto"/>
          <w:sz w:val="24"/>
          <w:szCs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3"/>
        <w:tblW w:w="9698" w:type="dxa"/>
        <w:jc w:val="center"/>
        <w:tblLayout w:type="fixed"/>
        <w:tblCellMar>
          <w:top w:w="0" w:type="dxa"/>
          <w:left w:w="108" w:type="dxa"/>
          <w:bottom w:w="0" w:type="dxa"/>
          <w:right w:w="108" w:type="dxa"/>
        </w:tblCellMar>
      </w:tblPr>
      <w:tblGrid>
        <w:gridCol w:w="810"/>
        <w:gridCol w:w="1724"/>
        <w:gridCol w:w="6239"/>
        <w:gridCol w:w="925"/>
      </w:tblGrid>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设施、设备参数响应程度及要求</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before="210" w:line="288" w:lineRule="auto"/>
              <w:ind w:right="8" w:rightChars="0"/>
              <w:jc w:val="both"/>
              <w:textAlignment w:val="auto"/>
              <w:rPr>
                <w:rFonts w:hint="eastAsia" w:ascii="仿宋" w:hAnsi="仿宋" w:eastAsia="仿宋" w:cs="仿宋"/>
                <w:sz w:val="24"/>
                <w:szCs w:val="24"/>
              </w:rPr>
            </w:pPr>
            <w:r>
              <w:rPr>
                <w:rFonts w:hint="eastAsia" w:ascii="仿宋" w:hAnsi="仿宋" w:eastAsia="仿宋" w:cs="仿宋"/>
                <w:b w:val="0"/>
                <w:bCs/>
                <w:color w:val="auto"/>
                <w:sz w:val="24"/>
                <w:szCs w:val="24"/>
              </w:rPr>
              <w:t>根据投标供应商对技术参数的响应情况进行评分，本项分值根据产品实际技术参数的偏离情况</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全部满足得27分</w:t>
            </w:r>
            <w:r>
              <w:rPr>
                <w:rFonts w:hint="eastAsia" w:ascii="仿宋" w:hAnsi="仿宋" w:eastAsia="仿宋" w:cs="仿宋"/>
                <w:b w:val="0"/>
                <w:bCs/>
                <w:color w:val="auto"/>
                <w:sz w:val="24"/>
                <w:szCs w:val="24"/>
                <w:lang w:val="zh-CN"/>
              </w:rPr>
              <w:t>。</w:t>
            </w:r>
            <w:r>
              <w:rPr>
                <w:rFonts w:hint="eastAsia" w:ascii="仿宋" w:hAnsi="仿宋" w:eastAsia="仿宋" w:cs="仿宋"/>
                <w:b w:val="0"/>
                <w:bCs/>
                <w:color w:val="auto"/>
                <w:sz w:val="24"/>
                <w:szCs w:val="24"/>
              </w:rPr>
              <w:t>打★</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w:t>
            </w:r>
            <w:r>
              <w:rPr>
                <w:rFonts w:hint="eastAsia" w:ascii="仿宋" w:hAnsi="仿宋" w:eastAsia="仿宋" w:cs="仿宋"/>
                <w:b w:val="0"/>
                <w:bCs/>
                <w:color w:val="auto"/>
                <w:sz w:val="24"/>
                <w:szCs w:val="24"/>
                <w:lang w:val="en-US" w:eastAsia="zh-CN"/>
              </w:rPr>
              <w:t>有</w:t>
            </w:r>
            <w:r>
              <w:rPr>
                <w:rFonts w:hint="eastAsia" w:ascii="仿宋" w:hAnsi="仿宋" w:eastAsia="仿宋" w:cs="仿宋"/>
                <w:b w:val="0"/>
                <w:bCs/>
                <w:color w:val="auto"/>
                <w:sz w:val="24"/>
                <w:szCs w:val="24"/>
              </w:rPr>
              <w:t>负偏离的</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作</w:t>
            </w:r>
            <w:r>
              <w:rPr>
                <w:rFonts w:hint="eastAsia" w:ascii="仿宋" w:hAnsi="仿宋" w:eastAsia="仿宋" w:cs="仿宋"/>
                <w:b w:val="0"/>
                <w:bCs/>
                <w:color w:val="auto"/>
                <w:sz w:val="24"/>
                <w:szCs w:val="24"/>
              </w:rPr>
              <w:t>无效投标处理；打▲</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指标出现负偏离</w:t>
            </w:r>
            <w:r>
              <w:rPr>
                <w:rFonts w:hint="eastAsia" w:ascii="仿宋" w:hAnsi="仿宋" w:eastAsia="仿宋" w:cs="仿宋"/>
                <w:b w:val="0"/>
                <w:bCs/>
                <w:color w:val="auto"/>
                <w:sz w:val="24"/>
                <w:szCs w:val="24"/>
                <w:lang w:val="en-US" w:eastAsia="zh-CN"/>
              </w:rPr>
              <w:t>的，</w:t>
            </w:r>
            <w:r>
              <w:rPr>
                <w:rFonts w:hint="eastAsia" w:ascii="仿宋" w:hAnsi="仿宋" w:eastAsia="仿宋" w:cs="仿宋"/>
                <w:b w:val="0"/>
                <w:bCs/>
                <w:color w:val="auto"/>
                <w:sz w:val="24"/>
                <w:szCs w:val="24"/>
              </w:rPr>
              <w:t>每项扣</w:t>
            </w: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分；其他一般性</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指标负偏离</w:t>
            </w:r>
            <w:r>
              <w:rPr>
                <w:rFonts w:hint="eastAsia" w:ascii="仿宋" w:hAnsi="仿宋" w:eastAsia="仿宋" w:cs="仿宋"/>
                <w:b w:val="0"/>
                <w:bCs/>
                <w:color w:val="auto"/>
                <w:sz w:val="24"/>
                <w:szCs w:val="24"/>
                <w:lang w:val="en-US" w:eastAsia="zh-CN"/>
              </w:rPr>
              <w:t>的，</w:t>
            </w:r>
            <w:r>
              <w:rPr>
                <w:rFonts w:hint="eastAsia" w:ascii="仿宋" w:hAnsi="仿宋" w:eastAsia="仿宋" w:cs="仿宋"/>
                <w:b w:val="0"/>
                <w:bCs/>
                <w:color w:val="auto"/>
                <w:sz w:val="24"/>
                <w:szCs w:val="24"/>
              </w:rPr>
              <w:t>每项扣</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分；扣完为止。</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27分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投标人实力</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2"/>
              </w:numPr>
              <w:kinsoku/>
              <w:wordWrap/>
              <w:overflowPunct/>
              <w:topLinePunct w:val="0"/>
              <w:autoSpaceDE/>
              <w:autoSpaceDN/>
              <w:bidi w:val="0"/>
              <w:snapToGrid/>
              <w:spacing w:line="288" w:lineRule="auto"/>
              <w:ind w:leftChars="0"/>
              <w:textAlignment w:val="auto"/>
              <w:rPr>
                <w:rFonts w:hint="eastAsia" w:ascii="仿宋" w:hAnsi="仿宋" w:eastAsia="仿宋" w:cs="仿宋"/>
                <w:spacing w:val="-13"/>
                <w:sz w:val="24"/>
                <w:szCs w:val="24"/>
              </w:rPr>
            </w:pPr>
            <w:r>
              <w:rPr>
                <w:rFonts w:hint="eastAsia" w:ascii="仿宋" w:hAnsi="仿宋" w:eastAsia="仿宋" w:cs="仿宋"/>
                <w:spacing w:val="-1"/>
                <w:sz w:val="24"/>
                <w:szCs w:val="24"/>
              </w:rPr>
              <w:t>投标人具有质量管理体系认证</w:t>
            </w:r>
            <w:r>
              <w:rPr>
                <w:rFonts w:hint="eastAsia" w:ascii="仿宋" w:hAnsi="仿宋" w:eastAsia="仿宋" w:cs="仿宋"/>
                <w:sz w:val="24"/>
                <w:szCs w:val="24"/>
              </w:rPr>
              <w:t>证书、环境管</w:t>
            </w:r>
            <w:r>
              <w:rPr>
                <w:rFonts w:hint="eastAsia" w:ascii="仿宋" w:hAnsi="仿宋" w:eastAsia="仿宋" w:cs="仿宋"/>
                <w:spacing w:val="-1"/>
                <w:sz w:val="24"/>
                <w:szCs w:val="24"/>
              </w:rPr>
              <w:t>理体系认证证书、职业</w:t>
            </w:r>
            <w:r>
              <w:rPr>
                <w:rFonts w:hint="eastAsia" w:ascii="仿宋" w:hAnsi="仿宋" w:eastAsia="仿宋" w:cs="仿宋"/>
                <w:sz w:val="24"/>
                <w:szCs w:val="24"/>
              </w:rPr>
              <w:t>健康安全管理体系认</w:t>
            </w:r>
            <w:r>
              <w:rPr>
                <w:rFonts w:hint="eastAsia" w:ascii="仿宋" w:hAnsi="仿宋" w:eastAsia="仿宋" w:cs="仿宋"/>
                <w:spacing w:val="-12"/>
                <w:sz w:val="24"/>
                <w:szCs w:val="24"/>
              </w:rPr>
              <w:t>证</w:t>
            </w:r>
            <w:r>
              <w:rPr>
                <w:rFonts w:hint="eastAsia" w:ascii="仿宋" w:hAnsi="仿宋" w:eastAsia="仿宋" w:cs="仿宋"/>
                <w:spacing w:val="-10"/>
                <w:sz w:val="24"/>
                <w:szCs w:val="24"/>
              </w:rPr>
              <w:t>证</w:t>
            </w:r>
            <w:r>
              <w:rPr>
                <w:rFonts w:hint="eastAsia" w:ascii="仿宋" w:hAnsi="仿宋" w:eastAsia="仿宋" w:cs="仿宋"/>
                <w:spacing w:val="-6"/>
                <w:sz w:val="24"/>
                <w:szCs w:val="24"/>
              </w:rPr>
              <w:t>书的，</w:t>
            </w:r>
            <w:r>
              <w:rPr>
                <w:rFonts w:hint="eastAsia" w:ascii="仿宋" w:hAnsi="仿宋" w:eastAsia="仿宋" w:cs="仿宋"/>
                <w:spacing w:val="-6"/>
                <w:sz w:val="24"/>
                <w:szCs w:val="24"/>
                <w:lang w:val="en-US" w:eastAsia="zh-CN"/>
              </w:rPr>
              <w:t>认证范围需覆盖膜结构件、钢结构件的销售。附国家认证认可监督管理委员会网站截图，</w:t>
            </w:r>
            <w:r>
              <w:rPr>
                <w:rFonts w:hint="eastAsia" w:ascii="仿宋" w:hAnsi="仿宋" w:eastAsia="仿宋" w:cs="仿宋"/>
                <w:spacing w:val="-6"/>
                <w:sz w:val="24"/>
                <w:szCs w:val="24"/>
              </w:rPr>
              <w:t xml:space="preserve">每有一项得 </w:t>
            </w: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分，最高得</w:t>
            </w:r>
            <w:r>
              <w:rPr>
                <w:rFonts w:hint="eastAsia" w:ascii="仿宋" w:hAnsi="仿宋" w:eastAsia="仿宋" w:cs="仿宋"/>
                <w:spacing w:val="-6"/>
                <w:sz w:val="24"/>
                <w:szCs w:val="24"/>
                <w:lang w:val="en-US" w:eastAsia="zh-CN"/>
              </w:rPr>
              <w:t xml:space="preserve"> </w:t>
            </w:r>
            <w:r>
              <w:rPr>
                <w:rFonts w:hint="eastAsia" w:ascii="仿宋" w:hAnsi="仿宋" w:eastAsia="仿宋" w:cs="仿宋"/>
                <w:spacing w:val="-16"/>
                <w:sz w:val="24"/>
                <w:szCs w:val="24"/>
                <w:lang w:val="en-US" w:eastAsia="zh-CN"/>
              </w:rPr>
              <w:t>6</w:t>
            </w:r>
            <w:r>
              <w:rPr>
                <w:rFonts w:hint="eastAsia" w:ascii="仿宋" w:hAnsi="仿宋" w:eastAsia="仿宋" w:cs="仿宋"/>
                <w:spacing w:val="-13"/>
                <w:sz w:val="24"/>
                <w:szCs w:val="24"/>
              </w:rPr>
              <w:t xml:space="preserve"> 分。</w:t>
            </w:r>
          </w:p>
          <w:p>
            <w:pPr>
              <w:keepNext w:val="0"/>
              <w:keepLines w:val="0"/>
              <w:pageBreakBefore w:val="0"/>
              <w:widowControl/>
              <w:numPr>
                <w:ilvl w:val="0"/>
                <w:numId w:val="0"/>
              </w:numPr>
              <w:kinsoku/>
              <w:wordWrap/>
              <w:overflowPunct/>
              <w:topLinePunct w:val="0"/>
              <w:autoSpaceDE/>
              <w:autoSpaceDN/>
              <w:bidi w:val="0"/>
              <w:snapToGrid/>
              <w:spacing w:line="288" w:lineRule="auto"/>
              <w:textAlignment w:val="auto"/>
              <w:rPr>
                <w:rFonts w:hint="eastAsia"/>
                <w:color w:val="auto"/>
              </w:rPr>
            </w:pPr>
            <w:r>
              <w:rPr>
                <w:rFonts w:hint="eastAsia" w:ascii="仿宋" w:hAnsi="仿宋" w:eastAsia="仿宋" w:cs="仿宋"/>
                <w:spacing w:val="-13"/>
                <w:sz w:val="24"/>
                <w:szCs w:val="24"/>
                <w:lang w:val="en-US" w:eastAsia="zh-CN"/>
              </w:rPr>
              <w:t>2、</w:t>
            </w:r>
            <w:r>
              <w:rPr>
                <w:rFonts w:hint="eastAsia" w:ascii="仿宋" w:hAnsi="仿宋" w:eastAsia="仿宋" w:cs="仿宋"/>
                <w:color w:val="auto"/>
                <w:sz w:val="24"/>
                <w:szCs w:val="24"/>
              </w:rPr>
              <w:t>投标人具有</w:t>
            </w:r>
            <w:r>
              <w:rPr>
                <w:rFonts w:hint="eastAsia" w:ascii="仿宋" w:hAnsi="仿宋" w:eastAsia="仿宋" w:cs="仿宋_GB2312"/>
                <w:color w:val="auto"/>
                <w:sz w:val="24"/>
                <w:u w:val="none"/>
                <w:lang w:val="en-US" w:eastAsia="zh-CN"/>
              </w:rPr>
              <w:t>住房和城乡建设局颁发的</w:t>
            </w:r>
            <w:r>
              <w:rPr>
                <w:rFonts w:hint="eastAsia" w:ascii="仿宋" w:hAnsi="仿宋" w:eastAsia="仿宋" w:cs="仿宋"/>
                <w:color w:val="auto"/>
                <w:sz w:val="24"/>
                <w:szCs w:val="24"/>
                <w:lang w:eastAsia="zh-CN"/>
              </w:rPr>
              <w:t>电子与智能化工程专业承包贰级</w:t>
            </w:r>
            <w:r>
              <w:rPr>
                <w:rFonts w:hint="eastAsia" w:ascii="仿宋" w:hAnsi="仿宋" w:eastAsia="仿宋" w:cs="仿宋"/>
                <w:color w:val="auto"/>
                <w:sz w:val="24"/>
                <w:szCs w:val="24"/>
              </w:rPr>
              <w:t>及以上资质</w:t>
            </w:r>
            <w:r>
              <w:rPr>
                <w:rFonts w:hint="eastAsia" w:ascii="仿宋" w:hAnsi="仿宋" w:eastAsia="仿宋" w:cs="仿宋"/>
                <w:color w:val="auto"/>
                <w:sz w:val="24"/>
                <w:szCs w:val="24"/>
                <w:lang w:eastAsia="zh-CN"/>
              </w:rPr>
              <w:t>，</w:t>
            </w:r>
            <w:r>
              <w:rPr>
                <w:rFonts w:hint="eastAsia" w:ascii="仿宋" w:hAnsi="仿宋" w:eastAsia="仿宋" w:cs="仿宋"/>
                <w:color w:val="auto"/>
                <w:spacing w:val="-6"/>
                <w:sz w:val="24"/>
                <w:szCs w:val="24"/>
              </w:rPr>
              <w:t>得</w:t>
            </w:r>
            <w:r>
              <w:rPr>
                <w:rFonts w:hint="eastAsia" w:ascii="仿宋" w:hAnsi="仿宋" w:eastAsia="仿宋" w:cs="仿宋"/>
                <w:color w:val="auto"/>
                <w:spacing w:val="-6"/>
                <w:sz w:val="24"/>
                <w:szCs w:val="24"/>
                <w:lang w:val="en-US" w:eastAsia="zh-CN"/>
              </w:rPr>
              <w:t xml:space="preserve"> </w:t>
            </w:r>
            <w:r>
              <w:rPr>
                <w:rFonts w:hint="eastAsia" w:ascii="仿宋" w:hAnsi="仿宋" w:eastAsia="仿宋" w:cs="仿宋"/>
                <w:color w:val="auto"/>
                <w:spacing w:val="-16"/>
                <w:sz w:val="24"/>
                <w:szCs w:val="24"/>
                <w:lang w:val="en-US" w:eastAsia="zh-CN"/>
              </w:rPr>
              <w:t>2</w:t>
            </w:r>
            <w:r>
              <w:rPr>
                <w:rFonts w:hint="eastAsia" w:ascii="仿宋" w:hAnsi="仿宋" w:eastAsia="仿宋" w:cs="仿宋"/>
                <w:color w:val="auto"/>
                <w:spacing w:val="-13"/>
                <w:sz w:val="24"/>
                <w:szCs w:val="24"/>
              </w:rPr>
              <w:t xml:space="preserve"> 分。</w:t>
            </w:r>
          </w:p>
          <w:p>
            <w:pPr>
              <w:keepNext w:val="0"/>
              <w:keepLines w:val="0"/>
              <w:pageBreakBefore w:val="0"/>
              <w:widowControl/>
              <w:kinsoku/>
              <w:wordWrap/>
              <w:overflowPunct/>
              <w:topLinePunct w:val="0"/>
              <w:autoSpaceDE/>
              <w:autoSpaceDN/>
              <w:bidi w:val="0"/>
              <w:snapToGrid/>
              <w:spacing w:line="288" w:lineRule="auto"/>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color w:val="auto"/>
                <w:sz w:val="24"/>
                <w:szCs w:val="24"/>
                <w:lang w:val="en-US" w:eastAsia="zh-CN"/>
              </w:rPr>
              <w:t>3、</w:t>
            </w:r>
            <w:r>
              <w:rPr>
                <w:rFonts w:hint="eastAsia" w:ascii="仿宋" w:hAnsi="仿宋" w:eastAsia="仿宋" w:cs="仿宋"/>
                <w:color w:val="auto"/>
                <w:sz w:val="24"/>
                <w:szCs w:val="24"/>
              </w:rPr>
              <w:t>投标人具有</w:t>
            </w:r>
            <w:r>
              <w:rPr>
                <w:rFonts w:hint="eastAsia" w:ascii="仿宋" w:hAnsi="仿宋" w:eastAsia="仿宋" w:cs="仿宋"/>
                <w:color w:val="auto"/>
                <w:sz w:val="24"/>
                <w:szCs w:val="24"/>
                <w:lang w:val="en-US" w:eastAsia="zh-CN"/>
              </w:rPr>
              <w:t>相关</w:t>
            </w:r>
            <w:r>
              <w:rPr>
                <w:rFonts w:hint="eastAsia" w:ascii="仿宋" w:hAnsi="仿宋" w:eastAsia="仿宋" w:cs="仿宋"/>
                <w:b w:val="0"/>
                <w:bCs w:val="0"/>
                <w:color w:val="auto"/>
                <w:sz w:val="24"/>
                <w:szCs w:val="24"/>
                <w:lang w:val="en-US" w:eastAsia="zh-CN"/>
              </w:rPr>
              <w:t>膜结构雨棚智能节能管理系统著作权登记证书，</w:t>
            </w:r>
            <w:r>
              <w:rPr>
                <w:rFonts w:hint="eastAsia" w:ascii="仿宋" w:hAnsi="仿宋" w:eastAsia="仿宋" w:cs="仿宋"/>
                <w:color w:val="auto"/>
                <w:spacing w:val="-6"/>
                <w:sz w:val="24"/>
                <w:szCs w:val="24"/>
              </w:rPr>
              <w:t>得</w:t>
            </w:r>
            <w:r>
              <w:rPr>
                <w:rFonts w:hint="eastAsia" w:ascii="仿宋" w:hAnsi="仿宋" w:eastAsia="仿宋" w:cs="仿宋"/>
                <w:color w:val="auto"/>
                <w:spacing w:val="-6"/>
                <w:sz w:val="24"/>
                <w:szCs w:val="24"/>
                <w:lang w:val="en-US" w:eastAsia="zh-CN"/>
              </w:rPr>
              <w:t xml:space="preserve"> </w:t>
            </w:r>
            <w:r>
              <w:rPr>
                <w:rFonts w:hint="eastAsia" w:ascii="仿宋" w:hAnsi="仿宋" w:eastAsia="仿宋" w:cs="仿宋"/>
                <w:color w:val="auto"/>
                <w:spacing w:val="-16"/>
                <w:sz w:val="24"/>
                <w:szCs w:val="24"/>
                <w:lang w:val="en-US" w:eastAsia="zh-CN"/>
              </w:rPr>
              <w:t>2</w:t>
            </w:r>
            <w:r>
              <w:rPr>
                <w:rFonts w:hint="eastAsia" w:ascii="仿宋" w:hAnsi="仿宋" w:eastAsia="仿宋" w:cs="仿宋"/>
                <w:color w:val="auto"/>
                <w:spacing w:val="-13"/>
                <w:sz w:val="24"/>
                <w:szCs w:val="24"/>
              </w:rPr>
              <w:t xml:space="preserve"> 分。</w:t>
            </w:r>
          </w:p>
          <w:p>
            <w:pPr>
              <w:keepNext w:val="0"/>
              <w:keepLines w:val="0"/>
              <w:pageBreakBefore w:val="0"/>
              <w:widowControl/>
              <w:kinsoku/>
              <w:wordWrap/>
              <w:overflowPunct/>
              <w:topLinePunct w:val="0"/>
              <w:autoSpaceDE/>
              <w:autoSpaceDN/>
              <w:bidi w:val="0"/>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b w:val="0"/>
                <w:bCs w:val="0"/>
                <w:i w:val="0"/>
                <w:iCs w:val="0"/>
                <w:color w:val="auto"/>
                <w:sz w:val="24"/>
                <w:szCs w:val="24"/>
                <w:lang w:eastAsia="zh-CN"/>
              </w:rPr>
              <w:t>注：</w:t>
            </w:r>
            <w:r>
              <w:rPr>
                <w:rFonts w:hint="eastAsia" w:ascii="仿宋" w:hAnsi="仿宋" w:eastAsia="仿宋" w:cs="仿宋"/>
                <w:b w:val="0"/>
                <w:bCs w:val="0"/>
                <w:i w:val="0"/>
                <w:iCs w:val="0"/>
                <w:color w:val="auto"/>
                <w:sz w:val="24"/>
                <w:szCs w:val="24"/>
              </w:rPr>
              <w:t>投标文件中提供证书复印件</w:t>
            </w:r>
            <w:r>
              <w:rPr>
                <w:rFonts w:hint="eastAsia" w:ascii="仿宋" w:hAnsi="仿宋" w:eastAsia="仿宋" w:cs="仿宋"/>
                <w:b w:val="0"/>
                <w:bCs w:val="0"/>
                <w:i w:val="0"/>
                <w:iCs w:val="0"/>
                <w:color w:val="auto"/>
                <w:sz w:val="24"/>
                <w:szCs w:val="24"/>
                <w:lang w:eastAsia="zh-CN"/>
              </w:rPr>
              <w:t>加盖公章</w:t>
            </w:r>
            <w:r>
              <w:rPr>
                <w:rFonts w:hint="eastAsia" w:ascii="仿宋" w:hAnsi="仿宋" w:eastAsia="仿宋" w:cs="仿宋"/>
                <w:b w:val="0"/>
                <w:bCs w:val="0"/>
                <w:i w:val="0"/>
                <w:iCs w:val="0"/>
                <w:color w:val="auto"/>
                <w:sz w:val="24"/>
                <w:szCs w:val="24"/>
              </w:rPr>
              <w:t>，不提供不得分</w:t>
            </w:r>
            <w:r>
              <w:rPr>
                <w:rFonts w:hint="eastAsia" w:ascii="仿宋" w:hAnsi="仿宋" w:eastAsia="仿宋" w:cs="仿宋"/>
                <w:b w:val="0"/>
                <w:bCs w:val="0"/>
                <w:i w:val="0"/>
                <w:iCs w:val="0"/>
                <w:color w:val="auto"/>
                <w:sz w:val="24"/>
                <w:szCs w:val="24"/>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业绩</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投标人提供</w:t>
            </w:r>
            <w:r>
              <w:rPr>
                <w:rFonts w:hint="eastAsia" w:ascii="仿宋" w:hAnsi="仿宋" w:eastAsia="仿宋" w:cs="仿宋"/>
                <w:sz w:val="24"/>
                <w:szCs w:val="24"/>
                <w:lang w:val="en-US" w:eastAsia="zh-CN"/>
              </w:rPr>
              <w:t>2021年1月1日至今</w:t>
            </w:r>
            <w:r>
              <w:rPr>
                <w:rFonts w:hint="eastAsia" w:ascii="仿宋" w:hAnsi="仿宋" w:eastAsia="仿宋" w:cs="仿宋"/>
                <w:sz w:val="24"/>
                <w:szCs w:val="24"/>
              </w:rPr>
              <w:t>（以合同签订时间为准）</w:t>
            </w:r>
            <w:r>
              <w:rPr>
                <w:rFonts w:hint="eastAsia" w:ascii="仿宋" w:hAnsi="仿宋" w:eastAsia="仿宋" w:cs="仿宋"/>
                <w:sz w:val="24"/>
                <w:szCs w:val="24"/>
                <w:lang w:eastAsia="zh-CN"/>
              </w:rPr>
              <w:t>同类</w:t>
            </w:r>
            <w:r>
              <w:rPr>
                <w:rFonts w:hint="eastAsia" w:ascii="仿宋" w:hAnsi="仿宋" w:eastAsia="仿宋" w:cs="仿宋"/>
                <w:sz w:val="24"/>
                <w:szCs w:val="24"/>
                <w:lang w:val="en-US" w:eastAsia="zh-CN"/>
              </w:rPr>
              <w:t>项目</w:t>
            </w:r>
            <w:r>
              <w:rPr>
                <w:rFonts w:hint="eastAsia" w:ascii="仿宋" w:hAnsi="仿宋" w:eastAsia="仿宋" w:cs="仿宋"/>
                <w:sz w:val="24"/>
                <w:szCs w:val="24"/>
              </w:rPr>
              <w:t>业绩的，每提供一个业绩得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bCs/>
                <w:color w:val="auto"/>
                <w:sz w:val="24"/>
                <w:szCs w:val="24"/>
                <w:lang w:eastAsia="zh-CN"/>
              </w:rPr>
              <w:t>注：</w:t>
            </w:r>
            <w:r>
              <w:rPr>
                <w:rFonts w:hint="eastAsia" w:ascii="仿宋" w:hAnsi="仿宋" w:eastAsia="仿宋" w:cs="仿宋"/>
                <w:bCs/>
                <w:color w:val="auto"/>
                <w:sz w:val="24"/>
                <w:szCs w:val="24"/>
                <w:lang w:val="en-US" w:eastAsia="zh-CN"/>
              </w:rPr>
              <w:t>需同时</w:t>
            </w:r>
            <w:r>
              <w:rPr>
                <w:rFonts w:hint="eastAsia" w:ascii="仿宋" w:hAnsi="仿宋" w:eastAsia="仿宋" w:cs="仿宋"/>
                <w:bCs/>
                <w:color w:val="auto"/>
                <w:sz w:val="24"/>
                <w:szCs w:val="24"/>
                <w:lang w:eastAsia="zh-CN"/>
              </w:rPr>
              <w:t>提供</w:t>
            </w:r>
            <w:r>
              <w:rPr>
                <w:rFonts w:hint="eastAsia" w:ascii="仿宋" w:hAnsi="仿宋" w:eastAsia="仿宋" w:cs="仿宋"/>
                <w:bCs/>
                <w:color w:val="auto"/>
                <w:sz w:val="24"/>
                <w:szCs w:val="24"/>
                <w:lang w:val="en-US" w:eastAsia="zh-CN"/>
              </w:rPr>
              <w:t>中标通知书、</w:t>
            </w:r>
            <w:r>
              <w:rPr>
                <w:rFonts w:hint="eastAsia" w:ascii="仿宋" w:hAnsi="仿宋" w:eastAsia="仿宋" w:cs="仿宋"/>
                <w:bCs/>
                <w:color w:val="auto"/>
                <w:sz w:val="24"/>
                <w:szCs w:val="24"/>
                <w:lang w:eastAsia="zh-CN"/>
              </w:rPr>
              <w:t>合同复印件及验收单并加盖投标人公章，</w:t>
            </w:r>
            <w:r>
              <w:rPr>
                <w:rFonts w:hint="eastAsia" w:ascii="仿宋" w:hAnsi="仿宋" w:eastAsia="仿宋" w:cs="仿宋"/>
                <w:color w:val="auto"/>
                <w:sz w:val="24"/>
                <w:szCs w:val="24"/>
                <w:lang w:eastAsia="zh-CN"/>
              </w:rPr>
              <w:t>否则不得分</w:t>
            </w:r>
            <w:r>
              <w:rPr>
                <w:rFonts w:hint="eastAsia" w:ascii="仿宋" w:hAnsi="仿宋" w:eastAsia="仿宋" w:cs="仿宋"/>
                <w:bCs/>
                <w:color w:val="auto"/>
                <w:sz w:val="24"/>
                <w:szCs w:val="24"/>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项目团队</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8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根据投标人拟派本项目的项目负责人</w:t>
            </w:r>
            <w:r>
              <w:rPr>
                <w:rFonts w:hint="eastAsia" w:ascii="仿宋" w:hAnsi="仿宋" w:eastAsia="仿宋" w:cs="仿宋"/>
                <w:sz w:val="24"/>
                <w:szCs w:val="24"/>
                <w:lang w:val="en-US" w:eastAsia="zh-CN"/>
              </w:rPr>
              <w:t>及其他项目实施人员</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资历</w:t>
            </w:r>
            <w:r>
              <w:rPr>
                <w:rFonts w:hint="eastAsia" w:ascii="仿宋" w:hAnsi="仿宋" w:eastAsia="仿宋" w:cs="仿宋"/>
                <w:sz w:val="24"/>
                <w:szCs w:val="24"/>
                <w:lang w:eastAsia="zh-CN"/>
              </w:rPr>
              <w:t>等</w:t>
            </w:r>
            <w:r>
              <w:rPr>
                <w:rFonts w:hint="eastAsia" w:ascii="仿宋" w:hAnsi="仿宋" w:eastAsia="仿宋" w:cs="仿宋"/>
                <w:sz w:val="24"/>
                <w:szCs w:val="24"/>
                <w:lang w:val="en-US" w:eastAsia="zh-CN"/>
              </w:rPr>
              <w:t>情况</w:t>
            </w:r>
            <w:r>
              <w:rPr>
                <w:rFonts w:hint="eastAsia" w:ascii="仿宋" w:hAnsi="仿宋" w:eastAsia="仿宋" w:cs="仿宋"/>
                <w:sz w:val="24"/>
                <w:szCs w:val="24"/>
                <w:lang w:eastAsia="zh-CN"/>
              </w:rPr>
              <w:t>进行打分，</w:t>
            </w:r>
            <w:r>
              <w:rPr>
                <w:rFonts w:hint="eastAsia" w:ascii="仿宋" w:hAnsi="仿宋" w:eastAsia="仿宋" w:cs="仿宋"/>
                <w:sz w:val="24"/>
                <w:szCs w:val="24"/>
                <w:lang w:val="en-US" w:eastAsia="zh-CN"/>
              </w:rPr>
              <w:t>0-4分。</w:t>
            </w:r>
            <w:r>
              <w:rPr>
                <w:rFonts w:hint="eastAsia" w:ascii="仿宋" w:hAnsi="仿宋" w:eastAsia="仿宋" w:cs="仿宋"/>
                <w:sz w:val="24"/>
                <w:szCs w:val="24"/>
              </w:rPr>
              <w:t>（提供相关证书复印件及本单位在职社保缴纳证明并加盖公章）</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项目设计方案</w:t>
            </w:r>
          </w:p>
        </w:tc>
        <w:tc>
          <w:tcPr>
            <w:tcW w:w="6239"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widowControl/>
              <w:numPr>
                <w:ilvl w:val="-1"/>
                <w:numId w:val="0"/>
              </w:numPr>
              <w:kinsoku/>
              <w:wordWrap/>
              <w:overflowPunct/>
              <w:topLinePunct w:val="0"/>
              <w:bidi w:val="0"/>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highlight w:val="none"/>
                <w:lang w:val="en-US" w:eastAsia="zh-CN" w:bidi="ar"/>
              </w:rPr>
              <w:t>设计施工图方案</w:t>
            </w:r>
            <w:r>
              <w:rPr>
                <w:rFonts w:hint="eastAsia" w:ascii="仿宋" w:hAnsi="仿宋" w:eastAsia="仿宋" w:cs="仿宋"/>
                <w:b w:val="0"/>
                <w:bCs/>
                <w:color w:val="auto"/>
                <w:sz w:val="24"/>
                <w:szCs w:val="24"/>
              </w:rPr>
              <w:t>，根据设计图纸的建设性、安全性、合理性、美观性、</w:t>
            </w:r>
            <w:r>
              <w:rPr>
                <w:rFonts w:hint="eastAsia" w:ascii="仿宋" w:hAnsi="仿宋" w:eastAsia="仿宋" w:cs="仿宋"/>
                <w:b w:val="0"/>
                <w:bCs/>
                <w:color w:val="auto"/>
                <w:sz w:val="24"/>
                <w:szCs w:val="24"/>
                <w:lang w:val="en-US" w:eastAsia="zh-CN"/>
              </w:rPr>
              <w:t>智能性</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权威性等方面进行</w:t>
            </w:r>
            <w:r>
              <w:rPr>
                <w:rFonts w:hint="eastAsia" w:ascii="仿宋" w:hAnsi="仿宋" w:eastAsia="仿宋" w:cs="仿宋"/>
                <w:b w:val="0"/>
                <w:bCs/>
                <w:color w:val="auto"/>
                <w:sz w:val="24"/>
                <w:szCs w:val="24"/>
              </w:rPr>
              <w:t>打分</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0-8分</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highlight w:val="none"/>
                <w:lang w:val="en-US" w:eastAsia="zh-CN" w:bidi="ar"/>
              </w:rPr>
              <w:t xml:space="preserve">   </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项目实施方案</w:t>
            </w:r>
          </w:p>
        </w:tc>
        <w:tc>
          <w:tcPr>
            <w:tcW w:w="623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rPr>
              <w:t>本项目的</w:t>
            </w:r>
            <w:r>
              <w:rPr>
                <w:rFonts w:hint="eastAsia" w:ascii="仿宋" w:hAnsi="仿宋" w:eastAsia="仿宋" w:cs="仿宋"/>
                <w:color w:val="auto"/>
                <w:sz w:val="24"/>
                <w:szCs w:val="24"/>
              </w:rPr>
              <w:t>施工</w:t>
            </w: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组织方案及措施</w:t>
            </w:r>
            <w:r>
              <w:rPr>
                <w:rFonts w:hint="eastAsia" w:ascii="仿宋" w:hAnsi="仿宋" w:eastAsia="仿宋" w:cs="仿宋"/>
                <w:color w:val="auto"/>
                <w:sz w:val="24"/>
                <w:szCs w:val="24"/>
                <w:lang w:eastAsia="zh-CN"/>
              </w:rPr>
              <w:t>：</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1、质量、工期保证与控制措施。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2、现场安装的文明施工措施等技术措施。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3、主要安装机械和测试设备。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4、安装调试方案合理性。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keepNext w:val="0"/>
              <w:keepLines w:val="0"/>
              <w:pageBreakBefore w:val="0"/>
              <w:widowControl/>
              <w:kinsoku/>
              <w:wordWrap/>
              <w:overflowPunct/>
              <w:topLinePunct w:val="0"/>
              <w:bidi w:val="0"/>
              <w:spacing w:line="288" w:lineRule="auto"/>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lang w:val="en-US" w:eastAsia="zh-CN" w:bidi="ar"/>
              </w:rPr>
              <w:t>5、现场安装的安全措施，</w:t>
            </w:r>
            <w:r>
              <w:rPr>
                <w:rFonts w:hint="eastAsia" w:ascii="仿宋" w:hAnsi="仿宋" w:eastAsia="仿宋" w:cs="仿宋"/>
                <w:color w:val="auto"/>
                <w:sz w:val="24"/>
                <w:szCs w:val="24"/>
              </w:rPr>
              <w:t>针对突发情况应急预案</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售后服务</w:t>
            </w:r>
          </w:p>
        </w:tc>
        <w:tc>
          <w:tcPr>
            <w:tcW w:w="6239"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kinsoku/>
              <w:wordWrap/>
              <w:overflowPunct/>
              <w:topLinePunct w:val="0"/>
              <w:bidi w:val="0"/>
              <w:spacing w:line="288" w:lineRule="auto"/>
              <w:ind w:firstLine="0" w:firstLineChars="0"/>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lang w:bidi="ar"/>
              </w:rPr>
              <w:t>投标人针对本项目提供售后服务方案（包括服务人员的配备、响应时间、响应程度、解决问题的能力、紧急故障处理预案、备品备件、培训、技术指导等）</w:t>
            </w:r>
            <w:r>
              <w:rPr>
                <w:rFonts w:hint="eastAsia" w:ascii="仿宋" w:hAnsi="仿宋" w:eastAsia="仿宋" w:cs="仿宋"/>
                <w:color w:val="auto"/>
                <w:kern w:val="0"/>
                <w:sz w:val="24"/>
                <w:szCs w:val="24"/>
                <w:lang w:eastAsia="zh-CN" w:bidi="ar"/>
              </w:rPr>
              <w:t>，根据</w:t>
            </w:r>
            <w:r>
              <w:rPr>
                <w:rFonts w:hint="eastAsia" w:ascii="仿宋" w:hAnsi="仿宋" w:eastAsia="仿宋" w:cs="仿宋"/>
                <w:color w:val="auto"/>
                <w:kern w:val="0"/>
                <w:sz w:val="24"/>
                <w:szCs w:val="24"/>
                <w:lang w:bidi="ar"/>
              </w:rPr>
              <w:t>服务方案全面细致、保障的难点分析准确，有针对性措施</w:t>
            </w:r>
            <w:r>
              <w:rPr>
                <w:rFonts w:hint="eastAsia" w:ascii="仿宋" w:hAnsi="仿宋" w:eastAsia="仿宋" w:cs="仿宋"/>
                <w:color w:val="auto"/>
                <w:kern w:val="0"/>
                <w:sz w:val="24"/>
                <w:szCs w:val="24"/>
                <w:lang w:val="en-US" w:eastAsia="zh-CN" w:bidi="ar"/>
              </w:rPr>
              <w:t>等进行</w:t>
            </w:r>
            <w:r>
              <w:rPr>
                <w:rFonts w:hint="eastAsia" w:ascii="仿宋" w:hAnsi="仿宋" w:eastAsia="仿宋" w:cs="仿宋"/>
                <w:color w:val="auto"/>
                <w:kern w:val="0"/>
                <w:sz w:val="24"/>
                <w:szCs w:val="24"/>
                <w:lang w:eastAsia="zh-CN" w:bidi="ar"/>
              </w:rPr>
              <w:t>打分</w:t>
            </w:r>
            <w:r>
              <w:rPr>
                <w:rFonts w:hint="eastAsia" w:ascii="仿宋" w:hAnsi="仿宋" w:eastAsia="仿宋" w:cs="仿宋"/>
                <w:color w:val="auto"/>
                <w:kern w:val="0"/>
                <w:sz w:val="24"/>
                <w:szCs w:val="24"/>
                <w:lang w:val="en-US" w:eastAsia="zh-CN" w:bidi="ar"/>
              </w:rPr>
              <w:t>。（0-4分）</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4分</w:t>
            </w:r>
          </w:p>
        </w:tc>
      </w:tr>
    </w:tbl>
    <w:p>
      <w:pPr>
        <w:snapToGrid w:val="0"/>
        <w:spacing w:line="288" w:lineRule="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lang w:val="en-US" w:eastAsia="zh-CN"/>
        </w:rPr>
        <w:t>4</w:t>
      </w:r>
      <w:r>
        <w:rPr>
          <w:rFonts w:hint="eastAsia" w:ascii="仿宋" w:hAnsi="仿宋" w:eastAsia="仿宋" w:cs="仿宋"/>
          <w:b/>
          <w:bCs/>
          <w:iCs/>
          <w:color w:val="auto"/>
          <w:sz w:val="24"/>
          <w:szCs w:val="24"/>
          <w:u w:val="single"/>
        </w:rPr>
        <w:t>0</w:t>
      </w:r>
      <w:r>
        <w:rPr>
          <w:rFonts w:hint="eastAsia" w:ascii="仿宋" w:hAnsi="仿宋" w:eastAsia="仿宋" w:cs="仿宋"/>
          <w:b/>
          <w:bCs/>
          <w:iCs/>
          <w:color w:val="auto"/>
          <w:sz w:val="24"/>
          <w:szCs w:val="24"/>
        </w:rPr>
        <w:t>分）</w:t>
      </w:r>
    </w:p>
    <w:p>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4</w:t>
      </w:r>
      <w:r>
        <w:rPr>
          <w:rFonts w:hint="eastAsia" w:ascii="仿宋" w:hAnsi="仿宋" w:eastAsia="仿宋" w:cs="仿宋"/>
          <w:bCs/>
          <w:iCs/>
          <w:sz w:val="24"/>
          <w:u w:val="single"/>
        </w:rPr>
        <w:t>0</w:t>
      </w:r>
      <w:bookmarkEnd w:id="29"/>
      <w:bookmarkEnd w:id="30"/>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both"/>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5"/>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hint="eastAsia"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9"/>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4"/>
        <w:rPr>
          <w:rFonts w:ascii="仿宋" w:hAnsi="仿宋" w:eastAsia="仿宋" w:cs="仿宋"/>
          <w:b/>
        </w:rPr>
      </w:pPr>
    </w:p>
    <w:p>
      <w:pPr>
        <w:pStyle w:val="84"/>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5"/>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5"/>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86"/>
        <w:rPr>
          <w:rFonts w:ascii="仿宋" w:hAnsi="仿宋" w:eastAsia="仿宋" w:cs="仿宋"/>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firstLine="482" w:firstLineChars="20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0" w:name="_Hlk101259491"/>
      <w:r>
        <w:rPr>
          <w:rFonts w:hint="eastAsia" w:ascii="仿宋" w:hAnsi="仿宋" w:eastAsia="仿宋" w:cs="仿宋"/>
          <w:sz w:val="32"/>
          <w:szCs w:val="32"/>
        </w:rPr>
        <w:t>（如果有）</w:t>
      </w:r>
      <w:bookmarkEnd w:id="180"/>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5"/>
        <w:rPr>
          <w:rFonts w:ascii="仿宋" w:hAnsi="仿宋" w:eastAsia="仿宋" w:cs="仿宋"/>
          <w:b/>
          <w:color w:val="auto"/>
        </w:rPr>
      </w:pPr>
    </w:p>
    <w:p>
      <w:pPr>
        <w:pStyle w:val="86"/>
        <w:rPr>
          <w:rFonts w:ascii="仿宋" w:hAnsi="仿宋" w:eastAsia="仿宋" w:cs="仿宋"/>
          <w:b/>
          <w:sz w:val="24"/>
        </w:rPr>
      </w:pPr>
    </w:p>
    <w:p>
      <w:pPr>
        <w:rPr>
          <w:rFonts w:ascii="仿宋" w:hAnsi="仿宋" w:eastAsia="仿宋" w:cs="仿宋"/>
          <w:b/>
          <w:sz w:val="24"/>
        </w:rPr>
      </w:pPr>
    </w:p>
    <w:p>
      <w:pPr>
        <w:pStyle w:val="85"/>
        <w:rPr>
          <w:rFonts w:ascii="仿宋" w:hAnsi="仿宋" w:eastAsia="仿宋" w:cs="仿宋"/>
          <w:b/>
          <w:color w:val="auto"/>
        </w:rPr>
      </w:pPr>
    </w:p>
    <w:p>
      <w:pPr>
        <w:pStyle w:val="86"/>
        <w:rPr>
          <w:rFonts w:ascii="仿宋" w:hAnsi="仿宋" w:eastAsia="仿宋" w:cs="仿宋"/>
        </w:rPr>
      </w:pPr>
    </w:p>
    <w:p>
      <w:pPr>
        <w:pStyle w:val="8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5"/>
        <w:widowControl/>
        <w:spacing w:line="360" w:lineRule="auto"/>
        <w:ind w:firstLine="120" w:firstLineChars="50"/>
        <w:rPr>
          <w:rFonts w:ascii="仿宋" w:hAnsi="仿宋" w:eastAsia="仿宋" w:cs="仿宋"/>
          <w:b/>
          <w:color w:val="FF0000"/>
        </w:rPr>
      </w:pPr>
    </w:p>
    <w:p>
      <w:pPr>
        <w:pStyle w:val="86"/>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81" w:name="_Toc465665161"/>
      <w:r>
        <w:rPr>
          <w:rFonts w:hint="eastAsia" w:ascii="仿宋" w:hAnsi="仿宋" w:eastAsia="仿宋" w:cs="仿宋"/>
        </w:rPr>
        <w:t>附件</w:t>
      </w:r>
      <w:bookmarkEnd w:id="181"/>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pPr>
        <w:pStyle w:val="85"/>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8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2"/>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3"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83"/>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84" w:name="OLE_LINK13"/>
      <w:bookmarkStart w:id="185" w:name="OLE_LINK14"/>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84"/>
    <w:bookmarkEnd w:id="18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hint="eastAsia"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6" w:name="_Toc164085800"/>
                          <w:bookmarkStart w:id="187" w:name="_Toc131845147"/>
                          <w:bookmarkStart w:id="188" w:name="_Toc36110187"/>
                          <w:bookmarkStart w:id="189" w:name="_Toc91899912"/>
                          <w:r>
                            <w:rPr>
                              <w:rFonts w:hint="eastAsia" w:ascii="FangSong_GB2312" w:eastAsia="FangSong_GB2312"/>
                              <w:kern w:val="0"/>
                              <w:szCs w:val="21"/>
                            </w:rPr>
                            <w:t xml:space="preserve"> 页</w:t>
                          </w:r>
                          <w:bookmarkEnd w:id="186"/>
                          <w:bookmarkEnd w:id="187"/>
                          <w:bookmarkEnd w:id="188"/>
                          <w:bookmarkEnd w:id="189"/>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6" w:name="_Toc164085800"/>
                    <w:bookmarkStart w:id="187" w:name="_Toc131845147"/>
                    <w:bookmarkStart w:id="188" w:name="_Toc36110187"/>
                    <w:bookmarkStart w:id="189" w:name="_Toc91899912"/>
                    <w:r>
                      <w:rPr>
                        <w:rFonts w:hint="eastAsia" w:ascii="FangSong_GB2312" w:eastAsia="FangSong_GB2312"/>
                        <w:kern w:val="0"/>
                        <w:szCs w:val="21"/>
                      </w:rPr>
                      <w:t xml:space="preserve"> 页</w:t>
                    </w:r>
                    <w:bookmarkEnd w:id="186"/>
                    <w:bookmarkEnd w:id="187"/>
                    <w:bookmarkEnd w:id="188"/>
                    <w:bookmarkEnd w:id="189"/>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5040" w:hanging="5040" w:hangingChars="2800"/>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4B672"/>
    <w:multiLevelType w:val="singleLevel"/>
    <w:tmpl w:val="A454B672"/>
    <w:lvl w:ilvl="0" w:tentative="0">
      <w:start w:val="6"/>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488C150"/>
    <w:multiLevelType w:val="singleLevel"/>
    <w:tmpl w:val="6488C150"/>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01396B"/>
    <w:rsid w:val="033E089E"/>
    <w:rsid w:val="03D03897"/>
    <w:rsid w:val="06B50CF4"/>
    <w:rsid w:val="06D74677"/>
    <w:rsid w:val="07163C07"/>
    <w:rsid w:val="073C6691"/>
    <w:rsid w:val="07D47BAA"/>
    <w:rsid w:val="092121E3"/>
    <w:rsid w:val="09434126"/>
    <w:rsid w:val="096E3000"/>
    <w:rsid w:val="0983157E"/>
    <w:rsid w:val="0AF431D2"/>
    <w:rsid w:val="0C277EDD"/>
    <w:rsid w:val="0C4D7C21"/>
    <w:rsid w:val="0C4F422A"/>
    <w:rsid w:val="0C811A9E"/>
    <w:rsid w:val="0DBF7F42"/>
    <w:rsid w:val="0E925AC4"/>
    <w:rsid w:val="0F3F5F47"/>
    <w:rsid w:val="0FA0239A"/>
    <w:rsid w:val="0FCB261A"/>
    <w:rsid w:val="0FF50E46"/>
    <w:rsid w:val="100D1BA1"/>
    <w:rsid w:val="10220EF8"/>
    <w:rsid w:val="12EC7454"/>
    <w:rsid w:val="13027FA6"/>
    <w:rsid w:val="13222173"/>
    <w:rsid w:val="13A655EB"/>
    <w:rsid w:val="13AE369B"/>
    <w:rsid w:val="14127BE9"/>
    <w:rsid w:val="141715E6"/>
    <w:rsid w:val="14480789"/>
    <w:rsid w:val="14BE0BC8"/>
    <w:rsid w:val="14C04749"/>
    <w:rsid w:val="14F97ED7"/>
    <w:rsid w:val="156329BA"/>
    <w:rsid w:val="165F6EE2"/>
    <w:rsid w:val="169E17AF"/>
    <w:rsid w:val="16FA2753"/>
    <w:rsid w:val="18064A4D"/>
    <w:rsid w:val="18AA1CC1"/>
    <w:rsid w:val="19377C8F"/>
    <w:rsid w:val="195210FF"/>
    <w:rsid w:val="19904432"/>
    <w:rsid w:val="19C257AA"/>
    <w:rsid w:val="1A6E148E"/>
    <w:rsid w:val="1B9735F0"/>
    <w:rsid w:val="1DA33B45"/>
    <w:rsid w:val="1E026ABD"/>
    <w:rsid w:val="1ED83C25"/>
    <w:rsid w:val="1F4629DA"/>
    <w:rsid w:val="203705D6"/>
    <w:rsid w:val="20385881"/>
    <w:rsid w:val="205110D8"/>
    <w:rsid w:val="21076017"/>
    <w:rsid w:val="21B522D0"/>
    <w:rsid w:val="21F5243E"/>
    <w:rsid w:val="225601ED"/>
    <w:rsid w:val="233367EF"/>
    <w:rsid w:val="2346744C"/>
    <w:rsid w:val="23512C83"/>
    <w:rsid w:val="244E615E"/>
    <w:rsid w:val="25637F0D"/>
    <w:rsid w:val="26844E74"/>
    <w:rsid w:val="26871FE6"/>
    <w:rsid w:val="26973766"/>
    <w:rsid w:val="272E3463"/>
    <w:rsid w:val="27C10956"/>
    <w:rsid w:val="27E8061E"/>
    <w:rsid w:val="2801696E"/>
    <w:rsid w:val="2B8E304F"/>
    <w:rsid w:val="2BB92353"/>
    <w:rsid w:val="2BC96E6C"/>
    <w:rsid w:val="2BCE4801"/>
    <w:rsid w:val="2CDA6E57"/>
    <w:rsid w:val="2E0028ED"/>
    <w:rsid w:val="2E1E7E19"/>
    <w:rsid w:val="2EA9235C"/>
    <w:rsid w:val="300F0BC6"/>
    <w:rsid w:val="324A37B6"/>
    <w:rsid w:val="327053BA"/>
    <w:rsid w:val="32A80A62"/>
    <w:rsid w:val="32B118A2"/>
    <w:rsid w:val="32F33EC0"/>
    <w:rsid w:val="332D089E"/>
    <w:rsid w:val="335332F6"/>
    <w:rsid w:val="337372D3"/>
    <w:rsid w:val="34A22009"/>
    <w:rsid w:val="353C6946"/>
    <w:rsid w:val="3661404A"/>
    <w:rsid w:val="36854A78"/>
    <w:rsid w:val="36957BB4"/>
    <w:rsid w:val="37022870"/>
    <w:rsid w:val="37023232"/>
    <w:rsid w:val="38BC211A"/>
    <w:rsid w:val="38D359C2"/>
    <w:rsid w:val="39230324"/>
    <w:rsid w:val="39EA2249"/>
    <w:rsid w:val="39FC6882"/>
    <w:rsid w:val="3A4122C4"/>
    <w:rsid w:val="3B812DDB"/>
    <w:rsid w:val="3CD40565"/>
    <w:rsid w:val="3E75253C"/>
    <w:rsid w:val="3E763CBE"/>
    <w:rsid w:val="3E785043"/>
    <w:rsid w:val="3F2A7D78"/>
    <w:rsid w:val="3F326AC0"/>
    <w:rsid w:val="3FB8741E"/>
    <w:rsid w:val="4023487C"/>
    <w:rsid w:val="41377F7D"/>
    <w:rsid w:val="41462752"/>
    <w:rsid w:val="42B9463A"/>
    <w:rsid w:val="42C509BA"/>
    <w:rsid w:val="4321081C"/>
    <w:rsid w:val="43280742"/>
    <w:rsid w:val="44D530D8"/>
    <w:rsid w:val="4694489E"/>
    <w:rsid w:val="469A3396"/>
    <w:rsid w:val="480F43A7"/>
    <w:rsid w:val="49BF08BA"/>
    <w:rsid w:val="49FC231B"/>
    <w:rsid w:val="4AC62064"/>
    <w:rsid w:val="4AF35892"/>
    <w:rsid w:val="4BC555FA"/>
    <w:rsid w:val="4C2630C7"/>
    <w:rsid w:val="4CB37051"/>
    <w:rsid w:val="4D882205"/>
    <w:rsid w:val="4DE4148C"/>
    <w:rsid w:val="4DE912CD"/>
    <w:rsid w:val="4E31011A"/>
    <w:rsid w:val="4F0C47F7"/>
    <w:rsid w:val="4F83040B"/>
    <w:rsid w:val="4FAE554B"/>
    <w:rsid w:val="50441571"/>
    <w:rsid w:val="50850D04"/>
    <w:rsid w:val="50C301CB"/>
    <w:rsid w:val="511E065F"/>
    <w:rsid w:val="54646686"/>
    <w:rsid w:val="54BF5D23"/>
    <w:rsid w:val="55E83DA2"/>
    <w:rsid w:val="56197289"/>
    <w:rsid w:val="569E66EF"/>
    <w:rsid w:val="570317EE"/>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A70F83"/>
    <w:rsid w:val="5F665FB3"/>
    <w:rsid w:val="5FBC150A"/>
    <w:rsid w:val="5FBD456A"/>
    <w:rsid w:val="60683CAF"/>
    <w:rsid w:val="608E0EC5"/>
    <w:rsid w:val="613E752B"/>
    <w:rsid w:val="626D4177"/>
    <w:rsid w:val="642152E2"/>
    <w:rsid w:val="648852AB"/>
    <w:rsid w:val="64897C1D"/>
    <w:rsid w:val="65077AE2"/>
    <w:rsid w:val="65EB0C48"/>
    <w:rsid w:val="66105CC9"/>
    <w:rsid w:val="6708440D"/>
    <w:rsid w:val="6754430B"/>
    <w:rsid w:val="675C7883"/>
    <w:rsid w:val="676B57FB"/>
    <w:rsid w:val="67EB1C4D"/>
    <w:rsid w:val="68387056"/>
    <w:rsid w:val="695D0A71"/>
    <w:rsid w:val="6973670F"/>
    <w:rsid w:val="6A07787C"/>
    <w:rsid w:val="6A266BE4"/>
    <w:rsid w:val="6AEF1016"/>
    <w:rsid w:val="6C184E1F"/>
    <w:rsid w:val="6C2A705E"/>
    <w:rsid w:val="6DA94419"/>
    <w:rsid w:val="6E742034"/>
    <w:rsid w:val="705F2832"/>
    <w:rsid w:val="70DD3DED"/>
    <w:rsid w:val="724A452A"/>
    <w:rsid w:val="729E74BD"/>
    <w:rsid w:val="73321351"/>
    <w:rsid w:val="744B7A76"/>
    <w:rsid w:val="755C71F0"/>
    <w:rsid w:val="758D7B90"/>
    <w:rsid w:val="77253BC8"/>
    <w:rsid w:val="78530372"/>
    <w:rsid w:val="7B803D71"/>
    <w:rsid w:val="7C0B664A"/>
    <w:rsid w:val="7C0D2F04"/>
    <w:rsid w:val="7CB15915"/>
    <w:rsid w:val="7CD750DF"/>
    <w:rsid w:val="7DDA593C"/>
    <w:rsid w:val="7E3B20FE"/>
    <w:rsid w:val="7E941F8F"/>
    <w:rsid w:val="7E951FAE"/>
    <w:rsid w:val="7EAE4A2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6"/>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FangSong_GB2312" w:eastAsia="FangSong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7"/>
    <w:autoRedefine/>
    <w:qFormat/>
    <w:uiPriority w:val="0"/>
    <w:pPr>
      <w:spacing w:line="480" w:lineRule="exact"/>
      <w:ind w:firstLine="480" w:firstLineChars="200"/>
    </w:pPr>
    <w:rPr>
      <w:rFonts w:ascii="宋体" w:hAnsi="宋体"/>
      <w:sz w:val="24"/>
    </w:rPr>
  </w:style>
  <w:style w:type="paragraph" w:styleId="25">
    <w:name w:val="envelope return"/>
    <w:basedOn w:val="1"/>
    <w:autoRedefine/>
    <w:qFormat/>
    <w:uiPriority w:val="0"/>
    <w:pPr>
      <w:snapToGrid w:val="0"/>
    </w:pPr>
    <w:rPr>
      <w:rFonts w:ascii="Arial" w:hAnsi="Arial"/>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30"/>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5"/>
    <w:autoRedefine/>
    <w:qFormat/>
    <w:uiPriority w:val="0"/>
    <w:pPr>
      <w:ind w:left="100" w:leftChars="2500"/>
    </w:pPr>
    <w:rPr>
      <w:rFonts w:ascii="宋体"/>
      <w:sz w:val="24"/>
      <w:szCs w:val="21"/>
      <w:lang w:val="zh-CN"/>
    </w:rPr>
  </w:style>
  <w:style w:type="paragraph" w:styleId="37">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2"/>
    <w:autoRedefine/>
    <w:qFormat/>
    <w:uiPriority w:val="0"/>
    <w:rPr>
      <w:sz w:val="18"/>
      <w:szCs w:val="18"/>
    </w:rPr>
  </w:style>
  <w:style w:type="paragraph" w:styleId="40">
    <w:name w:val="footer"/>
    <w:basedOn w:val="1"/>
    <w:link w:val="385"/>
    <w:autoRedefine/>
    <w:qFormat/>
    <w:uiPriority w:val="99"/>
    <w:pPr>
      <w:tabs>
        <w:tab w:val="center" w:pos="4153"/>
        <w:tab w:val="right" w:pos="8306"/>
      </w:tabs>
      <w:snapToGrid w:val="0"/>
      <w:jc w:val="left"/>
    </w:pPr>
    <w:rPr>
      <w:sz w:val="18"/>
      <w:szCs w:val="18"/>
    </w:rPr>
  </w:style>
  <w:style w:type="paragraph" w:styleId="41">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autoRedefine/>
    <w:qFormat/>
    <w:uiPriority w:val="0"/>
    <w:rPr>
      <w:b/>
      <w:bCs/>
    </w:rPr>
  </w:style>
  <w:style w:type="paragraph" w:styleId="61">
    <w:name w:val="Body Text First Indent"/>
    <w:basedOn w:val="23"/>
    <w:next w:val="62"/>
    <w:link w:val="323"/>
    <w:autoRedefine/>
    <w:qFormat/>
    <w:uiPriority w:val="0"/>
    <w:pPr>
      <w:ind w:firstLine="420"/>
    </w:pPr>
    <w:rPr>
      <w:rFonts w:hAnsi="Calibri" w:cs="Times New Roman"/>
      <w:snapToGrid/>
      <w:szCs w:val="20"/>
    </w:rPr>
  </w:style>
  <w:style w:type="paragraph" w:styleId="62">
    <w:name w:val="Body Text First Indent 2"/>
    <w:basedOn w:val="24"/>
    <w:next w:val="1"/>
    <w:link w:val="126"/>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1">
    <w:name w:val="标题 1 字符"/>
    <w:qFormat/>
    <w:uiPriority w:val="9"/>
    <w:rPr>
      <w:rFonts w:ascii="Arial" w:hAnsi="Arial" w:eastAsia="黑体" w:cs="Arial"/>
      <w:b/>
      <w:bCs/>
      <w:snapToGrid w:val="0"/>
      <w:kern w:val="44"/>
      <w:sz w:val="44"/>
      <w:szCs w:val="44"/>
    </w:rPr>
  </w:style>
  <w:style w:type="paragraph" w:customStyle="1" w:styleId="82">
    <w:name w:val="正文2"/>
    <w:basedOn w:val="1"/>
    <w:link w:val="135"/>
    <w:autoRedefine/>
    <w:qFormat/>
    <w:uiPriority w:val="0"/>
    <w:pPr>
      <w:spacing w:before="156" w:line="360" w:lineRule="auto"/>
      <w:ind w:firstLine="510" w:firstLineChars="200"/>
    </w:pPr>
    <w:rPr>
      <w:sz w:val="24"/>
      <w:szCs w:val="20"/>
    </w:rPr>
  </w:style>
  <w:style w:type="character" w:customStyle="1" w:styleId="83">
    <w:name w:val="标题 2 Char"/>
    <w:autoRedefine/>
    <w:qFormat/>
    <w:uiPriority w:val="0"/>
    <w:rPr>
      <w:rFonts w:ascii="Arial" w:hAnsi="Arial" w:eastAsia="黑体"/>
      <w:b/>
      <w:kern w:val="2"/>
      <w:sz w:val="32"/>
      <w:lang w:val="en-US" w:eastAsia="zh-CN"/>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5">
    <w:name w:val="Default"/>
    <w:next w:val="86"/>
    <w:link w:val="237"/>
    <w:autoRedefine/>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autoRedefine/>
    <w:qFormat/>
    <w:uiPriority w:val="0"/>
    <w:rPr>
      <w:rFonts w:ascii="Futura Bk" w:hAnsi="Futura Bk"/>
      <w:kern w:val="2"/>
      <w:sz w:val="18"/>
      <w:szCs w:val="21"/>
      <w:lang w:val="en-US" w:eastAsia="zh-CN" w:bidi="ar-SA"/>
    </w:rPr>
  </w:style>
  <w:style w:type="paragraph" w:customStyle="1" w:styleId="88">
    <w:name w:val="表格非标题文字"/>
    <w:link w:val="8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autoRedefine/>
    <w:qFormat/>
    <w:uiPriority w:val="0"/>
    <w:rPr>
      <w:rFonts w:ascii="宋体" w:hAnsi="宋体"/>
      <w:sz w:val="24"/>
    </w:rPr>
  </w:style>
  <w:style w:type="paragraph" w:customStyle="1" w:styleId="90">
    <w:name w:val="*正文"/>
    <w:basedOn w:val="1"/>
    <w:link w:val="89"/>
    <w:autoRedefine/>
    <w:qFormat/>
    <w:uiPriority w:val="0"/>
    <w:pPr>
      <w:snapToGrid w:val="0"/>
      <w:spacing w:line="360" w:lineRule="auto"/>
      <w:ind w:firstLine="482"/>
      <w:jc w:val="left"/>
    </w:pPr>
    <w:rPr>
      <w:rFonts w:ascii="宋体" w:hAnsi="宋体"/>
      <w:kern w:val="0"/>
      <w:sz w:val="24"/>
      <w:szCs w:val="20"/>
    </w:rPr>
  </w:style>
  <w:style w:type="character" w:customStyle="1" w:styleId="91">
    <w:name w:val="Char Char71"/>
    <w:autoRedefine/>
    <w:qFormat/>
    <w:uiPriority w:val="0"/>
    <w:rPr>
      <w:rFonts w:eastAsia="宋体"/>
      <w:kern w:val="2"/>
      <w:sz w:val="21"/>
      <w:szCs w:val="24"/>
      <w:lang w:val="en-US" w:eastAsia="zh-CN" w:bidi="ar-SA"/>
    </w:rPr>
  </w:style>
  <w:style w:type="character" w:customStyle="1" w:styleId="92">
    <w:name w:val="Char Char6"/>
    <w:autoRedefine/>
    <w:qFormat/>
    <w:uiPriority w:val="0"/>
    <w:rPr>
      <w:rFonts w:eastAsia="宋体"/>
      <w:kern w:val="2"/>
      <w:sz w:val="21"/>
      <w:szCs w:val="24"/>
      <w:lang w:val="en-US" w:eastAsia="zh-CN" w:bidi="ar-SA"/>
    </w:rPr>
  </w:style>
  <w:style w:type="character" w:customStyle="1" w:styleId="93">
    <w:name w:val="正文缩进 Char"/>
    <w:autoRedefine/>
    <w:qFormat/>
    <w:uiPriority w:val="0"/>
    <w:rPr>
      <w:rFonts w:eastAsia="宋体"/>
      <w:kern w:val="2"/>
      <w:sz w:val="21"/>
      <w:lang w:val="en-US" w:eastAsia="zh-CN"/>
    </w:rPr>
  </w:style>
  <w:style w:type="character" w:customStyle="1" w:styleId="9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5">
    <w:name w:val="Char Char28"/>
    <w:autoRedefine/>
    <w:qFormat/>
    <w:uiPriority w:val="6"/>
    <w:rPr>
      <w:rFonts w:ascii="FangSong_GB2312" w:hAnsi="FangSong_GB2312" w:eastAsia="FangSong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FangSong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349d8ccd-87a8-4174-b318-483ee852d82b"/>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FangSong_GB2312" w:hAnsi="微软雅黑" w:eastAsia="FangSong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FangSong_GB2312" w:hAnsi="宋体" w:eastAsia="FangSong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FangSong_GB2312" w:hAnsi="仿宋" w:eastAsia="FangSong_GB2312"/>
      <w:kern w:val="2"/>
      <w:sz w:val="24"/>
      <w:szCs w:val="24"/>
    </w:rPr>
  </w:style>
  <w:style w:type="character" w:customStyle="1" w:styleId="133">
    <w:name w:val="样式4 Char"/>
    <w:qFormat/>
    <w:uiPriority w:val="0"/>
    <w:rPr>
      <w:rFonts w:ascii="FangSong_GB2312" w:hAnsi="仿宋" w:eastAsia="FangSong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2"/>
    <w:qFormat/>
    <w:uiPriority w:val="0"/>
    <w:rPr>
      <w:rFonts w:eastAsia="宋体"/>
      <w:kern w:val="2"/>
      <w:sz w:val="24"/>
      <w:lang w:val="en-US" w:eastAsia="zh-CN" w:bidi="ar-SA"/>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FangSong_GB2312" w:hAnsi="仿宋" w:eastAsia="FangSong_GB2312"/>
      <w:b/>
      <w:kern w:val="2"/>
      <w:sz w:val="24"/>
      <w:szCs w:val="24"/>
    </w:rPr>
  </w:style>
  <w:style w:type="character" w:customStyle="1" w:styleId="146">
    <w:name w:val="font12gray1"/>
    <w:autoRedefine/>
    <w:qFormat/>
    <w:uiPriority w:val="0"/>
    <w:rPr>
      <w:rFonts w:ascii="FangSong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FangSong_GB2312" w:eastAsia="FangSong_GB2312" w:cs="FangSong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FangSong_GB2312" w:hAnsi="FangSong_GB2312" w:eastAsia="FangSong_GB2312"/>
      <w:kern w:val="2"/>
      <w:sz w:val="24"/>
      <w:lang w:bidi="ar-SA"/>
    </w:rPr>
  </w:style>
  <w:style w:type="character" w:customStyle="1" w:styleId="157">
    <w:name w:val="正文 项目 Char"/>
    <w:qFormat/>
    <w:uiPriority w:val="0"/>
    <w:rPr>
      <w:rFonts w:ascii="FangSong_GB2312" w:hAnsi="FangSong_GB2312" w:eastAsia="FangSong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FangSong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FangSong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autoRedefine/>
    <w:qFormat/>
    <w:uiPriority w:val="1"/>
    <w:rPr>
      <w:rFonts w:ascii="FangSong_GB2312" w:hAnsi="Times New Roman" w:eastAsia="FangSong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autoRedefine/>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autoRedefine/>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autoRedefine/>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FangSong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FangSong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FangSong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FangSong_GB2312" w:hAnsi="仿宋" w:eastAsia="FangSong_GB2312" w:cs="FangSong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FangSong_GB2312" w:eastAsia="FangSong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FangSong_GB2312" w:eastAsia="FangSong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5"/>
    <w:qFormat/>
    <w:uiPriority w:val="0"/>
    <w:rPr>
      <w:rFonts w:ascii="FangSong_GB2312" w:eastAsia="FangSong_GB2312" w:cs="FangSong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KaiTi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FangSong_GB2312" w:eastAsia="FangSong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KaiTi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FangSong_GB2312" w:eastAsia="FangSong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FangSong_GB2312" w:eastAsia="微软雅黑"/>
      <w:b/>
      <w:kern w:val="2"/>
      <w:sz w:val="23"/>
      <w:szCs w:val="23"/>
      <w:lang w:val="en-US" w:eastAsia="zh-CN" w:bidi="ar-SA"/>
    </w:rPr>
  </w:style>
  <w:style w:type="character" w:customStyle="1" w:styleId="292">
    <w:name w:val="样式8 Char"/>
    <w:qFormat/>
    <w:uiPriority w:val="0"/>
    <w:rPr>
      <w:rFonts w:ascii="FangSong_GB2312" w:hAnsi="宋体" w:eastAsia="FangSong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FangSong_GB2312" w:eastAsia="FangSong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FangSong_GB2312" w:eastAsia="FangSong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FangSong_GB2312" w:eastAsia="FangSong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autoRedefine/>
    <w:qFormat/>
    <w:uiPriority w:val="0"/>
    <w:rPr>
      <w:rFonts w:ascii="FangSong_GB2312" w:hAnsi="Courier New" w:eastAsia="FangSong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2"/>
    <w:qFormat/>
    <w:uiPriority w:val="0"/>
    <w:rPr>
      <w:rFonts w:eastAsia="FangSong_GB2312"/>
      <w:sz w:val="24"/>
    </w:rPr>
  </w:style>
  <w:style w:type="character" w:customStyle="1" w:styleId="348">
    <w:name w:val="hui3"/>
    <w:qFormat/>
    <w:uiPriority w:val="0"/>
    <w:rPr>
      <w:color w:val="333333"/>
    </w:rPr>
  </w:style>
  <w:style w:type="character" w:customStyle="1" w:styleId="349">
    <w:name w:val="Char Char17"/>
    <w:qFormat/>
    <w:uiPriority w:val="6"/>
    <w:rPr>
      <w:rFonts w:eastAsia="FangSong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KaiTi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FangSong_GB2312" w:eastAsia="FangSong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FangSong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FangSong_GB2312" w:eastAsia="FangSong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Char2"/>
    <w:link w:val="40"/>
    <w:qFormat/>
    <w:uiPriority w:val="99"/>
    <w:rPr>
      <w:kern w:val="2"/>
      <w:sz w:val="18"/>
      <w:szCs w:val="18"/>
    </w:rPr>
  </w:style>
  <w:style w:type="character" w:customStyle="1" w:styleId="386">
    <w:name w:val="Char Char36"/>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KaiTi_GB2312" w:hAnsi="Arial" w:eastAsia="KaiTi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FangSong_GB2312" w:eastAsia="FangSong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autoRedefine/>
    <w:qFormat/>
    <w:uiPriority w:val="0"/>
    <w:rPr>
      <w:rFonts w:ascii="FangSong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82"/>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KaiTi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5"/>
    <w:next w:val="8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5"/>
    <w:next w:val="85"/>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emf"/><Relationship Id="rId32" Type="http://schemas.openxmlformats.org/officeDocument/2006/relationships/oleObject" Target="embeddings/oleObject2.bin"/><Relationship Id="rId31" Type="http://schemas.openxmlformats.org/officeDocument/2006/relationships/image" Target="media/image3.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8816</Words>
  <Characters>50255</Characters>
  <Lines>418</Lines>
  <Paragraphs>117</Paragraphs>
  <TotalTime>19</TotalTime>
  <ScaleCrop>false</ScaleCrop>
  <LinksUpToDate>false</LinksUpToDate>
  <CharactersWithSpaces>58954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2024-04-19T06:29:53Z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