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绍兴市中医院临床教学设备采购</w:t>
      </w:r>
    </w:p>
    <w:p>
      <w:pPr>
        <w:jc w:val="center"/>
        <w:outlineLvl w:val="0"/>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YH2023-</w:t>
      </w:r>
      <w:r>
        <w:rPr>
          <w:rFonts w:hint="eastAsia" w:ascii="仿宋" w:hAnsi="仿宋" w:eastAsia="仿宋" w:cs="仿宋"/>
          <w:b/>
          <w:sz w:val="28"/>
          <w:szCs w:val="28"/>
          <w:lang w:val="en-US" w:eastAsia="zh-CN"/>
        </w:rPr>
        <w:t>11019</w:t>
      </w:r>
      <w:r>
        <w:rPr>
          <w:rFonts w:hint="eastAsia" w:ascii="仿宋" w:hAnsi="仿宋" w:eastAsia="仿宋" w:cs="仿宋"/>
          <w:b/>
          <w:sz w:val="28"/>
          <w:szCs w:val="28"/>
          <w:lang w:eastAsia="zh-CN"/>
        </w:rPr>
        <w:t xml:space="preserve"> </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hint="eastAsia" w:ascii="仿宋" w:hAnsi="仿宋" w:eastAsia="仿宋" w:cs="仿宋"/>
                <w:spacing w:val="93"/>
                <w:kern w:val="0"/>
                <w:sz w:val="28"/>
                <w:szCs w:val="28"/>
              </w:rPr>
            </w:pP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二○二三年</w:t>
            </w:r>
            <w:r>
              <w:rPr>
                <w:rFonts w:hint="eastAsia" w:ascii="仿宋" w:hAnsi="仿宋" w:eastAsia="仿宋" w:cs="仿宋"/>
                <w:sz w:val="28"/>
                <w:szCs w:val="28"/>
                <w:lang w:eastAsia="zh-CN"/>
              </w:rPr>
              <w:t>十一</w:t>
            </w:r>
            <w:r>
              <w:rPr>
                <w:rFonts w:hint="eastAsia" w:ascii="仿宋" w:hAnsi="仿宋" w:eastAsia="仿宋" w:cs="仿宋"/>
                <w:sz w:val="28"/>
                <w:szCs w:val="28"/>
              </w:rPr>
              <w:t>月</w:t>
            </w:r>
          </w:p>
        </w:tc>
      </w:tr>
    </w:tbl>
    <w:p>
      <w:pPr>
        <w:pStyle w:val="637"/>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lang w:eastAsia="zh-CN"/>
        </w:rPr>
        <w:t>绍兴市中医院临床教学设备采购项目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9"/>
          <w:rFonts w:hint="eastAsia" w:ascii="仿宋" w:hAnsi="仿宋" w:eastAsia="仿宋" w:cs="仿宋"/>
          <w:snapToGrid/>
          <w:color w:val="auto"/>
          <w:kern w:val="2"/>
          <w:sz w:val="24"/>
          <w:szCs w:val="24"/>
        </w:rPr>
        <w:t>https://www.zcygov.cn/）获取（下载）招标文件，并于202</w:t>
      </w:r>
      <w:r>
        <w:rPr>
          <w:rStyle w:val="79"/>
          <w:rFonts w:hint="eastAsia" w:ascii="仿宋" w:hAnsi="仿宋" w:eastAsia="仿宋" w:cs="仿宋"/>
          <w:snapToGrid/>
          <w:color w:val="auto"/>
          <w:kern w:val="2"/>
          <w:sz w:val="24"/>
          <w:szCs w:val="24"/>
          <w:lang w:val="en-US" w:eastAsia="zh-CN"/>
        </w:rPr>
        <w:t>3</w:t>
      </w:r>
      <w:r>
        <w:rPr>
          <w:rStyle w:val="79"/>
          <w:rFonts w:hint="eastAsia" w:ascii="仿宋" w:hAnsi="仿宋" w:eastAsia="仿宋" w:cs="仿宋"/>
          <w:snapToGrid/>
          <w:color w:val="auto"/>
          <w:kern w:val="2"/>
          <w:sz w:val="24"/>
          <w:szCs w:val="24"/>
        </w:rPr>
        <w:t>年</w:t>
      </w:r>
      <w:r>
        <w:rPr>
          <w:rStyle w:val="79"/>
          <w:rFonts w:hint="eastAsia" w:ascii="仿宋" w:hAnsi="仿宋" w:eastAsia="仿宋" w:cs="仿宋"/>
          <w:snapToGrid/>
          <w:color w:val="auto"/>
          <w:kern w:val="2"/>
          <w:sz w:val="24"/>
          <w:szCs w:val="24"/>
          <w:lang w:val="en-US" w:eastAsia="zh-CN"/>
        </w:rPr>
        <w:t xml:space="preserve"> </w:t>
      </w:r>
      <w:r>
        <w:rPr>
          <w:rStyle w:val="79"/>
          <w:rFonts w:hint="eastAsia" w:ascii="仿宋" w:hAnsi="仿宋" w:eastAsia="仿宋" w:cs="仿宋"/>
          <w:snapToGrid/>
          <w:color w:val="auto"/>
          <w:kern w:val="2"/>
          <w:sz w:val="24"/>
          <w:szCs w:val="24"/>
        </w:rPr>
        <w:t>月</w:t>
      </w:r>
      <w:r>
        <w:rPr>
          <w:rStyle w:val="79"/>
          <w:rFonts w:hint="eastAsia" w:ascii="仿宋" w:hAnsi="仿宋" w:eastAsia="仿宋" w:cs="仿宋"/>
          <w:snapToGrid/>
          <w:color w:val="auto"/>
          <w:kern w:val="2"/>
          <w:sz w:val="24"/>
          <w:szCs w:val="24"/>
          <w:lang w:val="en-US" w:eastAsia="zh-CN"/>
        </w:rPr>
        <w:t xml:space="preserve"> </w:t>
      </w:r>
      <w:r>
        <w:rPr>
          <w:rStyle w:val="79"/>
          <w:rFonts w:hint="eastAsia" w:ascii="仿宋" w:hAnsi="仿宋" w:eastAsia="仿宋" w:cs="仿宋"/>
          <w:snapToGrid/>
          <w:color w:val="auto"/>
          <w:kern w:val="2"/>
          <w:sz w:val="24"/>
          <w:szCs w:val="24"/>
        </w:rPr>
        <w:t>日</w:t>
      </w:r>
      <w:r>
        <w:rPr>
          <w:rStyle w:val="79"/>
          <w:rFonts w:hint="eastAsia" w:ascii="仿宋" w:hAnsi="仿宋" w:eastAsia="仿宋" w:cs="仿宋"/>
          <w:snapToGrid/>
          <w:color w:val="auto"/>
          <w:kern w:val="2"/>
          <w:sz w:val="24"/>
          <w:szCs w:val="24"/>
          <w:lang w:val="en-US" w:eastAsia="zh-CN"/>
        </w:rPr>
        <w:t>09</w:t>
      </w:r>
      <w:r>
        <w:rPr>
          <w:rStyle w:val="79"/>
          <w:rFonts w:hint="eastAsia" w:ascii="仿宋" w:hAnsi="仿宋" w:eastAsia="仿宋" w:cs="仿宋"/>
          <w:snapToGrid/>
          <w:color w:val="auto"/>
          <w:kern w:val="2"/>
          <w:sz w:val="24"/>
          <w:szCs w:val="24"/>
        </w:rPr>
        <w:t>点</w:t>
      </w:r>
      <w:r>
        <w:rPr>
          <w:rStyle w:val="79"/>
          <w:rFonts w:hint="eastAsia" w:ascii="仿宋" w:hAnsi="仿宋" w:eastAsia="仿宋" w:cs="仿宋"/>
          <w:snapToGrid/>
          <w:color w:val="auto"/>
          <w:kern w:val="2"/>
          <w:sz w:val="24"/>
          <w:szCs w:val="24"/>
          <w:lang w:val="en-US" w:eastAsia="zh-CN"/>
        </w:rPr>
        <w:t>00</w:t>
      </w:r>
      <w:r>
        <w:rPr>
          <w:rStyle w:val="79"/>
          <w:rFonts w:hint="eastAsia" w:ascii="仿宋" w:hAnsi="仿宋" w:eastAsia="仿宋" w:cs="仿宋"/>
          <w:snapToGrid/>
          <w:color w:val="auto"/>
          <w:kern w:val="2"/>
          <w:sz w:val="24"/>
          <w:szCs w:val="24"/>
        </w:rPr>
        <w:t>分</w:t>
      </w:r>
      <w:r>
        <w:rPr>
          <w:rStyle w:val="79"/>
          <w:rFonts w:hint="eastAsia" w:ascii="仿宋" w:hAnsi="仿宋" w:eastAsia="仿宋" w:cs="仿宋"/>
          <w:bCs/>
          <w:snapToGrid/>
          <w:color w:val="auto"/>
          <w:kern w:val="2"/>
          <w:sz w:val="24"/>
          <w:szCs w:val="24"/>
        </w:rPr>
        <w:t>00秒</w:t>
      </w:r>
      <w:r>
        <w:rPr>
          <w:rStyle w:val="7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 xml:space="preserve">一、项目基本情况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lang w:eastAsia="zh-CN"/>
        </w:rPr>
        <w:t>YH2023-</w:t>
      </w:r>
      <w:r>
        <w:rPr>
          <w:rFonts w:hint="eastAsia" w:ascii="仿宋" w:hAnsi="仿宋" w:eastAsia="仿宋" w:cs="仿宋"/>
          <w:sz w:val="24"/>
          <w:lang w:val="en-US" w:eastAsia="zh-CN"/>
        </w:rPr>
        <w:t>11019</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
          <w:sz w:val="24"/>
          <w:lang w:eastAsia="zh-CN"/>
        </w:rPr>
        <w:t>绍兴市中医院临床教学设备采购项目</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sz w:val="24"/>
          <w:lang w:val="en-US" w:eastAsia="zh-CN"/>
        </w:rPr>
        <w:t>20</w:t>
      </w:r>
      <w:r>
        <w:rPr>
          <w:rFonts w:hint="eastAsia" w:ascii="仿宋" w:hAnsi="仿宋" w:eastAsia="仿宋" w:cs="仿宋"/>
          <w:b/>
          <w:sz w:val="24"/>
          <w:lang w:eastAsia="zh-CN"/>
        </w:rPr>
        <w:t>00000</w:t>
      </w:r>
      <w:r>
        <w:rPr>
          <w:rFonts w:hint="eastAsia" w:ascii="仿宋" w:hAnsi="仿宋" w:eastAsia="仿宋" w:cs="仿宋"/>
          <w:b/>
          <w:sz w:val="24"/>
        </w:rPr>
        <w:t xml:space="preserve">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sz w:val="24"/>
          <w:lang w:val="en-US" w:eastAsia="zh-CN"/>
        </w:rPr>
        <w:t>49</w:t>
      </w:r>
      <w:r>
        <w:rPr>
          <w:rFonts w:hint="eastAsia" w:ascii="仿宋" w:hAnsi="仿宋" w:eastAsia="仿宋" w:cs="仿宋"/>
          <w:b/>
          <w:sz w:val="24"/>
          <w:lang w:eastAsia="zh-CN"/>
        </w:rPr>
        <w:t>0000</w:t>
      </w:r>
      <w:r>
        <w:rPr>
          <w:rFonts w:hint="eastAsia" w:ascii="仿宋" w:hAnsi="仿宋" w:eastAsia="仿宋" w:cs="仿宋"/>
          <w:b/>
          <w:sz w:val="24"/>
        </w:rPr>
        <w:t xml:space="preserve">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采购需求：详见招标文件。</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标项一：</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绍兴市中医院临床教学设备采购项目</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20</w:t>
      </w:r>
      <w:r>
        <w:rPr>
          <w:rFonts w:hint="eastAsia" w:ascii="仿宋" w:hAnsi="仿宋" w:eastAsia="仿宋" w:cs="仿宋"/>
          <w:bCs/>
          <w:sz w:val="24"/>
          <w:lang w:eastAsia="zh-CN"/>
        </w:rPr>
        <w:t>00000</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sz w:val="24"/>
          <w:lang w:eastAsia="zh-CN"/>
        </w:rPr>
      </w:pPr>
      <w:r>
        <w:rPr>
          <w:rFonts w:hint="eastAsia" w:ascii="仿宋" w:hAnsi="仿宋" w:eastAsia="仿宋" w:cs="仿宋"/>
          <w:b w:val="0"/>
          <w:bCs/>
          <w:sz w:val="24"/>
        </w:rPr>
        <w:t>最高限价：</w:t>
      </w:r>
      <w:r>
        <w:rPr>
          <w:rFonts w:hint="eastAsia" w:ascii="仿宋" w:hAnsi="仿宋" w:eastAsia="仿宋" w:cs="仿宋"/>
          <w:b w:val="0"/>
          <w:bCs/>
          <w:sz w:val="24"/>
          <w:lang w:val="en-US" w:eastAsia="zh-CN"/>
        </w:rPr>
        <w:t>49</w:t>
      </w:r>
      <w:r>
        <w:rPr>
          <w:rFonts w:hint="eastAsia" w:ascii="仿宋" w:hAnsi="仿宋" w:eastAsia="仿宋" w:cs="仿宋"/>
          <w:b w:val="0"/>
          <w:bCs/>
          <w:sz w:val="24"/>
          <w:lang w:eastAsia="zh-CN"/>
        </w:rPr>
        <w:t>0000</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二、申请人的资格要求：</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sz w:val="24"/>
        </w:rPr>
        <w:t>无；</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sz w:val="24"/>
          <w:u w:val="single"/>
        </w:rPr>
      </w:pPr>
      <w:r>
        <w:rPr>
          <w:rFonts w:hint="eastAsia" w:ascii="仿宋" w:hAnsi="仿宋" w:eastAsia="仿宋" w:cs="仿宋"/>
          <w:color w:val="auto"/>
          <w:kern w:val="0"/>
          <w:sz w:val="24"/>
        </w:rPr>
        <w:sym w:font="Wingdings" w:char="00A8"/>
      </w:r>
      <w:r>
        <w:rPr>
          <w:rFonts w:hint="eastAsia" w:ascii="仿宋" w:hAnsi="仿宋" w:eastAsia="仿宋" w:cs="仿宋"/>
          <w:sz w:val="24"/>
        </w:rPr>
        <w:t>货物全部由符合政策要求的中小企业制造，提供中小企业声明函；</w:t>
      </w:r>
    </w:p>
    <w:p>
      <w:pPr>
        <w:pageBreakBefore w:val="0"/>
        <w:widowControl w:val="0"/>
        <w:tabs>
          <w:tab w:val="left" w:pos="885"/>
        </w:tabs>
        <w:kinsoku/>
        <w:wordWrap/>
        <w:overflowPunct/>
        <w:topLinePunct w:val="0"/>
        <w:autoSpaceDE/>
        <w:autoSpaceDN/>
        <w:bidi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货物全部由符合政策要求的小微企业制造，提供中小企业声明函；</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sz w:val="24"/>
        </w:rPr>
      </w:pPr>
      <w:bookmarkStart w:id="10" w:name="_Hlk101132524"/>
      <w:r>
        <w:rPr>
          <w:rFonts w:hint="eastAsia" w:ascii="仿宋" w:hAnsi="仿宋" w:eastAsia="仿宋" w:cs="仿宋"/>
          <w:color w:val="auto"/>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 xml:space="preserve">三、获取招标文件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3</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四、提交投标文件截止时间、开标时间和地点</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提交投标文件截止时间：</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3</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日</w:t>
      </w:r>
      <w:r>
        <w:rPr>
          <w:rStyle w:val="79"/>
          <w:rFonts w:hint="eastAsia" w:ascii="仿宋" w:hAnsi="仿宋" w:eastAsia="仿宋" w:cs="仿宋"/>
          <w:snapToGrid/>
          <w:color w:val="auto"/>
          <w:kern w:val="2"/>
          <w:sz w:val="24"/>
          <w:szCs w:val="24"/>
          <w:u w:val="single"/>
          <w:lang w:val="en-US" w:eastAsia="zh-CN"/>
        </w:rPr>
        <w:t>09</w:t>
      </w:r>
      <w:r>
        <w:rPr>
          <w:rStyle w:val="79"/>
          <w:rFonts w:hint="eastAsia" w:ascii="仿宋" w:hAnsi="仿宋" w:eastAsia="仿宋" w:cs="仿宋"/>
          <w:snapToGrid/>
          <w:color w:val="auto"/>
          <w:kern w:val="2"/>
          <w:sz w:val="24"/>
          <w:szCs w:val="24"/>
          <w:u w:val="single"/>
        </w:rPr>
        <w:t>点</w:t>
      </w:r>
      <w:r>
        <w:rPr>
          <w:rStyle w:val="79"/>
          <w:rFonts w:hint="eastAsia" w:ascii="仿宋" w:hAnsi="仿宋" w:eastAsia="仿宋" w:cs="仿宋"/>
          <w:snapToGrid/>
          <w:color w:val="auto"/>
          <w:kern w:val="2"/>
          <w:sz w:val="24"/>
          <w:szCs w:val="24"/>
          <w:u w:val="single"/>
          <w:lang w:val="en-US" w:eastAsia="zh-CN"/>
        </w:rPr>
        <w:t>00</w:t>
      </w:r>
      <w:r>
        <w:rPr>
          <w:rStyle w:val="79"/>
          <w:rFonts w:hint="eastAsia" w:ascii="仿宋" w:hAnsi="仿宋" w:eastAsia="仿宋" w:cs="仿宋"/>
          <w:snapToGrid/>
          <w:color w:val="auto"/>
          <w:kern w:val="2"/>
          <w:sz w:val="24"/>
          <w:szCs w:val="24"/>
          <w:u w:val="single"/>
        </w:rPr>
        <w:t>分</w:t>
      </w:r>
      <w:r>
        <w:rPr>
          <w:rStyle w:val="79"/>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color w:val="auto"/>
          <w:sz w:val="24"/>
          <w:u w:val="single"/>
        </w:rPr>
      </w:pPr>
      <w:r>
        <w:rPr>
          <w:rFonts w:hint="eastAsia" w:ascii="仿宋" w:hAnsi="仿宋" w:eastAsia="仿宋" w:cs="仿宋"/>
          <w:b/>
          <w:sz w:val="24"/>
        </w:rPr>
        <w:t>开标时间：</w:t>
      </w:r>
      <w:r>
        <w:rPr>
          <w:rStyle w:val="79"/>
          <w:rFonts w:hint="eastAsia" w:ascii="仿宋" w:hAnsi="仿宋" w:eastAsia="仿宋" w:cs="仿宋"/>
          <w:snapToGrid/>
          <w:color w:val="auto"/>
          <w:kern w:val="2"/>
          <w:sz w:val="24"/>
          <w:szCs w:val="24"/>
          <w:u w:val="single"/>
        </w:rPr>
        <w:t>202</w:t>
      </w:r>
      <w:r>
        <w:rPr>
          <w:rStyle w:val="79"/>
          <w:rFonts w:hint="eastAsia" w:ascii="仿宋" w:hAnsi="仿宋" w:eastAsia="仿宋" w:cs="仿宋"/>
          <w:snapToGrid/>
          <w:color w:val="auto"/>
          <w:kern w:val="2"/>
          <w:sz w:val="24"/>
          <w:szCs w:val="24"/>
          <w:u w:val="single"/>
          <w:lang w:val="en-US" w:eastAsia="zh-CN"/>
        </w:rPr>
        <w:t>3</w:t>
      </w:r>
      <w:r>
        <w:rPr>
          <w:rStyle w:val="79"/>
          <w:rFonts w:hint="eastAsia" w:ascii="仿宋" w:hAnsi="仿宋" w:eastAsia="仿宋" w:cs="仿宋"/>
          <w:snapToGrid/>
          <w:color w:val="auto"/>
          <w:kern w:val="2"/>
          <w:sz w:val="24"/>
          <w:szCs w:val="24"/>
          <w:u w:val="single"/>
        </w:rPr>
        <w:t>年</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月</w:t>
      </w:r>
      <w:r>
        <w:rPr>
          <w:rStyle w:val="79"/>
          <w:rFonts w:hint="eastAsia" w:ascii="仿宋" w:hAnsi="仿宋" w:eastAsia="仿宋" w:cs="仿宋"/>
          <w:snapToGrid/>
          <w:color w:val="auto"/>
          <w:kern w:val="2"/>
          <w:sz w:val="24"/>
          <w:szCs w:val="24"/>
          <w:u w:val="single"/>
          <w:lang w:val="en-US" w:eastAsia="zh-CN"/>
        </w:rPr>
        <w:t xml:space="preserve"> </w:t>
      </w:r>
      <w:r>
        <w:rPr>
          <w:rStyle w:val="79"/>
          <w:rFonts w:hint="eastAsia" w:ascii="仿宋" w:hAnsi="仿宋" w:eastAsia="仿宋" w:cs="仿宋"/>
          <w:snapToGrid/>
          <w:color w:val="auto"/>
          <w:kern w:val="2"/>
          <w:sz w:val="24"/>
          <w:szCs w:val="24"/>
          <w:u w:val="single"/>
        </w:rPr>
        <w:t>日</w:t>
      </w:r>
      <w:r>
        <w:rPr>
          <w:rStyle w:val="79"/>
          <w:rFonts w:hint="eastAsia" w:ascii="仿宋" w:hAnsi="仿宋" w:eastAsia="仿宋" w:cs="仿宋"/>
          <w:snapToGrid/>
          <w:color w:val="auto"/>
          <w:kern w:val="2"/>
          <w:sz w:val="24"/>
          <w:szCs w:val="24"/>
          <w:u w:val="single"/>
          <w:lang w:val="en-US" w:eastAsia="zh-CN"/>
        </w:rPr>
        <w:t>09</w:t>
      </w:r>
      <w:r>
        <w:rPr>
          <w:rStyle w:val="79"/>
          <w:rFonts w:hint="eastAsia" w:ascii="仿宋" w:hAnsi="仿宋" w:eastAsia="仿宋" w:cs="仿宋"/>
          <w:snapToGrid/>
          <w:color w:val="auto"/>
          <w:kern w:val="2"/>
          <w:sz w:val="24"/>
          <w:szCs w:val="24"/>
          <w:u w:val="single"/>
        </w:rPr>
        <w:t>点</w:t>
      </w:r>
      <w:r>
        <w:rPr>
          <w:rStyle w:val="79"/>
          <w:rFonts w:hint="eastAsia" w:ascii="仿宋" w:hAnsi="仿宋" w:eastAsia="仿宋" w:cs="仿宋"/>
          <w:snapToGrid/>
          <w:color w:val="auto"/>
          <w:kern w:val="2"/>
          <w:sz w:val="24"/>
          <w:szCs w:val="24"/>
          <w:u w:val="single"/>
          <w:lang w:val="en-US" w:eastAsia="zh-CN"/>
        </w:rPr>
        <w:t>00</w:t>
      </w:r>
      <w:r>
        <w:rPr>
          <w:rStyle w:val="79"/>
          <w:rFonts w:hint="eastAsia" w:ascii="仿宋" w:hAnsi="仿宋" w:eastAsia="仿宋" w:cs="仿宋"/>
          <w:snapToGrid/>
          <w:color w:val="auto"/>
          <w:kern w:val="2"/>
          <w:sz w:val="24"/>
          <w:szCs w:val="24"/>
          <w:u w:val="single"/>
        </w:rPr>
        <w:t>分</w:t>
      </w:r>
      <w:r>
        <w:rPr>
          <w:rStyle w:val="79"/>
          <w:rFonts w:hint="eastAsia" w:ascii="仿宋" w:hAnsi="仿宋" w:eastAsia="仿宋" w:cs="仿宋"/>
          <w:bCs/>
          <w:snapToGrid/>
          <w:color w:val="auto"/>
          <w:kern w:val="2"/>
          <w:sz w:val="24"/>
          <w:szCs w:val="24"/>
          <w:u w:val="single"/>
        </w:rPr>
        <w:t>00秒</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b/>
          <w:sz w:val="24"/>
        </w:rPr>
        <w:t xml:space="preserve">五、公告期限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自本公告发布之日起5个工作日。</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六、其他补充事宜</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pStyle w:val="5"/>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sz w:val="24"/>
          <w:szCs w:val="24"/>
        </w:rPr>
      </w:pPr>
      <w:bookmarkStart w:id="11" w:name="_Toc35393806"/>
      <w:bookmarkStart w:id="12" w:name="_Toc35393637"/>
      <w:bookmarkStart w:id="13" w:name="_Toc28359096"/>
      <w:bookmarkStart w:id="14" w:name="_Toc28359019"/>
      <w:r>
        <w:rPr>
          <w:rFonts w:hint="eastAsia" w:ascii="仿宋" w:hAnsi="仿宋" w:eastAsia="仿宋" w:cs="仿宋"/>
          <w:sz w:val="24"/>
          <w:szCs w:val="24"/>
        </w:rPr>
        <w:t>1.采购人信息</w:t>
      </w:r>
      <w:bookmarkEnd w:id="11"/>
      <w:bookmarkEnd w:id="12"/>
      <w:bookmarkEnd w:id="13"/>
      <w:bookmarkEnd w:id="14"/>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bookmarkStart w:id="15" w:name="_Toc35393807"/>
      <w:bookmarkStart w:id="16" w:name="_Toc28359020"/>
      <w:bookmarkStart w:id="17" w:name="_Toc28359097"/>
      <w:bookmarkStart w:id="18" w:name="_Toc35393638"/>
      <w:r>
        <w:rPr>
          <w:rFonts w:hint="eastAsia" w:ascii="仿宋" w:hAnsi="仿宋" w:eastAsia="仿宋" w:cs="仿宋"/>
          <w:sz w:val="24"/>
        </w:rPr>
        <w:t>名称：</w:t>
      </w:r>
      <w:r>
        <w:rPr>
          <w:rFonts w:hint="eastAsia" w:ascii="仿宋" w:hAnsi="仿宋" w:eastAsia="仿宋" w:cs="仿宋"/>
          <w:sz w:val="24"/>
          <w:lang w:eastAsia="zh-CN"/>
        </w:rPr>
        <w:t>绍兴市中医院</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地址：浙江省绍兴市越城区人民中路641号</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传真：/</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eastAsia="zh-CN"/>
        </w:rPr>
        <w:t>王鑫卫</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sz w:val="24"/>
          <w:lang w:eastAsia="zh-CN"/>
        </w:rPr>
        <w:t>0575-89109951</w:t>
      </w:r>
      <w:r>
        <w:rPr>
          <w:rFonts w:hint="eastAsia" w:ascii="仿宋" w:hAnsi="仿宋" w:eastAsia="仿宋" w:cs="仿宋"/>
          <w:sz w:val="24"/>
        </w:rPr>
        <w:t>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质疑联系人：</w:t>
      </w:r>
      <w:r>
        <w:rPr>
          <w:rFonts w:hint="eastAsia" w:ascii="仿宋" w:hAnsi="仿宋" w:eastAsia="仿宋" w:cs="仿宋"/>
          <w:color w:val="auto"/>
          <w:sz w:val="24"/>
          <w:highlight w:val="none"/>
        </w:rPr>
        <w:t xml:space="preserve">沈勇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color w:val="auto"/>
          <w:sz w:val="24"/>
          <w:highlight w:val="none"/>
        </w:rPr>
        <w:t>0575-89107189</w:t>
      </w:r>
    </w:p>
    <w:p>
      <w:pPr>
        <w:pStyle w:val="5"/>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sz w:val="24"/>
        </w:rPr>
      </w:pPr>
      <w:r>
        <w:rPr>
          <w:rFonts w:hint="eastAsia" w:ascii="仿宋" w:hAnsi="仿宋" w:eastAsia="仿宋" w:cs="仿宋"/>
          <w:sz w:val="24"/>
          <w:szCs w:val="24"/>
        </w:rPr>
        <w:t>2.采购代理机构信息</w:t>
      </w:r>
      <w:bookmarkEnd w:id="15"/>
      <w:bookmarkEnd w:id="16"/>
      <w:bookmarkEnd w:id="17"/>
      <w:bookmarkEnd w:id="18"/>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bookmarkStart w:id="19" w:name="_Toc35393639"/>
      <w:bookmarkStart w:id="20" w:name="_Toc28359098"/>
      <w:bookmarkStart w:id="21" w:name="_Toc28359021"/>
      <w:bookmarkStart w:id="22" w:name="_Toc35393808"/>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绍兴市越城区阳明北路80号滨江大厦C楼3楼309号</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传真：/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叶梦雯</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kern w:val="0"/>
          <w:sz w:val="24"/>
        </w:rPr>
        <w:t>0575-88776697</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单成燕</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质疑联系方式：</w:t>
      </w:r>
      <w:r>
        <w:rPr>
          <w:rFonts w:hint="eastAsia" w:ascii="仿宋" w:hAnsi="仿宋" w:eastAsia="仿宋" w:cs="仿宋"/>
          <w:kern w:val="0"/>
          <w:sz w:val="24"/>
        </w:rPr>
        <w:t>0575-88336881</w:t>
      </w:r>
      <w:r>
        <w:rPr>
          <w:rFonts w:hint="eastAsia" w:ascii="仿宋" w:hAnsi="仿宋" w:eastAsia="仿宋" w:cs="仿宋"/>
          <w:sz w:val="24"/>
        </w:rPr>
        <w:t>　</w:t>
      </w:r>
      <w:r>
        <w:rPr>
          <w:rFonts w:hint="eastAsia" w:ascii="仿宋" w:hAnsi="仿宋" w:eastAsia="仿宋" w:cs="仿宋"/>
        </w:rPr>
        <w:t>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名称：绍兴市财政局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地址：绍兴市越城区凤林西路151号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传真：0575-85209806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联系人：张婷婷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监督投诉电话：0575-85209806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详见招标项目范围及要求和评标办法   </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color w:val="000000"/>
                <w:sz w:val="24"/>
              </w:rPr>
            </w:pPr>
            <w:r>
              <w:rPr>
                <w:rFonts w:hint="eastAsia" w:ascii="仿宋" w:hAnsi="仿宋" w:eastAsia="仿宋" w:cs="仿宋"/>
                <w:b/>
                <w:color w:val="000000"/>
                <w:sz w:val="24"/>
              </w:rPr>
              <w:t>方案讲解演示：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A无方案讲解演示。</w:t>
            </w:r>
          </w:p>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FE"/>
            </w:r>
            <w:r>
              <w:rPr>
                <w:rFonts w:hint="eastAsia" w:ascii="仿宋" w:hAnsi="仿宋" w:eastAsia="仿宋" w:cs="仿宋"/>
                <w:sz w:val="24"/>
              </w:rPr>
              <w:t>B有方案讲解演示：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beforeLines="0" w:afterLines="0" w:line="440" w:lineRule="exact"/>
              <w:rPr>
                <w:rFonts w:hint="default" w:ascii="仿宋" w:hAnsi="仿宋" w:eastAsia="仿宋" w:cs="仿宋"/>
                <w:sz w:val="24"/>
                <w:szCs w:val="24"/>
                <w:lang w:val="en-US" w:eastAsia="zh-CN"/>
              </w:rPr>
            </w:pPr>
            <w:r>
              <w:rPr>
                <w:rFonts w:hint="eastAsia" w:ascii="仿宋" w:hAnsi="仿宋" w:eastAsia="仿宋" w:cs="仿宋"/>
                <w:sz w:val="24"/>
                <w:szCs w:val="24"/>
                <w:lang w:val="zh-CN"/>
              </w:rPr>
              <w:t>（2）方案讲解演示方式：</w:t>
            </w:r>
            <w:r>
              <w:rPr>
                <w:rFonts w:hint="eastAsia" w:ascii="仿宋" w:hAnsi="仿宋" w:eastAsia="仿宋" w:cs="仿宋"/>
                <w:sz w:val="24"/>
                <w:szCs w:val="24"/>
                <w:u w:val="single"/>
                <w:lang w:val="en-US" w:eastAsia="zh-CN"/>
              </w:rPr>
              <w:t xml:space="preserve"> 详见评分细则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684"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进口产品</w:t>
            </w:r>
          </w:p>
        </w:tc>
        <w:tc>
          <w:tcPr>
            <w:tcW w:w="6686"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684" w:type="dxa"/>
            <w:vAlign w:val="center"/>
          </w:tcPr>
          <w:p>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highlight w:val="none"/>
                <w:u w:val="single"/>
                <w:lang w:val="en-US" w:eastAsia="zh-CN"/>
              </w:rPr>
              <w:t>舌象辅助诊断系统（可四诊仪兼容）</w:t>
            </w:r>
            <w:r>
              <w:rPr>
                <w:rFonts w:hint="eastAsia" w:ascii="仿宋" w:hAnsi="仿宋" w:eastAsia="仿宋" w:cs="仿宋"/>
                <w:sz w:val="24"/>
              </w:rPr>
              <w:t>。</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684" w:type="dxa"/>
            <w:vAlign w:val="center"/>
          </w:tcPr>
          <w:p>
            <w:pPr>
              <w:keepNext w:val="0"/>
              <w:keepLines w:val="0"/>
              <w:pageBreakBefore w:val="0"/>
              <w:widowControl w:val="0"/>
              <w:kinsoku/>
              <w:wordWrap/>
              <w:overflowPunct/>
              <w:topLinePunct w:val="0"/>
              <w:bidi w:val="0"/>
              <w:snapToGrid w:val="0"/>
              <w:spacing w:line="288" w:lineRule="auto"/>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01标 </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sz w:val="24"/>
                <w:u w:val="single"/>
              </w:rPr>
              <w:t>工业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684" w:type="dxa"/>
            <w:vMerge w:val="restart"/>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4"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686"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4"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686"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napToGrid w:val="0"/>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采购代理服务费：</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以中标通知书中确定的中标金额作为服务费的计算基数，具体比例参照《国家计委关于印发&lt;招标代理服务收费管理暂行办法&gt;的通知》（计价格[2002]1980号）文件收费标准的50%执行</w:t>
            </w:r>
            <w:r>
              <w:rPr>
                <w:rFonts w:hint="eastAsia" w:ascii="仿宋" w:hAnsi="仿宋" w:eastAsia="仿宋" w:cs="仿宋"/>
                <w:sz w:val="24"/>
                <w:lang w:eastAsia="zh-CN"/>
              </w:rPr>
              <w:t>，</w:t>
            </w:r>
            <w:r>
              <w:rPr>
                <w:rFonts w:hint="eastAsia" w:ascii="仿宋" w:hAnsi="仿宋" w:eastAsia="仿宋" w:cs="仿宋"/>
                <w:sz w:val="24"/>
                <w:lang w:val="en-US" w:eastAsia="zh-CN"/>
              </w:rPr>
              <w:t>代理服务费</w:t>
            </w:r>
            <w:r>
              <w:rPr>
                <w:rFonts w:hint="eastAsia" w:ascii="仿宋" w:hAnsi="仿宋" w:eastAsia="仿宋" w:cs="仿宋"/>
                <w:sz w:val="24"/>
              </w:rPr>
              <w:t>低于3000元</w:t>
            </w:r>
            <w:r>
              <w:rPr>
                <w:rFonts w:hint="eastAsia" w:ascii="仿宋" w:hAnsi="仿宋" w:eastAsia="仿宋" w:cs="仿宋"/>
                <w:sz w:val="24"/>
                <w:lang w:val="en-US" w:eastAsia="zh-CN"/>
              </w:rPr>
              <w:t>的</w:t>
            </w:r>
            <w:r>
              <w:rPr>
                <w:rFonts w:hint="eastAsia" w:ascii="仿宋" w:hAnsi="仿宋" w:eastAsia="仿宋" w:cs="仿宋"/>
                <w:sz w:val="24"/>
              </w:rPr>
              <w:t>按3000元收取，超过15000元</w:t>
            </w:r>
            <w:r>
              <w:rPr>
                <w:rFonts w:hint="eastAsia" w:ascii="仿宋" w:hAnsi="仿宋" w:eastAsia="仿宋" w:cs="仿宋"/>
                <w:sz w:val="24"/>
                <w:lang w:val="en-US" w:eastAsia="zh-CN"/>
              </w:rPr>
              <w:t>的</w:t>
            </w:r>
            <w:r>
              <w:rPr>
                <w:rFonts w:hint="eastAsia" w:ascii="仿宋" w:hAnsi="仿宋" w:eastAsia="仿宋" w:cs="仿宋"/>
                <w:sz w:val="24"/>
              </w:rPr>
              <w:t>按15000元计取。</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lang w:val="en-US" w:eastAsia="zh-CN"/>
              </w:rPr>
              <w:t>收费标准：100万元以下部分按1.5%计取，100万元-500万元部分按1.1%计取，500万元-1000万元部分按0.8%计取，1000万元-5000万元部分按0.5%计取。</w:t>
            </w:r>
            <w:r>
              <w:rPr>
                <w:rFonts w:hint="eastAsia" w:ascii="仿宋" w:hAnsi="仿宋" w:eastAsia="仿宋" w:cs="仿宋"/>
                <w:sz w:val="24"/>
                <w:szCs w:val="24"/>
              </w:rPr>
              <w:t>（2）代理服务费的交纳方式：</w:t>
            </w:r>
          </w:p>
          <w:p>
            <w:pPr>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szCs w:val="21"/>
              </w:rPr>
            </w:pPr>
            <w:r>
              <w:rPr>
                <w:rFonts w:hint="eastAsia" w:ascii="仿宋" w:hAnsi="仿宋" w:eastAsia="仿宋" w:cs="仿宋"/>
                <w:sz w:val="24"/>
                <w:szCs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keepNext w:val="0"/>
        <w:keepLines w:val="0"/>
        <w:pageBreakBefore w:val="0"/>
        <w:kinsoku/>
        <w:wordWrap/>
        <w:overflowPunct/>
        <w:topLinePunct w:val="0"/>
        <w:bidi w:val="0"/>
        <w:adjustRightInd/>
        <w:spacing w:line="288" w:lineRule="auto"/>
        <w:jc w:val="both"/>
        <w:textAlignment w:val="auto"/>
        <w:outlineLvl w:val="0"/>
        <w:rPr>
          <w:rFonts w:hint="eastAsia" w:ascii="仿宋" w:hAnsi="仿宋" w:eastAsia="仿宋" w:cs="仿宋"/>
          <w:b/>
          <w:sz w:val="32"/>
          <w:szCs w:val="32"/>
        </w:rPr>
      </w:pPr>
      <w:bookmarkStart w:id="23" w:name="_Hlt74714665"/>
      <w:bookmarkEnd w:id="23"/>
      <w:bookmarkStart w:id="24" w:name="_Hlt74729768"/>
      <w:bookmarkEnd w:id="24"/>
      <w:bookmarkStart w:id="25" w:name="_Hlt75236290"/>
      <w:bookmarkEnd w:id="25"/>
      <w:bookmarkStart w:id="26" w:name="_Hlt75236011"/>
      <w:bookmarkEnd w:id="26"/>
      <w:bookmarkStart w:id="27" w:name="_Hlt68057669"/>
      <w:bookmarkEnd w:id="27"/>
      <w:bookmarkStart w:id="28" w:name="_Hlt68403820"/>
      <w:bookmarkEnd w:id="28"/>
      <w:bookmarkStart w:id="29" w:name="_Hlt74707468"/>
      <w:bookmarkEnd w:id="29"/>
      <w:bookmarkStart w:id="30" w:name="_Hlt74730295"/>
      <w:bookmarkEnd w:id="30"/>
      <w:bookmarkStart w:id="31" w:name="_Hlt68072998"/>
      <w:bookmarkEnd w:id="31"/>
      <w:bookmarkStart w:id="32" w:name="_Hlt68072990"/>
      <w:bookmarkEnd w:id="32"/>
      <w:bookmarkStart w:id="33" w:name="_Hlt75236101"/>
      <w:bookmarkEnd w:id="33"/>
      <w:bookmarkStart w:id="34" w:name="_Hlt68073093"/>
      <w:bookmarkEnd w:id="34"/>
      <w:bookmarkStart w:id="35" w:name="_Toc164416483"/>
      <w:bookmarkStart w:id="36" w:name="第三部分"/>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bidi w:val="0"/>
        <w:snapToGrid w:val="0"/>
        <w:spacing w:line="288" w:lineRule="auto"/>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line="288" w:lineRule="auto"/>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2.4“监督单位”系指政府采购法定义监督管理部门。</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color w:val="auto"/>
          <w:kern w:val="0"/>
          <w:sz w:val="24"/>
        </w:rPr>
        <w:sym w:font="Wingdings" w:char="00A8"/>
      </w:r>
      <w:r>
        <w:rPr>
          <w:rFonts w:hint="eastAsia" w:ascii="仿宋" w:hAnsi="仿宋" w:eastAsia="仿宋" w:cs="仿宋"/>
          <w:sz w:val="24"/>
        </w:rPr>
        <w:t>” 系指不适用本项目的要求。</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3.2支持绿色发展</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3.4支持科技创新创新发展</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8" w:lineRule="auto"/>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2"/>
        <w:keepNext w:val="0"/>
        <w:keepLines w:val="0"/>
        <w:pageBreakBefore w:val="0"/>
        <w:kinsoku/>
        <w:wordWrap/>
        <w:overflowPunct/>
        <w:topLinePunct w:val="0"/>
        <w:bidi w:val="0"/>
        <w:snapToGrid w:val="0"/>
        <w:spacing w:before="0" w:line="288" w:lineRule="auto"/>
        <w:ind w:firstLine="640"/>
        <w:textAlignment w:val="auto"/>
        <w:rPr>
          <w:rFonts w:hint="eastAsia" w:ascii="仿宋" w:hAnsi="仿宋" w:eastAsia="仿宋" w:cs="仿宋"/>
          <w:sz w:val="32"/>
          <w:szCs w:val="32"/>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招标方式</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7"/>
        <w:keepNext w:val="0"/>
        <w:keepLines w:val="0"/>
        <w:pageBreakBefore w:val="0"/>
        <w:kinsoku/>
        <w:wordWrap/>
        <w:overflowPunct/>
        <w:topLinePunct w:val="0"/>
        <w:bidi w:val="0"/>
        <w:snapToGrid w:val="0"/>
        <w:spacing w:line="288" w:lineRule="auto"/>
        <w:ind w:firstLine="0" w:firstLineChars="0"/>
        <w:jc w:val="left"/>
        <w:textAlignment w:val="auto"/>
        <w:rPr>
          <w:rFonts w:hint="eastAsia" w:ascii="仿宋" w:hAnsi="仿宋" w:eastAsia="仿宋" w:cs="仿宋"/>
          <w:b/>
        </w:rPr>
      </w:pPr>
      <w:r>
        <w:rPr>
          <w:rFonts w:hint="eastAsia" w:ascii="仿宋" w:hAnsi="仿宋" w:eastAsia="仿宋" w:cs="仿宋"/>
          <w:b/>
        </w:rPr>
        <w:t>2.授权委托</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3.投标费用</w:t>
      </w:r>
    </w:p>
    <w:p>
      <w:pPr>
        <w:pStyle w:val="17"/>
        <w:keepNext w:val="0"/>
        <w:keepLines w:val="0"/>
        <w:pageBreakBefore w:val="0"/>
        <w:tabs>
          <w:tab w:val="clear" w:pos="390"/>
          <w:tab w:val="clear" w:pos="454"/>
        </w:tabs>
        <w:kinsoku/>
        <w:wordWrap/>
        <w:overflowPunct/>
        <w:topLinePunct w:val="0"/>
        <w:bidi w:val="0"/>
        <w:spacing w:afterLines="0" w:line="288" w:lineRule="auto"/>
        <w:ind w:left="0" w:firstLine="480" w:firstLineChars="200"/>
        <w:textAlignment w:val="auto"/>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4.招标文件的修改</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4.2招标文件的澄清 </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4.3招标文件的修改</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kinsoku/>
        <w:wordWrap/>
        <w:overflowPunct/>
        <w:topLinePunct w:val="0"/>
        <w:bidi w:val="0"/>
        <w:spacing w:line="288" w:lineRule="auto"/>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6"/>
        <w:keepNext w:val="0"/>
        <w:keepLines w:val="0"/>
        <w:pageBreakBefore w:val="0"/>
        <w:kinsoku/>
        <w:wordWrap/>
        <w:overflowPunct/>
        <w:topLinePunct w:val="0"/>
        <w:bidi w:val="0"/>
        <w:spacing w:line="288" w:lineRule="auto"/>
        <w:textAlignment w:val="auto"/>
        <w:rPr>
          <w:rFonts w:hint="eastAsia" w:ascii="仿宋" w:hAnsi="仿宋" w:eastAsia="仿宋" w:cs="仿宋"/>
          <w:b/>
          <w:sz w:val="24"/>
          <w:szCs w:val="24"/>
        </w:rPr>
      </w:pPr>
      <w:r>
        <w:rPr>
          <w:rFonts w:hint="eastAsia" w:ascii="仿宋" w:hAnsi="仿宋" w:eastAsia="仿宋" w:cs="仿宋"/>
          <w:b/>
          <w:sz w:val="24"/>
          <w:szCs w:val="24"/>
        </w:rPr>
        <w:t>2.投标文件的组成</w:t>
      </w:r>
    </w:p>
    <w:p>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keepNext w:val="0"/>
        <w:keepLines w:val="0"/>
        <w:pageBreakBefore w:val="0"/>
        <w:kinsoku/>
        <w:wordWrap/>
        <w:overflowPunct/>
        <w:topLinePunct w:val="0"/>
        <w:bidi w:val="0"/>
        <w:snapToGrid w:val="0"/>
        <w:spacing w:line="288" w:lineRule="auto"/>
        <w:ind w:firstLine="482" w:firstLineChars="200"/>
        <w:textAlignment w:val="auto"/>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2.1.2联合协议（如果有)；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2.1.4落实政府采购政策需满足的资格要求（如果有)；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lang w:val="zh-CN"/>
        </w:rPr>
      </w:pPr>
      <w:r>
        <w:rPr>
          <w:rFonts w:hint="eastAsia" w:ascii="仿宋" w:hAnsi="仿宋" w:eastAsia="仿宋" w:cs="仿宋"/>
          <w:sz w:val="24"/>
        </w:rPr>
        <w:t>2.1.5本项目的特定资格要求（如果有)。</w:t>
      </w:r>
    </w:p>
    <w:p>
      <w:pPr>
        <w:keepNext w:val="0"/>
        <w:keepLines w:val="0"/>
        <w:pageBreakBefore w:val="0"/>
        <w:kinsoku/>
        <w:wordWrap/>
        <w:overflowPunct/>
        <w:topLinePunct w:val="0"/>
        <w:bidi w:val="0"/>
        <w:snapToGrid w:val="0"/>
        <w:spacing w:line="288" w:lineRule="auto"/>
        <w:ind w:firstLine="482" w:firstLineChars="200"/>
        <w:textAlignment w:val="auto"/>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2.2.2法定代表人授权委托书；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2.2.3授权代表社保证明；</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rPr>
      </w:pPr>
      <w:r>
        <w:rPr>
          <w:rFonts w:hint="eastAsia" w:ascii="仿宋" w:hAnsi="仿宋" w:eastAsia="仿宋" w:cs="仿宋"/>
          <w:color w:val="auto"/>
          <w:sz w:val="24"/>
        </w:rPr>
        <w:t>2.2.4法定代表人身份证明书；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rPr>
      </w:pPr>
      <w:r>
        <w:rPr>
          <w:rFonts w:hint="eastAsia" w:ascii="仿宋" w:hAnsi="仿宋" w:eastAsia="仿宋" w:cs="仿宋"/>
          <w:color w:val="auto"/>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rPr>
      </w:pPr>
      <w:r>
        <w:rPr>
          <w:rFonts w:hint="eastAsia" w:ascii="仿宋" w:hAnsi="仿宋" w:eastAsia="仿宋" w:cs="仿宋"/>
          <w:color w:val="auto"/>
          <w:sz w:val="24"/>
        </w:rPr>
        <w:t>2.2.6廉政承诺书（格式见第六部分附件）；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2.2.8供应商应提供针对项目的完整技术解决方案：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2.2.15培训计划（如有）；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2.2.16验收方案；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2.2.18投标人需要说明的其他文件和说明（格式自拟）。</w:t>
      </w:r>
    </w:p>
    <w:p>
      <w:pPr>
        <w:keepNext w:val="0"/>
        <w:keepLines w:val="0"/>
        <w:pageBreakBefore w:val="0"/>
        <w:kinsoku/>
        <w:wordWrap/>
        <w:overflowPunct/>
        <w:topLinePunct w:val="0"/>
        <w:bidi w:val="0"/>
        <w:snapToGrid w:val="0"/>
        <w:spacing w:line="288" w:lineRule="auto"/>
        <w:ind w:firstLine="482" w:firstLineChars="200"/>
        <w:textAlignment w:val="auto"/>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2.3.1开标一览表（报价表）；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z w:val="24"/>
        </w:rPr>
        <w:t>2.3.2中小企业声明函（如果有）。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sz w:val="24"/>
        </w:rPr>
      </w:pPr>
      <w:r>
        <w:rPr>
          <w:rFonts w:hint="eastAsia" w:ascii="仿宋" w:hAnsi="仿宋" w:eastAsia="仿宋" w:cs="仿宋"/>
          <w:snapToGrid w:val="0"/>
          <w:sz w:val="24"/>
        </w:rPr>
        <w:t>2.3.3 残疾人福利性单位声明函（如果有）</w:t>
      </w:r>
    </w:p>
    <w:p>
      <w:pPr>
        <w:keepNext w:val="0"/>
        <w:keepLines w:val="0"/>
        <w:pageBreakBefore w:val="0"/>
        <w:kinsoku/>
        <w:wordWrap/>
        <w:overflowPunct/>
        <w:topLinePunct w:val="0"/>
        <w:bidi w:val="0"/>
        <w:snapToGrid w:val="0"/>
        <w:spacing w:line="288" w:lineRule="auto"/>
        <w:textAlignment w:val="auto"/>
        <w:rPr>
          <w:rFonts w:hint="eastAsia" w:ascii="仿宋" w:hAnsi="仿宋" w:eastAsia="仿宋" w:cs="仿宋"/>
          <w:b/>
          <w:bCs/>
          <w:sz w:val="32"/>
        </w:rPr>
      </w:pPr>
      <w:r>
        <w:rPr>
          <w:rFonts w:hint="eastAsia" w:ascii="仿宋" w:hAnsi="仿宋" w:eastAsia="仿宋" w:cs="仿宋"/>
          <w:b/>
          <w:bCs/>
          <w:sz w:val="24"/>
          <w:szCs w:val="20"/>
        </w:rPr>
        <w:t>3.投标报价</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b/>
          <w:sz w:val="32"/>
        </w:rPr>
      </w:pPr>
      <w:r>
        <w:rPr>
          <w:rFonts w:hint="eastAsia" w:ascii="仿宋" w:hAnsi="仿宋" w:eastAsia="仿宋" w:cs="仿宋"/>
          <w:sz w:val="24"/>
        </w:rPr>
        <w:t>3.4投标人提供虚假材料投标的，投标无效。</w:t>
      </w:r>
    </w:p>
    <w:p>
      <w:pPr>
        <w:pStyle w:val="132"/>
        <w:keepNext w:val="0"/>
        <w:keepLines w:val="0"/>
        <w:pageBreakBefore w:val="0"/>
        <w:kinsoku/>
        <w:wordWrap/>
        <w:overflowPunct/>
        <w:topLinePunct w:val="0"/>
        <w:bidi w:val="0"/>
        <w:snapToGrid w:val="0"/>
        <w:spacing w:before="0" w:line="288" w:lineRule="auto"/>
        <w:ind w:firstLine="0" w:firstLineChars="0"/>
        <w:textAlignment w:val="auto"/>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keepNext w:val="0"/>
        <w:keepLines w:val="0"/>
        <w:pageBreakBefore w:val="0"/>
        <w:kinsoku/>
        <w:wordWrap/>
        <w:overflowPunct/>
        <w:topLinePunct w:val="0"/>
        <w:bidi w:val="0"/>
        <w:spacing w:before="0" w:line="288" w:lineRule="auto"/>
        <w:ind w:firstLine="0" w:firstLineChars="0"/>
        <w:textAlignment w:val="auto"/>
        <w:rPr>
          <w:rFonts w:hint="eastAsia" w:ascii="仿宋" w:hAnsi="仿宋" w:eastAsia="仿宋" w:cs="仿宋"/>
          <w:b/>
          <w:szCs w:val="24"/>
        </w:rPr>
      </w:pPr>
      <w:r>
        <w:rPr>
          <w:rFonts w:hint="eastAsia" w:ascii="仿宋" w:hAnsi="仿宋" w:eastAsia="仿宋" w:cs="仿宋"/>
          <w:b/>
          <w:szCs w:val="24"/>
        </w:rPr>
        <w:t>5.投标文件的提交、补充、修改、撤回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32"/>
        </w:rPr>
      </w:pPr>
      <w:r>
        <w:rPr>
          <w:rFonts w:hint="eastAsia" w:ascii="仿宋" w:hAnsi="仿宋" w:eastAsia="仿宋" w:cs="仿宋"/>
          <w:b/>
          <w:bCs/>
          <w:sz w:val="24"/>
        </w:rPr>
        <w:t>6.投标有效期</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keepNext w:val="0"/>
        <w:keepLines w:val="0"/>
        <w:pageBreakBefore w:val="0"/>
        <w:kinsoku/>
        <w:wordWrap/>
        <w:overflowPunct/>
        <w:topLinePunct w:val="0"/>
        <w:bidi w:val="0"/>
        <w:spacing w:before="0" w:line="288" w:lineRule="auto"/>
        <w:ind w:firstLine="480"/>
        <w:textAlignment w:val="auto"/>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sz w:val="32"/>
          <w:szCs w:val="32"/>
        </w:rPr>
      </w:pPr>
      <w:bookmarkStart w:id="37" w:name="_Toc91899903"/>
    </w:p>
    <w:p>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电子招投标开标及评审程序</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1.1投标截止时间后，主持人宣布开标会开始。</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1.7主持人公布评标结果。</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eastAsia="zh-CN"/>
        </w:rPr>
        <w:t>.</w:t>
      </w:r>
      <w:r>
        <w:rPr>
          <w:rFonts w:hint="eastAsia" w:ascii="仿宋" w:hAnsi="仿宋" w:eastAsia="仿宋" w:cs="仿宋"/>
          <w:b/>
          <w:sz w:val="24"/>
        </w:rPr>
        <w:t>评标</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3.3评标委员会负责对投标人资格的最终审定。</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eastAsia="zh-CN"/>
        </w:rPr>
        <w:t>.</w:t>
      </w:r>
      <w:r>
        <w:rPr>
          <w:rFonts w:hint="eastAsia" w:ascii="仿宋" w:hAnsi="仿宋" w:eastAsia="仿宋" w:cs="仿宋"/>
          <w:b/>
          <w:sz w:val="24"/>
        </w:rPr>
        <w:t>投标文件的初审鉴定</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4.1资格性审查</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4.2符合性审查</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bidi w:val="0"/>
        <w:spacing w:after="120" w:line="288" w:lineRule="auto"/>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7"/>
        <w:keepNext w:val="0"/>
        <w:keepLines w:val="0"/>
        <w:pageBreakBefore w:val="0"/>
        <w:widowControl w:val="0"/>
        <w:tabs>
          <w:tab w:val="clear" w:pos="390"/>
          <w:tab w:val="clear" w:pos="454"/>
        </w:tabs>
        <w:kinsoku/>
        <w:wordWrap/>
        <w:overflowPunct/>
        <w:topLinePunct w:val="0"/>
        <w:bidi w:val="0"/>
        <w:spacing w:after="120" w:line="288" w:lineRule="auto"/>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6"/>
        <w:keepNext w:val="0"/>
        <w:keepLines w:val="0"/>
        <w:pageBreakBefore w:val="0"/>
        <w:kinsoku/>
        <w:wordWrap/>
        <w:overflowPunct/>
        <w:topLinePunct w:val="0"/>
        <w:bidi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kinsoku/>
        <w:wordWrap/>
        <w:overflowPunct/>
        <w:topLinePunct w:val="0"/>
        <w:bidi w:val="0"/>
        <w:snapToGrid w:val="0"/>
        <w:spacing w:line="288" w:lineRule="auto"/>
        <w:ind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bidi w:val="0"/>
        <w:snapToGrid w:val="0"/>
        <w:spacing w:line="288" w:lineRule="auto"/>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kinsoku/>
        <w:wordWrap/>
        <w:overflowPunct/>
        <w:topLinePunct w:val="0"/>
        <w:bidi w:val="0"/>
        <w:snapToGrid w:val="0"/>
        <w:spacing w:line="288" w:lineRule="auto"/>
        <w:ind w:firstLine="482" w:firstLineChars="150"/>
        <w:jc w:val="center"/>
        <w:textAlignment w:val="auto"/>
        <w:rPr>
          <w:rFonts w:hint="eastAsia" w:ascii="仿宋" w:hAnsi="仿宋" w:eastAsia="仿宋" w:cs="仿宋"/>
          <w:b/>
          <w:sz w:val="32"/>
        </w:rPr>
      </w:pPr>
    </w:p>
    <w:bookmarkEnd w:id="37"/>
    <w:p>
      <w:pPr>
        <w:pStyle w:val="36"/>
        <w:keepNext w:val="0"/>
        <w:keepLines w:val="0"/>
        <w:pageBreakBefore w:val="0"/>
        <w:kinsoku/>
        <w:wordWrap/>
        <w:overflowPunct/>
        <w:topLinePunct w:val="0"/>
        <w:bidi w:val="0"/>
        <w:spacing w:line="288" w:lineRule="auto"/>
        <w:ind w:firstLine="726"/>
        <w:jc w:val="center"/>
        <w:textAlignment w:val="auto"/>
        <w:rPr>
          <w:rFonts w:hint="eastAsia"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pPr>
        <w:pStyle w:val="17"/>
        <w:keepNext w:val="0"/>
        <w:keepLines w:val="0"/>
        <w:pageBreakBefore w:val="0"/>
        <w:tabs>
          <w:tab w:val="clear" w:pos="390"/>
          <w:tab w:val="clear" w:pos="454"/>
        </w:tabs>
        <w:kinsoku/>
        <w:wordWrap/>
        <w:overflowPunct/>
        <w:topLinePunct w:val="0"/>
        <w:bidi w:val="0"/>
        <w:spacing w:after="120" w:line="288" w:lineRule="auto"/>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eastAsia="zh-CN"/>
        </w:rPr>
        <w:t>.</w:t>
      </w:r>
      <w:r>
        <w:rPr>
          <w:rFonts w:hint="eastAsia" w:ascii="仿宋" w:hAnsi="仿宋" w:eastAsia="仿宋" w:cs="仿宋"/>
          <w:b/>
          <w:sz w:val="24"/>
        </w:rPr>
        <w:t>中标通知</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eastAsia="zh-CN"/>
        </w:rPr>
        <w:t>.</w:t>
      </w:r>
      <w:r>
        <w:rPr>
          <w:rFonts w:hint="eastAsia" w:ascii="仿宋" w:hAnsi="仿宋" w:eastAsia="仿宋" w:cs="仿宋"/>
          <w:b/>
          <w:sz w:val="24"/>
        </w:rPr>
        <w:t>履约保证金</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eastAsia="zh-CN"/>
        </w:rPr>
        <w:t>.</w:t>
      </w:r>
      <w:r>
        <w:rPr>
          <w:rFonts w:hint="eastAsia" w:ascii="仿宋" w:hAnsi="仿宋" w:eastAsia="仿宋" w:cs="仿宋"/>
          <w:b/>
          <w:sz w:val="24"/>
        </w:rPr>
        <w:t>合同签订及备案</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6.验收</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7.售后服务考核</w:t>
      </w:r>
    </w:p>
    <w:p>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tabs>
          <w:tab w:val="left" w:pos="0"/>
        </w:tabs>
        <w:kinsoku/>
        <w:wordWrap/>
        <w:overflowPunct/>
        <w:topLinePunct w:val="0"/>
        <w:bidi w:val="0"/>
        <w:spacing w:line="288" w:lineRule="auto"/>
        <w:ind w:firstLine="480"/>
        <w:textAlignment w:val="auto"/>
        <w:rPr>
          <w:rFonts w:hint="eastAsia" w:ascii="仿宋" w:hAnsi="仿宋" w:eastAsia="仿宋" w:cs="仿宋"/>
          <w:kern w:val="0"/>
          <w:sz w:val="24"/>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32"/>
          <w:szCs w:val="32"/>
        </w:rPr>
      </w:pPr>
      <w:r>
        <w:rPr>
          <w:rFonts w:hint="eastAsia" w:ascii="仿宋" w:hAnsi="仿宋" w:eastAsia="仿宋" w:cs="仿宋"/>
          <w:b/>
          <w:bCs/>
          <w:sz w:val="24"/>
        </w:rPr>
        <w:t>2.供应商询问</w:t>
      </w:r>
    </w:p>
    <w:p>
      <w:pPr>
        <w:keepNext w:val="0"/>
        <w:keepLines w:val="0"/>
        <w:pageBreakBefore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32"/>
          <w:szCs w:val="32"/>
        </w:rPr>
      </w:pPr>
      <w:r>
        <w:rPr>
          <w:rFonts w:hint="eastAsia" w:ascii="仿宋" w:hAnsi="仿宋" w:eastAsia="仿宋" w:cs="仿宋"/>
          <w:b/>
          <w:bCs/>
          <w:sz w:val="24"/>
        </w:rPr>
        <w:t>3.供应商质疑</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质疑项目的名称、编号；</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事实依据；</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必要的法律依据；</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rPr>
        <w:t>提出质疑的日期。</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32"/>
          <w:szCs w:val="32"/>
        </w:rPr>
      </w:pPr>
      <w:r>
        <w:rPr>
          <w:rFonts w:hint="eastAsia" w:ascii="仿宋" w:hAnsi="仿宋" w:eastAsia="仿宋" w:cs="仿宋"/>
          <w:b/>
          <w:bCs/>
          <w:sz w:val="24"/>
        </w:rPr>
        <w:t>4.供应商投诉</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keepNext w:val="0"/>
        <w:keepLines w:val="0"/>
        <w:pageBreakBefore w:val="0"/>
        <w:kinsoku/>
        <w:wordWrap/>
        <w:overflowPunct/>
        <w:topLinePunct w:val="0"/>
        <w:bidi w:val="0"/>
        <w:snapToGrid w:val="0"/>
        <w:spacing w:line="288" w:lineRule="auto"/>
        <w:textAlignment w:val="auto"/>
        <w:outlineLvl w:val="0"/>
        <w:rPr>
          <w:rFonts w:hint="eastAsia"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keepNext w:val="0"/>
        <w:keepLines w:val="0"/>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keepNext w:val="0"/>
        <w:keepLines w:val="0"/>
        <w:pageBreakBefore w:val="0"/>
        <w:kinsoku/>
        <w:wordWrap/>
        <w:overflowPunct/>
        <w:topLinePunct w:val="0"/>
        <w:bidi w:val="0"/>
        <w:snapToGrid w:val="0"/>
        <w:spacing w:line="288" w:lineRule="auto"/>
        <w:textAlignment w:val="auto"/>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1.设备（材料）要求</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2.数量调整</w:t>
      </w:r>
    </w:p>
    <w:p>
      <w:pPr>
        <w:keepNext w:val="0"/>
        <w:keepLines w:val="0"/>
        <w:pageBreakBefore w:val="0"/>
        <w:tabs>
          <w:tab w:val="left" w:pos="1365"/>
        </w:tabs>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pPr>
        <w:keepNext w:val="0"/>
        <w:keepLines w:val="0"/>
        <w:pageBreakBefore w:val="0"/>
        <w:tabs>
          <w:tab w:val="left" w:pos="1365"/>
        </w:tabs>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3.安装及调试、验收</w:t>
      </w:r>
    </w:p>
    <w:p>
      <w:pPr>
        <w:keepNext w:val="0"/>
        <w:keepLines w:val="0"/>
        <w:pageBreakBefore w:val="0"/>
        <w:tabs>
          <w:tab w:val="left" w:pos="1365"/>
        </w:tabs>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3.1中标人负责设备的安装、调试。</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4.技术培训</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4.3技术培训费用应包含在投标总价中。    </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4.4技术培训至少应包括下列内容：</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4.4.1原理、构成和功能的描述。</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4.4.2常见故障的处理或排除。</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4.4.3各系统部件（设备）的检查、调整和维护。</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4.4.4对使用者关于设备基本操作技能的培训。</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5.售后服务</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5.1投标人须提供经调试、试运行、验收合格后至少</w:t>
      </w:r>
      <w:r>
        <w:rPr>
          <w:rFonts w:hint="eastAsia" w:ascii="仿宋" w:hAnsi="仿宋" w:eastAsia="仿宋" w:cs="仿宋"/>
          <w:sz w:val="24"/>
          <w:lang w:val="en-US" w:eastAsia="zh-CN"/>
        </w:rPr>
        <w:t>3</w:t>
      </w:r>
      <w:r>
        <w:rPr>
          <w:rFonts w:hint="eastAsia" w:ascii="仿宋" w:hAnsi="仿宋" w:eastAsia="仿宋" w:cs="仿宋"/>
          <w:sz w:val="24"/>
        </w:rPr>
        <w:t>年的质保期(投标人可根据自身实力作出更长时间的质保承诺)。在此期间，投标人应免费处理因质量发生的故障，并进行正常保养。</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keepNext w:val="0"/>
        <w:keepLines w:val="0"/>
        <w:pageBreakBefore w:val="0"/>
        <w:numPr>
          <w:ilvl w:val="0"/>
          <w:numId w:val="0"/>
        </w:numPr>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服务要求</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7.项目实施人员费用</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pPr>
        <w:keepNext w:val="0"/>
        <w:keepLines w:val="0"/>
        <w:pageBreakBefore w:val="0"/>
        <w:tabs>
          <w:tab w:val="left" w:pos="1365"/>
        </w:tabs>
        <w:kinsoku/>
        <w:wordWrap/>
        <w:overflowPunct/>
        <w:topLinePunct w:val="0"/>
        <w:bidi w:val="0"/>
        <w:spacing w:line="288" w:lineRule="auto"/>
        <w:jc w:val="left"/>
        <w:textAlignment w:val="auto"/>
        <w:rPr>
          <w:rFonts w:hint="eastAsia" w:ascii="仿宋" w:hAnsi="仿宋" w:eastAsia="仿宋" w:cs="仿宋"/>
          <w:b/>
          <w:bCs/>
          <w:sz w:val="24"/>
        </w:rPr>
      </w:pPr>
      <w:bookmarkStart w:id="43" w:name="_Toc151354173"/>
      <w:r>
        <w:rPr>
          <w:rFonts w:hint="eastAsia" w:ascii="仿宋" w:hAnsi="仿宋" w:eastAsia="仿宋" w:cs="仿宋"/>
          <w:b/>
          <w:bCs/>
          <w:sz w:val="24"/>
        </w:rPr>
        <w:t>8.招标项目设备名称及数量：</w:t>
      </w:r>
    </w:p>
    <w:bookmarkEnd w:id="43"/>
    <w:p>
      <w:pPr>
        <w:rPr>
          <w:rFonts w:hint="eastAsia"/>
          <w:b/>
          <w:bCs/>
          <w:sz w:val="21"/>
          <w:szCs w:val="21"/>
          <w:lang w:val="en-US" w:eastAsia="zh-CN"/>
        </w:rPr>
      </w:pPr>
      <w:r>
        <w:rPr>
          <w:rFonts w:hint="eastAsia"/>
          <w:b/>
          <w:bCs/>
          <w:sz w:val="22"/>
          <w:szCs w:val="22"/>
        </w:rPr>
        <w:t>01标</w:t>
      </w:r>
      <w:r>
        <w:rPr>
          <w:rFonts w:hint="eastAsia"/>
          <w:b/>
          <w:bCs/>
          <w:sz w:val="22"/>
          <w:szCs w:val="22"/>
          <w:lang w:eastAsia="zh-CN"/>
        </w:rPr>
        <w:t>：</w:t>
      </w:r>
      <w:r>
        <w:rPr>
          <w:rFonts w:hint="eastAsia"/>
          <w:b/>
          <w:bCs/>
          <w:sz w:val="22"/>
          <w:szCs w:val="22"/>
        </w:rPr>
        <w:t>绍兴市中医院临床教学设备采购项目</w:t>
      </w:r>
      <w:r>
        <w:rPr>
          <w:rFonts w:hint="eastAsia"/>
          <w:b/>
          <w:bCs/>
          <w:sz w:val="22"/>
          <w:szCs w:val="22"/>
          <w:lang w:eastAsia="zh-CN"/>
        </w:rPr>
        <w:t>，上限金额</w:t>
      </w:r>
      <w:r>
        <w:rPr>
          <w:rFonts w:hint="eastAsia"/>
          <w:b/>
          <w:bCs/>
          <w:sz w:val="22"/>
          <w:szCs w:val="22"/>
        </w:rPr>
        <w:t>49万元</w:t>
      </w:r>
      <w:r>
        <w:rPr>
          <w:rFonts w:hint="eastAsia"/>
          <w:b/>
          <w:bCs/>
          <w:sz w:val="21"/>
          <w:szCs w:val="21"/>
          <w:lang w:val="en-US" w:eastAsia="zh-CN"/>
        </w:rPr>
        <w:t>。</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74"/>
        <w:gridCol w:w="4887"/>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center"/>
          </w:tcPr>
          <w:p>
            <w:pPr>
              <w:rPr>
                <w:vertAlign w:val="baseline"/>
              </w:rPr>
            </w:pPr>
            <w:r>
              <w:rPr>
                <w:szCs w:val="21"/>
              </w:rPr>
              <w:t>一、品牌、型号：</w:t>
            </w:r>
            <w:r>
              <w:rPr>
                <w:rFonts w:hint="eastAsia"/>
                <w:szCs w:val="21"/>
              </w:rPr>
              <w:t>品牌自选，产地与注册证标识一致。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center"/>
          </w:tcPr>
          <w:p>
            <w:pPr>
              <w:rPr>
                <w:vertAlign w:val="baseline"/>
              </w:rPr>
            </w:pPr>
            <w:r>
              <w:rPr>
                <w:szCs w:val="21"/>
              </w:rPr>
              <w:t>二、适用范围：</w:t>
            </w:r>
            <w:r>
              <w:rPr>
                <w:rFonts w:hint="eastAsia"/>
                <w:szCs w:val="21"/>
              </w:rPr>
              <w:t>适</w:t>
            </w:r>
            <w:r>
              <w:rPr>
                <w:rFonts w:hint="eastAsia"/>
                <w:szCs w:val="21"/>
                <w:lang w:val="zh-CN"/>
              </w:rPr>
              <w:t>用于临床</w:t>
            </w:r>
            <w:r>
              <w:rPr>
                <w:rFonts w:hint="eastAsia" w:ascii="宋体" w:hAnsi="宋体" w:cs="Arial"/>
                <w:color w:val="000000"/>
                <w:szCs w:val="21"/>
              </w:rPr>
              <w:t>技能中心临床技能培训</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rPr>
                <w:vertAlign w:val="baseline"/>
              </w:rPr>
            </w:pPr>
            <w:r>
              <w:rPr>
                <w:szCs w:val="21"/>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vertAlign w:val="baseline"/>
              </w:rPr>
            </w:pPr>
            <w:r>
              <w:rPr>
                <w:szCs w:val="21"/>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宫腔镜模拟训练器：数量1套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szCs w:val="21"/>
              </w:rPr>
              <w:t>3.1.1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szCs w:val="21"/>
              </w:rPr>
              <w:t>宫腔镜模拟训练器是由模拟器主机、视频转化器、液晶显视器、手术器械等组成，要求具备二维图像、位移、方向、比例大小的变化。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宫腔镜模拟器主机箱：选用镜面不锈钢板，由电脑数控冲床冲压而成，喷塑防锈处理一次成型。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设备设有抽屉。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顶盖配有硅胶模拟穿刺块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模拟训练箱光源：12V暖色LED冷光源，配置高端专业液晶显示器与高分辨率摄像系统，以及宫腔镜手术常用器械，满足剪切、分离、结扎、缝合等临床基本练习要求。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提供手术动作的敏捷、稳定、准确、轻巧、快速等基础训练，箱体设有水道可排水。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高度模拟宫腔镜成像系统原理；设有远控控制按钮，可以直接操作放大、缩小、焦距微调等功能；摄像头具有缩放、万象角度调节等功能；具备高度模拟使操作模拟器的画面清晰、器械真实。操作手感与临床手术类似，医生面对着显视器屏幕放大的彩色图像，使用手术器械插入模拟箱内对模型进行切割、缝合、结扎等基本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摄像系统：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CMOS传感器：≥320万像素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1080P全实时输出（支持1080P/25/30、模式）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20X光学变焦，最大光圈F值≥1.6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具备自动聚焦，自动光圈，双滤光片日夜切换（ICR）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具备数字宽动态、数字降噪、隐私遮蔽、防闪烁功能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具备BNC视频格式输出 SDI信号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具备≥200万20倍高清变倍摄像系统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b/>
                <w:bCs/>
                <w:szCs w:val="21"/>
              </w:rPr>
              <w:t>妇科检查模型：数量1套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可宫腔镜检查，可视腹腔镜检查，观察子宫、附件和圆韧带等结构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可妊娠与产后子宫模型触诊检查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可宫内节育器放置与取出过程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可阴道内可放置女用避孕套，可进行避孕海绵塞和宫颈帽等避孕工具的放置与取出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宫颈和子宫均可更换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模型内部结构组成部件: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3.2.6.1</w:t>
            </w:r>
          </w:p>
        </w:tc>
        <w:tc>
          <w:tcPr>
            <w:tcW w:w="7788" w:type="dxa"/>
            <w:gridSpan w:val="3"/>
            <w:vAlign w:val="center"/>
          </w:tcPr>
          <w:p>
            <w:pPr>
              <w:rPr>
                <w:rFonts w:hint="eastAsia" w:ascii="宋体" w:hAnsi="宋体" w:cs="宋体"/>
                <w:szCs w:val="21"/>
              </w:rPr>
            </w:pPr>
            <w:r>
              <w:rPr>
                <w:rFonts w:hint="eastAsia" w:ascii="宋体" w:hAnsi="宋体" w:cs="宋体"/>
                <w:szCs w:val="21"/>
              </w:rPr>
              <w:t>正常与异常子宫和附件的模型以及供双合诊和三合诊检查的部件：</w:t>
            </w:r>
          </w:p>
          <w:p>
            <w:pPr>
              <w:rPr>
                <w:rFonts w:hint="eastAsia" w:ascii="宋体" w:hAnsi="宋体" w:cs="宋体"/>
                <w:szCs w:val="21"/>
              </w:rPr>
            </w:pPr>
            <w:r>
              <w:rPr>
                <w:rFonts w:hint="eastAsia" w:ascii="宋体" w:hAnsi="宋体" w:cs="宋体"/>
                <w:szCs w:val="21"/>
              </w:rPr>
              <w:t>·正常子宫和附件（子宫前壁透明可进行宫内节育器放置与取出）</w:t>
            </w:r>
          </w:p>
          <w:p>
            <w:pPr>
              <w:rPr>
                <w:rFonts w:hint="eastAsia" w:ascii="宋体" w:hAnsi="宋体" w:cs="宋体"/>
                <w:szCs w:val="21"/>
              </w:rPr>
            </w:pPr>
            <w:r>
              <w:rPr>
                <w:rFonts w:hint="eastAsia" w:ascii="宋体" w:hAnsi="宋体" w:cs="宋体"/>
                <w:szCs w:val="21"/>
              </w:rPr>
              <w:t>·子宫肌瘤</w:t>
            </w:r>
          </w:p>
          <w:p>
            <w:pPr>
              <w:rPr>
                <w:rFonts w:hint="eastAsia" w:ascii="宋体" w:hAnsi="宋体" w:cs="宋体"/>
                <w:szCs w:val="21"/>
              </w:rPr>
            </w:pPr>
            <w:r>
              <w:rPr>
                <w:rFonts w:hint="eastAsia" w:ascii="宋体" w:hAnsi="宋体" w:cs="宋体"/>
                <w:szCs w:val="21"/>
              </w:rPr>
              <w:t>·子宫伴有右侧输卵管炎</w:t>
            </w:r>
          </w:p>
          <w:p>
            <w:pPr>
              <w:rPr>
                <w:rFonts w:hint="eastAsia" w:ascii="宋体" w:hAnsi="宋体" w:cs="宋体"/>
                <w:szCs w:val="21"/>
              </w:rPr>
            </w:pPr>
            <w:r>
              <w:rPr>
                <w:rFonts w:hint="eastAsia" w:ascii="宋体" w:hAnsi="宋体" w:cs="宋体"/>
                <w:szCs w:val="21"/>
              </w:rPr>
              <w:t>·子宫伴有左侧输卵管卵巢积水</w:t>
            </w:r>
          </w:p>
          <w:p>
            <w:pPr>
              <w:rPr>
                <w:rFonts w:hint="eastAsia" w:ascii="宋体" w:hAnsi="宋体" w:cs="宋体"/>
                <w:szCs w:val="21"/>
              </w:rPr>
            </w:pPr>
            <w:r>
              <w:rPr>
                <w:rFonts w:hint="eastAsia" w:ascii="宋体" w:hAnsi="宋体" w:cs="宋体"/>
                <w:szCs w:val="21"/>
              </w:rPr>
              <w:t>·子宫伴有明显前倾，前屈</w:t>
            </w:r>
          </w:p>
          <w:p>
            <w:pPr>
              <w:rPr>
                <w:rFonts w:hint="eastAsia" w:ascii="宋体" w:hAnsi="宋体" w:cs="宋体"/>
                <w:szCs w:val="21"/>
              </w:rPr>
            </w:pPr>
            <w:r>
              <w:rPr>
                <w:rFonts w:hint="eastAsia" w:ascii="宋体" w:hAnsi="宋体" w:cs="宋体"/>
                <w:szCs w:val="21"/>
              </w:rPr>
              <w:t>·子宫伴有畸形和右侧输卵管炎</w:t>
            </w:r>
          </w:p>
          <w:p>
            <w:pPr>
              <w:rPr>
                <w:rFonts w:hint="eastAsia" w:ascii="宋体" w:hAnsi="宋体" w:eastAsia="宋体" w:cs="宋体"/>
                <w:kern w:val="2"/>
                <w:sz w:val="21"/>
                <w:szCs w:val="21"/>
                <w:lang w:val="en-US" w:eastAsia="zh-CN" w:bidi="ar-SA"/>
              </w:rPr>
            </w:pPr>
            <w:r>
              <w:rPr>
                <w:rFonts w:hint="eastAsia" w:ascii="宋体" w:hAnsi="宋体" w:cs="宋体"/>
                <w:szCs w:val="21"/>
              </w:rPr>
              <w:t>·子宫伴有左侧卵巢囊肿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3.2.6.3</w:t>
            </w:r>
          </w:p>
        </w:tc>
        <w:tc>
          <w:tcPr>
            <w:tcW w:w="7788" w:type="dxa"/>
            <w:gridSpan w:val="3"/>
            <w:vAlign w:val="center"/>
          </w:tcPr>
          <w:p>
            <w:pPr>
              <w:rPr>
                <w:rFonts w:ascii="宋体" w:hAnsi="宋体" w:cs="宋体"/>
                <w:szCs w:val="21"/>
              </w:rPr>
            </w:pPr>
            <w:r>
              <w:rPr>
                <w:rFonts w:hint="eastAsia" w:ascii="宋体" w:hAnsi="宋体" w:cs="宋体"/>
                <w:szCs w:val="21"/>
              </w:rPr>
              <w:t>正常与异常宫颈检查模型</w:t>
            </w:r>
          </w:p>
          <w:p>
            <w:pPr>
              <w:rPr>
                <w:rFonts w:hint="eastAsia" w:ascii="宋体" w:hAnsi="宋体" w:cs="宋体"/>
                <w:szCs w:val="21"/>
              </w:rPr>
            </w:pPr>
            <w:r>
              <w:rPr>
                <w:rFonts w:hint="eastAsia" w:ascii="宋体" w:hAnsi="宋体" w:cs="宋体"/>
                <w:szCs w:val="21"/>
              </w:rPr>
              <w:t>·正常宫颈：</w:t>
            </w:r>
          </w:p>
          <w:p>
            <w:pPr>
              <w:rPr>
                <w:rFonts w:hint="eastAsia" w:ascii="宋体" w:hAnsi="宋体" w:cs="宋体"/>
                <w:szCs w:val="21"/>
              </w:rPr>
            </w:pPr>
            <w:r>
              <w:rPr>
                <w:rFonts w:hint="eastAsia" w:ascii="宋体" w:hAnsi="宋体" w:cs="宋体"/>
                <w:szCs w:val="21"/>
              </w:rPr>
              <w:t>·慢性宫颈炎</w:t>
            </w:r>
          </w:p>
          <w:p>
            <w:pPr>
              <w:rPr>
                <w:rFonts w:hint="eastAsia" w:ascii="宋体" w:hAnsi="宋体" w:cs="宋体"/>
                <w:szCs w:val="21"/>
              </w:rPr>
            </w:pPr>
            <w:r>
              <w:rPr>
                <w:rFonts w:hint="eastAsia" w:ascii="宋体" w:hAnsi="宋体" w:cs="宋体"/>
                <w:szCs w:val="21"/>
              </w:rPr>
              <w:t>·宫颈撕裂</w:t>
            </w:r>
          </w:p>
          <w:p>
            <w:pPr>
              <w:rPr>
                <w:rFonts w:hint="eastAsia" w:ascii="宋体" w:hAnsi="宋体" w:cs="宋体"/>
                <w:szCs w:val="21"/>
              </w:rPr>
            </w:pPr>
            <w:r>
              <w:rPr>
                <w:rFonts w:hint="eastAsia" w:ascii="宋体" w:hAnsi="宋体" w:cs="宋体"/>
                <w:szCs w:val="21"/>
              </w:rPr>
              <w:t>·宫颈息肉</w:t>
            </w:r>
          </w:p>
          <w:p>
            <w:pPr>
              <w:rPr>
                <w:rFonts w:hint="eastAsia" w:ascii="宋体" w:hAnsi="宋体" w:cs="宋体"/>
                <w:szCs w:val="21"/>
              </w:rPr>
            </w:pPr>
            <w:r>
              <w:rPr>
                <w:rFonts w:hint="eastAsia" w:ascii="宋体" w:hAnsi="宋体" w:cs="宋体"/>
                <w:szCs w:val="21"/>
              </w:rPr>
              <w:t>·宫颈炎症纳博特囊肿</w:t>
            </w:r>
          </w:p>
          <w:p>
            <w:pPr>
              <w:rPr>
                <w:rFonts w:hint="eastAsia" w:ascii="宋体" w:hAnsi="宋体" w:cs="宋体"/>
                <w:szCs w:val="21"/>
              </w:rPr>
            </w:pPr>
            <w:r>
              <w:rPr>
                <w:rFonts w:hint="eastAsia" w:ascii="宋体" w:hAnsi="宋体" w:cs="宋体"/>
                <w:szCs w:val="21"/>
              </w:rPr>
              <w:t>·急性宫颈炎</w:t>
            </w:r>
          </w:p>
          <w:p>
            <w:pPr>
              <w:rPr>
                <w:rFonts w:hint="eastAsia" w:ascii="宋体" w:hAnsi="宋体" w:eastAsia="宋体" w:cs="宋体"/>
                <w:kern w:val="2"/>
                <w:sz w:val="21"/>
                <w:szCs w:val="21"/>
                <w:lang w:val="en-US" w:eastAsia="zh-CN" w:bidi="ar-SA"/>
              </w:rPr>
            </w:pPr>
            <w:r>
              <w:rPr>
                <w:rFonts w:hint="eastAsia" w:ascii="宋体" w:hAnsi="宋体" w:cs="宋体"/>
                <w:szCs w:val="21"/>
              </w:rPr>
              <w:t>·宫颈腺癌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3.2.6.4</w:t>
            </w:r>
          </w:p>
        </w:tc>
        <w:tc>
          <w:tcPr>
            <w:tcW w:w="7788" w:type="dxa"/>
            <w:gridSpan w:val="3"/>
            <w:vAlign w:val="center"/>
          </w:tcPr>
          <w:p>
            <w:pPr>
              <w:rPr>
                <w:rFonts w:hint="eastAsia" w:ascii="宋体" w:hAnsi="宋体" w:cs="宋体"/>
                <w:szCs w:val="21"/>
              </w:rPr>
            </w:pPr>
            <w:r>
              <w:rPr>
                <w:rFonts w:hint="eastAsia" w:ascii="宋体" w:hAnsi="宋体" w:cs="宋体"/>
                <w:szCs w:val="21"/>
              </w:rPr>
              <w:t>正常与异常子宫宫腔镜检查模型（供宫颈镜检查部件）：</w:t>
            </w:r>
          </w:p>
          <w:p>
            <w:pPr>
              <w:rPr>
                <w:rFonts w:hint="eastAsia" w:ascii="宋体" w:hAnsi="宋体" w:cs="宋体"/>
                <w:szCs w:val="21"/>
              </w:rPr>
            </w:pPr>
            <w:r>
              <w:rPr>
                <w:rFonts w:hint="eastAsia" w:ascii="宋体" w:hAnsi="宋体" w:cs="宋体"/>
                <w:szCs w:val="21"/>
              </w:rPr>
              <w:t>·正常子宫</w:t>
            </w:r>
          </w:p>
          <w:p>
            <w:pPr>
              <w:rPr>
                <w:rFonts w:hint="eastAsia" w:ascii="宋体" w:hAnsi="宋体" w:cs="宋体"/>
                <w:szCs w:val="21"/>
              </w:rPr>
            </w:pPr>
            <w:r>
              <w:rPr>
                <w:rFonts w:hint="eastAsia" w:ascii="宋体" w:hAnsi="宋体" w:cs="宋体"/>
                <w:szCs w:val="21"/>
              </w:rPr>
              <w:t>·子宫内膜息肉</w:t>
            </w:r>
          </w:p>
          <w:p>
            <w:pPr>
              <w:rPr>
                <w:rFonts w:hint="eastAsia" w:ascii="宋体" w:hAnsi="宋体" w:cs="宋体"/>
                <w:szCs w:val="21"/>
              </w:rPr>
            </w:pPr>
            <w:r>
              <w:rPr>
                <w:rFonts w:hint="eastAsia" w:ascii="宋体" w:hAnsi="宋体" w:cs="宋体"/>
                <w:szCs w:val="21"/>
              </w:rPr>
              <w:t>·子宫内膜增生</w:t>
            </w:r>
          </w:p>
          <w:p>
            <w:pPr>
              <w:rPr>
                <w:rFonts w:hint="eastAsia" w:ascii="宋体" w:hAnsi="宋体" w:cs="宋体"/>
                <w:szCs w:val="21"/>
              </w:rPr>
            </w:pPr>
            <w:r>
              <w:rPr>
                <w:rFonts w:hint="eastAsia" w:ascii="宋体" w:hAnsi="宋体" w:cs="宋体"/>
                <w:szCs w:val="21"/>
              </w:rPr>
              <w:t>·子宫肌瘤</w:t>
            </w:r>
          </w:p>
          <w:p>
            <w:pPr>
              <w:rPr>
                <w:rFonts w:hint="eastAsia" w:ascii="宋体" w:hAnsi="宋体" w:cs="宋体"/>
                <w:szCs w:val="21"/>
              </w:rPr>
            </w:pPr>
            <w:r>
              <w:rPr>
                <w:rFonts w:hint="eastAsia" w:ascii="宋体" w:hAnsi="宋体" w:cs="宋体"/>
                <w:szCs w:val="21"/>
              </w:rPr>
              <w:t>·子宫体癌早期</w:t>
            </w:r>
          </w:p>
          <w:p>
            <w:pPr>
              <w:rPr>
                <w:rFonts w:hint="eastAsia" w:ascii="宋体" w:hAnsi="宋体" w:cs="宋体"/>
                <w:szCs w:val="21"/>
              </w:rPr>
            </w:pPr>
            <w:r>
              <w:rPr>
                <w:rFonts w:hint="eastAsia" w:ascii="宋体" w:hAnsi="宋体" w:cs="宋体"/>
                <w:szCs w:val="21"/>
              </w:rPr>
              <w:t>·子宫体癌晚期</w:t>
            </w:r>
          </w:p>
          <w:p>
            <w:pPr>
              <w:rPr>
                <w:rFonts w:hint="eastAsia" w:ascii="宋体" w:hAnsi="宋体" w:eastAsia="宋体" w:cs="宋体"/>
                <w:kern w:val="2"/>
                <w:sz w:val="21"/>
                <w:szCs w:val="21"/>
                <w:lang w:val="en-US" w:eastAsia="zh-CN" w:bidi="ar-SA"/>
              </w:rPr>
            </w:pPr>
            <w:r>
              <w:rPr>
                <w:rFonts w:hint="eastAsia" w:ascii="宋体" w:hAnsi="宋体" w:cs="宋体"/>
                <w:szCs w:val="21"/>
              </w:rPr>
              <w:t>·子宫底癌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3.2.6.5</w:t>
            </w:r>
          </w:p>
        </w:tc>
        <w:tc>
          <w:tcPr>
            <w:tcW w:w="7788" w:type="dxa"/>
            <w:gridSpan w:val="3"/>
            <w:vAlign w:val="center"/>
          </w:tcPr>
          <w:p>
            <w:pPr>
              <w:rPr>
                <w:rFonts w:hint="eastAsia" w:ascii="宋体" w:hAnsi="宋体" w:cs="宋体"/>
                <w:szCs w:val="21"/>
              </w:rPr>
            </w:pPr>
            <w:r>
              <w:rPr>
                <w:rFonts w:hint="eastAsia" w:ascii="宋体" w:hAnsi="宋体" w:cs="宋体"/>
                <w:szCs w:val="21"/>
              </w:rPr>
              <w:t>妊娠与产后子宫模型：</w:t>
            </w:r>
          </w:p>
          <w:p>
            <w:pPr>
              <w:rPr>
                <w:rFonts w:hint="eastAsia" w:ascii="宋体" w:hAnsi="宋体" w:cs="宋体"/>
                <w:szCs w:val="21"/>
              </w:rPr>
            </w:pPr>
            <w:r>
              <w:rPr>
                <w:rFonts w:hint="eastAsia" w:ascii="宋体" w:hAnsi="宋体" w:cs="宋体"/>
                <w:szCs w:val="21"/>
              </w:rPr>
              <w:t>·早孕子宫6-8周</w:t>
            </w:r>
          </w:p>
          <w:p>
            <w:pPr>
              <w:rPr>
                <w:rFonts w:hint="eastAsia" w:ascii="宋体" w:hAnsi="宋体" w:cs="宋体"/>
                <w:szCs w:val="21"/>
              </w:rPr>
            </w:pPr>
            <w:r>
              <w:rPr>
                <w:rFonts w:hint="eastAsia" w:ascii="宋体" w:hAnsi="宋体" w:cs="宋体"/>
                <w:szCs w:val="21"/>
              </w:rPr>
              <w:t>·早孕子宫10-12周</w:t>
            </w:r>
          </w:p>
          <w:p>
            <w:pPr>
              <w:rPr>
                <w:rFonts w:hint="eastAsia" w:ascii="宋体" w:hAnsi="宋体" w:cs="宋体"/>
                <w:szCs w:val="21"/>
              </w:rPr>
            </w:pPr>
            <w:r>
              <w:rPr>
                <w:rFonts w:hint="eastAsia" w:ascii="宋体" w:hAnsi="宋体" w:cs="宋体"/>
                <w:szCs w:val="21"/>
              </w:rPr>
              <w:t>·妊娠子宫20周</w:t>
            </w:r>
          </w:p>
          <w:p>
            <w:pPr>
              <w:rPr>
                <w:rFonts w:hint="eastAsia" w:ascii="宋体" w:hAnsi="宋体" w:eastAsia="宋体" w:cs="宋体"/>
                <w:kern w:val="2"/>
                <w:sz w:val="21"/>
                <w:szCs w:val="21"/>
                <w:lang w:val="en-US" w:eastAsia="zh-CN" w:bidi="ar-SA"/>
              </w:rPr>
            </w:pPr>
            <w:r>
              <w:rPr>
                <w:rFonts w:hint="eastAsia" w:ascii="宋体" w:hAnsi="宋体" w:cs="宋体"/>
                <w:szCs w:val="21"/>
              </w:rPr>
              <w:t>·产后48小时子宫模拟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b/>
                <w:bCs/>
                <w:szCs w:val="21"/>
              </w:rPr>
              <w:t>女性综合护理人：数量1套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女性，解剖标志明显，可触及两乳头及剑突，模型人配有女性假发，关节灵活，可实现多种体位：去枕平卧位，屈膝仰卧位、半坐卧位、端坐位、俯卧位、头低足高位、头高足低位、侧卧位、截石位、昏迷体位等10余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可床上擦浴及更衣，扶助病人移向床头法、轮椅使用法、平车运送法、担架运送法等移动和搬运病人法，轴线翻身法，肢体约束法、肩部约束法、全身约束法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瞳孔示教：一侧散大，一侧正常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可触及剑突，测量胃管插入的深度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可进行乳房护理、气管切开术后护理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鼻饲：可抽出模拟胃液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洗胃术：可经口、鼻进行洗胃器洗胃、电动吸引器洗胃、胃管洗胃、洗胃机洗胃，胃容量为500ml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导尿：男女互换生殖器，男性抬起阴茎与腹壁成60°角，导尿管顺利插入；操作成功后可导出模拟尿液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灌肠：可实现大量不保留灌肠、小量不保留灌肠、清洁灌肠和保留灌肠等多种灌肠方式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造瘘口护理：可进行造瘘口清洗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口腔护理：有活动义齿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肌内注射：上臂、臀部和股外侧均有肌内注射块，可注入真实液体，注射模块均可更换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右手均有手背静脉网，头静脉、贵要静脉，可进行静脉输液、采血等操作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其他护理操作：吸氧、雾化吸入疗法、冷热疗法护理、外阴擦洗、外阴湿热敷、尿道冲洗、耳道冲洗及褥疮等多项护理操作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可进行收缩压、舒张压、脉搏频率及脉搏强弱的自由设置，也可随机设置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血压测量有明显的柯氏音，柯氏音由脉搏搏动产生，非扬声器播出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3.3.17</w:t>
            </w:r>
          </w:p>
        </w:tc>
        <w:tc>
          <w:tcPr>
            <w:tcW w:w="7788" w:type="dxa"/>
            <w:gridSpan w:val="3"/>
            <w:vAlign w:val="center"/>
          </w:tcPr>
          <w:p>
            <w:pPr>
              <w:rPr>
                <w:rFonts w:ascii="宋体" w:hAnsi="宋体" w:eastAsia="宋体" w:cs="宋体"/>
                <w:kern w:val="2"/>
                <w:sz w:val="21"/>
                <w:szCs w:val="21"/>
                <w:lang w:val="en-US" w:eastAsia="zh-CN" w:bidi="ar-SA"/>
              </w:rPr>
            </w:pPr>
            <w:r>
              <w:rPr>
                <w:rFonts w:hint="eastAsia" w:ascii="宋体" w:hAnsi="宋体" w:cs="宋体"/>
                <w:szCs w:val="21"/>
              </w:rPr>
              <w:t>自主显示血压测量袖带的位置，实时显示水银柱下降的速度及水银柱下降的速度最大值。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手臂与控制系统采用蓝牙无线连接方便操作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ascii="宋体" w:hAnsi="宋体" w:eastAsia="宋体" w:cs="宋体"/>
                <w:kern w:val="2"/>
                <w:sz w:val="21"/>
                <w:szCs w:val="21"/>
                <w:lang w:val="en-US" w:eastAsia="zh-CN" w:bidi="ar-SA"/>
              </w:rPr>
            </w:pPr>
            <w:r>
              <w:rPr>
                <w:rFonts w:hint="eastAsia" w:ascii="宋体" w:hAnsi="宋体" w:cs="宋体"/>
                <w:szCs w:val="21"/>
              </w:rPr>
              <w:t>3.3.19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可触及肱动脉搏动与桡动脉，脉搏搏动强度根据手指按压力度变化反馈，指压越重，脉搏越强。系统可检测有无按压检测脉搏，按压检测位置是否正确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ascii="宋体" w:hAnsi="宋体" w:eastAsia="宋体" w:cs="宋体"/>
                <w:kern w:val="2"/>
                <w:sz w:val="21"/>
                <w:szCs w:val="21"/>
                <w:lang w:val="en-US" w:eastAsia="zh-CN" w:bidi="ar-SA"/>
              </w:rPr>
            </w:pPr>
            <w:r>
              <w:rPr>
                <w:rFonts w:hint="eastAsia" w:ascii="宋体" w:hAnsi="宋体" w:cs="宋体"/>
                <w:szCs w:val="21"/>
              </w:rPr>
              <w:t>3.3.20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考核系统采用</w:t>
            </w:r>
            <w:r>
              <w:rPr>
                <w:rFonts w:hint="eastAsia" w:ascii="宋体" w:hAnsi="宋体" w:cs="宋体"/>
                <w:szCs w:val="21"/>
                <w:lang w:eastAsia="zh-CN"/>
              </w:rPr>
              <w:t>≥</w:t>
            </w:r>
            <w:r>
              <w:rPr>
                <w:rFonts w:hint="eastAsia" w:ascii="宋体" w:hAnsi="宋体" w:cs="宋体"/>
                <w:szCs w:val="21"/>
              </w:rPr>
              <w:t>5.5英寸IPS高清显示电容触摸屏一体机，内置热敏打印机和蓝牙无线收发系统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ascii="宋体" w:hAnsi="宋体" w:eastAsia="宋体" w:cs="宋体"/>
                <w:kern w:val="2"/>
                <w:sz w:val="21"/>
                <w:szCs w:val="21"/>
                <w:lang w:val="en-US" w:eastAsia="zh-CN" w:bidi="ar-SA"/>
              </w:rPr>
            </w:pPr>
            <w:r>
              <w:rPr>
                <w:rFonts w:hint="eastAsia" w:ascii="宋体" w:hAnsi="宋体" w:cs="宋体"/>
                <w:szCs w:val="21"/>
              </w:rPr>
              <w:t>3.3.21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 xml:space="preserve">模型内置锂电池和蓝牙收发硬件，模型和一体机无线连接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模型内置精密气压传感器，可精确检测血压计汞柱高度，精度≤1mmHg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采用压力传感器与光敏传感器结合的方式显示袖带位置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一体机嵌入android系统，硬件要求（四核CPU，1.3GHZ主频，1G内存、8G数据存储器）及以上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IPS高清电容触摸屏，可视角度≥178°，支持≥5点触控，分辨率≥1280*720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 xml:space="preserve">内置热敏打印机，打印速度≥80mm/s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内置大容量锂电池，连续工作≥1天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一体机配置充电底座，APP有手臂模型电量显示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可手动输入考号、场次号，场次号，在成绩单上打印出考生号和场次号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考试结束后可打印成绩单，成绩单显示考生的考号、场次、时间、心率、血压、脉搏检查、袖带位置及汞柱下降速率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ascii="宋体" w:hAnsi="宋体" w:eastAsia="宋体" w:cs="宋体"/>
                <w:kern w:val="2"/>
                <w:sz w:val="21"/>
                <w:szCs w:val="21"/>
                <w:lang w:val="en-US" w:eastAsia="zh-CN" w:bidi="ar-SA"/>
              </w:rPr>
            </w:pPr>
            <w:r>
              <w:rPr>
                <w:rFonts w:hint="eastAsia" w:ascii="宋体" w:hAnsi="宋体" w:cs="宋体"/>
                <w:szCs w:val="21"/>
              </w:rPr>
              <w:t>3.3.31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ascii="宋体" w:hAnsi="宋体" w:eastAsia="宋体" w:cs="宋体"/>
                <w:kern w:val="2"/>
                <w:sz w:val="21"/>
                <w:szCs w:val="21"/>
                <w:lang w:val="en-US" w:eastAsia="zh-CN" w:bidi="ar-SA"/>
              </w:rPr>
            </w:pPr>
            <w:r>
              <w:rPr>
                <w:rFonts w:hint="eastAsia" w:ascii="宋体" w:hAnsi="宋体" w:cs="宋体"/>
                <w:szCs w:val="21"/>
              </w:rPr>
              <w:t>3.3.31.1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打印成绩单可根据系统时间，打印出考核的时间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可设置倒计时时间，根据需求设置不同的倒计时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软件可以一键给模型随机设置不同收缩压和舒张压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软件可给模型设置不同的心率值，可触及不同的频率的脉搏搏动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软件计算汞柱在下降过程中的变化速率，用于判断考生的操作手法，并打印在成绩单上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软件可以记录有无检查脉搏的动作，可以检测记录袖带位置是否合适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软件可以校准汞柱的零位点，在不同的经纬度和海拔高度都可以校准后使用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舌象辅助诊断系统（可四诊仪兼容）：数量1套</w:t>
            </w:r>
            <w:r>
              <w:rPr>
                <w:rFonts w:hint="eastAsia" w:ascii="宋体" w:hAnsi="宋体" w:cs="宋体"/>
                <w:b/>
                <w:bCs/>
                <w:color w:val="FF0000"/>
                <w:szCs w:val="21"/>
              </w:rPr>
              <w:t>（需提供样品演示）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采集分析流程：新建病人、问诊采集、面象采集、分析结论、保存病例。随时可以添加、删除病人信息并自动保存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问诊采集主要是病人对照数据库中的各种症状进行挑选，通过回答</w:t>
            </w:r>
            <w:r>
              <w:rPr>
                <w:rFonts w:hint="eastAsia" w:ascii="宋体" w:hAnsi="宋体" w:cs="宋体"/>
                <w:szCs w:val="21"/>
                <w:lang w:eastAsia="zh-CN"/>
              </w:rPr>
              <w:t>≥</w:t>
            </w:r>
            <w:r>
              <w:rPr>
                <w:rFonts w:hint="eastAsia" w:ascii="宋体" w:hAnsi="宋体" w:cs="宋体"/>
                <w:szCs w:val="21"/>
              </w:rPr>
              <w:t>8</w:t>
            </w:r>
            <w:r>
              <w:rPr>
                <w:rFonts w:hint="eastAsia" w:ascii="宋体" w:hAnsi="宋体" w:cs="宋体"/>
                <w:szCs w:val="21"/>
                <w:lang w:val="en-US" w:eastAsia="zh-CN"/>
              </w:rPr>
              <w:t>0</w:t>
            </w:r>
            <w:r>
              <w:rPr>
                <w:rFonts w:hint="eastAsia" w:ascii="宋体" w:hAnsi="宋体" w:cs="宋体"/>
                <w:szCs w:val="21"/>
              </w:rPr>
              <w:t>道试题（病人起病和转变的情形，寒热、汗、头身感、大小便、饮食、胸腹、耳、口等各种状况），最后进行提交并由系统自动判断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面象采集主要是在特定的光源环境下，采用高清晰摄像头获得患者面部的图像信息，将这些特征值与特征数据库中的阈值进行比对，给出面色分析结果。可分析12种面色：青色、赤色、黄色、白色、黑色、正常、淡白、淡红、红、深红、暗红、紫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舌象采集主要是在特定的光源环境下，采用高清晰摄像头获得患者舌头的图像信息，将这些特征值与特征数据库中的阈值进行比对，给出面色分析结果。可分区识别舌色、面色；可分辨7种舌色，4种苔色；可分辨4种面色；可识别舌体裂纹、齿痕、腐腻、胖瘦、剥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分析结论主要是给出问诊和面诊的结论。问诊部分的结论有定位结论和定性结论；面诊部分的结论为面诊概述；舌诊部分的结论为舌诊概论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测试结果用表格显示，并可生成pdf文件，也可以打印体质报告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软件一机一码，包括体质特征、运动养生、饮食养生、起居调理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内置紫外线消毒装置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3.5</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足部穴位模型：数量1套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模型显示足针穴位的位置和适应症，穴位用汉字或数字标注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模型用PVC制成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3.6</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AED训练器：数量1套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产品为高仿真的AED，具有与真实AED无差别的外形，操作流程与真实AED操作无异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参照美国心脏协会（AHA）最新指南设计，内置美国心脏协会（AHA）推荐的10种情景模式供训练使用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可配合模拟人演示，智能检测是否插入电极片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模拟情景演示过程中，可由遥控器控制不同的突发状态，可模拟插入可除颤节律、插入不可除颤节律、模拟电极贴好状态、模拟电极不良、模拟电池电量不足、模拟病人移动、模拟设备故障等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可满足教学需要播放功能，音量可调节，有中、英两种语言，可中、英文切换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可选择成人或儿童除颤模式，配有儿童和成人2种电极片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3.6.7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AED</w:t>
            </w:r>
            <w:r>
              <w:rPr>
                <w:rFonts w:hint="eastAsia" w:ascii="宋体" w:hAnsi="宋体" w:cs="宋体"/>
                <w:szCs w:val="21"/>
              </w:rPr>
              <w:t>训练器</w:t>
            </w:r>
            <w:r>
              <w:rPr>
                <w:rFonts w:hint="eastAsia" w:ascii="宋体" w:hAnsi="宋体" w:cs="宋体"/>
              </w:rPr>
              <w:t>正面有彩色屏幕，可进行急救的动画演示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3.7</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气道管理模型（成人）：数量1套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模型为成年男性，解剖标志明显，仰卧位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可行仰头举颏、可后仰练习清除呼吸道异物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可行经口、鼻气管插管操作并配置电子监测系统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插入气道供气可使双肺膨胀，且有语音提示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插入食管供气可使胃膨胀，且有语音提示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喉镜压迫牙齿力度过大，有语音提示有电子监测系统，喉镜压迫牙齿力度过大、操作错误与正确均有语音提示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可进行鼻饲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可练习下胃管，胃部透明便于观察胃管插入的位置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可进行瞳孔示教，一侧瞳孔正常，一侧瞳孔散大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3.7.10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可进行气管插管操作，操作成功时，给予人工呼吸可见胸廓起伏，插入单侧支气管可见相应的单侧胸廓起伏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3.8</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气道管理模型（儿童）：数量1套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具有儿童口、咽、气管等解剖结构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可经口、鼻气管插管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3.8.3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儿童头颈可后仰，以便开放气道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3.8.4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可以通过吹气方式，测试插管位置是否正确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3.9</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气道管理模型（婴儿）：数量1套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3.9.1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具有婴儿的舌、口、咽、会厌、喉、声带和气管的真实解剖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3.9.2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w:t>
            </w:r>
            <w:r>
              <w:rPr>
                <w:rFonts w:hint="eastAsia" w:ascii="宋体" w:hAnsi="宋体" w:cs="宋体"/>
              </w:rPr>
              <w:t>经口、鼻气管插管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3.9.3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模拟婴儿的头部活动后仰，以便正常操作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3.9.4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可以通过吹气方式、测试插管是否正确地插入气道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3.9.5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可观察双肺与胃的供气膨胀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3.10</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婴儿气道梗塞训练模型：数量1套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模型为3个月大的女性婴儿，身长60</w:t>
            </w:r>
            <w:r>
              <w:rPr>
                <w:rFonts w:hint="eastAsia" w:ascii="宋体" w:hAnsi="宋体" w:cs="宋体"/>
                <w:szCs w:val="21"/>
                <w:lang w:val="en-US" w:eastAsia="zh-CN"/>
              </w:rPr>
              <w:t>±5</w:t>
            </w:r>
            <w:r>
              <w:rPr>
                <w:rFonts w:hint="eastAsia" w:ascii="宋体" w:hAnsi="宋体" w:cs="宋体"/>
                <w:szCs w:val="21"/>
              </w:rPr>
              <w:t>厘米、头围40</w:t>
            </w:r>
            <w:r>
              <w:rPr>
                <w:rFonts w:hint="eastAsia" w:ascii="宋体" w:hAnsi="宋体" w:cs="宋体"/>
                <w:szCs w:val="21"/>
                <w:lang w:val="en-US" w:eastAsia="zh-CN"/>
              </w:rPr>
              <w:t>±5</w:t>
            </w:r>
            <w:r>
              <w:rPr>
                <w:rFonts w:hint="eastAsia" w:ascii="宋体" w:hAnsi="宋体" w:cs="宋体"/>
                <w:szCs w:val="21"/>
              </w:rPr>
              <w:t>厘米，胸骨和肋骨可触及，肩胛骨解剖结构精准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可正常的气道阻塞模拟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可气道开放和胸部压迫的模拟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可气道惯通时的胸部扩张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可窒息、异物阻塞气道的模拟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可心外按压，心肺复苏操作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具有肺部结构，可进行肺部气体通气，胸部可起伏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CPR操作：婴儿头部后仰，打开气道，口对口吹起，如果胸部有起伏，说明无异物，如果胸部不能起伏，说明有异物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异物取出操作：将梗塞异物放入口腔内咽喉处，将婴儿头部后仰，打开气道，轻拍背部和胸部将异物取出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吹气时有过大过小语音提示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口腔内有异物时口唇紫绀颜色随着时间的变化会逐渐加重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3.10.13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异物清除时婴儿发出啼哭声，随着时间的变化紫绀逐渐消失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低位包扎模型：数量1套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模拟腿部截肢的病人，右腿在膝盖以下截断，左腿在大腿中部截断，绷带可绕过臀部而缠绕到髂脊水平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可进行环形包扎法、螺旋包扎法、蛇形包扎法、8字形包扎法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可演示绷带缠绕好后其两断端固定的方法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可演示假肢体附件的安装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3.11.5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模型下肢创面已进行缝合处理，可模拟练习创面的护理操作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3.12</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高位包扎模型：数量1套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模型为成人上半身，病人右手臂从腕上截肢，左手从肘上截肢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标准包扎体位，两臂保持轻度外旋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可进行环形包扎法、螺旋包扎法、蛇形包扎法、8字形包扎法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可演示绷带缠绕好的其两断端固守的方法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可演示假肢体附件安装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3.12.6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模型左右肢创面已进行缝合处理，可练习创面的护理操作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3.13</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交互式止血训练手臂：数量1套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模型由成人上肢和主控盒两部分组成，上肢模型配置多种创伤模块，可模拟多种外伤出血状况，自由设置不同环境脚本，训练快速的环境评估、伤情判断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主控盒配备透明有机玻璃外罩，防止血液外溅的同时，丝毫不影响观察出血状况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系统分为动脉、静脉两种模式，可进行动脉、静脉出血后的止血、包扎处理操作，出血频率和脉搏一致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动脉和静脉模式下，操作者可根据要求调节出血量、出血速度和脉搏频率，其中出血速度有5个档位，可模拟各种伤口的出血演示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动脉出血时，有搏动性出血，出血量较多，速度快；静脉出血，缓慢流出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系统可进行加压包扎法、直接压迫止血法、填塞止血法、指压动脉止血法、止血带止血法五种止血法练习，可设置止血压力，操作时间，出血速度会随着止血带压力增大而减小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动脉模式下系统可通过两根不同颜色的压力曲线来区分气压止血带止血和指压止血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3.13.6.2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伤口出血的速度会随着止血带压力的增大而减小，当压力达到设置好的止血压力时，可见伤口停止出血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气压止血时，气压表和系统显示压力保持一致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系统屏幕同步有逼真的出血动画，显示出血状况，止血成功动画停止出血。智能感应不同的止血压力，对应产生不同的止血效果，显示器同步显示压力的变化，实时显示止血带压力曲线图。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操作者可通过设置按钮进入设置界面，可对止血压力、操作时间进行设置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 xml:space="preserve">一键注液功能：操作者只需往血液回收装置倒入血液，然后单击系统“开始注液”按钮，即可将血液灌入系统内置储液瓶里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血液回收循环使用：伤口出血启动后，血液流到回收装置，回收装置会自动补充到内置储液瓶，供系统循环使用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出血启动后，能触摸动脉搏动，触摸脉搏次数会记录在系统屏幕上，脉搏震动强度会随着止血压力的增大而减弱。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3.13.12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配有</w:t>
            </w:r>
            <w:r>
              <w:rPr>
                <w:rFonts w:hint="eastAsia" w:ascii="宋体" w:hAnsi="宋体" w:cs="宋体"/>
                <w:szCs w:val="21"/>
                <w:lang w:eastAsia="zh-CN"/>
              </w:rPr>
              <w:t>≥</w:t>
            </w:r>
            <w:r>
              <w:rPr>
                <w:rFonts w:hint="eastAsia" w:ascii="宋体" w:hAnsi="宋体" w:cs="宋体"/>
                <w:szCs w:val="21"/>
              </w:rPr>
              <w:t>7寸彩色触摸屏，内置锂电池，屏幕显示系统实时电量情况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3.14</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交互式止血训练腿：数量1套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模型由成人下肢和主控盒两部分组成，下肢模型配置多种创伤模块，可模拟多种外伤出血状况，自由设置不同环境脚本，训练快速的环境评估、伤情判断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主控盒配备透明有机玻璃外罩，防止血液外溅的同时，丝毫不影响观察出血状况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系统分为动脉、静脉两种模式，可进行动脉、静脉出血后的止血、包扎处理操作，出血频率和脉搏一致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动脉和静脉模式下，操作者可根据要求调节出血量、出血速度和脉搏频率，其中出血速度有5个档位，可模拟各种伤口的出血演示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动脉出血时，有搏动性出血，出血量较多，速度快；静脉出血，缓慢流出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系统可进行加压包扎法、直接压迫止血法、填塞止血法、指压动脉止血法、止血带止血法五种止血法练习，可设置止血压力，操作时间，出血速度会随着止血带压力增大而减小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动脉模式下系统可通过两根不同颜色的压力曲线来区分气压止血带止血和指压止血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3.14.6.2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伤口出血的速度会随着止血带压力的增大而减小，当压力达到设置好的止血压力时，可见伤口停止出血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气压止血时，气压表和系统显示压力保持一致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系统屏幕同步有逼真的出血动画，显示出血状况，止血成功动画停止出血。智能感应不同的止血压力，对应产生不同的止血效果，显示器同步显示压力的变化，实时显示止血带压力曲线图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操作者可通过设置按钮进入设置界面，可对止血压力、操作时间进行设置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一键注液功能：操作者只需往血液回收装置倒入血液，然后单击系统“开始注液”按钮，即可将血液灌入系统内置储液瓶里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血液回收循环使用：伤口出血启动后，血液流到回收装置，回收装置会自动补充到内置储液瓶，供系统循环使用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出血启动后，能触摸动脉搏动，触摸脉搏次数会记录在系统屏幕上，脉搏震动强度会随着止血压力的增大而减弱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3.14.12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配有</w:t>
            </w:r>
            <w:r>
              <w:rPr>
                <w:rFonts w:hint="eastAsia" w:ascii="宋体" w:hAnsi="宋体" w:cs="宋体"/>
                <w:szCs w:val="21"/>
                <w:lang w:eastAsia="zh-CN"/>
              </w:rPr>
              <w:t>≥</w:t>
            </w:r>
            <w:r>
              <w:rPr>
                <w:rFonts w:hint="eastAsia" w:ascii="宋体" w:hAnsi="宋体" w:cs="宋体"/>
                <w:szCs w:val="21"/>
              </w:rPr>
              <w:t>7寸彩色触摸屏，内置锂电池，屏幕显示系统实时电量情况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3.15</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外周静脉穿刺插管术训练仿真模型：数量1套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模型为成人上半身躯干，右侧上臂至腕部。体表标志明显，包括：胸骨上切迹、胸锁乳突肌、锁骨、肋骨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主要静脉分布为：上腔静脉、颈内静脉、锁骨下静脉、头静脉、贵要静脉、肘正中静脉等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静脉穿刺插管：胸锁乳突肌外缘有明显的标志，可进行锁骨下静脉穿刺及颈内静脉穿刺，也可进行肘窝静脉穿刺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可行心脏漂浮(Swan-Ganz)导管的插管练习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3.15.5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皮肤和血管可更换，进针有明显的落空感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3.16</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三腔二囊管模型：数量1套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男性整体人，解剖标志明显，模拟真实的内脏器官，关节灵活，可实现多种体位：去枕平卧位，屈膝仰卧位、半坐卧位、端坐位、俯卧位、头低足高位、头高足低位、侧卧位、截石位、昏迷体位等10余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3.16.2</w:t>
            </w:r>
          </w:p>
        </w:tc>
        <w:tc>
          <w:tcPr>
            <w:tcW w:w="7788" w:type="dxa"/>
            <w:gridSpan w:val="3"/>
            <w:vAlign w:val="center"/>
          </w:tcPr>
          <w:p>
            <w:pPr>
              <w:rPr>
                <w:rFonts w:hint="eastAsia" w:ascii="宋体" w:hAnsi="宋体" w:cs="宋体"/>
                <w:szCs w:val="21"/>
              </w:rPr>
            </w:pPr>
            <w:r>
              <w:rPr>
                <w:rFonts w:hint="eastAsia" w:ascii="宋体" w:hAnsi="宋体" w:cs="宋体"/>
                <w:szCs w:val="21"/>
              </w:rPr>
              <w:t>可进行三腔两囊管压迫术操作；可模拟胃底静脉出血，正确操作后，可有效止血，</w:t>
            </w:r>
          </w:p>
          <w:p>
            <w:pPr>
              <w:rPr>
                <w:rFonts w:hint="eastAsia" w:ascii="宋体" w:hAnsi="宋体" w:eastAsia="宋体" w:cs="宋体"/>
                <w:kern w:val="2"/>
                <w:sz w:val="21"/>
                <w:szCs w:val="21"/>
                <w:lang w:val="en-US" w:eastAsia="zh-CN" w:bidi="ar-SA"/>
              </w:rPr>
            </w:pPr>
            <w:r>
              <w:rPr>
                <w:rFonts w:hint="eastAsia" w:ascii="宋体" w:hAnsi="宋体" w:cs="宋体"/>
                <w:szCs w:val="21"/>
              </w:rPr>
              <w:t>准确测量出血量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可进行CPR操作，口对口人工呼吸、心脏按压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可进行昏迷病人鼻饲及洗胃术：托起头部使下颌靠近胸骨柄，可抽出模拟胃液，胃容量为200ml,可连接真实的洗胃机进行操作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可进行瞳孔示教：一侧瞳孔散大、一侧瞳孔正常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可根据模拟病情，进行颈动脉搏动示教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可进行导尿术并留置尿管：设有可互换的男女生殖器，正确操作可导出模拟尿液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可进行膀胱冲洗、尿道冲洗、外耳道冲洗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可进行静脉注射：可选择不同类型的穿刺针进行训练，操作穿刺时有落空感，穿刺正确后可有回血，并可进行输液等练习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可进行肌内注射：左右上臂、臀部、股外侧部有肌内注射，可注入真实药液，肌内注射块可取下清洗，可进行皮下注射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静脉注射手臂及肌内、皮下注射模块可更换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可进行压疮护理：淤血红润期、溃疡期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可进行口腔护理，造瘘口护理，擦浴、更衣、灌肠、翻身、冷、热疗法等护理操作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3.16.14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可进行吸氧、雾化吸入疗法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3.17</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胸腔闭式引流术电子标准化病人：数量1套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模拟人为成年男性头颈、躯干部模型，反向坐于椅上，双臂平置，体表标志明显，解剖位置准确，肩胛骨、肋骨、肋间隙、脊柱棘突容易触摸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模拟人向胸膜中注液及注气由手工操作改进为电动，按遥控器上的按钮即可自动向胸膜腔内注入气体或液体，自动形成模拟气胸或胸腔积液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可进行胸部叩诊，辨别胸水位置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可进行胸腔穿刺，穿刺针进入胸膜腔后有明显的落空感，穿刺成功后可回抽模拟胸水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可根据模拟胸水性状对疾病进行初步诊断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完全的穿刺部位：双侧肩胛下角线、腋中线、腋后线，均可实施胸腔穿刺，穿刺部位可自动密封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3.17.7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配有电子警示系统，穿刺针进入肋间隙后穿刺位置错误有警报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3.18</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支气管内窥镜操作模型：数量1套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模型为成年人上半身，鼻腔软宽敞、柔软；气管、支气管树富有弹性、柔韧性，头部可后仰及左右摆动，便于摆出操作时需要的体位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进行错误操作压迫牙齿力度过大时有报警提示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可用听诊器置于肺部听诊，确定导管的位置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可光学纤维支气管镜检查、硬质支气管镜检查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3.18.5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可经口气管插管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3.19</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心电图教学系统：数量1套</w:t>
            </w:r>
            <w:r>
              <w:rPr>
                <w:rFonts w:hint="eastAsia" w:ascii="宋体" w:hAnsi="宋体" w:cs="宋体"/>
                <w:b/>
                <w:bCs/>
                <w:color w:val="FF0000"/>
                <w:szCs w:val="21"/>
              </w:rPr>
              <w:t>（需提供样品演示）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可通过平板电脑演示丰富的心电图视频、动画、语音文字等多媒体素材，可通过无线wifi与心电图模拟人相连接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采用平板电脑无线控制，模拟人体内中存储≥100种正常及异常心电信号，每种心电图信号都采用模拟数字代码表示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心电图教学系统包括心电图诊断图谱、心电图教学课件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心电图模型人胸前及四肢设有标准十二导联电极放置，可以与临床心电图机或心电监护仪连接使用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教学实习或考核可在平板电脑上操作代码按钮，根据教学需要输入某心电图的代码，通过心电图机或心电监护仪便能自动描绘这一心电特征波形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 xml:space="preserve">心电图模型人心率可以预先设定，输出过程中也可以更改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3.19.7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模拟人体采用特种硅橡胶和高分子复合材料，有听诊部位标志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3.20</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心包穿刺模型：数量1套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3.20.1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模型解剖位置：胸骨、剑突、肋骨、各肋间隙，可明显触知，自动向心包腔内泵入液体从而自动形成心包积液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3.20.2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可行心包腔穿刺训练、穿刺部位常用剑突与左肋弓缘夹角处，心尖部穿刺点在左第六肋间隙，心浊音界内侧2cm处，穿刺针进入心包腔有较明显的落空感，可抽出液体；心内注射部位在左侧四肋间距胸骨左缘2cm处。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3.20.3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穿刺正确时有较明显的落空感能抽出血液，可进行心内注药训练。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3.21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股静脉与动脉注射穿刺模型：数量1套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骨髓穿刺：体表标志，髌骨、胫骨及胫骨粗隆；骨穿刺操作针感逼真，进入后会有落空感，相应模拟骨髓会流出；皮肤、骨可更换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股动脉穿刺：有全自动动脉搏动模拟器，可触及动脉博动进行股动脉穿刺，进行动脉采血及动脉注射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股静脉穿刺：有明显的落空感及静脉回流，确定深静脉穿刺插入的正确位置；注射部位模块可更换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3.22</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男性导尿模型：数量1套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模型为常规导尿操作体位，成人男性尿道全长约16-22cm，具有真实的三个狭窄两个弯曲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导尿术：操作时与真实环境一样会遇到阻力，当导尿管通过尿道进入膀胱时，会有模拟尿液流出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可进行留置尿管练习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可进行膀胱冲洗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3.23</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全功能诊疗穿刺术模拟病人：数量1套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男性头颈、躯干部模型，体表标志明显，模拟人取仰卧位，头转向左侧。解剖位置准确：锁骨、锁骨肩峰端、锁骨胸骨端、胸锁乳突肌锁骨头、胸锁乳突肌胸骨头、肋骨、肋间隙、胸骨上窝、锁骨中线、腋前线、腋中线、腋后线、髂前上棘、髂嵴、脐、腹股沟韧带，可明显感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可触及颈动脉搏动，颈内静脉穿刺术、锁骨下静脉穿刺术、颈外静脉穿刺术、淋巴结穿刺术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可取半卧位（模拟重症患者）胸腔穿刺术、气胸抽气术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可肝脓肿穿刺术，可寻到肝区压痛点，有屏息训练语言提示，可随屏息节奏穿刺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可心内注射术、心包穿刺术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可腹腔穿刺术，可取左、右侧卧位，行腹部移动性浊音叩诊训练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可髂骨骨髓穿刺术、胸骨髓穿刺术、膀胱穿刺术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配全自动动脉搏动模拟器，无需助手挤压橡皮球模拟动脉搏动，术者一人即可完成动脉穿刺操作。可触及双侧股动脉搏动，进行双侧股动脉穿刺术、双侧股静脉穿刺术；胸腹腔内储备备用的动、静脉血管可更换，只需将破损部分拉出，剪出破损部分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可行术前无菌术操作训练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可进行电子监测：行胸穿和肝穿时，穿刺针要求沿下位肋骨的上缘垂直刺入，如穿刺错误有语言提示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3.23.11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皮肤和各种穿刺囊腔均可更换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3.24</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外科多技能训练模型：数量1套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产品包括缝合工具箱、持针器、止血钳、有齿镊、平镊、手术刀、手术剪、缝合线、手术刀片、三角针、橡胶手套、缝合模块组成，适用于缝合练习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可练习切开术、缝合术、打结、拆线等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3.25</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全身切口换药及引流管管理模型：数量1套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模型为成年人半身模型，解剖结构清晰,可触及锁骨、胸骨上切迹等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可进行伤口清洗、消毒、缝合、包扎、换药、拆线外科基本技能训练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可进行无菌操作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腹部模块可更换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3.26</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瘘管造口术模型：数量1套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模型具有结肠造瘘口和回肠造瘘口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可进行造瘘口护理、更换造瘘口袋、造瘘口灌洗等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配有人造粪便，可以用水稀释，反复使用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可进行造瘘口扩大术护理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3.27</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术前无菌操作模型人：数量1套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模型为整体成年人，关节灵活，解剖结构完整，练习术前无菌操作技术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可行手术区的准备练习：手术区域皮肤消毒、铺无菌布单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可练习全身各处手术切口的术前无菌操作：头、颈、胸、腹、背、肢体近端、远端、手（足）部等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可进行各部位包扎、伤口清洗、换药等练习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可练习眼部护理，如冲洗，滴药水等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3.27.6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可行肌肉注射练习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3.28</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深部打结训练及考核指导模型：数量1套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模型由五种不同型号圆柱构成多种打结空间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可练习的打结方法：单手打结法、双手打结法、器械打结法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3.28.3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可练习的打结种类：单结、方结、三重结和外科结，可辨认假结、滑结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3.28.4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可模拟多种打结环境：如外科结、小切口打结，腹腔、盆腔深部打结、大切口深部有角度打结等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3.29</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血管分离结扎训练模型：数量1套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3.29.1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模型皮肤模块分层清晰，具有皮肤真实的组织张力，血管内含有血液，可反复进行练习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3.29.2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可练习不同类型的打结方法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3.29.3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可进行血管分离、结扎训练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3.30</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疮疡（脓肿）鉴别与切开操作模块：数量1套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3.30.1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模块有多个脓肿，病变处手感真实，并具有真实的张力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3.30.2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可进行脓肿切开练习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3.30.3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进行术后伤口处理的练习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颅骨模型（带脑组织及血管）：数量1套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模型分为左右脑两部分，显示大脑半球、间脑、小脑和脑干中脑、脑桥、延髓各个部分，以及脑神经等结构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模型用PVC制成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3.32</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多功能洗胃训练模型：数量1套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模型为成人上半身，解剖结构精确，口腔内有牙、舌、悬雍垂、呼吸道声门、会厌、喉、等解剖结构，具有气管、支气管、左右肺脏、心脏、食管、胃、膈、肝脏、胆囊、胰腺以及小肠、结肠等结构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胸腹部外皮为透明外壳；体表标准明显，有剑突、乳头、锁骨、肚脐等标志，剑突可作为测量胃管插入长度标志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模型带支架可摆放不同角度的体位（可实现左侧卧位、端坐位、半仰卧位等），头部可旋转，并可向左右两侧分别转动90°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模型使用完毕，消化道内残存液体可从专用管道排出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洗胃术：经口、鼻洗胃器洗胃法，电动吸引洗胃法，胃管洗胃法，洗胃机洗胃法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可进行胃肠减压术、胃液采集术、十二指肠引流术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可进行鼻饲术、氧气吸入、口腔护理、经口经鼻吸痰术、气管切开术后护理等多项护理操作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瞳孔：瞳孔缩小提示有机磷类杀虫药或氨基甲酸酯类杀虫药中毒等；瞳孔散大提示阿托品或莨菪碱类中毒等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3.32.9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带有灯光警示系统，可提示贲门、胃体、幽门、十二指肠、胃底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3.33</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胸腔穿刺电子标准化病人：数量1套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模拟人为成年男性头颈、躯干部模型，反向坐于椅上，双臂平置，体表标志明显，解剖位置准确，肩胛骨、肋骨、肋间隙、脊柱棘突容易触摸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模拟人向胸膜中注液及注气由手工操作改进为电动，按遥控器上的按钮即可自动向胸膜腔内注入气体或液体，自动形成模拟气胸或胸腔积液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可进行胸部叩诊，辨别胸水位置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可进行胸腔穿刺，穿刺针进入胸膜腔后有明显的落空感，穿刺成功后可回抽模拟胸水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可根据模拟胸水性状对疾病进行初步诊断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完全的穿刺部位：双侧肩胛下角线、腋中线、腋后线，均可实施胸腔穿刺，穿刺部位可自动密封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3.33.7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配有电子警示系统，穿刺针进入肋间隙后穿刺位置错误有警报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3.34</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肠管吻合模型：数量1套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模型具有超强的韧性，弹性及防水性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肠管长度为</w:t>
            </w:r>
            <w:r>
              <w:rPr>
                <w:rFonts w:hint="eastAsia" w:ascii="宋体" w:hAnsi="宋体" w:cs="宋体"/>
                <w:szCs w:val="21"/>
                <w:lang w:eastAsia="zh-CN"/>
              </w:rPr>
              <w:t>≥</w:t>
            </w: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0毫米，直径为20</w:t>
            </w:r>
            <w:r>
              <w:rPr>
                <w:rFonts w:hint="eastAsia" w:ascii="宋体" w:hAnsi="宋体" w:cs="宋体"/>
                <w:szCs w:val="21"/>
                <w:lang w:val="en-US" w:eastAsia="zh-CN"/>
              </w:rPr>
              <w:t>±5</w:t>
            </w:r>
            <w:r>
              <w:rPr>
                <w:rFonts w:hint="eastAsia" w:ascii="宋体" w:hAnsi="宋体" w:cs="宋体"/>
                <w:szCs w:val="21"/>
              </w:rPr>
              <w:t>毫米，具有粘膜层和浆膜层，适合练习各种肠管吻合术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3.34.3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可行肠管切开、分层缝合、打结、拆线等技能训练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3.35</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前列腺检查训练模型：数量1套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模型为前列腺检查技能训练，形态逼真，前列腺检查体位：肘膝卧位、右侧卧位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可更换的病变模块可秘密置于内部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可进行前列腺直肠指诊操作练习、</w:t>
            </w:r>
            <w:r>
              <w:rPr>
                <w:rFonts w:hint="eastAsia" w:ascii="宋体" w:hAnsi="宋体" w:cs="宋体"/>
              </w:rPr>
              <w:t>前列腺按摩练习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可用于肛门指诊操作程序的训练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3.35.5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可更换的模块：正常前列腺、左侧增生、右侧增生、Ⅰ期癌症、Ⅱ期癌症、Ⅲ期癌症、Ⅳ期癌症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3.36</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脂瘤（脂肪瘤）切除操作模块：数量1套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模块内置≥6个大小相仿的脂肪瘤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3.36.2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可进行脂肪瘤切除术、术后伤口处理练习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可与皮肤模块夹配合使用，可使皮肤具有真实的张力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b/>
                <w:bCs/>
                <w:szCs w:val="21"/>
              </w:rPr>
              <w:t>3.37</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胃镜及ERCP模型：数量1套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3.37.1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模型解剖结构精准，包括食管、贲门、胃腔、幽门、十二指肠冠部、降部、横部、升部等，多种常见胃肠道病变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3.37.2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镜下影像清晰、精确、真实感强，可进行食管镜、胃镜、十二肠镜等仪器的操作练习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3.37.3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可进行逆行性胰胆管造影术操作练习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3.38</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乙状结肠镜模型：数量1套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大肠模型安装在基板上，可观察大肠轮廓和肠腔内结构，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提供多种肠道病变模块，可练习肠镜检查操作，通过肠镜可观察肠内增生性结肠息肉和癌变，可识别良性和恶性病理变化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3.39</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骨科基本操作标准化病人：数量1套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模型为成年人，体表标志明显，关节灵活，可实现多种操作体位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模型有上肢前臂和下肢小腿骨折，有成角畸形及骨摩擦音，可教导学生进行不同类型骨折的识别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可练习骨折的夹板固定、包扎，骨折复位、搬运等操作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可练习常规心肺复苏；头可后仰，实现CPR体位；口对口呼吸，胸廓可有起伏；胸廓富有弹性，可行胸外按压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模型双侧瞳孔分别显示瞳孔散大（右眼）和正常瞳孔（左眼）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可模拟真实的颈动脉搏动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3.39.7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可进行的护理操作：鼻饲、洗胃术、导尿术、灌肠术、造瘘口护理、静脉注射、皮下注射、肌内注射、吸氧、眼部护理、外耳道冲洗等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3.40</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清创模型：数量1套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3.40.1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模型为整体人，关节灵活，可实现多种操作体位，其中有多处伤口，包括头、腹部、手背、股部等，皮肤结构清晰，具有皮肤真实张力，缝合后针眼不明显，可进行多次练习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3.40.2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可练习清创缝合术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3.40.2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可练习气管切开术后护理、造瘘口护理、肌肉注射护理功能等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3.40.3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配有一副面具套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腰椎穿刺模型：数量1套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模型上的腰1、腰2是裸露的、便于观察脊椎的形状结构；腰3—腰5是功能位，有明显的体表标志，便于触摸辨认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可以进行以下操作：①腰麻；②硬膜外麻醉；③骶尾麻醉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进针时有阻滞感。一旦注入相关部位，会有落空感同时会模拟脑脊液流出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模型可以立式穿刺和卧式穿刺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3.42</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气管插管半身模型：数量2套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模型为成年男性，解剖标志明显，仰卧位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可行仰头举颏、可后仰练习清除呼吸道异物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可行经口、鼻气管插管操作并配置电子监测系统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插入气道供气可使双肺膨胀，且有语音提示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插入食管供气可使胃膨胀，且有语音提示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喉镜压迫牙齿力度过大，有语音提示有电子监测系统，喉镜压迫牙齿力度过大、操作错误与正确均有语音提示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可进行鼻饲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可练习下胃管，胃部透明便于观察胃管插入的位置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可进行瞳孔示教，一侧瞳孔正常，一侧瞳孔散大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3.42.10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可进行气管插管操作，操作成功时，给予人工呼吸可见胸廓起伏，插入单侧支气管可见相应的单侧胸廓起伏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3.43</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肩关节穿刺模型：数量1套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模型解剖结构标准，具有肩胛骨、锁骨、肱骨、三角肌、肱二头肌及肩关节重要的韧带，用于训练肩关节穿刺定位的触诊技术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学习穿刺注射时病人的标准体位，可从6个不同的部位进行穿刺注射：肩关节腔（前方入路）、肩关节腔（后方入路）、肩峰下滑囊、肩锁关节、肱二头肌长头的肌腱腱鞘、肩钾上神经阻滞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智能评判系统：每个部位穿刺正确时，在控制盒上会有相应绿灯提示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皮肤表面可用肥皂水清洁，皮肤可更换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3.44</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肘关节穿刺模型：数量1套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w:t>
            </w:r>
            <w:r>
              <w:rPr>
                <w:rFonts w:hint="eastAsia" w:ascii="宋体" w:hAnsi="宋体" w:cs="宋体"/>
              </w:rPr>
              <w:t>解剖结构标准，具有肱骨内、外上髁、尺神经、尺骨、桡骨、肘关节腔等真实的结构，用于肘关节损伤和炎症的软组织关节腔内注射治疗训练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rPr>
              <w:t>高尔夫肘和网球肘的治疗体位摆放，</w:t>
            </w:r>
            <w:r>
              <w:rPr>
                <w:rFonts w:hint="eastAsia" w:ascii="宋体" w:hAnsi="宋体" w:cs="宋体"/>
                <w:szCs w:val="21"/>
              </w:rPr>
              <w:t>右臂肘关节弯曲，可沿固定轴旋转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3.44.3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当找到正确的压痛点，黄灯显示，当每个穿刺部位正确时，在控制盒上会有相应的绿灯显示，当针头进入伴于肱骨内上髁后方的尺神经时，以红灯显示错误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3.44.4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皮肤表面可用肥皂水清洁，皮肤可更换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3.45</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膝关节穿刺模型：数量1套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模型皮肤和肌肉分层清楚，具有完整的膝关节解剖结构，体表标志明显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可反复进行穿刺，标准的穿刺体位，易于针刺并有逼真的进针感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可一个单向阀向滑囊内反复注入液体，模拟滑囊液，滑囊自动封口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智能评判系统：每个部位穿刺正确时，在控制盒上会有相应绿灯提示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3.45.5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皮肤表面可用肥皂水清洁，皮肤可更换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3.46</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儿童模拟人：数量1套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模拟人双侧瞳孔正常、散大可对比观察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可气管切开护理、指血采集、TB试验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气道管理技术：逼真的口、鼻、舌、牙龈、咽、喉、食道、会厌、气管、气管环，可经口气管插管、吸痰、吸氧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一般护理：皮肤护理、穿换衣服、口腔护理、耳道清洗、包扎训练、更换尿布、冷热疗法、回肠、直肠、膀胱造瘘口护理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静脉输液/穿刺：手臂静脉、股静脉、足背静脉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肌肉注射：双侧三角肌、双侧股外侧肌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皮下注射：大腿外侧皮下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3.46.8</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骨髓穿刺：胫骨明显的体表标志，有模拟骨髓流出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3.46.9</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插胃管：可进行洗胃、罝肠减压操作，支持腹部听诊检测插管位置，插管成功后可抽吸出胃液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3.46.10</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导尿和灌肠：可更换男/女会阴，进行男/女导尿术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3.46.11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CPR操作训练：支持口对口、口对鼻、简易呼吸器对口等多种通气方式，电子监测吹气频率、吹气量、按压次数、按压频率、按压深度，吹气和按压可单项训练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3.47</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鼻腔出血模型：数量1套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模型为成年人上半身，解剖结构精确,有上鼻甲，中鼻甲，下鼻甲，标准的检查体位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模型内设光敏传感器，配有外置电子盒可提示，电子盒设有鼻出血模式、常规检查模式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打开开关后可练习鼻腔出血止血(鼻出血模式）、出血速度可调节、出血量可准确计量、正确的止血操作可成功止血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可进行鼻腔内镜检查（常规检查模式），当额镜正确对光到各个鼻甲时会有指示灯提示（上、中、下）鼻甲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3.47.5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按压左侧上颌窦，位置正确时有指示灯提示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3.48</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泪道冲洗模型：数量1套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3.48.1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模型为男性上半身仿真病人，有正确的坐位操作体位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3.48.2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模型具有正常的泪道解刨结构，包括泪小管，泪道，鼻泪管。泪小管可按照操作中的实际要求，随进针的角度变化而改变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3.48.3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可模拟练习泪道冲洗操作。冲洗操作正确，液体从鼻腔或口腔流出。可根据用户要求，在模拟的泪小管中加入模拟脓液，进行泪道阻塞后的冲洗操作训练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3.49</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吞咽与呼吸机制演示模型：数量1套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3.49.1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示教吞咽的机制原理、误咽的产生原因、正确吃饭姿势及其体位和病床角度的相互关系、颈部角度和误咽的相互关系、误咽发生时的紧急救治处理方法、口腔护理时的吞咽练习、如何经鼻下胃管和间断性经胃管管饲、口腔内部吸收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3.50</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rPr>
              <w:t>近视力表：</w:t>
            </w:r>
            <w:r>
              <w:rPr>
                <w:rFonts w:hint="eastAsia" w:ascii="宋体" w:hAnsi="宋体" w:cs="宋体"/>
                <w:b/>
                <w:bCs/>
                <w:szCs w:val="21"/>
              </w:rPr>
              <w:t>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3.50.1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标准对数、国际E字款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3.51</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无菌操作训练仿真标准化病人：数量1套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模型为整体成年人，关节灵活，解剖结构完整，练习术前无菌操作技术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可行手术区的准备练习：手术区域皮肤消毒、铺无菌布单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可练习全身各处手术切口的术前无菌操作：头、颈、胸、腹、背、肢体近端、远端、手（足）部等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可进行各部位包扎、伤口清洗、换药等练习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可练习眼部护理，如冲洗，滴药水等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3.51.6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可行肌肉注射练习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3.52</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开腹、关腹训练模型：数量1套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3.52.1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模型为仿真的腹壁，包括皮肤、皮下组织、肌肉、筋膜和腹膜，每层结构均可方便的拆卸更换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3.52.2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可进行腹部切开缝合练习，可逐层切开、逐层缝合、打结、剪线、拆线等外科基本技能训练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3.52.3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可模拟不同程度的腹壁厚度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3.52.4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装置在透明基座的多层腹壁模块可以用来演示开腹、关腹技巧，观察操作过程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3.53</w:t>
            </w:r>
          </w:p>
        </w:tc>
        <w:tc>
          <w:tcPr>
            <w:tcW w:w="7788" w:type="dxa"/>
            <w:gridSpan w:val="3"/>
            <w:vAlign w:val="center"/>
          </w:tcPr>
          <w:p>
            <w:pPr>
              <w:rPr>
                <w:rFonts w:hint="eastAsia" w:ascii="宋体" w:hAnsi="宋体" w:eastAsia="宋体" w:cs="宋体"/>
                <w:b/>
                <w:bCs/>
                <w:kern w:val="2"/>
                <w:sz w:val="21"/>
                <w:szCs w:val="21"/>
                <w:lang w:val="en-US" w:eastAsia="zh-CN" w:bidi="ar-SA"/>
              </w:rPr>
            </w:pPr>
            <w:r>
              <w:rPr>
                <w:rFonts w:hint="eastAsia" w:ascii="宋体" w:hAnsi="宋体" w:cs="宋体"/>
                <w:b/>
                <w:bCs/>
                <w:szCs w:val="21"/>
              </w:rPr>
              <w:t>动脉穿刺及检测套装：数量1套</w:t>
            </w:r>
            <w:r>
              <w:rPr>
                <w:rFonts w:hint="eastAsia" w:ascii="宋体" w:hAnsi="宋体" w:cs="宋体"/>
                <w:b/>
                <w:bCs/>
                <w:color w:val="FF0000"/>
                <w:szCs w:val="21"/>
              </w:rPr>
              <w:t>（需提供样品演示）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模型由为成人动脉右手臂与血液循环模拟器组成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可触及挠动脉、肱动脉搏动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可进行动脉穿刺训练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血液循环模拟器：模拟动脉血液循环，可根据情况调整收缩压、舒张压及脉搏频率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具有液晶显示屏幕，可显示脉搏频率、脉搏强度等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内置压力传感器，具有自动调节血压的功能，便于穿刺回血与输液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▲3.53.4.3</w:t>
            </w:r>
          </w:p>
        </w:tc>
        <w:tc>
          <w:tcPr>
            <w:tcW w:w="7788" w:type="dxa"/>
            <w:gridSpan w:val="3"/>
            <w:vAlign w:val="center"/>
          </w:tcPr>
          <w:p>
            <w:pPr>
              <w:rPr>
                <w:rFonts w:ascii="宋体" w:hAnsi="宋体" w:eastAsia="宋体" w:cs="宋体"/>
                <w:kern w:val="2"/>
                <w:sz w:val="21"/>
                <w:szCs w:val="21"/>
                <w:lang w:val="en-US" w:eastAsia="zh-CN" w:bidi="ar-SA"/>
              </w:rPr>
            </w:pPr>
            <w:r>
              <w:rPr>
                <w:rFonts w:hint="eastAsia" w:ascii="宋体" w:hAnsi="宋体" w:cs="宋体"/>
                <w:szCs w:val="21"/>
              </w:rPr>
              <w:t>加入血液后上电即可血液循环，无需排空或用注射器抽吸。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设置开关采用波段旋转开关，旋转时有声音提示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设有溢液口，防止点滴过程中液体溢出，可进行血液的回收。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内置大容量长续航电池，便于操作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3.53.4.7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清洗方面，倒入清水即可自动清洗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ascii="宋体" w:hAnsi="宋体" w:eastAsia="宋体" w:cs="宋体"/>
                <w:kern w:val="2"/>
                <w:sz w:val="21"/>
                <w:szCs w:val="21"/>
                <w:lang w:val="en-US" w:eastAsia="zh-CN" w:bidi="ar-SA"/>
              </w:rPr>
            </w:pPr>
            <w:r>
              <w:rPr>
                <w:rFonts w:hint="eastAsia" w:ascii="宋体" w:hAnsi="宋体" w:cs="宋体"/>
                <w:b/>
                <w:bCs/>
                <w:szCs w:val="21"/>
              </w:rPr>
              <w:t>3.54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b/>
                <w:bCs/>
                <w:szCs w:val="21"/>
              </w:rPr>
              <w:t>腹腔穿刺模型：数量1套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ascii="宋体" w:hAnsi="宋体" w:eastAsia="宋体" w:cs="宋体"/>
                <w:kern w:val="2"/>
                <w:sz w:val="21"/>
                <w:szCs w:val="21"/>
                <w:lang w:val="en-US" w:eastAsia="zh-CN" w:bidi="ar-SA"/>
              </w:rPr>
            </w:pPr>
            <w:r>
              <w:rPr>
                <w:rFonts w:hint="eastAsia" w:ascii="宋体" w:hAnsi="宋体" w:cs="宋体"/>
                <w:szCs w:val="21"/>
              </w:rPr>
              <w:t>3.54.1</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成年躯干部模型，解剖标志准确，胸骨柄上缘、胸骨角、肋骨、髂前上棘触诊清楚，便于确定穿刺部位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ascii="宋体" w:hAnsi="宋体" w:eastAsia="宋体" w:cs="宋体"/>
                <w:kern w:val="2"/>
                <w:sz w:val="21"/>
                <w:szCs w:val="21"/>
                <w:lang w:val="en-US" w:eastAsia="zh-CN" w:bidi="ar-SA"/>
              </w:rPr>
            </w:pPr>
            <w:r>
              <w:rPr>
                <w:rFonts w:hint="eastAsia" w:ascii="宋体" w:hAnsi="宋体" w:cs="宋体"/>
                <w:szCs w:val="21"/>
              </w:rPr>
              <w:t>3.54.2</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向腹膜腔中注液由手工操作改进为电动，只要操作电源开关即可，从而实现了自动化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3.54.3</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可进行腹腔穿刺，操作正确可抽出腹腔积液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3.54.4</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可进行腹腔诊断性穿刺与治疗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3.54.5</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可进行移动性浊音叩诊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3.54.6</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股静脉穿刺：连接全自动体外循环动脉搏动模拟器可触及股动脉博动，其内侧即为股静脉，确定深静脉穿刺的正确位置，穿刺成功时有明显的落空感及静脉回流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jc w:val="center"/>
              <w:rPr>
                <w:rFonts w:hint="eastAsia" w:ascii="宋体" w:hAnsi="宋体" w:eastAsia="宋体" w:cs="宋体"/>
                <w:kern w:val="2"/>
                <w:sz w:val="21"/>
                <w:szCs w:val="21"/>
                <w:lang w:val="en-US" w:eastAsia="zh-CN" w:bidi="ar-SA"/>
              </w:rPr>
            </w:pPr>
            <w:r>
              <w:rPr>
                <w:rFonts w:hint="eastAsia" w:ascii="宋体" w:hAnsi="宋体" w:cs="宋体"/>
                <w:szCs w:val="21"/>
              </w:rPr>
              <w:t>3.54.7</w:t>
            </w:r>
          </w:p>
        </w:tc>
        <w:tc>
          <w:tcPr>
            <w:tcW w:w="7788" w:type="dxa"/>
            <w:gridSpan w:val="3"/>
            <w:vAlign w:val="center"/>
          </w:tcPr>
          <w:p>
            <w:pPr>
              <w:rPr>
                <w:rFonts w:hint="eastAsia" w:ascii="宋体" w:hAnsi="宋体" w:eastAsia="宋体" w:cs="宋体"/>
                <w:kern w:val="2"/>
                <w:sz w:val="21"/>
                <w:szCs w:val="21"/>
                <w:lang w:val="en-US" w:eastAsia="zh-CN" w:bidi="ar-SA"/>
              </w:rPr>
            </w:pPr>
            <w:r>
              <w:rPr>
                <w:rFonts w:hint="eastAsia" w:ascii="宋体" w:hAnsi="宋体" w:cs="宋体"/>
                <w:szCs w:val="21"/>
              </w:rPr>
              <w:t>股静脉、股动脉更换方便，只要将破损处血管拽出剪除破损部分重新与动脉模拟器对接即可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eastAsia" w:ascii="Times New Roman" w:hAnsi="Times New Roman" w:eastAsia="宋体" w:cs="Times New Roman"/>
                <w:kern w:val="2"/>
                <w:sz w:val="21"/>
                <w:szCs w:val="21"/>
                <w:lang w:val="en-US" w:eastAsia="zh-CN" w:bidi="ar-SA"/>
              </w:rPr>
            </w:pPr>
            <w:r>
              <w:rPr>
                <w:szCs w:val="21"/>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序号</w:t>
            </w:r>
          </w:p>
        </w:tc>
        <w:tc>
          <w:tcPr>
            <w:tcW w:w="4887" w:type="dxa"/>
            <w:vAlign w:val="center"/>
          </w:tcPr>
          <w:p>
            <w:pPr>
              <w:ind w:firstLine="211" w:firstLineChars="100"/>
              <w:jc w:val="center"/>
              <w:rPr>
                <w:b/>
                <w:bCs/>
                <w:szCs w:val="21"/>
              </w:rPr>
            </w:pPr>
            <w:r>
              <w:rPr>
                <w:rFonts w:hint="eastAsia"/>
                <w:b/>
                <w:bCs/>
                <w:szCs w:val="21"/>
                <w:lang w:val="en-US" w:eastAsia="zh-CN"/>
              </w:rPr>
              <w:t>设备</w:t>
            </w:r>
          </w:p>
        </w:tc>
        <w:tc>
          <w:tcPr>
            <w:tcW w:w="2627" w:type="dxa"/>
            <w:vAlign w:val="center"/>
          </w:tcPr>
          <w:p>
            <w:pPr>
              <w:ind w:firstLine="211" w:firstLineChars="100"/>
              <w:jc w:val="center"/>
              <w:rPr>
                <w:b/>
                <w:bCs/>
                <w:szCs w:val="21"/>
              </w:rPr>
            </w:pPr>
            <w:r>
              <w:rPr>
                <w:rFonts w:hint="eastAsia"/>
                <w:b/>
                <w:bCs/>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w:t>
            </w:r>
          </w:p>
        </w:tc>
        <w:tc>
          <w:tcPr>
            <w:tcW w:w="4887" w:type="dxa"/>
            <w:vAlign w:val="center"/>
          </w:tcPr>
          <w:p>
            <w:pPr>
              <w:ind w:firstLine="211" w:firstLineChars="100"/>
              <w:jc w:val="left"/>
              <w:rPr>
                <w:b/>
                <w:bCs/>
                <w:szCs w:val="21"/>
              </w:rPr>
            </w:pPr>
            <w:r>
              <w:rPr>
                <w:rFonts w:hint="eastAsia"/>
                <w:b/>
                <w:bCs/>
                <w:szCs w:val="21"/>
                <w:lang w:val="en-US" w:eastAsia="zh-CN"/>
              </w:rPr>
              <w:t>宫腔镜模拟训练器</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w:t>
            </w:r>
          </w:p>
        </w:tc>
        <w:tc>
          <w:tcPr>
            <w:tcW w:w="4887" w:type="dxa"/>
            <w:vAlign w:val="center"/>
          </w:tcPr>
          <w:p>
            <w:pPr>
              <w:ind w:firstLine="211" w:firstLineChars="100"/>
              <w:jc w:val="left"/>
              <w:rPr>
                <w:b/>
                <w:bCs/>
                <w:szCs w:val="21"/>
              </w:rPr>
            </w:pPr>
            <w:r>
              <w:rPr>
                <w:rFonts w:hint="eastAsia"/>
                <w:b/>
                <w:bCs/>
                <w:szCs w:val="21"/>
                <w:lang w:val="en-US" w:eastAsia="zh-CN"/>
              </w:rPr>
              <w:t>妇科检查模拟人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w:t>
            </w:r>
          </w:p>
        </w:tc>
        <w:tc>
          <w:tcPr>
            <w:tcW w:w="4887" w:type="dxa"/>
            <w:vAlign w:val="center"/>
          </w:tcPr>
          <w:p>
            <w:pPr>
              <w:ind w:firstLine="211" w:firstLineChars="100"/>
              <w:jc w:val="left"/>
              <w:rPr>
                <w:b/>
                <w:bCs/>
                <w:szCs w:val="21"/>
              </w:rPr>
            </w:pPr>
            <w:r>
              <w:rPr>
                <w:rFonts w:hint="eastAsia"/>
                <w:b/>
                <w:bCs/>
                <w:szCs w:val="21"/>
                <w:lang w:val="en-US" w:eastAsia="zh-CN"/>
              </w:rPr>
              <w:t>女性综合护理人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w:t>
            </w:r>
          </w:p>
        </w:tc>
        <w:tc>
          <w:tcPr>
            <w:tcW w:w="4887" w:type="dxa"/>
            <w:vAlign w:val="center"/>
          </w:tcPr>
          <w:p>
            <w:pPr>
              <w:ind w:firstLine="211" w:firstLineChars="100"/>
              <w:jc w:val="left"/>
              <w:rPr>
                <w:b/>
                <w:bCs/>
                <w:szCs w:val="21"/>
              </w:rPr>
            </w:pPr>
            <w:r>
              <w:rPr>
                <w:rFonts w:hint="eastAsia"/>
                <w:b/>
                <w:bCs/>
                <w:szCs w:val="21"/>
                <w:lang w:val="en-US" w:eastAsia="zh-CN"/>
              </w:rPr>
              <w:t>舌象辅助诊断系统（可四诊仪兼容）</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w:t>
            </w:r>
          </w:p>
        </w:tc>
        <w:tc>
          <w:tcPr>
            <w:tcW w:w="4887" w:type="dxa"/>
            <w:vAlign w:val="center"/>
          </w:tcPr>
          <w:p>
            <w:pPr>
              <w:ind w:firstLine="211" w:firstLineChars="100"/>
              <w:jc w:val="left"/>
              <w:rPr>
                <w:b/>
                <w:bCs/>
                <w:szCs w:val="21"/>
              </w:rPr>
            </w:pPr>
            <w:r>
              <w:rPr>
                <w:rFonts w:hint="eastAsia"/>
                <w:b/>
                <w:bCs/>
                <w:szCs w:val="21"/>
                <w:lang w:val="en-US" w:eastAsia="zh-CN"/>
              </w:rPr>
              <w:t>足部穴位模型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6</w:t>
            </w:r>
          </w:p>
        </w:tc>
        <w:tc>
          <w:tcPr>
            <w:tcW w:w="4887" w:type="dxa"/>
            <w:vAlign w:val="center"/>
          </w:tcPr>
          <w:p>
            <w:pPr>
              <w:ind w:firstLine="211" w:firstLineChars="100"/>
              <w:jc w:val="left"/>
              <w:rPr>
                <w:b/>
                <w:bCs/>
                <w:szCs w:val="21"/>
              </w:rPr>
            </w:pPr>
            <w:r>
              <w:rPr>
                <w:rFonts w:hint="eastAsia"/>
                <w:b/>
                <w:bCs/>
                <w:szCs w:val="21"/>
                <w:lang w:val="en-US" w:eastAsia="zh-CN"/>
              </w:rPr>
              <w:t>AED训练器</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7</w:t>
            </w:r>
          </w:p>
        </w:tc>
        <w:tc>
          <w:tcPr>
            <w:tcW w:w="4887" w:type="dxa"/>
            <w:vAlign w:val="center"/>
          </w:tcPr>
          <w:p>
            <w:pPr>
              <w:ind w:firstLine="211" w:firstLineChars="100"/>
              <w:jc w:val="left"/>
              <w:rPr>
                <w:b/>
                <w:bCs/>
                <w:szCs w:val="21"/>
              </w:rPr>
            </w:pPr>
            <w:r>
              <w:rPr>
                <w:b/>
                <w:bCs/>
                <w:szCs w:val="21"/>
                <w:lang w:val="en-US" w:eastAsia="zh-CN"/>
              </w:rPr>
              <w:t>气道管理模型（成人）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8</w:t>
            </w:r>
          </w:p>
        </w:tc>
        <w:tc>
          <w:tcPr>
            <w:tcW w:w="4887" w:type="dxa"/>
            <w:vAlign w:val="center"/>
          </w:tcPr>
          <w:p>
            <w:pPr>
              <w:ind w:firstLine="211" w:firstLineChars="100"/>
              <w:jc w:val="left"/>
              <w:rPr>
                <w:b/>
                <w:bCs/>
                <w:szCs w:val="21"/>
              </w:rPr>
            </w:pPr>
            <w:r>
              <w:rPr>
                <w:b/>
                <w:bCs/>
                <w:szCs w:val="21"/>
                <w:lang w:val="en-US" w:eastAsia="zh-CN"/>
              </w:rPr>
              <w:t>气道管理模型（儿童）</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9</w:t>
            </w:r>
          </w:p>
        </w:tc>
        <w:tc>
          <w:tcPr>
            <w:tcW w:w="4887" w:type="dxa"/>
            <w:vAlign w:val="center"/>
          </w:tcPr>
          <w:p>
            <w:pPr>
              <w:ind w:firstLine="211" w:firstLineChars="100"/>
              <w:jc w:val="left"/>
              <w:rPr>
                <w:b/>
                <w:bCs/>
                <w:szCs w:val="21"/>
              </w:rPr>
            </w:pPr>
            <w:r>
              <w:rPr>
                <w:b/>
                <w:bCs/>
                <w:szCs w:val="21"/>
                <w:lang w:val="en-US" w:eastAsia="zh-CN"/>
              </w:rPr>
              <w:t>气道管理模型（婴儿）</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10</w:t>
            </w:r>
          </w:p>
        </w:tc>
        <w:tc>
          <w:tcPr>
            <w:tcW w:w="4887" w:type="dxa"/>
            <w:vAlign w:val="center"/>
          </w:tcPr>
          <w:p>
            <w:pPr>
              <w:ind w:firstLine="211" w:firstLineChars="100"/>
              <w:jc w:val="left"/>
              <w:rPr>
                <w:b/>
                <w:bCs/>
                <w:szCs w:val="21"/>
              </w:rPr>
            </w:pPr>
            <w:r>
              <w:rPr>
                <w:rFonts w:hint="eastAsia"/>
                <w:b/>
                <w:bCs/>
                <w:szCs w:val="21"/>
                <w:lang w:val="en-US" w:eastAsia="zh-CN"/>
              </w:rPr>
              <w:t>婴儿气道梗塞训练模型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11</w:t>
            </w:r>
          </w:p>
        </w:tc>
        <w:tc>
          <w:tcPr>
            <w:tcW w:w="4887" w:type="dxa"/>
            <w:vAlign w:val="center"/>
          </w:tcPr>
          <w:p>
            <w:pPr>
              <w:ind w:firstLine="211" w:firstLineChars="100"/>
              <w:jc w:val="left"/>
              <w:rPr>
                <w:b/>
                <w:bCs/>
                <w:szCs w:val="21"/>
              </w:rPr>
            </w:pPr>
            <w:r>
              <w:rPr>
                <w:rFonts w:hint="eastAsia"/>
                <w:b/>
                <w:bCs/>
                <w:szCs w:val="21"/>
                <w:lang w:val="en-US" w:eastAsia="zh-CN"/>
              </w:rPr>
              <w:t>低位包扎模型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12</w:t>
            </w:r>
          </w:p>
        </w:tc>
        <w:tc>
          <w:tcPr>
            <w:tcW w:w="4887" w:type="dxa"/>
            <w:vAlign w:val="center"/>
          </w:tcPr>
          <w:p>
            <w:pPr>
              <w:ind w:firstLine="211" w:firstLineChars="100"/>
              <w:jc w:val="left"/>
              <w:rPr>
                <w:b/>
                <w:bCs/>
                <w:szCs w:val="21"/>
              </w:rPr>
            </w:pPr>
            <w:r>
              <w:rPr>
                <w:rFonts w:hint="eastAsia"/>
                <w:b/>
                <w:bCs/>
                <w:szCs w:val="21"/>
                <w:lang w:val="en-US" w:eastAsia="zh-CN"/>
              </w:rPr>
              <w:t>高位包扎模型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13</w:t>
            </w:r>
          </w:p>
        </w:tc>
        <w:tc>
          <w:tcPr>
            <w:tcW w:w="4887" w:type="dxa"/>
            <w:vAlign w:val="center"/>
          </w:tcPr>
          <w:p>
            <w:pPr>
              <w:ind w:firstLine="211" w:firstLineChars="100"/>
              <w:jc w:val="left"/>
              <w:rPr>
                <w:b/>
                <w:bCs/>
                <w:szCs w:val="21"/>
              </w:rPr>
            </w:pPr>
            <w:r>
              <w:rPr>
                <w:rFonts w:hint="eastAsia"/>
                <w:b/>
                <w:bCs/>
                <w:szCs w:val="21"/>
                <w:lang w:val="en-US" w:eastAsia="zh-CN"/>
              </w:rPr>
              <w:t>交互式止血训练手臂</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14</w:t>
            </w:r>
          </w:p>
        </w:tc>
        <w:tc>
          <w:tcPr>
            <w:tcW w:w="4887" w:type="dxa"/>
            <w:vAlign w:val="center"/>
          </w:tcPr>
          <w:p>
            <w:pPr>
              <w:ind w:firstLine="211" w:firstLineChars="100"/>
              <w:jc w:val="left"/>
              <w:rPr>
                <w:b/>
                <w:bCs/>
                <w:szCs w:val="21"/>
              </w:rPr>
            </w:pPr>
            <w:r>
              <w:rPr>
                <w:rFonts w:hint="eastAsia"/>
                <w:b/>
                <w:bCs/>
                <w:szCs w:val="21"/>
                <w:lang w:val="en-US" w:eastAsia="zh-CN"/>
              </w:rPr>
              <w:t>交互式止血训练腿</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15</w:t>
            </w:r>
          </w:p>
        </w:tc>
        <w:tc>
          <w:tcPr>
            <w:tcW w:w="4887" w:type="dxa"/>
            <w:vAlign w:val="center"/>
          </w:tcPr>
          <w:p>
            <w:pPr>
              <w:ind w:firstLine="211" w:firstLineChars="100"/>
              <w:jc w:val="left"/>
              <w:rPr>
                <w:b/>
                <w:bCs/>
                <w:szCs w:val="21"/>
              </w:rPr>
            </w:pPr>
            <w:r>
              <w:rPr>
                <w:rFonts w:hint="eastAsia"/>
                <w:b/>
                <w:bCs/>
                <w:szCs w:val="21"/>
                <w:lang w:val="en-US" w:eastAsia="zh-CN"/>
              </w:rPr>
              <w:t>外周静脉穿刺插管术训练仿真模型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16</w:t>
            </w:r>
          </w:p>
        </w:tc>
        <w:tc>
          <w:tcPr>
            <w:tcW w:w="4887" w:type="dxa"/>
            <w:vAlign w:val="center"/>
          </w:tcPr>
          <w:p>
            <w:pPr>
              <w:ind w:firstLine="211" w:firstLineChars="100"/>
              <w:jc w:val="left"/>
              <w:rPr>
                <w:b/>
                <w:bCs/>
                <w:szCs w:val="21"/>
              </w:rPr>
            </w:pPr>
            <w:r>
              <w:rPr>
                <w:rFonts w:hint="eastAsia"/>
                <w:b/>
                <w:bCs/>
                <w:szCs w:val="21"/>
                <w:lang w:val="en-US" w:eastAsia="zh-CN"/>
              </w:rPr>
              <w:t>三腔二囊管模型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17</w:t>
            </w:r>
          </w:p>
        </w:tc>
        <w:tc>
          <w:tcPr>
            <w:tcW w:w="4887" w:type="dxa"/>
            <w:vAlign w:val="center"/>
          </w:tcPr>
          <w:p>
            <w:pPr>
              <w:ind w:firstLine="211" w:firstLineChars="100"/>
              <w:jc w:val="left"/>
              <w:rPr>
                <w:b/>
                <w:bCs/>
                <w:szCs w:val="21"/>
              </w:rPr>
            </w:pPr>
            <w:r>
              <w:rPr>
                <w:rFonts w:hint="eastAsia"/>
                <w:b/>
                <w:bCs/>
                <w:szCs w:val="21"/>
                <w:lang w:val="en-US" w:eastAsia="zh-CN"/>
              </w:rPr>
              <w:t>胸腔闭式引流术电子标准化病人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18</w:t>
            </w:r>
          </w:p>
        </w:tc>
        <w:tc>
          <w:tcPr>
            <w:tcW w:w="4887" w:type="dxa"/>
            <w:vAlign w:val="center"/>
          </w:tcPr>
          <w:p>
            <w:pPr>
              <w:ind w:firstLine="211" w:firstLineChars="100"/>
              <w:jc w:val="left"/>
              <w:rPr>
                <w:b/>
                <w:bCs/>
                <w:szCs w:val="21"/>
              </w:rPr>
            </w:pPr>
            <w:r>
              <w:rPr>
                <w:rFonts w:hint="eastAsia"/>
                <w:b/>
                <w:bCs/>
                <w:szCs w:val="21"/>
                <w:lang w:val="en-US" w:eastAsia="zh-CN"/>
              </w:rPr>
              <w:t>支气管内窥镜操作模型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19</w:t>
            </w:r>
          </w:p>
        </w:tc>
        <w:tc>
          <w:tcPr>
            <w:tcW w:w="4887" w:type="dxa"/>
            <w:vAlign w:val="center"/>
          </w:tcPr>
          <w:p>
            <w:pPr>
              <w:ind w:firstLine="211" w:firstLineChars="100"/>
              <w:jc w:val="left"/>
              <w:rPr>
                <w:b/>
                <w:bCs/>
                <w:szCs w:val="21"/>
              </w:rPr>
            </w:pPr>
            <w:r>
              <w:rPr>
                <w:rFonts w:hint="eastAsia"/>
                <w:b/>
                <w:bCs/>
                <w:szCs w:val="21"/>
                <w:lang w:val="en-US" w:eastAsia="zh-CN"/>
              </w:rPr>
              <w:t>心电图教学系统</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20</w:t>
            </w:r>
          </w:p>
        </w:tc>
        <w:tc>
          <w:tcPr>
            <w:tcW w:w="4887" w:type="dxa"/>
            <w:vAlign w:val="center"/>
          </w:tcPr>
          <w:p>
            <w:pPr>
              <w:ind w:firstLine="211" w:firstLineChars="100"/>
              <w:jc w:val="left"/>
              <w:rPr>
                <w:b/>
                <w:bCs/>
                <w:szCs w:val="21"/>
              </w:rPr>
            </w:pPr>
            <w:r>
              <w:rPr>
                <w:rFonts w:hint="eastAsia"/>
                <w:b/>
                <w:bCs/>
                <w:szCs w:val="21"/>
                <w:lang w:val="en-US" w:eastAsia="zh-CN"/>
              </w:rPr>
              <w:t>心包穿刺模型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21</w:t>
            </w:r>
          </w:p>
        </w:tc>
        <w:tc>
          <w:tcPr>
            <w:tcW w:w="4887" w:type="dxa"/>
            <w:vAlign w:val="center"/>
          </w:tcPr>
          <w:p>
            <w:pPr>
              <w:ind w:firstLine="211" w:firstLineChars="100"/>
              <w:jc w:val="left"/>
              <w:rPr>
                <w:b/>
                <w:bCs/>
                <w:szCs w:val="21"/>
              </w:rPr>
            </w:pPr>
            <w:r>
              <w:rPr>
                <w:rFonts w:hint="eastAsia"/>
                <w:b/>
                <w:bCs/>
                <w:szCs w:val="21"/>
                <w:lang w:val="en-US" w:eastAsia="zh-CN"/>
              </w:rPr>
              <w:t>股静脉与动脉注射穿刺模型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22</w:t>
            </w:r>
          </w:p>
        </w:tc>
        <w:tc>
          <w:tcPr>
            <w:tcW w:w="4887" w:type="dxa"/>
            <w:vAlign w:val="center"/>
          </w:tcPr>
          <w:p>
            <w:pPr>
              <w:ind w:firstLine="211" w:firstLineChars="100"/>
              <w:jc w:val="left"/>
              <w:rPr>
                <w:b/>
                <w:bCs/>
                <w:szCs w:val="21"/>
              </w:rPr>
            </w:pPr>
            <w:r>
              <w:rPr>
                <w:rFonts w:hint="eastAsia"/>
                <w:b/>
                <w:bCs/>
                <w:szCs w:val="21"/>
                <w:lang w:val="en-US" w:eastAsia="zh-CN"/>
              </w:rPr>
              <w:t>男性导尿模型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23</w:t>
            </w:r>
          </w:p>
        </w:tc>
        <w:tc>
          <w:tcPr>
            <w:tcW w:w="4887" w:type="dxa"/>
            <w:vAlign w:val="center"/>
          </w:tcPr>
          <w:p>
            <w:pPr>
              <w:ind w:firstLine="211" w:firstLineChars="100"/>
              <w:jc w:val="left"/>
              <w:rPr>
                <w:b/>
                <w:bCs/>
                <w:szCs w:val="21"/>
              </w:rPr>
            </w:pPr>
            <w:r>
              <w:rPr>
                <w:rFonts w:hint="eastAsia"/>
                <w:b/>
                <w:bCs/>
                <w:szCs w:val="21"/>
                <w:lang w:val="en-US" w:eastAsia="zh-CN"/>
              </w:rPr>
              <w:t>全功能诊疗穿刺术模拟病人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24</w:t>
            </w:r>
          </w:p>
        </w:tc>
        <w:tc>
          <w:tcPr>
            <w:tcW w:w="4887" w:type="dxa"/>
            <w:vAlign w:val="center"/>
          </w:tcPr>
          <w:p>
            <w:pPr>
              <w:ind w:firstLine="211" w:firstLineChars="100"/>
              <w:jc w:val="left"/>
              <w:rPr>
                <w:b/>
                <w:bCs/>
                <w:szCs w:val="21"/>
              </w:rPr>
            </w:pPr>
            <w:r>
              <w:rPr>
                <w:rFonts w:hint="eastAsia"/>
                <w:b/>
                <w:bCs/>
                <w:szCs w:val="21"/>
                <w:lang w:val="en-US" w:eastAsia="zh-CN"/>
              </w:rPr>
              <w:t>外科多技能训练模型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25</w:t>
            </w:r>
          </w:p>
        </w:tc>
        <w:tc>
          <w:tcPr>
            <w:tcW w:w="4887" w:type="dxa"/>
            <w:vAlign w:val="center"/>
          </w:tcPr>
          <w:p>
            <w:pPr>
              <w:ind w:firstLine="211" w:firstLineChars="100"/>
              <w:jc w:val="left"/>
              <w:rPr>
                <w:b/>
                <w:bCs/>
                <w:szCs w:val="21"/>
              </w:rPr>
            </w:pPr>
            <w:r>
              <w:rPr>
                <w:rFonts w:hint="eastAsia"/>
                <w:b/>
                <w:bCs/>
                <w:szCs w:val="21"/>
                <w:lang w:val="en-US" w:eastAsia="zh-CN"/>
              </w:rPr>
              <w:t>全身切口换药及引流管管理模型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26</w:t>
            </w:r>
          </w:p>
        </w:tc>
        <w:tc>
          <w:tcPr>
            <w:tcW w:w="4887" w:type="dxa"/>
            <w:vAlign w:val="center"/>
          </w:tcPr>
          <w:p>
            <w:pPr>
              <w:ind w:firstLine="211" w:firstLineChars="100"/>
              <w:jc w:val="left"/>
              <w:rPr>
                <w:b/>
                <w:bCs/>
                <w:szCs w:val="21"/>
              </w:rPr>
            </w:pPr>
            <w:r>
              <w:rPr>
                <w:rFonts w:hint="eastAsia"/>
                <w:b/>
                <w:bCs/>
                <w:szCs w:val="21"/>
                <w:lang w:val="en-US" w:eastAsia="zh-CN"/>
              </w:rPr>
              <w:t>瘘管造口术模型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27</w:t>
            </w:r>
          </w:p>
        </w:tc>
        <w:tc>
          <w:tcPr>
            <w:tcW w:w="4887" w:type="dxa"/>
            <w:vAlign w:val="center"/>
          </w:tcPr>
          <w:p>
            <w:pPr>
              <w:ind w:firstLine="211" w:firstLineChars="100"/>
              <w:jc w:val="left"/>
              <w:rPr>
                <w:b/>
                <w:bCs/>
                <w:szCs w:val="21"/>
              </w:rPr>
            </w:pPr>
            <w:r>
              <w:rPr>
                <w:rFonts w:hint="eastAsia"/>
                <w:b/>
                <w:bCs/>
                <w:szCs w:val="21"/>
                <w:lang w:val="en-US" w:eastAsia="zh-CN"/>
              </w:rPr>
              <w:t>术前无菌操作模型人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28</w:t>
            </w:r>
          </w:p>
        </w:tc>
        <w:tc>
          <w:tcPr>
            <w:tcW w:w="4887" w:type="dxa"/>
            <w:vAlign w:val="center"/>
          </w:tcPr>
          <w:p>
            <w:pPr>
              <w:ind w:firstLine="211" w:firstLineChars="100"/>
              <w:jc w:val="left"/>
              <w:rPr>
                <w:b/>
                <w:bCs/>
                <w:szCs w:val="21"/>
              </w:rPr>
            </w:pPr>
            <w:r>
              <w:rPr>
                <w:rFonts w:hint="eastAsia"/>
                <w:b/>
                <w:bCs/>
                <w:szCs w:val="21"/>
                <w:lang w:val="en-US" w:eastAsia="zh-CN"/>
              </w:rPr>
              <w:t>深部打结训练及考核指导模型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29</w:t>
            </w:r>
          </w:p>
        </w:tc>
        <w:tc>
          <w:tcPr>
            <w:tcW w:w="4887" w:type="dxa"/>
            <w:vAlign w:val="center"/>
          </w:tcPr>
          <w:p>
            <w:pPr>
              <w:ind w:firstLine="211" w:firstLineChars="100"/>
              <w:jc w:val="left"/>
              <w:rPr>
                <w:b/>
                <w:bCs/>
                <w:szCs w:val="21"/>
              </w:rPr>
            </w:pPr>
            <w:r>
              <w:rPr>
                <w:rFonts w:hint="eastAsia"/>
                <w:b/>
                <w:bCs/>
                <w:szCs w:val="21"/>
                <w:lang w:val="en-US" w:eastAsia="zh-CN"/>
              </w:rPr>
              <w:t>血管分离结扎训练模型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30</w:t>
            </w:r>
          </w:p>
        </w:tc>
        <w:tc>
          <w:tcPr>
            <w:tcW w:w="4887" w:type="dxa"/>
            <w:vAlign w:val="center"/>
          </w:tcPr>
          <w:p>
            <w:pPr>
              <w:ind w:firstLine="211" w:firstLineChars="100"/>
              <w:jc w:val="left"/>
              <w:rPr>
                <w:b/>
                <w:bCs/>
                <w:szCs w:val="21"/>
              </w:rPr>
            </w:pPr>
            <w:r>
              <w:rPr>
                <w:rFonts w:hint="eastAsia"/>
                <w:b/>
                <w:bCs/>
                <w:szCs w:val="21"/>
                <w:lang w:val="en-US" w:eastAsia="zh-CN"/>
              </w:rPr>
              <w:t>疮疡（脓肿）鉴别与切开操作模板</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31</w:t>
            </w:r>
          </w:p>
        </w:tc>
        <w:tc>
          <w:tcPr>
            <w:tcW w:w="4887" w:type="dxa"/>
            <w:vAlign w:val="center"/>
          </w:tcPr>
          <w:p>
            <w:pPr>
              <w:ind w:firstLine="211" w:firstLineChars="100"/>
              <w:jc w:val="left"/>
              <w:rPr>
                <w:b/>
                <w:bCs/>
                <w:szCs w:val="21"/>
              </w:rPr>
            </w:pPr>
            <w:r>
              <w:rPr>
                <w:rFonts w:hint="eastAsia"/>
                <w:b/>
                <w:bCs/>
                <w:szCs w:val="21"/>
                <w:lang w:val="en-US" w:eastAsia="zh-CN"/>
              </w:rPr>
              <w:t>颅骨模型（带脑组织及血管）</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32</w:t>
            </w:r>
          </w:p>
        </w:tc>
        <w:tc>
          <w:tcPr>
            <w:tcW w:w="4887" w:type="dxa"/>
            <w:vAlign w:val="center"/>
          </w:tcPr>
          <w:p>
            <w:pPr>
              <w:ind w:firstLine="211" w:firstLineChars="100"/>
              <w:jc w:val="left"/>
              <w:rPr>
                <w:b/>
                <w:bCs/>
                <w:szCs w:val="21"/>
              </w:rPr>
            </w:pPr>
            <w:r>
              <w:rPr>
                <w:rFonts w:hint="eastAsia"/>
                <w:b/>
                <w:bCs/>
                <w:szCs w:val="21"/>
                <w:lang w:val="en-US" w:eastAsia="zh-CN"/>
              </w:rPr>
              <w:t>多功能洗胃训练模型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33</w:t>
            </w:r>
          </w:p>
        </w:tc>
        <w:tc>
          <w:tcPr>
            <w:tcW w:w="4887" w:type="dxa"/>
            <w:vAlign w:val="center"/>
          </w:tcPr>
          <w:p>
            <w:pPr>
              <w:ind w:firstLine="211" w:firstLineChars="100"/>
              <w:jc w:val="left"/>
              <w:rPr>
                <w:b/>
                <w:bCs/>
                <w:szCs w:val="21"/>
              </w:rPr>
            </w:pPr>
            <w:r>
              <w:rPr>
                <w:rFonts w:hint="eastAsia"/>
                <w:b/>
                <w:bCs/>
                <w:szCs w:val="21"/>
                <w:lang w:val="en-US" w:eastAsia="zh-CN"/>
              </w:rPr>
              <w:t>胸腔穿刺电子标准化病人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34</w:t>
            </w:r>
          </w:p>
        </w:tc>
        <w:tc>
          <w:tcPr>
            <w:tcW w:w="4887" w:type="dxa"/>
            <w:vAlign w:val="center"/>
          </w:tcPr>
          <w:p>
            <w:pPr>
              <w:ind w:firstLine="211" w:firstLineChars="100"/>
              <w:jc w:val="left"/>
              <w:rPr>
                <w:b/>
                <w:bCs/>
                <w:szCs w:val="21"/>
              </w:rPr>
            </w:pPr>
            <w:r>
              <w:rPr>
                <w:rFonts w:hint="eastAsia"/>
                <w:b/>
                <w:bCs/>
                <w:szCs w:val="21"/>
                <w:lang w:val="en-US" w:eastAsia="zh-CN"/>
              </w:rPr>
              <w:t>肠管吻合模型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35</w:t>
            </w:r>
          </w:p>
        </w:tc>
        <w:tc>
          <w:tcPr>
            <w:tcW w:w="4887" w:type="dxa"/>
            <w:vAlign w:val="center"/>
          </w:tcPr>
          <w:p>
            <w:pPr>
              <w:ind w:firstLine="211" w:firstLineChars="100"/>
              <w:jc w:val="left"/>
              <w:rPr>
                <w:b/>
                <w:bCs/>
                <w:szCs w:val="21"/>
              </w:rPr>
            </w:pPr>
            <w:r>
              <w:rPr>
                <w:rFonts w:hint="eastAsia"/>
                <w:b/>
                <w:bCs/>
                <w:szCs w:val="21"/>
                <w:lang w:val="en-US" w:eastAsia="zh-CN"/>
              </w:rPr>
              <w:t>前列腺检查训练模型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36</w:t>
            </w:r>
          </w:p>
        </w:tc>
        <w:tc>
          <w:tcPr>
            <w:tcW w:w="4887" w:type="dxa"/>
            <w:vAlign w:val="center"/>
          </w:tcPr>
          <w:p>
            <w:pPr>
              <w:ind w:firstLine="211" w:firstLineChars="100"/>
              <w:jc w:val="left"/>
              <w:rPr>
                <w:b/>
                <w:bCs/>
                <w:szCs w:val="21"/>
              </w:rPr>
            </w:pPr>
            <w:r>
              <w:rPr>
                <w:rFonts w:hint="eastAsia"/>
                <w:b/>
                <w:bCs/>
                <w:szCs w:val="21"/>
                <w:lang w:val="en-US" w:eastAsia="zh-CN"/>
              </w:rPr>
              <w:t>脂瘤（脂肪瘤）切除操作模板</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37</w:t>
            </w:r>
          </w:p>
        </w:tc>
        <w:tc>
          <w:tcPr>
            <w:tcW w:w="4887" w:type="dxa"/>
            <w:vAlign w:val="center"/>
          </w:tcPr>
          <w:p>
            <w:pPr>
              <w:ind w:firstLine="211" w:firstLineChars="100"/>
              <w:jc w:val="left"/>
              <w:rPr>
                <w:b/>
                <w:bCs/>
                <w:szCs w:val="21"/>
              </w:rPr>
            </w:pPr>
            <w:r>
              <w:rPr>
                <w:rFonts w:hint="eastAsia"/>
                <w:b/>
                <w:bCs/>
                <w:szCs w:val="21"/>
                <w:lang w:val="en-US" w:eastAsia="zh-CN"/>
              </w:rPr>
              <w:t>胃镜及ERCP模型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38</w:t>
            </w:r>
          </w:p>
        </w:tc>
        <w:tc>
          <w:tcPr>
            <w:tcW w:w="4887" w:type="dxa"/>
            <w:vAlign w:val="center"/>
          </w:tcPr>
          <w:p>
            <w:pPr>
              <w:ind w:firstLine="211" w:firstLineChars="100"/>
              <w:jc w:val="left"/>
              <w:rPr>
                <w:b/>
                <w:bCs/>
                <w:szCs w:val="21"/>
              </w:rPr>
            </w:pPr>
            <w:r>
              <w:rPr>
                <w:rFonts w:hint="eastAsia"/>
                <w:b/>
                <w:bCs/>
                <w:szCs w:val="21"/>
                <w:lang w:val="en-US" w:eastAsia="zh-CN"/>
              </w:rPr>
              <w:t>乙状结肠镜模型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39</w:t>
            </w:r>
          </w:p>
        </w:tc>
        <w:tc>
          <w:tcPr>
            <w:tcW w:w="4887" w:type="dxa"/>
            <w:vAlign w:val="center"/>
          </w:tcPr>
          <w:p>
            <w:pPr>
              <w:ind w:firstLine="211" w:firstLineChars="100"/>
              <w:jc w:val="left"/>
              <w:rPr>
                <w:b/>
                <w:bCs/>
                <w:szCs w:val="21"/>
              </w:rPr>
            </w:pPr>
            <w:r>
              <w:rPr>
                <w:rFonts w:hint="eastAsia"/>
                <w:b/>
                <w:bCs/>
                <w:szCs w:val="21"/>
                <w:lang w:val="en-US" w:eastAsia="zh-CN"/>
              </w:rPr>
              <w:t>骨科基本操作标准化病人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40</w:t>
            </w:r>
          </w:p>
        </w:tc>
        <w:tc>
          <w:tcPr>
            <w:tcW w:w="4887" w:type="dxa"/>
            <w:vAlign w:val="center"/>
          </w:tcPr>
          <w:p>
            <w:pPr>
              <w:ind w:firstLine="211" w:firstLineChars="100"/>
              <w:jc w:val="left"/>
              <w:rPr>
                <w:b/>
                <w:bCs/>
                <w:szCs w:val="21"/>
              </w:rPr>
            </w:pPr>
            <w:r>
              <w:rPr>
                <w:rFonts w:hint="eastAsia"/>
                <w:b/>
                <w:bCs/>
                <w:szCs w:val="21"/>
                <w:lang w:val="en-US" w:eastAsia="zh-CN"/>
              </w:rPr>
              <w:t>清创模型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41</w:t>
            </w:r>
          </w:p>
        </w:tc>
        <w:tc>
          <w:tcPr>
            <w:tcW w:w="4887" w:type="dxa"/>
            <w:vAlign w:val="center"/>
          </w:tcPr>
          <w:p>
            <w:pPr>
              <w:ind w:firstLine="211" w:firstLineChars="100"/>
              <w:jc w:val="left"/>
              <w:rPr>
                <w:b/>
                <w:bCs/>
                <w:szCs w:val="21"/>
              </w:rPr>
            </w:pPr>
            <w:r>
              <w:rPr>
                <w:rFonts w:hint="eastAsia"/>
                <w:b/>
                <w:bCs/>
                <w:szCs w:val="21"/>
                <w:lang w:val="en-US" w:eastAsia="zh-CN"/>
              </w:rPr>
              <w:t>腰椎穿刺模型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42</w:t>
            </w:r>
          </w:p>
        </w:tc>
        <w:tc>
          <w:tcPr>
            <w:tcW w:w="4887" w:type="dxa"/>
            <w:vAlign w:val="center"/>
          </w:tcPr>
          <w:p>
            <w:pPr>
              <w:ind w:firstLine="211" w:firstLineChars="100"/>
              <w:jc w:val="left"/>
              <w:rPr>
                <w:b/>
                <w:bCs/>
                <w:szCs w:val="21"/>
              </w:rPr>
            </w:pPr>
            <w:r>
              <w:rPr>
                <w:rFonts w:hint="eastAsia"/>
                <w:b/>
                <w:bCs/>
                <w:szCs w:val="21"/>
                <w:lang w:val="en-US" w:eastAsia="zh-CN"/>
              </w:rPr>
              <w:t>气管插管半身模型</w:t>
            </w:r>
          </w:p>
        </w:tc>
        <w:tc>
          <w:tcPr>
            <w:tcW w:w="2627" w:type="dxa"/>
            <w:vAlign w:val="center"/>
          </w:tcPr>
          <w:p>
            <w:pPr>
              <w:ind w:firstLine="211" w:firstLineChars="100"/>
              <w:jc w:val="center"/>
              <w:rPr>
                <w:b/>
                <w:bCs/>
                <w:szCs w:val="21"/>
              </w:rPr>
            </w:pPr>
            <w:r>
              <w:rPr>
                <w:rFonts w:hint="eastAsia"/>
                <w:b/>
                <w:bCs/>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43</w:t>
            </w:r>
          </w:p>
        </w:tc>
        <w:tc>
          <w:tcPr>
            <w:tcW w:w="4887" w:type="dxa"/>
            <w:vAlign w:val="center"/>
          </w:tcPr>
          <w:p>
            <w:pPr>
              <w:ind w:firstLine="211" w:firstLineChars="100"/>
              <w:jc w:val="left"/>
              <w:rPr>
                <w:b/>
                <w:bCs/>
                <w:szCs w:val="21"/>
              </w:rPr>
            </w:pPr>
            <w:r>
              <w:rPr>
                <w:rFonts w:hint="eastAsia"/>
                <w:b/>
                <w:bCs/>
                <w:szCs w:val="21"/>
                <w:lang w:val="en-US" w:eastAsia="zh-CN"/>
              </w:rPr>
              <w:t>肩关节穿刺模型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44</w:t>
            </w:r>
          </w:p>
        </w:tc>
        <w:tc>
          <w:tcPr>
            <w:tcW w:w="4887" w:type="dxa"/>
            <w:vAlign w:val="center"/>
          </w:tcPr>
          <w:p>
            <w:pPr>
              <w:ind w:firstLine="211" w:firstLineChars="100"/>
              <w:jc w:val="left"/>
              <w:rPr>
                <w:b/>
                <w:bCs/>
                <w:szCs w:val="21"/>
              </w:rPr>
            </w:pPr>
            <w:r>
              <w:rPr>
                <w:rFonts w:hint="eastAsia"/>
                <w:b/>
                <w:bCs/>
                <w:szCs w:val="21"/>
                <w:lang w:val="en-US" w:eastAsia="zh-CN"/>
              </w:rPr>
              <w:t>肘关节穿刺模型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45</w:t>
            </w:r>
          </w:p>
        </w:tc>
        <w:tc>
          <w:tcPr>
            <w:tcW w:w="4887" w:type="dxa"/>
            <w:vAlign w:val="center"/>
          </w:tcPr>
          <w:p>
            <w:pPr>
              <w:ind w:firstLine="211" w:firstLineChars="100"/>
              <w:jc w:val="left"/>
              <w:rPr>
                <w:b/>
                <w:bCs/>
                <w:szCs w:val="21"/>
              </w:rPr>
            </w:pPr>
            <w:r>
              <w:rPr>
                <w:rFonts w:hint="eastAsia"/>
                <w:b/>
                <w:bCs/>
                <w:szCs w:val="21"/>
                <w:lang w:val="en-US" w:eastAsia="zh-CN"/>
              </w:rPr>
              <w:t>膝关节穿刺模型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46</w:t>
            </w:r>
          </w:p>
        </w:tc>
        <w:tc>
          <w:tcPr>
            <w:tcW w:w="4887" w:type="dxa"/>
            <w:vAlign w:val="center"/>
          </w:tcPr>
          <w:p>
            <w:pPr>
              <w:ind w:firstLine="211" w:firstLineChars="100"/>
              <w:jc w:val="left"/>
              <w:rPr>
                <w:b/>
                <w:bCs/>
                <w:szCs w:val="21"/>
              </w:rPr>
            </w:pPr>
            <w:r>
              <w:rPr>
                <w:rFonts w:hint="eastAsia"/>
                <w:b/>
                <w:bCs/>
                <w:szCs w:val="21"/>
                <w:lang w:val="en-US" w:eastAsia="zh-CN"/>
              </w:rPr>
              <w:t>儿童模拟人</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47</w:t>
            </w:r>
          </w:p>
        </w:tc>
        <w:tc>
          <w:tcPr>
            <w:tcW w:w="4887" w:type="dxa"/>
            <w:vAlign w:val="center"/>
          </w:tcPr>
          <w:p>
            <w:pPr>
              <w:ind w:firstLine="211" w:firstLineChars="100"/>
              <w:jc w:val="left"/>
              <w:rPr>
                <w:b/>
                <w:bCs/>
                <w:szCs w:val="21"/>
              </w:rPr>
            </w:pPr>
            <w:r>
              <w:rPr>
                <w:rFonts w:hint="eastAsia"/>
                <w:b/>
                <w:bCs/>
                <w:szCs w:val="21"/>
                <w:lang w:val="en-US" w:eastAsia="zh-CN"/>
              </w:rPr>
              <w:t>鼻腔出血模型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48</w:t>
            </w:r>
          </w:p>
        </w:tc>
        <w:tc>
          <w:tcPr>
            <w:tcW w:w="4887" w:type="dxa"/>
            <w:vAlign w:val="center"/>
          </w:tcPr>
          <w:p>
            <w:pPr>
              <w:ind w:firstLine="211" w:firstLineChars="100"/>
              <w:jc w:val="left"/>
              <w:rPr>
                <w:b/>
                <w:bCs/>
                <w:szCs w:val="21"/>
              </w:rPr>
            </w:pPr>
            <w:r>
              <w:rPr>
                <w:rFonts w:hint="eastAsia"/>
                <w:b/>
                <w:bCs/>
                <w:szCs w:val="21"/>
                <w:lang w:val="en-US" w:eastAsia="zh-CN"/>
              </w:rPr>
              <w:t>泪道冲洗模型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49</w:t>
            </w:r>
          </w:p>
        </w:tc>
        <w:tc>
          <w:tcPr>
            <w:tcW w:w="4887" w:type="dxa"/>
            <w:vAlign w:val="center"/>
          </w:tcPr>
          <w:p>
            <w:pPr>
              <w:ind w:firstLine="211" w:firstLineChars="100"/>
              <w:jc w:val="left"/>
              <w:rPr>
                <w:b/>
                <w:bCs/>
                <w:szCs w:val="21"/>
              </w:rPr>
            </w:pPr>
            <w:r>
              <w:rPr>
                <w:rFonts w:hint="eastAsia"/>
                <w:b/>
                <w:bCs/>
                <w:szCs w:val="21"/>
                <w:lang w:val="en-US" w:eastAsia="zh-CN"/>
              </w:rPr>
              <w:t>吞咽与呼吸机制演示模型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50</w:t>
            </w:r>
          </w:p>
        </w:tc>
        <w:tc>
          <w:tcPr>
            <w:tcW w:w="4887" w:type="dxa"/>
            <w:vAlign w:val="center"/>
          </w:tcPr>
          <w:p>
            <w:pPr>
              <w:ind w:firstLine="211" w:firstLineChars="100"/>
              <w:jc w:val="left"/>
              <w:rPr>
                <w:b/>
                <w:bCs/>
                <w:szCs w:val="21"/>
              </w:rPr>
            </w:pPr>
            <w:r>
              <w:rPr>
                <w:rFonts w:hint="eastAsia"/>
                <w:b/>
                <w:bCs/>
                <w:szCs w:val="21"/>
                <w:lang w:val="en-US" w:eastAsia="zh-CN"/>
              </w:rPr>
              <w:t>近视力表</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51</w:t>
            </w:r>
          </w:p>
        </w:tc>
        <w:tc>
          <w:tcPr>
            <w:tcW w:w="4887" w:type="dxa"/>
            <w:vAlign w:val="center"/>
          </w:tcPr>
          <w:p>
            <w:pPr>
              <w:ind w:firstLine="211" w:firstLineChars="100"/>
              <w:jc w:val="left"/>
              <w:rPr>
                <w:b/>
                <w:bCs/>
                <w:szCs w:val="21"/>
              </w:rPr>
            </w:pPr>
            <w:r>
              <w:rPr>
                <w:rFonts w:hint="eastAsia"/>
                <w:b/>
                <w:bCs/>
                <w:szCs w:val="21"/>
                <w:lang w:val="en-US" w:eastAsia="zh-CN"/>
              </w:rPr>
              <w:t>无菌操作训练仿真标准化病人</w:t>
            </w:r>
          </w:p>
        </w:tc>
        <w:tc>
          <w:tcPr>
            <w:tcW w:w="2627" w:type="dxa"/>
            <w:vAlign w:val="center"/>
          </w:tcPr>
          <w:p>
            <w:pPr>
              <w:ind w:firstLine="211" w:firstLineChars="100"/>
              <w:jc w:val="center"/>
              <w:rPr>
                <w:b/>
                <w:bCs/>
                <w:szCs w:val="21"/>
              </w:rPr>
            </w:pPr>
            <w:r>
              <w:rPr>
                <w:rFonts w:hint="default"/>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52</w:t>
            </w:r>
          </w:p>
        </w:tc>
        <w:tc>
          <w:tcPr>
            <w:tcW w:w="4887" w:type="dxa"/>
            <w:vAlign w:val="center"/>
          </w:tcPr>
          <w:p>
            <w:pPr>
              <w:ind w:firstLine="211" w:firstLineChars="100"/>
              <w:jc w:val="left"/>
              <w:rPr>
                <w:b/>
                <w:bCs/>
                <w:szCs w:val="21"/>
              </w:rPr>
            </w:pPr>
            <w:r>
              <w:rPr>
                <w:rFonts w:hint="eastAsia"/>
                <w:b/>
                <w:bCs/>
                <w:szCs w:val="21"/>
                <w:lang w:val="en-US" w:eastAsia="zh-CN"/>
              </w:rPr>
              <w:t>开腹关腹训练模型</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53</w:t>
            </w:r>
          </w:p>
        </w:tc>
        <w:tc>
          <w:tcPr>
            <w:tcW w:w="4887" w:type="dxa"/>
            <w:vAlign w:val="center"/>
          </w:tcPr>
          <w:p>
            <w:pPr>
              <w:ind w:firstLine="211" w:firstLineChars="100"/>
              <w:jc w:val="left"/>
              <w:rPr>
                <w:b/>
                <w:bCs/>
                <w:szCs w:val="21"/>
              </w:rPr>
            </w:pPr>
            <w:r>
              <w:rPr>
                <w:rFonts w:hint="eastAsia"/>
                <w:b/>
                <w:bCs/>
                <w:szCs w:val="21"/>
                <w:lang w:val="en-US" w:eastAsia="zh-CN"/>
              </w:rPr>
              <w:t>动脉穿刺及检测套装</w:t>
            </w:r>
          </w:p>
        </w:tc>
        <w:tc>
          <w:tcPr>
            <w:tcW w:w="2627" w:type="dxa"/>
            <w:vAlign w:val="center"/>
          </w:tcPr>
          <w:p>
            <w:pPr>
              <w:ind w:firstLine="211" w:firstLineChars="100"/>
              <w:jc w:val="center"/>
              <w:rPr>
                <w:b/>
                <w:bCs/>
                <w:szCs w:val="21"/>
              </w:rPr>
            </w:pPr>
            <w:r>
              <w:rPr>
                <w:rFonts w:hint="eastAsia"/>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gridSpan w:val="2"/>
            <w:vAlign w:val="center"/>
          </w:tcPr>
          <w:p>
            <w:pPr>
              <w:ind w:firstLine="211" w:firstLineChars="100"/>
              <w:jc w:val="center"/>
              <w:rPr>
                <w:b/>
                <w:bCs/>
                <w:szCs w:val="21"/>
              </w:rPr>
            </w:pPr>
            <w:r>
              <w:rPr>
                <w:rFonts w:hint="eastAsia"/>
                <w:b/>
                <w:bCs/>
                <w:szCs w:val="21"/>
                <w:lang w:val="en-US" w:eastAsia="zh-CN"/>
              </w:rPr>
              <w:t>54</w:t>
            </w:r>
          </w:p>
        </w:tc>
        <w:tc>
          <w:tcPr>
            <w:tcW w:w="4887" w:type="dxa"/>
            <w:vAlign w:val="center"/>
          </w:tcPr>
          <w:p>
            <w:pPr>
              <w:ind w:firstLine="211" w:firstLineChars="100"/>
              <w:jc w:val="left"/>
              <w:rPr>
                <w:b/>
                <w:bCs/>
                <w:szCs w:val="21"/>
              </w:rPr>
            </w:pPr>
            <w:r>
              <w:rPr>
                <w:rFonts w:hint="eastAsia"/>
                <w:b/>
                <w:bCs/>
                <w:szCs w:val="21"/>
                <w:lang w:val="en-US" w:eastAsia="zh-CN"/>
              </w:rPr>
              <w:t>腹腔穿刺模型</w:t>
            </w:r>
          </w:p>
        </w:tc>
        <w:tc>
          <w:tcPr>
            <w:tcW w:w="2627" w:type="dxa"/>
            <w:vAlign w:val="center"/>
          </w:tcPr>
          <w:p>
            <w:pPr>
              <w:ind w:firstLine="211" w:firstLineChars="100"/>
              <w:jc w:val="center"/>
              <w:rPr>
                <w:b/>
                <w:bCs/>
                <w:szCs w:val="21"/>
              </w:rPr>
            </w:pPr>
            <w:r>
              <w:rPr>
                <w:rFonts w:hint="default"/>
                <w:b/>
                <w:bCs/>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rPr>
                <w:rFonts w:hint="default" w:ascii="Times New Roman" w:hAnsi="Times New Roman" w:eastAsia="宋体" w:cs="Times New Roman"/>
                <w:kern w:val="2"/>
                <w:sz w:val="21"/>
                <w:szCs w:val="21"/>
                <w:lang w:val="en-US" w:eastAsia="zh-CN" w:bidi="ar-SA"/>
              </w:rPr>
            </w:pPr>
            <w:r>
              <w:rPr>
                <w:szCs w:val="21"/>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w:t>
            </w:r>
            <w:r>
              <w:rPr>
                <w:szCs w:val="21"/>
              </w:rPr>
              <w:t>.</w:t>
            </w:r>
            <w:r>
              <w:rPr>
                <w:rFonts w:hint="eastAsia"/>
                <w:szCs w:val="21"/>
              </w:rPr>
              <w:t>2提供用户中英文操作手册、维修手册、技术参数彩色样本及塑封操作规程各</w:t>
            </w:r>
            <w:r>
              <w:rPr>
                <w:szCs w:val="21"/>
              </w:rPr>
              <w:t>1</w:t>
            </w:r>
            <w:r>
              <w:rPr>
                <w:rFonts w:hint="eastAsia"/>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w:t>
            </w:r>
            <w:r>
              <w:rPr>
                <w:szCs w:val="21"/>
              </w:rPr>
              <w:t>.</w:t>
            </w:r>
            <w:r>
              <w:rPr>
                <w:rFonts w:hint="eastAsia"/>
                <w:szCs w:val="21"/>
              </w:rPr>
              <w:t>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★4.4</w:t>
            </w:r>
            <w:r>
              <w:rPr>
                <w:rFonts w:hint="eastAsia" w:ascii="宋体" w:hAnsi="宋体"/>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w:t>
            </w:r>
            <w:r>
              <w:rPr>
                <w:szCs w:val="21"/>
              </w:rPr>
              <w:t>5</w:t>
            </w:r>
            <w:r>
              <w:rPr>
                <w:rFonts w:hint="eastAsia" w:ascii="宋体" w:hAnsi="宋体"/>
                <w:szCs w:val="21"/>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4.</w:t>
            </w:r>
            <w:r>
              <w:rPr>
                <w:szCs w:val="21"/>
              </w:rPr>
              <w:t>6</w:t>
            </w:r>
            <w:r>
              <w:rPr>
                <w:rFonts w:hint="eastAsia" w:ascii="宋体" w:hAnsi="宋体"/>
                <w:szCs w:val="21"/>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rPr>
                <w:rFonts w:hint="default" w:ascii="Times New Roman" w:hAnsi="Times New Roman" w:eastAsia="宋体" w:cs="Times New Roman"/>
                <w:kern w:val="2"/>
                <w:sz w:val="21"/>
                <w:szCs w:val="21"/>
                <w:lang w:val="en-US" w:eastAsia="zh-CN" w:bidi="ar-SA"/>
              </w:rPr>
            </w:pPr>
            <w:r>
              <w:rPr>
                <w:rFonts w:hint="eastAsia"/>
                <w:szCs w:val="21"/>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5.1设备验收合格后，免费原厂整机保修</w:t>
            </w:r>
            <w:r>
              <w:rPr>
                <w:szCs w:val="21"/>
              </w:rPr>
              <w:t>2</w:t>
            </w:r>
            <w:r>
              <w:rPr>
                <w:rFonts w:hint="eastAsia"/>
                <w:szCs w:val="21"/>
              </w:rPr>
              <w:t>年，保修期外只收配件费，不收维修费，提供仪器相关</w:t>
            </w:r>
            <w:r>
              <w:rPr>
                <w:rFonts w:hint="eastAsia" w:ascii="宋体" w:hAnsi="宋体"/>
                <w:bCs/>
                <w:color w:val="000000"/>
                <w:szCs w:val="21"/>
              </w:rPr>
              <w:t>专用耗材、</w:t>
            </w:r>
            <w:r>
              <w:rPr>
                <w:rFonts w:hint="eastAsia"/>
                <w:szCs w:val="21"/>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5.4免费提供至少2名操作人员和1名维修人员的培训</w:t>
            </w:r>
            <w:r>
              <w:rPr>
                <w:rFonts w:hint="eastAsia" w:ascii="宋体" w:hAnsi="宋体"/>
                <w:bCs/>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5.5</w:t>
            </w:r>
            <w:r>
              <w:rPr>
                <w:rFonts w:hint="eastAsia" w:ascii="宋体" w:hAnsi="宋体"/>
                <w:szCs w:val="21"/>
              </w:rPr>
              <w:t>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rPr>
                <w:rFonts w:hint="default" w:ascii="Times New Roman" w:hAnsi="Times New Roman" w:eastAsia="宋体" w:cs="Times New Roman"/>
                <w:kern w:val="2"/>
                <w:sz w:val="21"/>
                <w:szCs w:val="21"/>
                <w:lang w:val="en-US" w:eastAsia="zh-CN" w:bidi="ar-SA"/>
              </w:rPr>
            </w:pPr>
            <w:r>
              <w:rPr>
                <w:rFonts w:hint="eastAsia"/>
                <w:szCs w:val="21"/>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6.1到货期：合同生效后，根据医院改扩建进度，收到医院供货通知后30天内安装完毕。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ind w:firstLine="210" w:firstLineChars="100"/>
              <w:rPr>
                <w:rFonts w:hint="default" w:ascii="Times New Roman" w:hAnsi="Times New Roman" w:eastAsia="宋体" w:cs="Times New Roman"/>
                <w:kern w:val="2"/>
                <w:sz w:val="21"/>
                <w:szCs w:val="21"/>
                <w:lang w:val="en-US" w:eastAsia="zh-CN" w:bidi="ar-SA"/>
              </w:rPr>
            </w:pPr>
            <w:r>
              <w:rPr>
                <w:rFonts w:hint="eastAsia"/>
                <w:szCs w:val="21"/>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4"/>
            <w:vAlign w:val="top"/>
          </w:tcPr>
          <w:p>
            <w:pPr>
              <w:rPr>
                <w:rFonts w:hint="default" w:ascii="Times New Roman" w:hAnsi="Times New Roman" w:eastAsia="宋体" w:cs="Times New Roman"/>
                <w:kern w:val="2"/>
                <w:sz w:val="21"/>
                <w:szCs w:val="21"/>
                <w:lang w:val="en-US" w:eastAsia="zh-CN" w:bidi="ar-SA"/>
              </w:rPr>
            </w:pPr>
            <w:r>
              <w:rPr>
                <w:rFonts w:hint="eastAsia"/>
                <w:szCs w:val="21"/>
              </w:rPr>
              <w:t>七、付款方式：按《浙江省财政厅关于进一步发挥政府采购政策功能全力推动经济稳进提质的通知》（浙财采监〔2022〕3号）文件要求执行，具体付款方式由双方协商后在合同中明确。</w:t>
            </w:r>
          </w:p>
        </w:tc>
      </w:tr>
    </w:tbl>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both"/>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（货物类）</w:t>
      </w:r>
    </w:p>
    <w:p>
      <w:pPr>
        <w:pStyle w:val="702"/>
        <w:pageBreakBefore w:val="0"/>
        <w:kinsoku/>
        <w:wordWrap/>
        <w:overflowPunct/>
        <w:topLinePunct w:val="0"/>
        <w:bidi w:val="0"/>
        <w:spacing w:line="288" w:lineRule="auto"/>
        <w:ind w:left="0" w:leftChars="0" w:firstLine="0" w:firstLineChars="0"/>
        <w:textAlignment w:val="auto"/>
        <w:rPr>
          <w:rFonts w:hint="eastAsia" w:ascii="仿宋" w:hAnsi="仿宋" w:eastAsia="仿宋" w:cs="仿宋"/>
          <w:szCs w:val="24"/>
        </w:rPr>
      </w:pPr>
    </w:p>
    <w:p>
      <w:pPr>
        <w:pStyle w:val="702"/>
        <w:pageBreakBefore w:val="0"/>
        <w:kinsoku/>
        <w:wordWrap/>
        <w:overflowPunct/>
        <w:topLinePunct w:val="0"/>
        <w:bidi w:val="0"/>
        <w:spacing w:line="288" w:lineRule="auto"/>
        <w:jc w:val="center"/>
        <w:textAlignment w:val="auto"/>
        <w:rPr>
          <w:rFonts w:hint="eastAsia" w:ascii="仿宋" w:hAnsi="仿宋" w:eastAsia="仿宋" w:cs="仿宋"/>
          <w:szCs w:val="24"/>
        </w:rPr>
      </w:pPr>
    </w:p>
    <w:p>
      <w:pPr>
        <w:pStyle w:val="702"/>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Style w:val="702"/>
        <w:pageBreakBefore w:val="0"/>
        <w:kinsoku/>
        <w:wordWrap/>
        <w:overflowPunct/>
        <w:topLinePunct w:val="0"/>
        <w:bidi w:val="0"/>
        <w:spacing w:line="288" w:lineRule="auto"/>
        <w:textAlignment w:val="auto"/>
        <w:rPr>
          <w:rFonts w:hint="eastAsia" w:ascii="仿宋" w:hAnsi="仿宋" w:eastAsia="仿宋" w:cs="仿宋"/>
          <w:szCs w:val="24"/>
        </w:rPr>
      </w:pPr>
    </w:p>
    <w:p>
      <w:pPr>
        <w:pStyle w:val="702"/>
        <w:pageBreakBefore w:val="0"/>
        <w:kinsoku/>
        <w:wordWrap/>
        <w:overflowPunct/>
        <w:topLinePunct w:val="0"/>
        <w:bidi w:val="0"/>
        <w:spacing w:line="288" w:lineRule="auto"/>
        <w:textAlignment w:val="auto"/>
        <w:rPr>
          <w:rFonts w:hint="eastAsia" w:ascii="仿宋" w:hAnsi="仿宋" w:eastAsia="仿宋" w:cs="仿宋"/>
          <w:szCs w:val="24"/>
        </w:rPr>
      </w:pP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814" w:right="1474" w:bottom="1814" w:left="1474" w:header="851" w:footer="851" w:gutter="0"/>
          <w:cols w:space="720" w:num="1"/>
        </w:sectPr>
      </w:pP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44" w:name="_Toc2232"/>
      <w:bookmarkStart w:id="45" w:name="_Toc24059"/>
      <w:bookmarkStart w:id="46" w:name="_Toc3029"/>
      <w:r>
        <w:rPr>
          <w:rFonts w:hint="eastAsia" w:ascii="仿宋" w:hAnsi="仿宋" w:eastAsia="仿宋" w:cs="仿宋"/>
          <w:b/>
          <w:sz w:val="24"/>
        </w:rPr>
        <w:t>1.1 合同组成部分</w:t>
      </w:r>
      <w:bookmarkEnd w:id="44"/>
      <w:bookmarkEnd w:id="45"/>
      <w:bookmarkEnd w:id="4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47" w:name="_Toc27126"/>
      <w:bookmarkStart w:id="48" w:name="_Toc21295"/>
      <w:bookmarkStart w:id="49" w:name="_Toc24300"/>
      <w:r>
        <w:rPr>
          <w:rFonts w:hint="eastAsia" w:ascii="仿宋" w:hAnsi="仿宋" w:eastAsia="仿宋" w:cs="仿宋"/>
          <w:b/>
          <w:sz w:val="24"/>
        </w:rPr>
        <w:t>1.2 货物</w:t>
      </w:r>
      <w:bookmarkEnd w:id="47"/>
      <w:bookmarkEnd w:id="48"/>
      <w:bookmarkEnd w:id="4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50" w:name="_Toc21551"/>
      <w:bookmarkStart w:id="51" w:name="_Toc23292"/>
      <w:bookmarkStart w:id="52" w:name="_Toc21631"/>
      <w:r>
        <w:rPr>
          <w:rFonts w:hint="eastAsia" w:ascii="仿宋" w:hAnsi="仿宋" w:eastAsia="仿宋" w:cs="仿宋"/>
          <w:b/>
          <w:sz w:val="24"/>
        </w:rPr>
        <w:t>1.3 价款</w:t>
      </w:r>
      <w:bookmarkEnd w:id="50"/>
      <w:bookmarkEnd w:id="51"/>
      <w:bookmarkEnd w:id="5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bl>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rPr>
      </w:pPr>
      <w:bookmarkStart w:id="53" w:name="_Toc1814"/>
      <w:bookmarkStart w:id="54" w:name="_Toc10340"/>
      <w:bookmarkStart w:id="55" w:name="_Toc22618"/>
      <w:r>
        <w:rPr>
          <w:rFonts w:hint="eastAsia" w:ascii="仿宋" w:hAnsi="仿宋" w:eastAsia="仿宋" w:cs="仿宋"/>
          <w:b/>
        </w:rPr>
        <w:t>1.4履约保证金</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clear" w:pos="432"/>
        </w:tabs>
        <w:kinsoku/>
        <w:wordWrap/>
        <w:overflowPunct/>
        <w:topLinePunct w:val="0"/>
        <w:bidi w:val="0"/>
        <w:spacing w:line="288" w:lineRule="auto"/>
        <w:ind w:left="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bCs/>
        </w:rPr>
      </w:pPr>
      <w:r>
        <w:rPr>
          <w:rFonts w:hint="eastAsia" w:ascii="仿宋" w:hAnsi="仿宋" w:eastAsia="仿宋" w:cs="仿宋"/>
          <w:b/>
          <w:bCs/>
        </w:rPr>
        <w:t>1.6资金支付</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56" w:name="_Toc2846"/>
      <w:bookmarkStart w:id="57" w:name="_Toc32071"/>
      <w:bookmarkStart w:id="58" w:name="_Toc19304"/>
      <w:r>
        <w:rPr>
          <w:rFonts w:hint="eastAsia" w:ascii="仿宋" w:hAnsi="仿宋" w:eastAsia="仿宋" w:cs="仿宋"/>
          <w:b/>
          <w:sz w:val="24"/>
        </w:rPr>
        <w:t>1.7货物交付期限、地点和方式</w:t>
      </w:r>
      <w:bookmarkEnd w:id="56"/>
      <w:bookmarkEnd w:id="57"/>
      <w:bookmarkEnd w:id="5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59" w:name="_Toc21423"/>
      <w:bookmarkStart w:id="60" w:name="_Toc19554"/>
      <w:bookmarkStart w:id="61" w:name="_Toc27250"/>
      <w:r>
        <w:rPr>
          <w:rFonts w:hint="eastAsia" w:ascii="仿宋" w:hAnsi="仿宋" w:eastAsia="仿宋" w:cs="仿宋"/>
          <w:b/>
          <w:sz w:val="24"/>
        </w:rPr>
        <w:t>1.8违约责任</w:t>
      </w:r>
      <w:bookmarkEnd w:id="59"/>
      <w:bookmarkEnd w:id="60"/>
      <w:bookmarkEnd w:id="6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spacing w:line="288" w:lineRule="auto"/>
        <w:ind w:left="-420" w:leftChars="-200" w:right="-420" w:rightChars="-200" w:firstLine="960" w:firstLineChars="400"/>
        <w:textAlignment w:val="auto"/>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2" w:name="_Toc28375"/>
      <w:bookmarkStart w:id="63" w:name="_Toc16021"/>
      <w:bookmarkStart w:id="64" w:name="_Toc15583"/>
      <w:r>
        <w:rPr>
          <w:rFonts w:hint="eastAsia" w:ascii="仿宋" w:hAnsi="仿宋" w:eastAsia="仿宋" w:cs="仿宋"/>
          <w:b/>
          <w:sz w:val="24"/>
        </w:rPr>
        <w:t>1.9合同争议的解决</w:t>
      </w:r>
      <w:bookmarkEnd w:id="62"/>
      <w:bookmarkEnd w:id="63"/>
      <w:bookmarkEnd w:id="64"/>
    </w:p>
    <w:p>
      <w:pPr>
        <w:pageBreakBefore w:val="0"/>
        <w:kinsoku/>
        <w:wordWrap/>
        <w:overflowPunct/>
        <w:topLinePunct w:val="0"/>
        <w:bidi w:val="0"/>
        <w:spacing w:line="288" w:lineRule="auto"/>
        <w:ind w:left="-61" w:leftChars="-29" w:right="-420" w:rightChars="-200" w:firstLine="240" w:firstLineChars="1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bidi w:val="0"/>
        <w:spacing w:line="288" w:lineRule="auto"/>
        <w:ind w:left="-420" w:leftChars="-200" w:right="-420" w:rightChars="-200" w:firstLine="840" w:firstLineChars="35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bidi w:val="0"/>
        <w:spacing w:line="288" w:lineRule="auto"/>
        <w:ind w:left="-420" w:leftChars="-200" w:right="-420" w:rightChars="-200" w:firstLine="840" w:firstLineChars="35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5" w:name="_Toc7245"/>
      <w:bookmarkStart w:id="66" w:name="_Toc11173"/>
      <w:bookmarkStart w:id="67" w:name="_Toc15322"/>
      <w:r>
        <w:rPr>
          <w:rFonts w:hint="eastAsia" w:ascii="仿宋" w:hAnsi="仿宋" w:eastAsia="仿宋" w:cs="仿宋"/>
          <w:b/>
          <w:sz w:val="24"/>
        </w:rPr>
        <w:t>2.0 合同生效</w:t>
      </w:r>
      <w:bookmarkEnd w:id="65"/>
      <w:bookmarkEnd w:id="66"/>
      <w:bookmarkEnd w:id="67"/>
    </w:p>
    <w:p>
      <w:pPr>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5"/>
        <w:pageBreakBefore w:val="0"/>
        <w:kinsoku/>
        <w:wordWrap/>
        <w:overflowPunct/>
        <w:topLinePunct w:val="0"/>
        <w:bidi w:val="0"/>
        <w:spacing w:line="288" w:lineRule="auto"/>
        <w:ind w:left="0" w:leftChars="0" w:firstLine="0" w:firstLineChars="0"/>
        <w:textAlignment w:val="auto"/>
        <w:rPr>
          <w:rFonts w:hint="eastAsia" w:ascii="仿宋" w:hAnsi="仿宋" w:eastAsia="仿宋" w:cs="仿宋"/>
          <w:sz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Style w:val="702"/>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8" w:name="_Toc487900349"/>
      <w:bookmarkStart w:id="69" w:name="_Toc279701240"/>
      <w:bookmarkStart w:id="70" w:name="_Toc16917"/>
      <w:bookmarkStart w:id="71" w:name="_Ref467378499"/>
      <w:bookmarkStart w:id="72" w:name="_Ref467379205"/>
      <w:bookmarkStart w:id="73" w:name="_Ref467378404"/>
      <w:bookmarkStart w:id="74" w:name="_Ref467379109"/>
      <w:bookmarkStart w:id="75" w:name="_Ref467379094"/>
      <w:bookmarkStart w:id="76" w:name="_Toc28763"/>
      <w:bookmarkStart w:id="77" w:name="_Ref467379101"/>
      <w:bookmarkStart w:id="78" w:name="_Toc259093669"/>
      <w:bookmarkStart w:id="79" w:name="_Ref467379214"/>
      <w:bookmarkStart w:id="80" w:name="_Ref467379225"/>
      <w:bookmarkStart w:id="81" w:name="_Toc19614"/>
      <w:bookmarkStart w:id="82" w:name="_Ref467379195"/>
      <w:bookmarkStart w:id="83" w:name="_Ref467378463"/>
      <w:r>
        <w:rPr>
          <w:rFonts w:hint="eastAsia" w:ascii="仿宋" w:hAnsi="仿宋" w:eastAsia="仿宋" w:cs="仿宋"/>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4" w:name="_Ref467378840"/>
      <w:r>
        <w:rPr>
          <w:rFonts w:hint="eastAsia" w:ascii="仿宋" w:hAnsi="仿宋" w:eastAsia="仿宋" w:cs="仿宋"/>
          <w:sz w:val="24"/>
        </w:rPr>
        <w:t>2.1.4 “甲方”系指与中标或成交供应商签署合同的采购人</w:t>
      </w:r>
      <w:bookmarkEnd w:id="84"/>
      <w:r>
        <w:rPr>
          <w:rFonts w:hint="eastAsia" w:ascii="仿宋" w:hAnsi="仿宋" w:eastAsia="仿宋" w:cs="仿宋"/>
          <w:sz w:val="24"/>
        </w:rPr>
        <w:t>；采购人委托采购代理机构代表其与乙方签订合同的，采购人的授权委托书作为合同附件。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5" w:name="_Ref467379400"/>
      <w:r>
        <w:rPr>
          <w:rFonts w:hint="eastAsia" w:ascii="仿宋" w:hAnsi="仿宋" w:eastAsia="仿宋" w:cs="仿宋"/>
          <w:sz w:val="24"/>
        </w:rPr>
        <w:t>2.1.5 “乙方”系指根据合同约定交付货物的中标或成交供应商</w:t>
      </w:r>
      <w:bookmarkEnd w:id="8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6" w:name="_Ref467379436"/>
      <w:r>
        <w:rPr>
          <w:rFonts w:hint="eastAsia" w:ascii="仿宋" w:hAnsi="仿宋" w:eastAsia="仿宋" w:cs="仿宋"/>
          <w:sz w:val="24"/>
        </w:rPr>
        <w:t>2.1.6 “现场”系指合同约定货物将要运至或者安装的地点。</w:t>
      </w:r>
      <w:bookmarkEnd w:id="86"/>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32504"/>
      <w:bookmarkStart w:id="88" w:name="_Toc487900350"/>
      <w:bookmarkStart w:id="89" w:name="_Toc279701241"/>
      <w:bookmarkStart w:id="90" w:name="_Toc259093670"/>
      <w:bookmarkStart w:id="91" w:name="_Toc27635"/>
      <w:bookmarkStart w:id="92" w:name="_Toc13336"/>
      <w:r>
        <w:rPr>
          <w:rFonts w:hint="eastAsia" w:ascii="仿宋" w:hAnsi="仿宋" w:eastAsia="仿宋" w:cs="仿宋"/>
          <w:b/>
          <w:sz w:val="24"/>
        </w:rPr>
        <w:t>2.2 技术规范</w:t>
      </w:r>
      <w:bookmarkEnd w:id="87"/>
      <w:bookmarkEnd w:id="88"/>
      <w:bookmarkEnd w:id="89"/>
      <w:bookmarkEnd w:id="90"/>
      <w:bookmarkEnd w:id="91"/>
      <w:bookmarkEnd w:id="9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3" w:name="_Toc279701242"/>
      <w:bookmarkStart w:id="94" w:name="_Toc259093671"/>
      <w:bookmarkStart w:id="95" w:name="_Toc27853"/>
      <w:bookmarkStart w:id="96" w:name="_Toc487900351"/>
      <w:bookmarkStart w:id="97" w:name="_Toc9829"/>
      <w:bookmarkStart w:id="98" w:name="_Toc31634"/>
      <w:r>
        <w:rPr>
          <w:rFonts w:hint="eastAsia" w:ascii="仿宋" w:hAnsi="仿宋" w:eastAsia="仿宋" w:cs="仿宋"/>
          <w:b/>
          <w:sz w:val="24"/>
        </w:rPr>
        <w:t>2.3 知识产权</w:t>
      </w:r>
      <w:bookmarkEnd w:id="93"/>
      <w:bookmarkEnd w:id="94"/>
      <w:bookmarkEnd w:id="95"/>
      <w:bookmarkEnd w:id="96"/>
      <w:bookmarkEnd w:id="97"/>
      <w:bookmarkEnd w:id="9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9" w:name="_Toc29149"/>
      <w:bookmarkStart w:id="100" w:name="_Toc11932"/>
      <w:bookmarkStart w:id="101" w:name="_Toc4194"/>
      <w:r>
        <w:rPr>
          <w:rFonts w:hint="eastAsia" w:ascii="仿宋" w:hAnsi="仿宋" w:eastAsia="仿宋" w:cs="仿宋"/>
          <w:b/>
          <w:sz w:val="24"/>
        </w:rPr>
        <w:t>2.4 包装和装运</w:t>
      </w:r>
      <w:bookmarkEnd w:id="99"/>
      <w:bookmarkEnd w:id="100"/>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487900354"/>
      <w:bookmarkStart w:id="103" w:name="_Toc279701245"/>
      <w:bookmarkStart w:id="104" w:name="_Toc259093674"/>
      <w:bookmarkStart w:id="105" w:name="_Ref467378541"/>
      <w:bookmarkStart w:id="106" w:name="_Ref467378591"/>
      <w:bookmarkStart w:id="107" w:name="_Ref467379527"/>
      <w:bookmarkStart w:id="108" w:name="_Ref467379536"/>
      <w:bookmarkStart w:id="109" w:name="_Ref467379542"/>
      <w:bookmarkStart w:id="110" w:name="_Toc26182"/>
      <w:bookmarkStart w:id="111" w:name="_Toc30272"/>
      <w:bookmarkStart w:id="112" w:name="_Toc19074"/>
      <w:r>
        <w:rPr>
          <w:rFonts w:hint="eastAsia" w:ascii="仿宋" w:hAnsi="仿宋" w:eastAsia="仿宋" w:cs="仿宋"/>
          <w:b/>
          <w:sz w:val="24"/>
        </w:rPr>
        <w:t>2.</w:t>
      </w:r>
      <w:bookmarkEnd w:id="102"/>
      <w:bookmarkEnd w:id="103"/>
      <w:bookmarkEnd w:id="104"/>
      <w:bookmarkEnd w:id="105"/>
      <w:bookmarkEnd w:id="106"/>
      <w:bookmarkEnd w:id="107"/>
      <w:bookmarkEnd w:id="108"/>
      <w:bookmarkEnd w:id="109"/>
      <w:r>
        <w:rPr>
          <w:rFonts w:hint="eastAsia" w:ascii="仿宋" w:hAnsi="仿宋" w:eastAsia="仿宋" w:cs="仿宋"/>
          <w:b/>
          <w:sz w:val="24"/>
        </w:rPr>
        <w:t>5 履约检查和问题反馈</w:t>
      </w:r>
      <w:bookmarkEnd w:id="110"/>
      <w:bookmarkEnd w:id="111"/>
      <w:bookmarkEnd w:id="11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13" w:name="_Ref467379657"/>
      <w:r>
        <w:rPr>
          <w:rFonts w:hint="eastAsia" w:ascii="仿宋" w:hAnsi="仿宋" w:eastAsia="仿宋" w:cs="仿宋"/>
          <w:sz w:val="24"/>
        </w:rPr>
        <w:t>2.5.1</w:t>
      </w:r>
      <w:bookmarkEnd w:id="113"/>
      <w:bookmarkStart w:id="114" w:name="_Toc186431854"/>
      <w:bookmarkStart w:id="115" w:name="_Toc279701247"/>
      <w:bookmarkStart w:id="116" w:name="_Toc487900357"/>
      <w:bookmarkStart w:id="117" w:name="_Ref467379807"/>
      <w:bookmarkStart w:id="118" w:name="_Toc259093676"/>
      <w:bookmarkStart w:id="119"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rPr>
        <w:t>。</w:t>
      </w:r>
    </w:p>
    <w:bookmarkEnd w:id="115"/>
    <w:bookmarkEnd w:id="116"/>
    <w:bookmarkEnd w:id="117"/>
    <w:bookmarkEnd w:id="118"/>
    <w:bookmarkEnd w:id="119"/>
    <w:bookmarkEnd w:id="120"/>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1" w:name="_Ref467379923"/>
      <w:bookmarkStart w:id="122" w:name="_Ref467379852"/>
      <w:bookmarkStart w:id="123" w:name="_Toc279701248"/>
      <w:bookmarkStart w:id="124" w:name="_Toc487900358"/>
      <w:bookmarkStart w:id="125" w:name="_Ref467379863"/>
      <w:bookmarkStart w:id="126" w:name="_Toc259093677"/>
      <w:bookmarkStart w:id="127" w:name="_Toc16110"/>
      <w:bookmarkStart w:id="128" w:name="_Toc3225"/>
      <w:bookmarkStart w:id="129" w:name="_Toc774"/>
      <w:r>
        <w:rPr>
          <w:rFonts w:hint="eastAsia" w:ascii="仿宋" w:hAnsi="仿宋" w:eastAsia="仿宋" w:cs="仿宋"/>
          <w:b/>
          <w:sz w:val="24"/>
        </w:rPr>
        <w:t>2.6 技术资料</w:t>
      </w:r>
      <w:bookmarkEnd w:id="121"/>
      <w:bookmarkEnd w:id="122"/>
      <w:bookmarkEnd w:id="123"/>
      <w:bookmarkEnd w:id="124"/>
      <w:bookmarkEnd w:id="125"/>
      <w:bookmarkEnd w:id="126"/>
      <w:r>
        <w:rPr>
          <w:rFonts w:hint="eastAsia" w:ascii="仿宋" w:hAnsi="仿宋" w:eastAsia="仿宋" w:cs="仿宋"/>
          <w:b/>
          <w:sz w:val="24"/>
        </w:rPr>
        <w:t>和保密义务</w:t>
      </w:r>
      <w:bookmarkEnd w:id="127"/>
      <w:bookmarkEnd w:id="128"/>
      <w:bookmarkEnd w:id="12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7860"/>
      <w:r>
        <w:rPr>
          <w:rFonts w:hint="eastAsia" w:ascii="仿宋" w:hAnsi="仿宋" w:eastAsia="仿宋" w:cs="仿宋"/>
          <w:b/>
          <w:sz w:val="24"/>
        </w:rPr>
        <w:t>2.7 质量保证</w:t>
      </w:r>
      <w:bookmarkEnd w:id="13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1" w:name="_Toc17244"/>
      <w:bookmarkStart w:id="132" w:name="_Toc259093681"/>
      <w:bookmarkStart w:id="133" w:name="_Toc279701252"/>
      <w:bookmarkStart w:id="134" w:name="_Toc487900362"/>
      <w:r>
        <w:rPr>
          <w:rFonts w:hint="eastAsia" w:ascii="仿宋" w:hAnsi="仿宋" w:eastAsia="仿宋" w:cs="仿宋"/>
          <w:b/>
          <w:sz w:val="24"/>
        </w:rPr>
        <w:t>2.8 货物的风险负担</w:t>
      </w:r>
      <w:bookmarkEnd w:id="131"/>
    </w:p>
    <w:p>
      <w:pPr>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5" w:name="_Toc14055"/>
      <w:r>
        <w:rPr>
          <w:rFonts w:hint="eastAsia" w:ascii="仿宋" w:hAnsi="仿宋" w:eastAsia="仿宋" w:cs="仿宋"/>
          <w:b/>
          <w:sz w:val="24"/>
        </w:rPr>
        <w:t>2.9 延迟交货</w:t>
      </w:r>
      <w:bookmarkEnd w:id="132"/>
      <w:bookmarkEnd w:id="133"/>
      <w:bookmarkEnd w:id="134"/>
      <w:bookmarkEnd w:id="13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7502"/>
      <w:bookmarkStart w:id="137" w:name="_Toc487900364"/>
      <w:bookmarkStart w:id="138" w:name="_Toc279701254"/>
      <w:bookmarkStart w:id="139" w:name="_Toc259093683"/>
      <w:bookmarkStart w:id="140" w:name="_Ref467378121"/>
      <w:r>
        <w:rPr>
          <w:rFonts w:hint="eastAsia" w:ascii="仿宋" w:hAnsi="仿宋" w:eastAsia="仿宋" w:cs="仿宋"/>
          <w:b/>
          <w:sz w:val="24"/>
        </w:rPr>
        <w:t>2.10 合同变更</w:t>
      </w:r>
      <w:bookmarkEnd w:id="13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279701259"/>
      <w:bookmarkStart w:id="143" w:name="_Toc487900369"/>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4" w:name="_Toc15237"/>
      <w:bookmarkStart w:id="145" w:name="_Toc22955"/>
      <w:bookmarkStart w:id="146" w:name="_Toc10366"/>
      <w:r>
        <w:rPr>
          <w:rFonts w:hint="eastAsia" w:ascii="仿宋" w:hAnsi="仿宋" w:eastAsia="仿宋" w:cs="仿宋"/>
          <w:b/>
          <w:sz w:val="24"/>
        </w:rPr>
        <w:t>2.11 合同转让</w:t>
      </w:r>
      <w:bookmarkEnd w:id="141"/>
      <w:bookmarkEnd w:id="142"/>
      <w:bookmarkEnd w:id="143"/>
      <w:r>
        <w:rPr>
          <w:rFonts w:hint="eastAsia" w:ascii="仿宋" w:hAnsi="仿宋" w:eastAsia="仿宋" w:cs="仿宋"/>
          <w:b/>
          <w:sz w:val="24"/>
        </w:rPr>
        <w:t>和分包</w:t>
      </w:r>
      <w:bookmarkEnd w:id="144"/>
      <w:bookmarkEnd w:id="145"/>
      <w:bookmarkEnd w:id="14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7" w:name="_Toc13566"/>
      <w:bookmarkStart w:id="148" w:name="_Toc16508"/>
      <w:bookmarkStart w:id="149" w:name="_Toc14066"/>
      <w:r>
        <w:rPr>
          <w:rFonts w:hint="eastAsia" w:ascii="仿宋" w:hAnsi="仿宋" w:eastAsia="仿宋" w:cs="仿宋"/>
          <w:b/>
          <w:sz w:val="24"/>
        </w:rPr>
        <w:t>2.12 不可抗力</w:t>
      </w:r>
      <w:bookmarkEnd w:id="147"/>
      <w:bookmarkEnd w:id="148"/>
      <w:bookmarkEnd w:id="14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0" w:name="_Toc259093684"/>
      <w:bookmarkStart w:id="151" w:name="_Toc6969"/>
      <w:bookmarkStart w:id="152" w:name="_Toc30676"/>
      <w:bookmarkStart w:id="153" w:name="_Toc487900365"/>
      <w:bookmarkStart w:id="154" w:name="_Toc689"/>
      <w:bookmarkStart w:id="155" w:name="_Toc279701255"/>
      <w:r>
        <w:rPr>
          <w:rFonts w:hint="eastAsia" w:ascii="仿宋" w:hAnsi="仿宋" w:eastAsia="仿宋" w:cs="仿宋"/>
          <w:b/>
          <w:sz w:val="24"/>
        </w:rPr>
        <w:t>2.13 税费</w:t>
      </w:r>
      <w:bookmarkEnd w:id="150"/>
      <w:bookmarkEnd w:id="151"/>
      <w:bookmarkEnd w:id="152"/>
      <w:bookmarkEnd w:id="153"/>
      <w:bookmarkEnd w:id="154"/>
      <w:bookmarkEnd w:id="15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6" w:name="_Toc279701258"/>
      <w:bookmarkStart w:id="157" w:name="_Toc16959"/>
      <w:bookmarkStart w:id="158" w:name="_Toc487900368"/>
      <w:bookmarkStart w:id="159" w:name="_Toc259093687"/>
      <w:bookmarkStart w:id="160" w:name="_Toc8298"/>
      <w:bookmarkStart w:id="161" w:name="_Toc7102"/>
      <w:r>
        <w:rPr>
          <w:rFonts w:hint="eastAsia" w:ascii="仿宋" w:hAnsi="仿宋" w:eastAsia="仿宋" w:cs="仿宋"/>
          <w:b/>
          <w:sz w:val="24"/>
        </w:rPr>
        <w:t>2.14乙方破产</w:t>
      </w:r>
      <w:bookmarkEnd w:id="156"/>
      <w:bookmarkEnd w:id="157"/>
      <w:bookmarkEnd w:id="158"/>
      <w:bookmarkEnd w:id="159"/>
      <w:bookmarkEnd w:id="160"/>
      <w:bookmarkEnd w:id="16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2" w:name="_Toc29333"/>
      <w:bookmarkStart w:id="163" w:name="_Toc6134"/>
      <w:bookmarkStart w:id="164" w:name="_Toc15387"/>
      <w:r>
        <w:rPr>
          <w:rFonts w:hint="eastAsia" w:ascii="仿宋" w:hAnsi="仿宋" w:eastAsia="仿宋" w:cs="仿宋"/>
          <w:b/>
          <w:sz w:val="24"/>
        </w:rPr>
        <w:t>2.15 合同中止、终止</w:t>
      </w:r>
      <w:bookmarkEnd w:id="162"/>
      <w:bookmarkEnd w:id="163"/>
      <w:bookmarkEnd w:id="16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5" w:name="_Toc14563"/>
      <w:bookmarkStart w:id="166" w:name="_Toc1125"/>
      <w:bookmarkStart w:id="167" w:name="_Toc6596"/>
      <w:r>
        <w:rPr>
          <w:rFonts w:hint="eastAsia" w:ascii="仿宋" w:hAnsi="仿宋" w:eastAsia="仿宋" w:cs="仿宋"/>
          <w:b/>
          <w:sz w:val="24"/>
        </w:rPr>
        <w:t>2.16检验和验收</w:t>
      </w:r>
      <w:bookmarkEnd w:id="165"/>
      <w:bookmarkEnd w:id="166"/>
      <w:bookmarkEnd w:id="167"/>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7"/>
    <w:bookmarkEnd w:id="138"/>
    <w:bookmarkEnd w:id="139"/>
    <w:bookmarkEnd w:id="140"/>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8" w:name="_Toc279701261"/>
      <w:bookmarkStart w:id="169" w:name="_Toc259093690"/>
      <w:bookmarkStart w:id="170" w:name="_Toc487900371"/>
      <w:bookmarkStart w:id="171" w:name="_Toc11284"/>
      <w:bookmarkStart w:id="172" w:name="_Toc19604"/>
      <w:bookmarkStart w:id="173" w:name="_Toc25182"/>
      <w:r>
        <w:rPr>
          <w:rFonts w:hint="eastAsia" w:ascii="仿宋" w:hAnsi="仿宋" w:eastAsia="仿宋" w:cs="仿宋"/>
          <w:b/>
          <w:sz w:val="24"/>
        </w:rPr>
        <w:t>2.17 通知</w:t>
      </w:r>
      <w:bookmarkEnd w:id="168"/>
      <w:bookmarkEnd w:id="169"/>
      <w:bookmarkEnd w:id="170"/>
      <w:r>
        <w:rPr>
          <w:rFonts w:hint="eastAsia" w:ascii="仿宋" w:hAnsi="仿宋" w:eastAsia="仿宋" w:cs="仿宋"/>
          <w:b/>
          <w:sz w:val="24"/>
        </w:rPr>
        <w:t>和送达</w:t>
      </w:r>
      <w:bookmarkEnd w:id="171"/>
      <w:bookmarkEnd w:id="172"/>
      <w:bookmarkEnd w:id="17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74" w:name="_Toc6698"/>
      <w:bookmarkStart w:id="175" w:name="_Toc3135"/>
      <w:bookmarkStart w:id="176" w:name="_Toc279701262"/>
      <w:bookmarkStart w:id="177" w:name="_Toc487900372"/>
      <w:bookmarkStart w:id="178"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4"/>
      <w:bookmarkEnd w:id="17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79" w:name="_Toc23128"/>
      <w:bookmarkStart w:id="180"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81" w:name="_Toc18540"/>
      <w:bookmarkStart w:id="182" w:name="_Toc4355"/>
      <w:bookmarkStart w:id="183" w:name="_Toc30599"/>
      <w:r>
        <w:rPr>
          <w:rFonts w:hint="eastAsia" w:ascii="仿宋" w:hAnsi="仿宋" w:eastAsia="仿宋" w:cs="仿宋"/>
          <w:b/>
          <w:sz w:val="24"/>
        </w:rPr>
        <w:t>2.18 计量单位</w:t>
      </w:r>
      <w:bookmarkEnd w:id="176"/>
      <w:bookmarkEnd w:id="177"/>
      <w:bookmarkEnd w:id="178"/>
      <w:bookmarkEnd w:id="181"/>
      <w:bookmarkEnd w:id="182"/>
      <w:bookmarkEnd w:id="18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84" w:name="_Toc259093692"/>
      <w:bookmarkStart w:id="185" w:name="_Toc10330"/>
      <w:bookmarkStart w:id="186" w:name="_Toc18567"/>
      <w:bookmarkStart w:id="187" w:name="_Toc12773"/>
      <w:bookmarkStart w:id="188" w:name="_Toc487900373"/>
      <w:bookmarkStart w:id="189" w:name="_Toc279701263"/>
      <w:r>
        <w:rPr>
          <w:rFonts w:hint="eastAsia" w:ascii="仿宋" w:hAnsi="仿宋" w:eastAsia="仿宋" w:cs="仿宋"/>
          <w:b/>
          <w:sz w:val="24"/>
        </w:rPr>
        <w:t>2.19 合同使用的文字和适用的法律</w:t>
      </w:r>
      <w:bookmarkEnd w:id="184"/>
      <w:bookmarkEnd w:id="185"/>
      <w:bookmarkEnd w:id="186"/>
      <w:bookmarkEnd w:id="187"/>
      <w:bookmarkEnd w:id="188"/>
      <w:bookmarkEnd w:id="18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90" w:name="_Toc19890"/>
      <w:bookmarkStart w:id="191" w:name="_Toc6885"/>
      <w:bookmarkStart w:id="192" w:name="_Toc14001"/>
      <w:r>
        <w:rPr>
          <w:rFonts w:hint="eastAsia" w:ascii="仿宋" w:hAnsi="仿宋" w:eastAsia="仿宋" w:cs="仿宋"/>
          <w:b/>
          <w:sz w:val="24"/>
        </w:rPr>
        <w:t>2.20 合同份数</w:t>
      </w:r>
      <w:bookmarkEnd w:id="190"/>
      <w:bookmarkEnd w:id="191"/>
      <w:bookmarkEnd w:id="19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ageBreakBefore w:val="0"/>
        <w:kinsoku/>
        <w:wordWrap/>
        <w:overflowPunct/>
        <w:topLinePunct w:val="0"/>
        <w:bidi w:val="0"/>
        <w:adjustRightInd/>
        <w:spacing w:line="288" w:lineRule="auto"/>
        <w:jc w:val="center"/>
        <w:textAlignment w:val="auto"/>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ind w:left="-420" w:leftChars="-200" w:right="-420" w:rightChars="-200" w:firstLine="480" w:firstLineChars="200"/>
              <w:textAlignment w:val="auto"/>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pageBreakBefore w:val="0"/>
        <w:kinsoku/>
        <w:wordWrap/>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1、评标方法：</w:t>
      </w:r>
    </w:p>
    <w:p>
      <w:pPr>
        <w:pageBreakBefore w:val="0"/>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pageBreakBefore w:val="0"/>
        <w:kinsoku/>
        <w:wordWrap/>
        <w:overflowPunct/>
        <w:topLinePunct w:val="0"/>
        <w:bidi w:val="0"/>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ageBreakBefore w:val="0"/>
        <w:kinsoku/>
        <w:wordWrap/>
        <w:overflowPunct/>
        <w:topLinePunct w:val="0"/>
        <w:bidi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pageBreakBefore w:val="0"/>
        <w:kinsoku/>
        <w:wordWrap/>
        <w:overflowPunct/>
        <w:topLinePunct w:val="0"/>
        <w:bidi w:val="0"/>
        <w:spacing w:line="288" w:lineRule="auto"/>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5"/>
        <w:tblW w:w="8891" w:type="dxa"/>
        <w:tblInd w:w="175" w:type="dxa"/>
        <w:tblLayout w:type="autofit"/>
        <w:tblCellMar>
          <w:top w:w="0" w:type="dxa"/>
          <w:left w:w="108" w:type="dxa"/>
          <w:bottom w:w="0" w:type="dxa"/>
          <w:right w:w="108" w:type="dxa"/>
        </w:tblCellMar>
      </w:tblPr>
      <w:tblGrid>
        <w:gridCol w:w="737"/>
        <w:gridCol w:w="7145"/>
        <w:gridCol w:w="1009"/>
      </w:tblGrid>
      <w:tr>
        <w:tblPrEx>
          <w:tblCellMar>
            <w:top w:w="0" w:type="dxa"/>
            <w:left w:w="108" w:type="dxa"/>
            <w:bottom w:w="0" w:type="dxa"/>
            <w:right w:w="108" w:type="dxa"/>
          </w:tblCellMar>
        </w:tblPrEx>
        <w:trPr>
          <w:trHeight w:val="433"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bCs/>
                <w:sz w:val="24"/>
              </w:rPr>
            </w:pPr>
            <w:r>
              <w:rPr>
                <w:rFonts w:hint="eastAsia" w:ascii="仿宋" w:hAnsi="仿宋" w:eastAsia="仿宋" w:cs="仿宋"/>
                <w:b/>
                <w:bCs/>
                <w:sz w:val="24"/>
              </w:rPr>
              <w:t>序号</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bCs/>
                <w:sz w:val="24"/>
              </w:rPr>
            </w:pPr>
            <w:r>
              <w:rPr>
                <w:rFonts w:hint="eastAsia" w:ascii="仿宋" w:hAnsi="仿宋" w:eastAsia="仿宋" w:cs="仿宋"/>
                <w:b/>
                <w:bCs/>
                <w:sz w:val="24"/>
              </w:rPr>
              <w:t>评 分 说 明</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bCs/>
                <w:sz w:val="24"/>
              </w:rPr>
            </w:pPr>
            <w:r>
              <w:rPr>
                <w:rFonts w:hint="eastAsia" w:ascii="仿宋" w:hAnsi="仿宋" w:eastAsia="仿宋" w:cs="仿宋"/>
                <w:b/>
                <w:bCs/>
                <w:sz w:val="24"/>
              </w:rPr>
              <w:t>分值</w:t>
            </w:r>
          </w:p>
        </w:tc>
      </w:tr>
      <w:tr>
        <w:tblPrEx>
          <w:tblCellMar>
            <w:top w:w="0" w:type="dxa"/>
            <w:left w:w="108" w:type="dxa"/>
            <w:bottom w:w="0" w:type="dxa"/>
            <w:right w:w="108" w:type="dxa"/>
          </w:tblCellMar>
        </w:tblPrEx>
        <w:trPr>
          <w:trHeight w:val="1117"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lang w:val="zh-CN"/>
              </w:rPr>
            </w:pPr>
            <w:r>
              <w:rPr>
                <w:rFonts w:hint="eastAsia" w:ascii="仿宋" w:hAnsi="仿宋" w:eastAsia="仿宋" w:cs="仿宋"/>
                <w:sz w:val="24"/>
              </w:rPr>
              <w:t>1</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完全满足招标文件要求的得20分，打▲指标出现负偏离每项扣4分；其他一般性指标负偏离扣2分，扣完为止；打★指标负偏离的无效投标处理</w:t>
            </w:r>
            <w:r>
              <w:rPr>
                <w:rFonts w:hint="eastAsia" w:ascii="仿宋" w:hAnsi="仿宋" w:eastAsia="仿宋" w:cs="仿宋"/>
                <w:sz w:val="24"/>
                <w:lang w:eastAsia="zh-CN"/>
              </w:rPr>
              <w:t>。</w:t>
            </w:r>
            <w:r>
              <w:rPr>
                <w:rFonts w:hint="eastAsia" w:ascii="仿宋" w:hAnsi="仿宋" w:eastAsia="仿宋" w:cs="仿宋"/>
                <w:sz w:val="24"/>
              </w:rPr>
              <w:t>共20分。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20</w:t>
            </w:r>
          </w:p>
        </w:tc>
      </w:tr>
      <w:tr>
        <w:tblPrEx>
          <w:tblCellMar>
            <w:top w:w="0" w:type="dxa"/>
            <w:left w:w="108" w:type="dxa"/>
            <w:bottom w:w="0" w:type="dxa"/>
            <w:right w:w="108" w:type="dxa"/>
          </w:tblCellMar>
        </w:tblPrEx>
        <w:trPr>
          <w:trHeight w:val="880"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2</w:t>
            </w:r>
          </w:p>
        </w:tc>
        <w:tc>
          <w:tcPr>
            <w:tcW w:w="7145"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sz w:val="24"/>
              </w:rPr>
              <w:t>根据投标设备样品（舌象辅助诊断系统、心电图教学系统、动脉穿刺及检测套装）的演示情况（允许视频演示）综合打分，0-10分。</w:t>
            </w:r>
            <w:r>
              <w:rPr>
                <w:rFonts w:hint="eastAsia" w:ascii="仿宋" w:hAnsi="仿宋" w:eastAsia="仿宋" w:cs="仿宋"/>
                <w:b/>
                <w:bCs/>
                <w:sz w:val="24"/>
                <w:szCs w:val="24"/>
              </w:rPr>
              <w:t>注：（1）本项演示采用明标形式，允许现场演示或视频演示。</w:t>
            </w:r>
          </w:p>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（2）若采用视频演示的：</w:t>
            </w:r>
          </w:p>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①演示内容放置到U盘中，U盘上注明单位名称、所投项目，U盘先密封至独立的信封，且在信封上标明“XXXXXX项目XX标项演示”字样，密封口应加盖投标人公章。</w:t>
            </w:r>
          </w:p>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②递交方式:把密封的U盘邮寄至代理公司,需在投标截止时间前寄达(建议采用 EMS、顺丰快递)。邮寄地址:</w:t>
            </w:r>
            <w:r>
              <w:rPr>
                <w:rFonts w:hint="eastAsia" w:ascii="仿宋" w:hAnsi="仿宋" w:eastAsia="仿宋" w:cs="仿宋"/>
                <w:b/>
                <w:bCs/>
                <w:sz w:val="24"/>
              </w:rPr>
              <w:t>耀华建设管理有限公司绍兴迪荡分公司（绍兴市越城区阳明北路80号滨江大厦C楼3楼309号）</w:t>
            </w:r>
            <w:r>
              <w:rPr>
                <w:rFonts w:hint="eastAsia" w:ascii="仿宋" w:hAnsi="仿宋" w:eastAsia="仿宋" w:cs="仿宋"/>
                <w:b/>
                <w:bCs/>
                <w:sz w:val="24"/>
                <w:szCs w:val="24"/>
              </w:rPr>
              <w:t>、叶梦雯收、手机:15957509514，快递寄出后，请将快递底单照片发送邮件至226814374@</w:t>
            </w:r>
            <w:r>
              <w:rPr>
                <w:rFonts w:hint="eastAsia" w:ascii="仿宋" w:hAnsi="仿宋" w:eastAsia="仿宋" w:cs="仿宋"/>
                <w:b/>
                <w:bCs/>
                <w:sz w:val="24"/>
                <w:szCs w:val="24"/>
                <w:lang w:val="en-US" w:eastAsia="zh-CN"/>
              </w:rPr>
              <w:t>qq</w:t>
            </w:r>
            <w:r>
              <w:rPr>
                <w:rFonts w:hint="eastAsia" w:ascii="仿宋" w:hAnsi="仿宋" w:eastAsia="仿宋" w:cs="仿宋"/>
                <w:b/>
                <w:bCs/>
                <w:sz w:val="24"/>
                <w:szCs w:val="24"/>
              </w:rPr>
              <w:t>.com 并电话通知代理机构。同时请充分考虑快递时间，逾期送达或未按照招标文件要求密封将予以拒收。递交的时间以接收时间为准。</w:t>
            </w:r>
          </w:p>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③演示视频须采用独立真实系统运行时的视频进行演示，采用视频录制语音同步讲解。采用PPT、图片、静态页面等演示的不得分。</w:t>
            </w:r>
          </w:p>
          <w:p>
            <w:pPr>
              <w:pStyle w:val="36"/>
              <w:keepNext w:val="0"/>
              <w:keepLines w:val="0"/>
              <w:pageBreakBefore w:val="0"/>
              <w:kinsoku/>
              <w:wordWrap/>
              <w:overflowPunct/>
              <w:topLinePunct w:val="0"/>
              <w:autoSpaceDE/>
              <w:autoSpaceDN/>
              <w:bidi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（3）演示时间:演示时间不超过 15 分钟。</w:t>
            </w:r>
          </w:p>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b/>
                <w:bCs/>
                <w:sz w:val="24"/>
                <w:szCs w:val="24"/>
              </w:rPr>
              <w:t>（4）未提供演示的本项不得分。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10</w:t>
            </w:r>
          </w:p>
        </w:tc>
      </w:tr>
      <w:tr>
        <w:tblPrEx>
          <w:tblCellMar>
            <w:top w:w="0" w:type="dxa"/>
            <w:left w:w="108" w:type="dxa"/>
            <w:bottom w:w="0" w:type="dxa"/>
            <w:right w:w="108" w:type="dxa"/>
          </w:tblCellMar>
        </w:tblPrEx>
        <w:trPr>
          <w:trHeight w:val="90"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3</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提供投标人2020年1月1日（以签订合同时间为准）至今，所投标产品成功销售的合同复印件并加盖投标人公章（提供完整的合同复印件和用户单位验收证明，复印件能清楚的辨析设备名称、型号，否则不得分），每有完整的一份材料得1分，最高得3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3</w:t>
            </w:r>
          </w:p>
        </w:tc>
      </w:tr>
      <w:tr>
        <w:tblPrEx>
          <w:tblCellMar>
            <w:top w:w="0" w:type="dxa"/>
            <w:left w:w="108" w:type="dxa"/>
            <w:bottom w:w="0" w:type="dxa"/>
            <w:right w:w="108" w:type="dxa"/>
          </w:tblCellMar>
        </w:tblPrEx>
        <w:trPr>
          <w:trHeight w:val="838"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4</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根据投标设备的技术先进性、易用性、稳定性进行评价，考虑所投产品的成熟性、用户认可度等方面打分，0-8分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8</w:t>
            </w:r>
          </w:p>
        </w:tc>
      </w:tr>
      <w:tr>
        <w:tblPrEx>
          <w:tblCellMar>
            <w:top w:w="0" w:type="dxa"/>
            <w:left w:w="108" w:type="dxa"/>
            <w:bottom w:w="0" w:type="dxa"/>
            <w:right w:w="108" w:type="dxa"/>
          </w:tblCellMar>
        </w:tblPrEx>
        <w:trPr>
          <w:trHeight w:val="838"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5</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对公司技术力量情况、供货安装进度的安排合理性、现场安全措施的可行性等方面打分，0-8分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8</w:t>
            </w:r>
          </w:p>
        </w:tc>
      </w:tr>
      <w:tr>
        <w:tblPrEx>
          <w:tblCellMar>
            <w:top w:w="0" w:type="dxa"/>
            <w:left w:w="108" w:type="dxa"/>
            <w:bottom w:w="0" w:type="dxa"/>
            <w:right w:w="108" w:type="dxa"/>
          </w:tblCellMar>
        </w:tblPrEx>
        <w:trPr>
          <w:trHeight w:val="621"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6</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在满足招标文件免费质保年限要求的基础上，每延长免费原厂质保期1年加2分，不足1年不计分，最高得4分。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4</w:t>
            </w:r>
          </w:p>
        </w:tc>
      </w:tr>
      <w:tr>
        <w:tblPrEx>
          <w:tblCellMar>
            <w:top w:w="0" w:type="dxa"/>
            <w:left w:w="108" w:type="dxa"/>
            <w:bottom w:w="0" w:type="dxa"/>
            <w:right w:w="108" w:type="dxa"/>
          </w:tblCellMar>
        </w:tblPrEx>
        <w:trPr>
          <w:trHeight w:val="833"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7</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根据提供相应产品的培训，培训方案、时间、内容、地点、人员数等方面打分，0-5分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5</w:t>
            </w:r>
          </w:p>
        </w:tc>
      </w:tr>
      <w:tr>
        <w:tblPrEx>
          <w:tblCellMar>
            <w:top w:w="0" w:type="dxa"/>
            <w:left w:w="108" w:type="dxa"/>
            <w:bottom w:w="0" w:type="dxa"/>
            <w:right w:w="108" w:type="dxa"/>
          </w:tblCellMar>
        </w:tblPrEx>
        <w:trPr>
          <w:trHeight w:val="987"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8</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对提供的售后服务的响应情况（维修网点、维修人员、维修能力、定期巡检、故障响应等）及配件供应、优惠条件情况等方面打分，0-8分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8</w:t>
            </w:r>
          </w:p>
        </w:tc>
      </w:tr>
      <w:tr>
        <w:tblPrEx>
          <w:tblCellMar>
            <w:top w:w="0" w:type="dxa"/>
            <w:left w:w="108" w:type="dxa"/>
            <w:bottom w:w="0" w:type="dxa"/>
            <w:right w:w="108" w:type="dxa"/>
          </w:tblCellMar>
        </w:tblPrEx>
        <w:trPr>
          <w:trHeight w:val="506" w:hRule="atLeast"/>
        </w:trPr>
        <w:tc>
          <w:tcPr>
            <w:tcW w:w="73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9</w:t>
            </w:r>
          </w:p>
        </w:tc>
        <w:tc>
          <w:tcPr>
            <w:tcW w:w="71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left"/>
              <w:textAlignment w:val="auto"/>
              <w:rPr>
                <w:rFonts w:hint="eastAsia" w:ascii="仿宋" w:hAnsi="仿宋" w:eastAsia="仿宋" w:cs="仿宋"/>
                <w:sz w:val="24"/>
              </w:rPr>
            </w:pPr>
            <w:r>
              <w:rPr>
                <w:rFonts w:hint="eastAsia" w:ascii="仿宋" w:hAnsi="仿宋" w:eastAsia="仿宋" w:cs="仿宋"/>
                <w:sz w:val="24"/>
              </w:rPr>
              <w:t>运行成本（根据保修价格、年运行费用和消耗品、易耗品价格），随机提供的耗材、备品配件、易损件是否齐全，保修期内外选购价格合理性等因素综合打分,0-4分</w:t>
            </w:r>
          </w:p>
        </w:tc>
        <w:tc>
          <w:tcPr>
            <w:tcW w:w="100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sz w:val="24"/>
              </w:rPr>
            </w:pPr>
            <w:r>
              <w:rPr>
                <w:rFonts w:hint="eastAsia" w:ascii="仿宋" w:hAnsi="仿宋" w:eastAsia="仿宋" w:cs="仿宋"/>
                <w:sz w:val="24"/>
              </w:rPr>
              <w:t>4</w:t>
            </w:r>
          </w:p>
        </w:tc>
      </w:tr>
    </w:tbl>
    <w:p>
      <w:pPr>
        <w:pageBreakBefore w:val="0"/>
        <w:kinsoku/>
        <w:wordWrap/>
        <w:overflowPunct/>
        <w:topLinePunct w:val="0"/>
        <w:bidi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pageBreakBefore w:val="0"/>
        <w:kinsoku/>
        <w:wordWrap/>
        <w:overflowPunct/>
        <w:topLinePunct w:val="0"/>
        <w:bidi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pageBreakBefore w:val="0"/>
        <w:kinsoku/>
        <w:wordWrap/>
        <w:overflowPunct/>
        <w:topLinePunct w:val="0"/>
        <w:bidi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pageBreakBefore w:val="0"/>
        <w:kinsoku/>
        <w:wordWrap/>
        <w:overflowPunct/>
        <w:topLinePunct w:val="0"/>
        <w:bidi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bookmarkStart w:id="203" w:name="_GoBack"/>
      <w:bookmarkEnd w:id="203"/>
      <w:r>
        <w:rPr>
          <w:rFonts w:hint="eastAsia" w:ascii="仿宋" w:hAnsi="仿宋" w:eastAsia="仿宋" w:cs="仿宋"/>
          <w:b/>
          <w:sz w:val="36"/>
          <w:szCs w:val="20"/>
        </w:rPr>
        <w:t>第六部分 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rPr>
      </w:pPr>
      <w:r>
        <w:rPr>
          <w:rFonts w:hint="eastAsia" w:ascii="仿宋" w:hAnsi="仿宋" w:eastAsia="仿宋" w:cs="仿宋"/>
        </w:rPr>
        <w:t>（3）分包协议………………………………………………………………（页码）</w:t>
      </w:r>
    </w:p>
    <w:p>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
        <w:rPr>
          <w:rFonts w:hint="eastAsia" w:ascii="仿宋" w:hAnsi="仿宋" w:eastAsia="仿宋" w:cs="仿宋"/>
        </w:rPr>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（1）投标函……………………………………………………………………………（页码）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（2）法定代表人授权书 ……………………………………………………………（页码）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（3）授权代表社保证明………………………………………………………………（页码）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（4）法定代表人及其授权代表身份证复印件（复印件）…………………………（页码）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（5）法定代表人身份证明书…………………………………………………………（页码）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（6）商务技术偏离表…………………………………………………………………（页码）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（7）</w:t>
      </w:r>
      <w:r>
        <w:rPr>
          <w:rFonts w:hint="eastAsia" w:ascii="仿宋" w:hAnsi="仿宋" w:eastAsia="仿宋" w:cs="仿宋"/>
          <w:lang w:val="zh-CN"/>
        </w:rPr>
        <w:t>政府采购供应商廉洁自律承诺书</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（8）</w:t>
      </w:r>
      <w:r>
        <w:rPr>
          <w:rFonts w:hint="eastAsia" w:ascii="仿宋" w:hAnsi="仿宋" w:eastAsia="仿宋" w:cs="仿宋"/>
          <w:lang w:val="zh-CN"/>
        </w:rPr>
        <w:t>主要业绩证明…………………………………………</w:t>
      </w:r>
      <w:r>
        <w:rPr>
          <w:rFonts w:hint="eastAsia" w:ascii="仿宋" w:hAnsi="仿宋" w:eastAsia="仿宋" w:cs="仿宋"/>
          <w:lang w:val="zh-CN" w:eastAsia="zh-CN"/>
        </w:rPr>
        <w:t>………</w:t>
      </w:r>
      <w:r>
        <w:rPr>
          <w:rFonts w:hint="eastAsia" w:ascii="仿宋" w:hAnsi="仿宋" w:eastAsia="仿宋" w:cs="仿宋"/>
          <w:lang w:val="en-US" w:eastAsia="zh-CN"/>
        </w:rPr>
        <w:t>………</w:t>
      </w:r>
      <w:r>
        <w:rPr>
          <w:rFonts w:hint="eastAsia" w:ascii="仿宋" w:hAnsi="仿宋" w:eastAsia="仿宋" w:cs="仿宋"/>
        </w:rPr>
        <w:t>…</w:t>
      </w:r>
      <w:r>
        <w:rPr>
          <w:rFonts w:hint="eastAsia" w:ascii="仿宋" w:hAnsi="仿宋" w:eastAsia="仿宋" w:cs="仿宋"/>
          <w:lang w:val="en-US" w:eastAsia="zh-CN"/>
        </w:rPr>
        <w:t>…</w:t>
      </w:r>
      <w:r>
        <w:rPr>
          <w:rFonts w:hint="eastAsia" w:ascii="仿宋" w:hAnsi="仿宋" w:eastAsia="仿宋" w:cs="仿宋"/>
          <w:lang w:val="zh-CN" w:eastAsia="zh-CN"/>
        </w:rPr>
        <w:t>…</w:t>
      </w:r>
      <w:r>
        <w:rPr>
          <w:rFonts w:hint="eastAsia" w:ascii="仿宋" w:hAnsi="仿宋" w:eastAsia="仿宋" w:cs="仿宋"/>
          <w:lang w:val="en-US" w:eastAsia="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（9）技术解决方案……………</w:t>
      </w:r>
      <w:r>
        <w:rPr>
          <w:rFonts w:hint="eastAsia" w:ascii="仿宋" w:hAnsi="仿宋" w:eastAsia="仿宋" w:cs="仿宋"/>
          <w:lang w:val="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（10）组织实施方案………………………………</w:t>
      </w:r>
      <w:r>
        <w:rPr>
          <w:rFonts w:hint="eastAsia" w:ascii="仿宋" w:hAnsi="仿宋" w:eastAsia="仿宋" w:cs="仿宋"/>
          <w:lang w:val="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（11）售后服务方案……………………</w:t>
      </w:r>
      <w:r>
        <w:rPr>
          <w:rFonts w:hint="eastAsia" w:ascii="仿宋" w:hAnsi="仿宋" w:eastAsia="仿宋" w:cs="仿宋"/>
          <w:lang w:val="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（12）供应商售后服务证明材料………………</w:t>
      </w:r>
      <w:r>
        <w:rPr>
          <w:rFonts w:hint="eastAsia" w:ascii="仿宋" w:hAnsi="仿宋" w:eastAsia="仿宋" w:cs="仿宋"/>
          <w:lang w:val="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（13）项目小组人员名单………………</w:t>
      </w:r>
      <w:r>
        <w:rPr>
          <w:rFonts w:hint="eastAsia" w:ascii="仿宋" w:hAnsi="仿宋" w:eastAsia="仿宋" w:cs="仿宋"/>
          <w:lang w:val="zh-CN"/>
        </w:rPr>
        <w:t>……………………………………………</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（14）</w:t>
      </w:r>
      <w:r>
        <w:rPr>
          <w:rFonts w:hint="eastAsia" w:ascii="仿宋" w:hAnsi="仿宋" w:eastAsia="仿宋" w:cs="仿宋"/>
          <w:lang w:val="zh-CN"/>
        </w:rPr>
        <w:t>优惠条件及特殊承诺…………………………………………………………</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（15）</w:t>
      </w:r>
      <w:r>
        <w:rPr>
          <w:rFonts w:hint="eastAsia" w:ascii="仿宋" w:hAnsi="仿宋" w:eastAsia="仿宋" w:cs="仿宋"/>
          <w:lang w:val="zh-CN"/>
        </w:rPr>
        <w:t>备品备件及供选择的配套零部件清单………………………………………</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（16）</w:t>
      </w:r>
      <w:r>
        <w:rPr>
          <w:rFonts w:hint="eastAsia" w:ascii="仿宋" w:hAnsi="仿宋" w:eastAsia="仿宋" w:cs="仿宋"/>
          <w:lang w:val="zh-CN"/>
        </w:rPr>
        <w:t>培训计划………………………………………………………………………</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（17）</w:t>
      </w:r>
      <w:r>
        <w:rPr>
          <w:rFonts w:hint="eastAsia" w:ascii="仿宋" w:hAnsi="仿宋" w:eastAsia="仿宋" w:cs="仿宋"/>
          <w:lang w:val="zh-CN"/>
        </w:rPr>
        <w:t>验收方案………………………………………………………………………</w:t>
      </w:r>
      <w:r>
        <w:rPr>
          <w:rFonts w:hint="eastAsia" w:ascii="仿宋" w:hAnsi="仿宋" w:eastAsia="仿宋" w:cs="仿宋"/>
        </w:rPr>
        <w:t>（页码）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（18）</w:t>
      </w:r>
      <w:r>
        <w:rPr>
          <w:rFonts w:hint="eastAsia" w:ascii="仿宋" w:hAnsi="仿宋" w:eastAsia="仿宋" w:cs="仿宋"/>
          <w:lang w:val="zh-CN"/>
        </w:rPr>
        <w:t>认为需要的其他商务技术（资信）文件或说明……………………………</w:t>
      </w:r>
      <w:r>
        <w:rPr>
          <w:rFonts w:hint="eastAsia" w:ascii="仿宋" w:hAnsi="仿宋" w:eastAsia="仿宋" w:cs="仿宋"/>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ind w:firstLine="3855" w:firstLineChars="1200"/>
        <w:outlineLvl w:val="0"/>
        <w:rPr>
          <w:rFonts w:hint="eastAsia" w:ascii="仿宋" w:hAnsi="仿宋" w:eastAsia="仿宋" w:cs="仿宋"/>
          <w:b/>
          <w:kern w:val="0"/>
          <w:sz w:val="32"/>
          <w:szCs w:val="32"/>
        </w:rPr>
      </w:pPr>
    </w:p>
    <w:p>
      <w:pPr>
        <w:snapToGrid w:val="0"/>
        <w:spacing w:line="360" w:lineRule="auto"/>
        <w:ind w:firstLine="3855" w:firstLineChars="1200"/>
        <w:outlineLvl w:val="0"/>
        <w:rPr>
          <w:rFonts w:hint="eastAsia" w:ascii="仿宋" w:hAnsi="仿宋" w:eastAsia="仿宋" w:cs="仿宋"/>
          <w:b/>
          <w:kern w:val="0"/>
          <w:sz w:val="32"/>
          <w:szCs w:val="32"/>
        </w:rPr>
      </w:pPr>
    </w:p>
    <w:p>
      <w:pPr>
        <w:keepNext w:val="0"/>
        <w:keepLines w:val="0"/>
        <w:pageBreakBefore w:val="0"/>
        <w:kinsoku/>
        <w:wordWrap/>
        <w:overflowPunct/>
        <w:topLinePunct w:val="0"/>
        <w:autoSpaceDE/>
        <w:autoSpaceDN/>
        <w:bidi w:val="0"/>
        <w:snapToGrid w:val="0"/>
        <w:spacing w:line="288" w:lineRule="auto"/>
        <w:ind w:firstLine="3855" w:firstLineChars="1200"/>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keepNext w:val="0"/>
        <w:keepLines w:val="0"/>
        <w:pageBreakBefore w:val="0"/>
        <w:kinsoku/>
        <w:wordWrap/>
        <w:overflowPunct/>
        <w:topLinePunct w:val="0"/>
        <w:autoSpaceDE/>
        <w:autoSpaceDN/>
        <w:bidi w:val="0"/>
        <w:spacing w:after="120" w:line="288" w:lineRule="auto"/>
        <w:ind w:firstLine="0" w:firstLineChars="0"/>
        <w:textAlignment w:val="auto"/>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120" w:line="288" w:lineRule="auto"/>
        <w:ind w:left="0" w:firstLine="480" w:firstLineChars="200"/>
        <w:textAlignment w:val="auto"/>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120" w:line="288" w:lineRule="auto"/>
        <w:ind w:left="0" w:firstLine="480" w:firstLineChars="200"/>
        <w:textAlignment w:val="auto"/>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a)提供虚假材料谋取中标、成交的；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b)采取不正当手段诋毁、排挤其他供应商的；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e)在招标采购过程中与采购人进行协商谈判的；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f)拒绝有关部门监督检查或提供虚假情况的。</w:t>
      </w:r>
    </w:p>
    <w:p>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电话：                              传真：</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 xml:space="preserve">开户银行：                          </w:t>
      </w:r>
      <w:r>
        <w:rPr>
          <w:rFonts w:hint="eastAsia" w:ascii="仿宋" w:hAnsi="仿宋" w:eastAsia="仿宋" w:cs="仿宋"/>
          <w:szCs w:val="24"/>
          <w:lang w:val="en-US" w:eastAsia="zh-CN"/>
        </w:rPr>
        <w:t>账</w:t>
      </w:r>
      <w:r>
        <w:rPr>
          <w:rFonts w:hint="eastAsia" w:ascii="仿宋" w:hAnsi="仿宋" w:eastAsia="仿宋" w:cs="仿宋"/>
          <w:szCs w:val="24"/>
        </w:rPr>
        <w:t>号：</w:t>
      </w:r>
    </w:p>
    <w:p>
      <w:pPr>
        <w:pStyle w:val="397"/>
        <w:keepNext w:val="0"/>
        <w:keepLines w:val="0"/>
        <w:pageBreakBefore w:val="0"/>
        <w:kinsoku/>
        <w:wordWrap/>
        <w:overflowPunct/>
        <w:topLinePunct w:val="0"/>
        <w:autoSpaceDE/>
        <w:autoSpaceDN/>
        <w:bidi w:val="0"/>
        <w:spacing w:after="120" w:line="288" w:lineRule="auto"/>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法定代表人或其授权代表(签字或盖章)：</w:t>
      </w:r>
    </w:p>
    <w:p>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lang w:eastAsia="zh-CN"/>
        </w:rPr>
        <w:t>，格式自拟</w:t>
      </w:r>
      <w:r>
        <w:rPr>
          <w:rFonts w:hint="eastAsia" w:ascii="仿宋" w:hAnsi="仿宋" w:eastAsia="仿宋" w:cs="仿宋"/>
          <w:color w:val="auto"/>
          <w:sz w:val="24"/>
        </w:rPr>
        <w:t>。</w:t>
      </w:r>
    </w:p>
    <w:p>
      <w:pPr>
        <w:pStyle w:val="82"/>
        <w:rPr>
          <w:rFonts w:hint="eastAsia" w:ascii="仿宋" w:hAnsi="仿宋" w:eastAsia="仿宋" w:cs="仿宋"/>
          <w:b/>
        </w:rPr>
      </w:pPr>
    </w:p>
    <w:p>
      <w:pPr>
        <w:pStyle w:val="82"/>
        <w:rPr>
          <w:rFonts w:hint="eastAsia" w:ascii="仿宋" w:hAnsi="仿宋" w:eastAsia="仿宋" w:cs="仿宋"/>
          <w:b/>
        </w:rPr>
      </w:pPr>
    </w:p>
    <w:p>
      <w:pPr>
        <w:spacing w:line="800" w:lineRule="exact"/>
        <w:ind w:firstLine="904" w:firstLineChars="300"/>
        <w:rPr>
          <w:rFonts w:hint="eastAsia"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hint="eastAsia" w:ascii="仿宋" w:hAnsi="仿宋" w:eastAsia="仿宋" w:cs="仿宋"/>
          <w:b/>
          <w:sz w:val="30"/>
          <w:szCs w:val="30"/>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49"/>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2"/>
        <w:rPr>
          <w:rFonts w:hint="eastAsia" w:ascii="仿宋" w:hAnsi="仿宋" w:eastAsia="仿宋" w:cs="仿宋"/>
        </w:rPr>
      </w:pP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2"/>
        <w:rPr>
          <w:rFonts w:hint="eastAsia" w:ascii="仿宋" w:hAnsi="仿宋" w:eastAsia="仿宋" w:cs="仿宋"/>
        </w:rPr>
      </w:pP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keepLines w:val="0"/>
        <w:pageBreakBefore/>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pPr>
        <w:keepLines w:val="0"/>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keepLines w:val="0"/>
        <w:widowControl w:val="0"/>
        <w:kinsoku/>
        <w:wordWrap/>
        <w:overflowPunct/>
        <w:topLinePunct w:val="0"/>
        <w:autoSpaceDE w:val="0"/>
        <w:autoSpaceDN w:val="0"/>
        <w:bidi w:val="0"/>
        <w:adjustRightInd w:val="0"/>
        <w:snapToGrid/>
        <w:spacing w:line="288" w:lineRule="auto"/>
        <w:ind w:firstLine="477"/>
        <w:textAlignment w:val="auto"/>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r>
    </w:tbl>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2"/>
        <w:keepLines w:val="0"/>
        <w:widowControl w:val="0"/>
        <w:kinsoku/>
        <w:wordWrap/>
        <w:overflowPunct/>
        <w:topLinePunct w:val="0"/>
        <w:bidi w:val="0"/>
        <w:adjustRightInd w:val="0"/>
        <w:snapToGrid/>
        <w:spacing w:line="288" w:lineRule="auto"/>
        <w:textAlignment w:val="auto"/>
        <w:rPr>
          <w:rFonts w:hint="eastAsia" w:ascii="仿宋" w:hAnsi="仿宋" w:eastAsia="仿宋" w:cs="仿宋"/>
        </w:rPr>
      </w:pPr>
    </w:p>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学历</w:t>
            </w:r>
          </w:p>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专业</w:t>
            </w:r>
          </w:p>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职称</w:t>
            </w:r>
          </w:p>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jc w:val="center"/>
              <w:textAlignment w:val="auto"/>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keepLines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sz w:val="24"/>
              </w:rPr>
            </w:pPr>
          </w:p>
        </w:tc>
      </w:tr>
    </w:tbl>
    <w:p>
      <w:pPr>
        <w:keepLines w:val="0"/>
        <w:widowControl w:val="0"/>
        <w:kinsoku/>
        <w:wordWrap/>
        <w:overflowPunct/>
        <w:topLinePunct w:val="0"/>
        <w:bidi w:val="0"/>
        <w:adjustRightInd w:val="0"/>
        <w:snapToGrid/>
        <w:spacing w:line="288" w:lineRule="auto"/>
        <w:textAlignment w:val="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2"/>
        <w:keepLines w:val="0"/>
        <w:widowControl w:val="0"/>
        <w:kinsoku/>
        <w:wordWrap/>
        <w:overflowPunct/>
        <w:topLinePunct w:val="0"/>
        <w:bidi w:val="0"/>
        <w:adjustRightInd w:val="0"/>
        <w:snapToGrid/>
        <w:spacing w:line="288" w:lineRule="auto"/>
        <w:textAlignment w:val="auto"/>
        <w:rPr>
          <w:rFonts w:hint="eastAsia" w:ascii="仿宋" w:hAnsi="仿宋" w:eastAsia="仿宋" w:cs="仿宋"/>
        </w:rPr>
      </w:pPr>
    </w:p>
    <w:p>
      <w:pPr>
        <w:keepLines w:val="0"/>
        <w:widowControl w:val="0"/>
        <w:kinsoku/>
        <w:wordWrap/>
        <w:overflowPunct/>
        <w:topLinePunct w:val="0"/>
        <w:bidi w:val="0"/>
        <w:adjustRightInd w:val="0"/>
        <w:snapToGrid/>
        <w:spacing w:line="288" w:lineRule="auto"/>
        <w:textAlignment w:val="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keepLines w:val="0"/>
        <w:widowControl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sz w:val="24"/>
          <w:szCs w:val="20"/>
        </w:rPr>
      </w:pPr>
    </w:p>
    <w:p>
      <w:pPr>
        <w:keepLines w:val="0"/>
        <w:widowControl w:val="0"/>
        <w:kinsoku/>
        <w:wordWrap/>
        <w:overflowPunct/>
        <w:topLinePunct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 xml:space="preserve">         投标人名称（电子签名）：</w:t>
      </w:r>
    </w:p>
    <w:p>
      <w:pPr>
        <w:keepLines w:val="0"/>
        <w:widowControl w:val="0"/>
        <w:kinsoku/>
        <w:wordWrap/>
        <w:overflowPunct/>
        <w:topLinePunct w:val="0"/>
        <w:bidi w:val="0"/>
        <w:adjustRightInd w:val="0"/>
        <w:snapToGrid/>
        <w:spacing w:line="288" w:lineRule="auto"/>
        <w:jc w:val="center"/>
        <w:textAlignment w:val="auto"/>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hint="eastAsia" w:ascii="仿宋" w:hAnsi="仿宋" w:eastAsia="仿宋" w:cs="仿宋"/>
          <w:b/>
          <w:bCs/>
          <w:sz w:val="32"/>
          <w:szCs w:val="32"/>
        </w:rPr>
      </w:pPr>
    </w:p>
    <w:p>
      <w:pPr>
        <w:snapToGrid w:val="0"/>
        <w:spacing w:line="360" w:lineRule="auto"/>
        <w:ind w:right="960"/>
        <w:rPr>
          <w:rFonts w:hint="eastAsia" w:ascii="仿宋" w:hAnsi="仿宋" w:eastAsia="仿宋" w:cs="仿宋"/>
          <w:kern w:val="0"/>
          <w:sz w:val="24"/>
          <w:lang w:val="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pStyle w:val="2"/>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3"/>
        <w:rPr>
          <w:rFonts w:hint="eastAsia"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hint="eastAsia" w:ascii="仿宋" w:hAnsi="仿宋" w:eastAsia="仿宋" w:cs="仿宋"/>
                <w:sz w:val="24"/>
              </w:rPr>
            </w:pP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eastAsia" w:ascii="仿宋" w:hAnsi="仿宋" w:eastAsia="仿宋" w:cs="仿宋"/>
                <w:sz w:val="24"/>
              </w:rPr>
            </w:pP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p>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jc w:val="center"/>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3" w:name="_Hlk101259491"/>
      <w:r>
        <w:rPr>
          <w:rFonts w:hint="eastAsia" w:ascii="仿宋" w:hAnsi="仿宋" w:eastAsia="仿宋" w:cs="仿宋"/>
          <w:sz w:val="32"/>
          <w:szCs w:val="32"/>
        </w:rPr>
        <w:t>（如果有）</w:t>
      </w:r>
      <w:bookmarkEnd w:id="193"/>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rPr>
      </w:pPr>
    </w:p>
    <w:p>
      <w:pPr>
        <w:pStyle w:val="3"/>
        <w:rPr>
          <w:rFonts w:hint="eastAsia" w:ascii="仿宋" w:hAnsi="仿宋" w:eastAsia="仿宋" w:cs="仿宋"/>
          <w:b/>
          <w:sz w:val="24"/>
        </w:rPr>
      </w:pPr>
    </w:p>
    <w:p>
      <w:pPr>
        <w:rPr>
          <w:rFonts w:hint="eastAsia" w:ascii="仿宋" w:hAnsi="仿宋" w:eastAsia="仿宋" w:cs="仿宋"/>
          <w:b/>
          <w:sz w:val="24"/>
        </w:rPr>
      </w:pPr>
    </w:p>
    <w:p>
      <w:pPr>
        <w:pStyle w:val="2"/>
        <w:rPr>
          <w:rFonts w:hint="eastAsia" w:ascii="仿宋" w:hAnsi="仿宋" w:eastAsia="仿宋" w:cs="仿宋"/>
          <w:b/>
          <w:color w:val="auto"/>
        </w:rPr>
      </w:pPr>
    </w:p>
    <w:p>
      <w:pPr>
        <w:pStyle w:val="3"/>
        <w:rPr>
          <w:rFonts w:hint="eastAsia" w:ascii="仿宋" w:hAnsi="仿宋" w:eastAsia="仿宋" w:cs="仿宋"/>
        </w:rPr>
      </w:pPr>
    </w:p>
    <w:p>
      <w:pPr>
        <w:pStyle w:val="3"/>
        <w:rPr>
          <w:rFonts w:hint="eastAsia" w:ascii="仿宋" w:hAnsi="仿宋" w:eastAsia="仿宋" w:cs="仿宋"/>
        </w:rPr>
      </w:pPr>
    </w:p>
    <w:p>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2"/>
        <w:widowControl/>
        <w:spacing w:line="360" w:lineRule="auto"/>
        <w:ind w:firstLine="120" w:firstLineChars="50"/>
        <w:rPr>
          <w:rFonts w:hint="eastAsia" w:ascii="仿宋" w:hAnsi="仿宋" w:eastAsia="仿宋" w:cs="仿宋"/>
          <w:b/>
          <w:color w:val="FF0000"/>
        </w:rPr>
      </w:pPr>
    </w:p>
    <w:p>
      <w:pPr>
        <w:pStyle w:val="3"/>
        <w:spacing w:line="360" w:lineRule="auto"/>
        <w:ind w:left="0" w:firstLine="120" w:firstLineChars="50"/>
        <w:jc w:val="left"/>
        <w:rPr>
          <w:rFonts w:hint="eastAsia" w:ascii="仿宋" w:hAnsi="仿宋" w:eastAsia="仿宋" w:cs="仿宋"/>
          <w:b/>
          <w:color w:val="FF000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jc w:val="center"/>
        <w:rPr>
          <w:rFonts w:hint="eastAsia" w:ascii="仿宋" w:hAnsi="仿宋" w:eastAsia="仿宋" w:cs="仿宋"/>
        </w:rPr>
      </w:pPr>
      <w:bookmarkStart w:id="194" w:name="_Toc465665161"/>
      <w:r>
        <w:rPr>
          <w:rFonts w:hint="eastAsia" w:ascii="仿宋" w:hAnsi="仿宋" w:eastAsia="仿宋" w:cs="仿宋"/>
        </w:rPr>
        <w:t>附件</w:t>
      </w:r>
      <w:bookmarkEnd w:id="194"/>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hint="eastAsia" w:ascii="仿宋" w:hAnsi="仿宋" w:eastAsia="仿宋" w:cs="仿宋"/>
          <w:b/>
          <w:sz w:val="24"/>
        </w:rPr>
      </w:pPr>
    </w:p>
    <w:p>
      <w:pPr>
        <w:keepNext w:val="0"/>
        <w:keepLines w:val="0"/>
        <w:pageBreakBefore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一、投诉相关主体基本情况</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tabs>
          <w:tab w:val="left" w:pos="6510"/>
        </w:tabs>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pageBreakBefore w:val="0"/>
        <w:tabs>
          <w:tab w:val="left" w:pos="6510"/>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被投诉人2</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二、投诉项目基本情况</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三、质疑基本情况</w:t>
      </w:r>
    </w:p>
    <w:p>
      <w:pPr>
        <w:keepNext w:val="0"/>
        <w:keepLines w:val="0"/>
        <w:pageBreakBefore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pageBreakBefore w:val="0"/>
        <w:kinsoku/>
        <w:wordWrap/>
        <w:overflowPunct/>
        <w:topLinePunct w:val="0"/>
        <w:autoSpaceDE/>
        <w:autoSpaceDN/>
        <w:bidi w:val="0"/>
        <w:adjustRightInd w:val="0"/>
        <w:snapToGrid/>
        <w:spacing w:line="288" w:lineRule="auto"/>
        <w:ind w:firstLine="360" w:firstLineChars="150"/>
        <w:textAlignment w:val="auto"/>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四、投诉事项具体内容</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投诉事项2</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dotted"/>
        </w:rPr>
      </w:pPr>
      <w:r>
        <w:rPr>
          <w:rFonts w:hint="eastAsia" w:ascii="仿宋" w:hAnsi="仿宋" w:eastAsia="仿宋" w:cs="仿宋"/>
          <w:sz w:val="24"/>
        </w:rPr>
        <w:t>……</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五、与投诉事项相关的投诉请求</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u w:val="single"/>
        </w:rPr>
      </w:pPr>
      <w:r>
        <w:rPr>
          <w:rFonts w:hint="eastAsia" w:ascii="仿宋" w:hAnsi="仿宋" w:eastAsia="仿宋" w:cs="仿宋"/>
          <w:sz w:val="24"/>
        </w:rPr>
        <w:t xml:space="preserve">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 xml:space="preserve">签字(签章)：                   公章：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rPr>
      </w:pPr>
      <w:r>
        <w:rPr>
          <w:rFonts w:hint="eastAsia" w:ascii="仿宋" w:hAnsi="仿宋" w:eastAsia="仿宋" w:cs="仿宋"/>
          <w:sz w:val="24"/>
        </w:rPr>
        <w:t xml:space="preserve">日期：    </w:t>
      </w: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rPr>
      </w:pPr>
      <w:r>
        <w:rPr>
          <w:rFonts w:hint="eastAsia" w:ascii="仿宋" w:hAnsi="仿宋" w:eastAsia="仿宋" w:cs="仿宋"/>
          <w:b/>
          <w:sz w:val="24"/>
        </w:rPr>
        <w:t>投诉书制作说明：</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6.投诉书的投诉请求应与投诉事项相关。</w:t>
      </w:r>
    </w:p>
    <w:p>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2"/>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6"/>
        <w:ind w:firstLine="0"/>
        <w:rPr>
          <w:rFonts w:hint="eastAsia" w:ascii="仿宋" w:hAnsi="仿宋" w:eastAsia="仿宋" w:cs="仿宋"/>
        </w:rPr>
      </w:pPr>
    </w:p>
    <w:p>
      <w:pPr>
        <w:rPr>
          <w:rFonts w:hint="eastAsia" w:ascii="仿宋" w:hAnsi="仿宋" w:eastAsia="仿宋" w:cs="仿宋"/>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both"/>
        <w:outlineLvl w:val="0"/>
        <w:rPr>
          <w:rFonts w:hint="eastAsia" w:ascii="仿宋" w:hAnsi="仿宋" w:eastAsia="仿宋" w:cs="仿宋"/>
          <w:b/>
          <w:kern w:val="0"/>
          <w:sz w:val="32"/>
          <w:szCs w:val="32"/>
        </w:rPr>
      </w:pPr>
    </w:p>
    <w:p>
      <w:pPr>
        <w:pageBreakBefore w:val="0"/>
        <w:kinsoku/>
        <w:wordWrap/>
        <w:overflowPunct/>
        <w:topLinePunct w:val="0"/>
        <w:bidi w:val="0"/>
        <w:snapToGrid w:val="0"/>
        <w:spacing w:line="264"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pPr>
        <w:pageBreakBefore w:val="0"/>
        <w:widowControl/>
        <w:kinsoku/>
        <w:wordWrap/>
        <w:overflowPunct/>
        <w:topLinePunct w:val="0"/>
        <w:bidi w:val="0"/>
        <w:spacing w:line="264"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bookmarkStart w:id="19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95"/>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pageBreakBefore w:val="0"/>
        <w:kinsoku/>
        <w:wordWrap/>
        <w:overflowPunct/>
        <w:topLinePunct w:val="0"/>
        <w:bidi w:val="0"/>
        <w:snapToGrid w:val="0"/>
        <w:spacing w:line="264"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pageBreakBefore w:val="0"/>
        <w:kinsoku/>
        <w:wordWrap/>
        <w:overflowPunct/>
        <w:topLinePunct w:val="0"/>
        <w:bidi w:val="0"/>
        <w:snapToGrid w:val="0"/>
        <w:spacing w:line="264" w:lineRule="auto"/>
        <w:ind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pageBreakBefore w:val="0"/>
        <w:kinsoku/>
        <w:wordWrap/>
        <w:overflowPunct/>
        <w:topLinePunct w:val="0"/>
        <w:bidi w:val="0"/>
        <w:snapToGrid w:val="0"/>
        <w:spacing w:line="264" w:lineRule="auto"/>
        <w:ind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pageBreakBefore w:val="0"/>
        <w:kinsoku/>
        <w:wordWrap/>
        <w:overflowPunct/>
        <w:topLinePunct w:val="0"/>
        <w:bidi w:val="0"/>
        <w:snapToGrid w:val="0"/>
        <w:spacing w:line="264" w:lineRule="auto"/>
        <w:ind w:right="96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pageBreakBefore w:val="0"/>
        <w:kinsoku/>
        <w:wordWrap/>
        <w:overflowPunct/>
        <w:topLinePunct w:val="0"/>
        <w:bidi w:val="0"/>
        <w:snapToGrid w:val="0"/>
        <w:spacing w:line="264"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pageBreakBefore w:val="0"/>
        <w:kinsoku/>
        <w:wordWrap/>
        <w:overflowPunct/>
        <w:topLinePunct w:val="0"/>
        <w:bidi w:val="0"/>
        <w:spacing w:line="264" w:lineRule="auto"/>
        <w:ind w:right="420"/>
        <w:textAlignment w:val="auto"/>
        <w:rPr>
          <w:rFonts w:hint="eastAsia" w:ascii="仿宋" w:hAnsi="仿宋" w:eastAsia="仿宋" w:cs="仿宋"/>
          <w:sz w:val="24"/>
        </w:rPr>
      </w:pPr>
      <w:r>
        <w:rPr>
          <w:rFonts w:hint="eastAsia" w:ascii="仿宋" w:hAnsi="仿宋" w:eastAsia="仿宋" w:cs="仿宋"/>
          <w:sz w:val="24"/>
        </w:rPr>
        <w:t>注：按本格式和要求提供。</w:t>
      </w:r>
    </w:p>
    <w:p>
      <w:pPr>
        <w:pageBreakBefore w:val="0"/>
        <w:kinsoku/>
        <w:wordWrap/>
        <w:overflowPunct/>
        <w:topLinePunct w:val="0"/>
        <w:bidi w:val="0"/>
        <w:snapToGrid w:val="0"/>
        <w:spacing w:line="264" w:lineRule="auto"/>
        <w:jc w:val="both"/>
        <w:textAlignment w:val="auto"/>
        <w:outlineLvl w:val="0"/>
        <w:rPr>
          <w:rFonts w:hint="eastAsia" w:ascii="仿宋" w:hAnsi="仿宋" w:eastAsia="仿宋" w:cs="仿宋"/>
          <w:b/>
          <w:kern w:val="0"/>
          <w:sz w:val="32"/>
          <w:szCs w:val="32"/>
        </w:rPr>
      </w:pPr>
    </w:p>
    <w:p>
      <w:pPr>
        <w:pageBreakBefore w:val="0"/>
        <w:kinsoku/>
        <w:wordWrap/>
        <w:overflowPunct/>
        <w:topLinePunct w:val="0"/>
        <w:bidi w:val="0"/>
        <w:snapToGrid w:val="0"/>
        <w:spacing w:line="264"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pPr>
        <w:pageBreakBefore w:val="0"/>
        <w:widowControl/>
        <w:kinsoku/>
        <w:wordWrap/>
        <w:overflowPunct/>
        <w:topLinePunct w:val="0"/>
        <w:bidi w:val="0"/>
        <w:spacing w:line="264" w:lineRule="auto"/>
        <w:ind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bidi w:val="0"/>
        <w:spacing w:line="264" w:lineRule="auto"/>
        <w:ind w:left="664" w:leftChars="316"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bidi w:val="0"/>
        <w:snapToGrid w:val="0"/>
        <w:spacing w:line="264"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bidi w:val="0"/>
        <w:spacing w:line="264" w:lineRule="auto"/>
        <w:ind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9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6"/>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bidi w:val="0"/>
        <w:snapToGrid w:val="0"/>
        <w:spacing w:line="264" w:lineRule="auto"/>
        <w:ind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bidi w:val="0"/>
        <w:snapToGrid w:val="0"/>
        <w:spacing w:line="264" w:lineRule="auto"/>
        <w:ind w:left="573" w:leftChars="273"/>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bidi w:val="0"/>
        <w:snapToGrid w:val="0"/>
        <w:spacing w:line="264" w:lineRule="auto"/>
        <w:ind w:left="573" w:leftChars="273"/>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bidi w:val="0"/>
        <w:snapToGrid w:val="0"/>
        <w:spacing w:line="264"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bidi w:val="0"/>
        <w:snapToGrid w:val="0"/>
        <w:spacing w:line="264" w:lineRule="auto"/>
        <w:ind w:left="5758" w:leftChars="342"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pageBreakBefore w:val="0"/>
        <w:kinsoku/>
        <w:wordWrap/>
        <w:overflowPunct/>
        <w:topLinePunct w:val="0"/>
        <w:bidi w:val="0"/>
        <w:snapToGrid w:val="0"/>
        <w:spacing w:line="264"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bidi w:val="0"/>
        <w:snapToGrid w:val="0"/>
        <w:spacing w:line="264" w:lineRule="auto"/>
        <w:ind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bidi w:val="0"/>
        <w:spacing w:line="264" w:lineRule="auto"/>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bidi w:val="0"/>
        <w:spacing w:line="264" w:lineRule="auto"/>
        <w:ind w:right="42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bookmarkStart w:id="197" w:name="OLE_LINK13"/>
      <w:bookmarkStart w:id="198" w:name="OLE_LINK14"/>
      <w:r>
        <w:rPr>
          <w:rFonts w:hint="eastAsia" w:ascii="仿宋" w:hAnsi="仿宋" w:eastAsia="仿宋" w:cs="仿宋"/>
          <w:b/>
          <w:spacing w:val="6"/>
          <w:sz w:val="32"/>
          <w:szCs w:val="32"/>
        </w:rPr>
        <w:t>附件6：</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7"/>
    <w:bookmarkEnd w:id="198"/>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u w:val="single"/>
        </w:rPr>
      </w:pP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中小企业声明函（货物）</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288" w:lineRule="auto"/>
        <w:ind w:firstLine="5160" w:firstLineChars="2150"/>
        <w:textAlignment w:val="auto"/>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rPr>
          <w:rFonts w:hint="eastAsia" w:ascii="仿宋" w:hAnsi="仿宋" w:eastAsia="仿宋" w:cs="仿宋"/>
          <w:sz w:val="24"/>
        </w:rPr>
      </w:pPr>
      <w:r>
        <w:rPr>
          <w:rFonts w:hint="eastAsia" w:ascii="仿宋" w:hAnsi="仿宋" w:eastAsia="仿宋" w:cs="仿宋"/>
          <w:sz w:val="24"/>
        </w:rPr>
        <w:t>注：</w:t>
      </w:r>
    </w:p>
    <w:p>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ascii="仿宋" w:hAnsi="仿宋" w:eastAsia="仿宋" w:cs="仿宋"/>
          <w:lang w:val="en-US"/>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hint="eastAsia" w:ascii="仿宋" w:hAnsi="仿宋" w:eastAsia="仿宋" w:cs="仿宋"/>
          <w:bCs/>
          <w:sz w:val="24"/>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5"/>
      </w:rPr>
    </w:pPr>
    <w:r>
      <w:fldChar w:fldCharType="begin"/>
    </w:r>
    <w:r>
      <w:rPr>
        <w:rStyle w:val="75"/>
      </w:rPr>
      <w:instrText xml:space="preserve">PAGE  </w:instrText>
    </w:r>
    <w:r>
      <w:fldChar w:fldCharType="end"/>
    </w:r>
  </w:p>
  <w:p>
    <w:pPr>
      <w:pStyle w:val="43"/>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91899912"/>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91899912"/>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5"/>
      </w:rPr>
    </w:pPr>
    <w:r>
      <w:fldChar w:fldCharType="begin"/>
    </w:r>
    <w:r>
      <w:rPr>
        <w:rStyle w:val="75"/>
      </w:rPr>
      <w:instrText xml:space="preserve">PAGE  </w:instrText>
    </w:r>
    <w:r>
      <w:fldChar w:fldCharType="end"/>
    </w:r>
  </w:p>
  <w:p>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3"/>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5"/>
      </w:rPr>
    </w:pPr>
    <w:r>
      <w:fldChar w:fldCharType="begin"/>
    </w:r>
    <w:r>
      <w:rPr>
        <w:rStyle w:val="75"/>
      </w:rPr>
      <w:instrText xml:space="preserve">PAGE  </w:instrText>
    </w:r>
    <w:r>
      <w:fldChar w:fldCharType="end"/>
    </w:r>
  </w:p>
  <w:p>
    <w:pPr>
      <w:pStyle w:val="4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3"/>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hint="default" w:ascii="仿宋" w:hAnsi="仿宋" w:eastAsia="仿宋" w:cs="仿宋"/>
        <w:i/>
        <w:u w:val="single"/>
        <w:lang w:val="en-US"/>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YH2023-</w:t>
    </w:r>
    <w:r>
      <w:rPr>
        <w:rFonts w:hint="eastAsia" w:ascii="仿宋" w:hAnsi="仿宋" w:eastAsia="仿宋" w:cs="仿宋"/>
        <w:lang w:val="en-US" w:eastAsia="zh-CN"/>
      </w:rPr>
      <w:t>11019</w:t>
    </w:r>
  </w:p>
  <w:p>
    <w:pPr>
      <w:pStyle w:val="4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hint="default" w:ascii="仿宋_GB2312" w:eastAsia="仿宋_GB2312"/>
        <w:i/>
        <w:u w:val="single"/>
        <w:lang w:val="en-US"/>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YH2023-</w:t>
    </w:r>
    <w:r>
      <w:rPr>
        <w:rFonts w:hint="eastAsia" w:ascii="仿宋" w:hAnsi="仿宋" w:eastAsia="仿宋" w:cs="仿宋"/>
        <w:lang w:val="en-US" w:eastAsia="zh-CN"/>
      </w:rPr>
      <w:t>11019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YH2023-</w:t>
    </w:r>
    <w:r>
      <w:rPr>
        <w:rFonts w:hint="eastAsia" w:ascii="仿宋" w:hAnsi="仿宋" w:eastAsia="仿宋" w:cs="仿宋"/>
        <w:lang w:val="en-US" w:eastAsia="zh-CN"/>
      </w:rPr>
      <w:t>11019</w:t>
    </w:r>
    <w:r>
      <w:rPr>
        <w:rFonts w:hint="eastAsia" w:ascii="仿宋" w:hAnsi="仿宋" w:eastAsia="仿宋" w:cs="仿宋"/>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rPr>
      <w:t xml:space="preserve">           </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YH2023-</w:t>
    </w:r>
    <w:r>
      <w:rPr>
        <w:rFonts w:hint="eastAsia" w:ascii="仿宋" w:hAnsi="仿宋" w:eastAsia="仿宋" w:cs="仿宋"/>
        <w:lang w:val="en-US" w:eastAsia="zh-CN"/>
      </w:rPr>
      <w:t>11019</w:t>
    </w:r>
    <w:r>
      <w:rPr>
        <w:rFonts w:hint="eastAsia" w:ascii="仿宋" w:hAnsi="仿宋" w:eastAsia="仿宋" w:cs="仿宋"/>
      </w:rPr>
      <w:t xml:space="preserve"> </w:t>
    </w:r>
  </w:p>
  <w:p>
    <w:pPr>
      <w:pStyle w:val="44"/>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rPr>
      <w:t xml:space="preserve">        </w:t>
    </w: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 xml:space="preserve">YH2023- </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t></w:t>
    </w:r>
    <w:r>
      <w:rPr>
        <w:rFonts w:hint="eastAsia" w:ascii="仿宋" w:hAnsi="仿宋" w:eastAsia="仿宋" w:cs="仿宋"/>
        <w:lang w:eastAsia="zh-CN"/>
      </w:rPr>
      <w:t>耀华建设管理有限公司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 xml:space="preserve">YH2023- </w:t>
    </w:r>
    <w:r>
      <w:rPr>
        <w:rFonts w:hint="eastAsia" w:ascii="仿宋" w:hAnsi="仿宋" w:eastAsia="仿宋" w:cs="仿宋"/>
      </w:rPr>
      <w:t xml:space="preserve"> </w:t>
    </w:r>
  </w:p>
  <w:p>
    <w:pPr>
      <w:pStyle w:val="44"/>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 xml:space="preserve">YH2023- </w:t>
    </w:r>
    <w:r>
      <w:rPr>
        <w:rFonts w:hint="eastAsia" w:ascii="仿宋" w:hAnsi="仿宋" w:eastAsia="仿宋" w:cs="仿宋"/>
      </w:rPr>
      <w:t xml:space="preserve"> </w:t>
    </w:r>
  </w:p>
  <w:p>
    <w:pPr>
      <w:pStyle w:val="44"/>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 xml:space="preserve">YH2023- </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1NDllN2JiOTMyNjQwMTVhOWU5OGU2ZGM2ZmJhMmUifQ=="/>
  </w:docVars>
  <w:rsids>
    <w:rsidRoot w:val="00D02BC3"/>
    <w:rsid w:val="001D678D"/>
    <w:rsid w:val="003F0D4F"/>
    <w:rsid w:val="00735C09"/>
    <w:rsid w:val="00771AA8"/>
    <w:rsid w:val="00937855"/>
    <w:rsid w:val="00D02BC3"/>
    <w:rsid w:val="00DC71F2"/>
    <w:rsid w:val="01537FD5"/>
    <w:rsid w:val="027A1F36"/>
    <w:rsid w:val="033E089E"/>
    <w:rsid w:val="03D03897"/>
    <w:rsid w:val="06D74677"/>
    <w:rsid w:val="07163C07"/>
    <w:rsid w:val="07A835B9"/>
    <w:rsid w:val="096E3000"/>
    <w:rsid w:val="0983157E"/>
    <w:rsid w:val="0C4D7C21"/>
    <w:rsid w:val="0D4252AC"/>
    <w:rsid w:val="0DBF7F42"/>
    <w:rsid w:val="0F2134C2"/>
    <w:rsid w:val="0FA0239A"/>
    <w:rsid w:val="11B16986"/>
    <w:rsid w:val="14127BE9"/>
    <w:rsid w:val="156329BA"/>
    <w:rsid w:val="169E17AF"/>
    <w:rsid w:val="177860CC"/>
    <w:rsid w:val="19377C8F"/>
    <w:rsid w:val="195210FF"/>
    <w:rsid w:val="1F4629DA"/>
    <w:rsid w:val="20B343D3"/>
    <w:rsid w:val="225601ED"/>
    <w:rsid w:val="22DB78DD"/>
    <w:rsid w:val="233367EF"/>
    <w:rsid w:val="2B8D19D3"/>
    <w:rsid w:val="2CDA6E57"/>
    <w:rsid w:val="300D6E12"/>
    <w:rsid w:val="324A37B6"/>
    <w:rsid w:val="36854A78"/>
    <w:rsid w:val="36BC508C"/>
    <w:rsid w:val="3A4122C4"/>
    <w:rsid w:val="3F326AC0"/>
    <w:rsid w:val="44D530D8"/>
    <w:rsid w:val="4694489E"/>
    <w:rsid w:val="469A3396"/>
    <w:rsid w:val="4DE4148C"/>
    <w:rsid w:val="4FAE554B"/>
    <w:rsid w:val="4FB046D2"/>
    <w:rsid w:val="50C301CB"/>
    <w:rsid w:val="511E065F"/>
    <w:rsid w:val="570317EE"/>
    <w:rsid w:val="57687106"/>
    <w:rsid w:val="57DAE6E1"/>
    <w:rsid w:val="580E138B"/>
    <w:rsid w:val="59DF1266"/>
    <w:rsid w:val="5C0B55D3"/>
    <w:rsid w:val="5C2E3077"/>
    <w:rsid w:val="5C9D1E36"/>
    <w:rsid w:val="5F665FB3"/>
    <w:rsid w:val="626D4177"/>
    <w:rsid w:val="639546E8"/>
    <w:rsid w:val="642152E2"/>
    <w:rsid w:val="65077AE2"/>
    <w:rsid w:val="69E351B5"/>
    <w:rsid w:val="6AEF1016"/>
    <w:rsid w:val="6BF22348"/>
    <w:rsid w:val="729E74BD"/>
    <w:rsid w:val="7C0D2F04"/>
    <w:rsid w:val="7E941F8F"/>
    <w:rsid w:val="7E951FAE"/>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1"/>
    <w:qFormat/>
    <w:uiPriority w:val="0"/>
    <w:pPr>
      <w:ind w:firstLine="420"/>
    </w:pPr>
    <w:rPr>
      <w:rFonts w:hAnsi="Calibri" w:cs="Times New Roman"/>
      <w:snapToGrid/>
      <w:szCs w:val="20"/>
    </w:rPr>
  </w:style>
  <w:style w:type="paragraph" w:styleId="27">
    <w:name w:val="Body Text Indent"/>
    <w:basedOn w:val="1"/>
    <w:next w:val="28"/>
    <w:link w:val="265"/>
    <w:qFormat/>
    <w:uiPriority w:val="0"/>
    <w:pPr>
      <w:spacing w:line="480" w:lineRule="exact"/>
      <w:ind w:firstLine="480" w:firstLineChars="200"/>
    </w:pPr>
    <w:rPr>
      <w:rFonts w:ascii="宋体" w:hAnsi="宋体"/>
      <w:sz w:val="24"/>
    </w:rPr>
  </w:style>
  <w:style w:type="paragraph" w:styleId="28">
    <w:name w:val="envelope return"/>
    <w:basedOn w:val="1"/>
    <w:qFormat/>
    <w:uiPriority w:val="0"/>
    <w:pPr>
      <w:snapToGrid w:val="0"/>
    </w:pPr>
    <w:rPr>
      <w:rFonts w:ascii="Arial" w:hAnsi="Arial"/>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6"/>
    <w:link w:val="126"/>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2"/>
    <w:qFormat/>
    <w:uiPriority w:val="0"/>
    <w:pPr>
      <w:ind w:left="100" w:leftChars="2500"/>
    </w:pPr>
    <w:rPr>
      <w:rFonts w:ascii="宋体"/>
      <w:sz w:val="24"/>
      <w:szCs w:val="21"/>
      <w:lang w:val="zh-CN"/>
    </w:rPr>
  </w:style>
  <w:style w:type="paragraph" w:styleId="40">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1">
    <w:name w:val="endnote text"/>
    <w:basedOn w:val="1"/>
    <w:link w:val="932"/>
    <w:qFormat/>
    <w:uiPriority w:val="0"/>
    <w:rPr>
      <w:lang w:val="zh-CN"/>
    </w:rPr>
  </w:style>
  <w:style w:type="paragraph" w:styleId="42">
    <w:name w:val="Balloon Text"/>
    <w:basedOn w:val="1"/>
    <w:link w:val="189"/>
    <w:qFormat/>
    <w:uiPriority w:val="0"/>
    <w:rPr>
      <w:sz w:val="18"/>
      <w:szCs w:val="18"/>
    </w:rPr>
  </w:style>
  <w:style w:type="paragraph" w:styleId="43">
    <w:name w:val="footer"/>
    <w:basedOn w:val="1"/>
    <w:link w:val="383"/>
    <w:qFormat/>
    <w:uiPriority w:val="99"/>
    <w:pPr>
      <w:tabs>
        <w:tab w:val="center" w:pos="4153"/>
        <w:tab w:val="right" w:pos="8306"/>
      </w:tabs>
      <w:snapToGrid w:val="0"/>
      <w:jc w:val="left"/>
    </w:pPr>
    <w:rPr>
      <w:sz w:val="18"/>
      <w:szCs w:val="18"/>
    </w:rPr>
  </w:style>
  <w:style w:type="paragraph" w:styleId="44">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5"/>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2"/>
    <w:qFormat/>
    <w:uiPriority w:val="0"/>
    <w:pPr>
      <w:spacing w:after="120" w:line="480" w:lineRule="auto"/>
    </w:pPr>
  </w:style>
  <w:style w:type="paragraph" w:styleId="60">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7"/>
    <w:qFormat/>
    <w:uiPriority w:val="0"/>
    <w:rPr>
      <w:b/>
      <w:bCs/>
    </w:rPr>
  </w:style>
  <w:style w:type="paragraph" w:styleId="64">
    <w:name w:val="Body Text First Indent 2"/>
    <w:basedOn w:val="27"/>
    <w:link w:val="122"/>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3"/>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4"/>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2"/>
    <w:qFormat/>
    <w:uiPriority w:val="0"/>
    <w:rPr>
      <w:rFonts w:ascii="Arial" w:hAnsi="Arial" w:eastAsia="黑体" w:cs="Arial"/>
      <w:snapToGrid w:val="0"/>
      <w:kern w:val="0"/>
      <w:szCs w:val="21"/>
    </w:rPr>
  </w:style>
  <w:style w:type="character" w:customStyle="1" w:styleId="126">
    <w:name w:val="纯文本 字符1"/>
    <w:link w:val="36"/>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50"/>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9"/>
    <w:qFormat/>
    <w:uiPriority w:val="0"/>
    <w:rPr>
      <w:rFonts w:ascii="宋体"/>
      <w:kern w:val="2"/>
      <w:sz w:val="24"/>
      <w:szCs w:val="21"/>
      <w:lang w:val="zh-CN"/>
    </w:rPr>
  </w:style>
  <w:style w:type="character" w:customStyle="1" w:styleId="183">
    <w:name w:val="标题 9 字符"/>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42"/>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2"/>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3"/>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7"/>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2"/>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60"/>
    <w:qFormat/>
    <w:uiPriority w:val="0"/>
    <w:rPr>
      <w:rFonts w:ascii="黑体" w:hAnsi="Courier New" w:eastAsia="黑体"/>
    </w:rPr>
  </w:style>
  <w:style w:type="character" w:customStyle="1" w:styleId="302">
    <w:name w:val="正文文本 2 字符1"/>
    <w:link w:val="59"/>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11"/>
    <w:qFormat/>
    <w:uiPriority w:val="0"/>
    <w:rPr>
      <w:b/>
      <w:bCs/>
      <w:kern w:val="2"/>
      <w:sz w:val="24"/>
      <w:szCs w:val="24"/>
    </w:rPr>
  </w:style>
  <w:style w:type="character" w:customStyle="1" w:styleId="308">
    <w:name w:val="正文文本缩进 2 字符"/>
    <w:link w:val="40"/>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3"/>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6"/>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1"/>
    <w:qFormat/>
    <w:uiPriority w:val="0"/>
    <w:rPr>
      <w:kern w:val="2"/>
      <w:sz w:val="21"/>
      <w:szCs w:val="24"/>
    </w:rPr>
  </w:style>
  <w:style w:type="character" w:customStyle="1" w:styleId="345">
    <w:name w:val="签名 字符"/>
    <w:link w:val="45"/>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6"/>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3"/>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4"/>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2"/>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2"/>
    <w:qFormat/>
    <w:uiPriority w:val="0"/>
    <w:rPr>
      <w:rFonts w:ascii="Arial" w:hAnsi="Arial" w:eastAsia="黑体" w:cs="Arial"/>
      <w:snapToGrid w:val="0"/>
      <w:kern w:val="0"/>
      <w:szCs w:val="21"/>
    </w:rPr>
  </w:style>
  <w:style w:type="character" w:customStyle="1" w:styleId="432">
    <w:name w:val="hui"/>
    <w:basedOn w:val="72"/>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7"/>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7"/>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
    <w:next w:val="2"/>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
    <w:next w:val="2"/>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9"/>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40"/>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7"/>
    <w:next w:val="56"/>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41"/>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2"/>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45092</Words>
  <Characters>48408</Characters>
  <Lines>415</Lines>
  <Paragraphs>116</Paragraphs>
  <TotalTime>6</TotalTime>
  <ScaleCrop>false</ScaleCrop>
  <LinksUpToDate>false</LinksUpToDate>
  <CharactersWithSpaces>55668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2023-08-04T02:01:00Z</dcterms:created>
  <dc:creator>玥</dc:creator>
  <cp:lastModifiedBy>只吃竹子的熊猫</cp:lastModifiedBy>
  <cp:lastPrinted>2021-12-28T11:06:00Z</cp:lastPrinted>
  <dcterms:modified xsi:type="dcterms:W3CDTF">2023-11-14T08:57:43Z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83B0AC928A33443EAF651D1F8339726E_13</vt:lpwstr>
  </property>
</Properties>
</file>