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color w:val="auto"/>
          <w:sz w:val="24"/>
          <w:highlight w:val="none"/>
        </w:rPr>
      </w:pPr>
    </w:p>
    <w:p>
      <w:pPr>
        <w:adjustRightInd/>
        <w:spacing w:line="360" w:lineRule="auto"/>
        <w:ind w:left="638" w:leftChars="304" w:right="752" w:rightChars="358"/>
        <w:jc w:val="center"/>
        <w:rPr>
          <w:rFonts w:ascii="宋体" w:hAnsi="宋体" w:cs="宋体"/>
          <w:b/>
          <w:bCs/>
          <w:color w:val="auto"/>
          <w:sz w:val="48"/>
          <w:szCs w:val="48"/>
          <w:highlight w:val="none"/>
        </w:rPr>
      </w:pPr>
    </w:p>
    <w:p>
      <w:pPr>
        <w:adjustRightInd/>
        <w:spacing w:line="360" w:lineRule="auto"/>
        <w:ind w:left="638" w:leftChars="304" w:right="752" w:rightChars="358"/>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嘉兴市妇幼保健院2022至2023年保安服务项目</w:t>
      </w:r>
    </w:p>
    <w:p>
      <w:pPr>
        <w:adjustRightInd/>
        <w:spacing w:line="360" w:lineRule="auto"/>
        <w:rPr>
          <w:rFonts w:ascii="宋体" w:hAnsi="宋体" w:cs="宋体"/>
          <w:color w:val="auto"/>
          <w:sz w:val="24"/>
          <w:highlight w:val="none"/>
        </w:rPr>
      </w:pPr>
    </w:p>
    <w:p>
      <w:pPr>
        <w:adjustRightInd/>
        <w:spacing w:line="360" w:lineRule="auto"/>
        <w:jc w:val="center"/>
        <w:rPr>
          <w:rFonts w:ascii="宋体" w:hAnsi="宋体" w:cs="宋体"/>
          <w:b/>
          <w:bCs/>
          <w:color w:val="auto"/>
          <w:sz w:val="36"/>
          <w:szCs w:val="36"/>
          <w:highlight w:val="none"/>
        </w:rPr>
      </w:pPr>
    </w:p>
    <w:p>
      <w:pPr>
        <w:adjustRightInd/>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招标文件</w:t>
      </w:r>
    </w:p>
    <w:p>
      <w:pPr>
        <w:pStyle w:val="17"/>
        <w:ind w:firstLine="480"/>
        <w:rPr>
          <w:color w:val="auto"/>
          <w:highlight w:val="none"/>
        </w:rPr>
      </w:pPr>
    </w:p>
    <w:p>
      <w:pPr>
        <w:adjustRightInd/>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（电子招投标）</w:t>
      </w:r>
    </w:p>
    <w:p>
      <w:pPr>
        <w:snapToGrid w:val="0"/>
        <w:spacing w:line="360" w:lineRule="auto"/>
        <w:jc w:val="center"/>
        <w:rPr>
          <w:rFonts w:ascii="宋体" w:hAnsi="宋体" w:cs="宋体"/>
          <w:color w:val="auto"/>
          <w:sz w:val="24"/>
          <w:highlight w:val="none"/>
        </w:rPr>
      </w:pPr>
    </w:p>
    <w:p>
      <w:pPr>
        <w:pStyle w:val="17"/>
        <w:ind w:firstLine="480"/>
        <w:rPr>
          <w:color w:val="auto"/>
          <w:highlight w:val="none"/>
        </w:rPr>
      </w:pPr>
    </w:p>
    <w:p>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招标编号：中浙-CZTC22188</w:t>
      </w:r>
    </w:p>
    <w:p>
      <w:pPr>
        <w:adjustRightInd/>
        <w:spacing w:line="360" w:lineRule="auto"/>
        <w:rPr>
          <w:rFonts w:ascii="宋体" w:hAnsi="宋体" w:cs="宋体"/>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24"/>
          <w:highlight w:val="none"/>
        </w:rPr>
      </w:pPr>
    </w:p>
    <w:p>
      <w:pPr>
        <w:pStyle w:val="17"/>
        <w:ind w:firstLine="480"/>
        <w:rPr>
          <w:rFonts w:cs="宋体"/>
          <w:color w:val="auto"/>
          <w:szCs w:val="24"/>
          <w:highlight w:val="none"/>
        </w:rPr>
      </w:pPr>
    </w:p>
    <w:p>
      <w:pPr>
        <w:pStyle w:val="17"/>
        <w:ind w:firstLine="480"/>
        <w:rPr>
          <w:rFonts w:cs="宋体"/>
          <w:color w:val="auto"/>
          <w:szCs w:val="24"/>
          <w:highlight w:val="none"/>
        </w:rPr>
      </w:pPr>
    </w:p>
    <w:p>
      <w:pPr>
        <w:spacing w:line="360" w:lineRule="auto"/>
        <w:ind w:firstLine="1391" w:firstLineChars="462"/>
        <w:rPr>
          <w:rFonts w:ascii="宋体" w:hAnsi="宋体" w:cs="宋体"/>
          <w:b/>
          <w:color w:val="auto"/>
          <w:sz w:val="30"/>
          <w:szCs w:val="30"/>
          <w:highlight w:val="none"/>
        </w:rPr>
      </w:pPr>
      <w:r>
        <w:rPr>
          <w:rFonts w:hint="eastAsia" w:ascii="宋体" w:hAnsi="宋体" w:cs="宋体"/>
          <w:b/>
          <w:color w:val="auto"/>
          <w:sz w:val="30"/>
          <w:szCs w:val="30"/>
          <w:highlight w:val="none"/>
        </w:rPr>
        <w:t>采购人：嘉兴市妇幼保健院</w:t>
      </w:r>
    </w:p>
    <w:p>
      <w:pPr>
        <w:spacing w:line="360" w:lineRule="auto"/>
        <w:ind w:firstLine="1391" w:firstLineChars="462"/>
        <w:rPr>
          <w:rFonts w:ascii="宋体" w:hAnsi="宋体" w:cs="宋体"/>
          <w:b/>
          <w:color w:val="auto"/>
          <w:sz w:val="30"/>
          <w:szCs w:val="30"/>
          <w:highlight w:val="none"/>
        </w:rPr>
      </w:pPr>
      <w:r>
        <w:rPr>
          <w:rFonts w:hint="eastAsia" w:ascii="宋体" w:hAnsi="宋体" w:cs="宋体"/>
          <w:b/>
          <w:color w:val="auto"/>
          <w:sz w:val="30"/>
          <w:szCs w:val="30"/>
          <w:highlight w:val="none"/>
        </w:rPr>
        <w:t>采购代理机构：杭州中浙招标有限公司</w:t>
      </w:r>
    </w:p>
    <w:p>
      <w:pPr>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二○二二年八月</w:t>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587" w:bottom="1474" w:left="1587" w:header="851" w:footer="992" w:gutter="0"/>
          <w:pgNumType w:start="0"/>
          <w:cols w:space="0" w:num="1"/>
          <w:titlePg/>
          <w:docGrid w:linePitch="312" w:charSpace="0"/>
        </w:sectPr>
      </w:pP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目  录</w:t>
      </w:r>
    </w:p>
    <w:p>
      <w:pPr>
        <w:pStyle w:val="13"/>
        <w:tabs>
          <w:tab w:val="right" w:leader="dot" w:pos="8732"/>
        </w:tabs>
        <w:spacing w:line="288" w:lineRule="auto"/>
        <w:rPr>
          <w:rFonts w:ascii="宋体" w:hAnsi="宋体" w:cs="宋体"/>
          <w:b/>
          <w:color w:val="auto"/>
          <w:sz w:val="24"/>
          <w:highlight w:val="none"/>
        </w:rPr>
      </w:pPr>
      <w:bookmarkStart w:id="1" w:name="_Hlt91233176"/>
      <w:bookmarkEnd w:id="1"/>
      <w:bookmarkStart w:id="2" w:name="_Toc91899869"/>
    </w:p>
    <w:p>
      <w:pPr>
        <w:spacing w:line="360" w:lineRule="auto"/>
        <w:ind w:firstLine="393" w:firstLineChars="131"/>
        <w:rPr>
          <w:rFonts w:ascii="宋体" w:hAnsi="宋体" w:cs="宋体"/>
          <w:color w:val="auto"/>
          <w:sz w:val="30"/>
          <w:szCs w:val="30"/>
          <w:highlight w:val="none"/>
        </w:rPr>
      </w:pPr>
      <w:r>
        <w:rPr>
          <w:rFonts w:hint="eastAsia" w:ascii="宋体" w:hAnsi="宋体" w:cs="宋体"/>
          <w:color w:val="auto"/>
          <w:sz w:val="30"/>
          <w:szCs w:val="30"/>
          <w:highlight w:val="none"/>
        </w:rPr>
        <w:t>第一部分      招标公告----------------------------2</w:t>
      </w:r>
    </w:p>
    <w:p>
      <w:pPr>
        <w:spacing w:line="360" w:lineRule="auto"/>
        <w:ind w:firstLine="393" w:firstLineChars="131"/>
        <w:rPr>
          <w:rFonts w:ascii="宋体" w:hAnsi="宋体" w:cs="宋体"/>
          <w:color w:val="auto"/>
          <w:sz w:val="30"/>
          <w:szCs w:val="30"/>
          <w:highlight w:val="none"/>
        </w:rPr>
      </w:pPr>
      <w:r>
        <w:rPr>
          <w:rFonts w:hint="eastAsia" w:ascii="宋体" w:hAnsi="宋体" w:cs="宋体"/>
          <w:color w:val="auto"/>
          <w:sz w:val="30"/>
          <w:szCs w:val="30"/>
          <w:highlight w:val="none"/>
        </w:rPr>
        <w:t>第二部分      投标人须知--------------------------6</w:t>
      </w:r>
    </w:p>
    <w:p>
      <w:pPr>
        <w:spacing w:line="360" w:lineRule="auto"/>
        <w:ind w:firstLine="393" w:firstLineChars="131"/>
        <w:rPr>
          <w:rFonts w:ascii="宋体" w:hAnsi="宋体" w:cs="宋体"/>
          <w:color w:val="auto"/>
          <w:sz w:val="30"/>
          <w:szCs w:val="30"/>
          <w:highlight w:val="none"/>
        </w:rPr>
      </w:pPr>
      <w:r>
        <w:rPr>
          <w:rFonts w:hint="eastAsia" w:ascii="宋体" w:hAnsi="宋体" w:cs="宋体"/>
          <w:color w:val="auto"/>
          <w:sz w:val="30"/>
          <w:szCs w:val="30"/>
          <w:highlight w:val="none"/>
        </w:rPr>
        <w:t>第三部分      采购需求---------------------------21</w:t>
      </w:r>
    </w:p>
    <w:p>
      <w:pPr>
        <w:spacing w:line="360" w:lineRule="auto"/>
        <w:ind w:firstLine="393" w:firstLineChars="131"/>
        <w:rPr>
          <w:rFonts w:ascii="宋体" w:hAnsi="宋体" w:cs="宋体"/>
          <w:color w:val="auto"/>
          <w:sz w:val="30"/>
          <w:szCs w:val="30"/>
          <w:highlight w:val="none"/>
        </w:rPr>
      </w:pPr>
      <w:r>
        <w:rPr>
          <w:rFonts w:hint="eastAsia" w:ascii="宋体" w:hAnsi="宋体" w:cs="宋体"/>
          <w:color w:val="auto"/>
          <w:sz w:val="30"/>
          <w:szCs w:val="30"/>
          <w:highlight w:val="none"/>
        </w:rPr>
        <w:t>第四部分      评标办法---------------------------36</w:t>
      </w:r>
    </w:p>
    <w:p>
      <w:pPr>
        <w:spacing w:line="360" w:lineRule="auto"/>
        <w:ind w:firstLine="393" w:firstLineChars="131"/>
        <w:rPr>
          <w:rFonts w:ascii="宋体" w:hAnsi="宋体" w:cs="宋体"/>
          <w:color w:val="auto"/>
          <w:sz w:val="30"/>
          <w:szCs w:val="30"/>
          <w:highlight w:val="none"/>
        </w:rPr>
      </w:pPr>
      <w:r>
        <w:rPr>
          <w:rFonts w:hint="eastAsia" w:ascii="宋体" w:hAnsi="宋体" w:cs="宋体"/>
          <w:color w:val="auto"/>
          <w:sz w:val="30"/>
          <w:szCs w:val="30"/>
          <w:highlight w:val="none"/>
        </w:rPr>
        <w:t>第五部分      拟签订的合同文本-------------------43</w:t>
      </w:r>
    </w:p>
    <w:p>
      <w:pPr>
        <w:spacing w:line="360" w:lineRule="auto"/>
        <w:ind w:firstLine="393" w:firstLineChars="131"/>
        <w:rPr>
          <w:rFonts w:ascii="宋体" w:hAnsi="宋体" w:cs="宋体"/>
          <w:color w:val="auto"/>
          <w:sz w:val="30"/>
          <w:szCs w:val="30"/>
          <w:highlight w:val="none"/>
        </w:rPr>
      </w:pPr>
      <w:r>
        <w:rPr>
          <w:rFonts w:hint="eastAsia" w:ascii="宋体" w:hAnsi="宋体" w:cs="宋体"/>
          <w:color w:val="auto"/>
          <w:sz w:val="30"/>
          <w:szCs w:val="30"/>
          <w:highlight w:val="none"/>
        </w:rPr>
        <w:t>第六部分      应提交的有关格式范例---------------51</w:t>
      </w:r>
    </w:p>
    <w:p>
      <w:pPr>
        <w:rPr>
          <w:color w:val="auto"/>
          <w:highlight w:val="none"/>
        </w:rPr>
        <w:sectPr>
          <w:footerReference r:id="rId10" w:type="first"/>
          <w:footerReference r:id="rId9" w:type="default"/>
          <w:pgSz w:w="11906" w:h="16838"/>
          <w:pgMar w:top="1474" w:right="1587" w:bottom="1474" w:left="1587" w:header="851" w:footer="992" w:gutter="0"/>
          <w:pgNumType w:start="1"/>
          <w:cols w:space="0" w:num="1"/>
          <w:docGrid w:linePitch="312" w:charSpace="0"/>
        </w:sectPr>
      </w:pPr>
    </w:p>
    <w:bookmarkEnd w:id="2"/>
    <w:p>
      <w:pPr>
        <w:adjustRightInd/>
        <w:spacing w:line="360" w:lineRule="auto"/>
        <w:jc w:val="center"/>
        <w:outlineLvl w:val="0"/>
        <w:rPr>
          <w:rFonts w:ascii="宋体" w:hAnsi="宋体" w:cs="宋体"/>
          <w:b/>
          <w:color w:val="auto"/>
          <w:sz w:val="36"/>
          <w:szCs w:val="36"/>
          <w:highlight w:val="none"/>
        </w:rPr>
      </w:pPr>
      <w:bookmarkStart w:id="3" w:name="_Hlt74728647"/>
      <w:bookmarkEnd w:id="3"/>
      <w:bookmarkStart w:id="4" w:name="_Hlt74649545"/>
      <w:bookmarkEnd w:id="4"/>
      <w:bookmarkStart w:id="5" w:name="_Hlt74707423"/>
      <w:bookmarkEnd w:id="5"/>
      <w:bookmarkStart w:id="6" w:name="_Hlt74729822"/>
      <w:bookmarkEnd w:id="6"/>
      <w:bookmarkStart w:id="7" w:name="_Toc81"/>
      <w:bookmarkStart w:id="8" w:name="第二部分"/>
      <w:bookmarkStart w:id="9" w:name="_Toc91899870"/>
      <w:bookmarkStart w:id="10" w:name="_Toc91899871"/>
      <w:r>
        <w:rPr>
          <w:rFonts w:hint="eastAsia" w:ascii="宋体" w:hAnsi="宋体" w:cs="宋体"/>
          <w:b/>
          <w:color w:val="auto"/>
          <w:sz w:val="36"/>
          <w:szCs w:val="36"/>
          <w:highlight w:val="none"/>
        </w:rPr>
        <w:t>第一部分 招标公告</w:t>
      </w:r>
      <w:bookmarkEnd w:id="7"/>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（嘉兴市妇幼保健院2022至2023年保安服务项目）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2"/>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rPr>
        <w:t>2022年9月7日9点00分00</w:t>
      </w:r>
      <w:r>
        <w:rPr>
          <w:rFonts w:hint="eastAsia" w:ascii="宋体" w:hAnsi="宋体" w:cs="宋体"/>
          <w:bCs/>
          <w:color w:val="auto"/>
          <w:sz w:val="24"/>
          <w:highlight w:val="none"/>
          <w:u w:val="single"/>
        </w:rPr>
        <w:t>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outlineLvl w:val="1"/>
        <w:rPr>
          <w:rFonts w:ascii="宋体" w:hAnsi="宋体" w:cs="宋体"/>
          <w:b/>
          <w:color w:val="auto"/>
          <w:sz w:val="24"/>
          <w:highlight w:val="none"/>
        </w:rPr>
      </w:pPr>
      <w:bookmarkStart w:id="11" w:name="_Toc15500"/>
      <w:r>
        <w:rPr>
          <w:rFonts w:hint="eastAsia" w:ascii="宋体" w:hAnsi="宋体" w:cs="宋体"/>
          <w:b/>
          <w:color w:val="auto"/>
          <w:sz w:val="24"/>
          <w:highlight w:val="none"/>
        </w:rPr>
        <w:t>一、项目基本情况</w:t>
      </w:r>
      <w:bookmarkEnd w:id="11"/>
    </w:p>
    <w:p>
      <w:pPr>
        <w:spacing w:line="360" w:lineRule="auto"/>
        <w:ind w:firstLine="480"/>
        <w:rPr>
          <w:rFonts w:ascii="宋体" w:hAnsi="宋体" w:cs="宋体"/>
          <w:bCs/>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：中浙-CZTC22188</w:t>
      </w:r>
    </w:p>
    <w:p>
      <w:pPr>
        <w:spacing w:line="360" w:lineRule="auto"/>
        <w:ind w:firstLine="480"/>
        <w:rPr>
          <w:rFonts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嘉兴市妇幼保健院2022至2023年保安服务项目</w:t>
      </w:r>
    </w:p>
    <w:p>
      <w:pPr>
        <w:spacing w:line="360" w:lineRule="auto"/>
        <w:ind w:firstLine="480"/>
        <w:rPr>
          <w:rFonts w:ascii="宋体" w:hAnsi="宋体" w:cs="宋体"/>
          <w:bCs/>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：6400000</w:t>
      </w:r>
    </w:p>
    <w:p>
      <w:pPr>
        <w:spacing w:line="360" w:lineRule="auto"/>
        <w:ind w:firstLine="480"/>
        <w:rPr>
          <w:rFonts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：6400000</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rPr>
        <w:t>嘉兴市妇幼保健院2022年-2023年一年的全院保安服务，承担保卫、消防、应急处置及车辆管理、停车收费等工作。</w:t>
      </w:r>
    </w:p>
    <w:p>
      <w:pPr>
        <w:spacing w:line="360" w:lineRule="auto"/>
        <w:ind w:firstLine="480"/>
        <w:rPr>
          <w:rFonts w:ascii="宋体" w:hAnsi="宋体" w:cs="宋体"/>
          <w:bCs/>
          <w:color w:val="auto"/>
          <w:sz w:val="24"/>
          <w:highlight w:val="none"/>
        </w:rPr>
      </w:pPr>
      <w:r>
        <w:rPr>
          <w:rFonts w:hint="eastAsia" w:ascii="宋体" w:hAnsi="宋体" w:cs="宋体"/>
          <w:b/>
          <w:color w:val="auto"/>
          <w:sz w:val="24"/>
          <w:highlight w:val="none"/>
        </w:rPr>
        <w:t>合同履约期限：</w:t>
      </w:r>
      <w:r>
        <w:rPr>
          <w:rFonts w:hint="eastAsia" w:ascii="宋体" w:hAnsi="宋体" w:cs="宋体"/>
          <w:bCs/>
          <w:color w:val="auto"/>
          <w:sz w:val="24"/>
          <w:highlight w:val="none"/>
        </w:rPr>
        <w:t>标项 1，合同签订后一年，其中前三个月（包括在一年中）为试用期，试用期满经采购人考核合格后，合同方为有效。第二年经采购人考核合格后可续签一年。</w:t>
      </w:r>
    </w:p>
    <w:p>
      <w:pPr>
        <w:pStyle w:val="4"/>
        <w:spacing w:line="360" w:lineRule="auto"/>
        <w:ind w:firstLine="482" w:firstLineChars="200"/>
        <w:rPr>
          <w:rFonts w:hAnsi="宋体" w:cs="宋体"/>
          <w:b/>
          <w:snapToGrid/>
          <w:color w:val="auto"/>
          <w:kern w:val="2"/>
          <w:sz w:val="24"/>
          <w:szCs w:val="24"/>
          <w:highlight w:val="none"/>
        </w:rPr>
      </w:pPr>
      <w:bookmarkStart w:id="12" w:name="_Toc12406"/>
      <w:r>
        <w:rPr>
          <w:rFonts w:hint="eastAsia" w:hAnsi="宋体" w:cs="宋体"/>
          <w:b/>
          <w:snapToGrid/>
          <w:color w:val="auto"/>
          <w:kern w:val="2"/>
          <w:sz w:val="24"/>
          <w:szCs w:val="24"/>
          <w:highlight w:val="none"/>
        </w:rPr>
        <w:t>本项目接受联合体投标：否。</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二、申请人的资格要求：</w:t>
      </w:r>
      <w:bookmarkEnd w:id="12"/>
    </w:p>
    <w:p>
      <w:pPr>
        <w:spacing w:line="360" w:lineRule="auto"/>
        <w:ind w:firstLine="480"/>
        <w:rPr>
          <w:rFonts w:ascii="宋体" w:hAnsi="宋体" w:cs="宋体"/>
          <w:snapToGrid w:val="0"/>
          <w:color w:val="auto"/>
          <w:kern w:val="28"/>
          <w:sz w:val="24"/>
          <w:highlight w:val="none"/>
        </w:rPr>
      </w:pPr>
      <w:bookmarkStart w:id="13" w:name="_Toc1752"/>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2.落实政府采购政策需满足的资格要求：</w:t>
      </w:r>
      <w:r>
        <w:rPr>
          <w:rFonts w:hint="eastAsia" w:ascii="宋体" w:hAnsi="宋体" w:cs="宋体"/>
          <w:color w:val="auto"/>
          <w:sz w:val="24"/>
          <w:highlight w:val="none"/>
        </w:rPr>
        <w:t>供应商为中小企业/小微企业</w:t>
      </w:r>
    </w:p>
    <w:p>
      <w:pPr>
        <w:numPr>
          <w:ilvl w:val="0"/>
          <w:numId w:val="1"/>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w:t>
      </w:r>
      <w:r>
        <w:rPr>
          <w:rFonts w:hint="eastAsia" w:ascii="宋体" w:hAnsi="宋体" w:cs="宋体"/>
          <w:snapToGrid w:val="0"/>
          <w:color w:val="auto"/>
          <w:kern w:val="28"/>
          <w:sz w:val="24"/>
          <w:highlight w:val="none"/>
        </w:rPr>
        <w:t>要求：</w:t>
      </w:r>
      <w:r>
        <w:rPr>
          <w:rFonts w:hint="eastAsia" w:ascii="宋体" w:hAnsi="宋体" w:cs="宋体"/>
          <w:color w:val="auto"/>
          <w:kern w:val="0"/>
          <w:sz w:val="24"/>
          <w:highlight w:val="none"/>
        </w:rPr>
        <w:t>具有公安行政主管部门颁发的保安服务许可证。</w:t>
      </w:r>
    </w:p>
    <w:p>
      <w:pPr>
        <w:numPr>
          <w:ilvl w:val="0"/>
          <w:numId w:val="1"/>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三、获取招标文件</w:t>
      </w:r>
      <w:bookmarkEnd w:id="13"/>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/至2022年9月7日，每天上午00:00至12:00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bookmarkStart w:id="14" w:name="_Toc10624"/>
      <w:r>
        <w:rPr>
          <w:rFonts w:hint="eastAsia" w:ascii="宋体" w:hAnsi="宋体" w:cs="宋体"/>
          <w:b/>
          <w:color w:val="auto"/>
          <w:sz w:val="24"/>
          <w:highlight w:val="none"/>
        </w:rPr>
        <w:t>四、提交投标文件截止时间、开标时间和地点</w:t>
      </w:r>
      <w:bookmarkEnd w:id="14"/>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rPr>
        <w:t xml:space="preserve"> 2022年9月7日9点00分（北京时间）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rPr>
        <w:t>2022年9月7日9点00分</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开标地点（网址）：</w:t>
      </w:r>
      <w:r>
        <w:rPr>
          <w:rFonts w:hint="eastAsia" w:ascii="宋体" w:hAnsi="宋体" w:cs="宋体"/>
          <w:bCs/>
          <w:color w:val="auto"/>
          <w:sz w:val="24"/>
          <w:highlight w:val="none"/>
        </w:rPr>
        <w:t>嘉兴市公共资源交易中心开标室通过政府采购云平台（https://www.zcygov.cn）在线开标</w:t>
      </w:r>
    </w:p>
    <w:p>
      <w:pPr>
        <w:pStyle w:val="6"/>
        <w:ind w:firstLine="482" w:firstLineChars="200"/>
        <w:rPr>
          <w:color w:val="auto"/>
          <w:highlight w:val="none"/>
        </w:rPr>
      </w:pPr>
      <w:r>
        <w:rPr>
          <w:rFonts w:hint="eastAsia" w:hAnsi="宋体"/>
          <w:b/>
          <w:bCs/>
          <w:color w:val="auto"/>
          <w:highlight w:val="none"/>
        </w:rPr>
        <w:t>供应商无需到开标现场，但须准时在线参加，直至评审结束。</w:t>
      </w:r>
    </w:p>
    <w:p>
      <w:pPr>
        <w:spacing w:line="360" w:lineRule="auto"/>
        <w:outlineLvl w:val="1"/>
        <w:rPr>
          <w:rFonts w:ascii="宋体" w:hAnsi="宋体" w:cs="宋体"/>
          <w:b/>
          <w:color w:val="auto"/>
          <w:sz w:val="24"/>
          <w:highlight w:val="none"/>
        </w:rPr>
      </w:pPr>
      <w:bookmarkStart w:id="15" w:name="_Toc23444"/>
      <w:r>
        <w:rPr>
          <w:rFonts w:hint="eastAsia" w:ascii="宋体" w:hAnsi="宋体" w:cs="宋体"/>
          <w:b/>
          <w:color w:val="auto"/>
          <w:sz w:val="24"/>
          <w:highlight w:val="none"/>
        </w:rPr>
        <w:t>五、采购意向公开链接</w:t>
      </w:r>
      <w:bookmarkEnd w:id="15"/>
    </w:p>
    <w:p>
      <w:pPr>
        <w:spacing w:line="360" w:lineRule="auto"/>
        <w:ind w:firstLine="480" w:firstLineChars="200"/>
        <w:outlineLvl w:val="1"/>
        <w:rPr>
          <w:rFonts w:ascii="宋体" w:hAnsi="宋体" w:cs="宋体"/>
          <w:color w:val="auto"/>
          <w:sz w:val="24"/>
          <w:highlight w:val="none"/>
        </w:rPr>
      </w:pPr>
      <w:bookmarkStart w:id="16" w:name="_Toc5348"/>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"https://zfcg.czt.zj.gov.cn/innerUsed_noticeDetails/index.html?noticeId=8876743"</w:instrText>
      </w:r>
      <w:r>
        <w:rPr>
          <w:rFonts w:hint="eastAsia" w:ascii="宋体" w:hAnsi="宋体" w:cs="宋体"/>
          <w:color w:val="auto"/>
          <w:sz w:val="24"/>
          <w:highlight w:val="none"/>
        </w:rPr>
        <w:fldChar w:fldCharType="separate"/>
      </w:r>
      <w:r>
        <w:rPr>
          <w:rStyle w:val="22"/>
          <w:rFonts w:hint="eastAsia" w:ascii="宋体" w:hAnsi="宋体" w:cs="宋体"/>
          <w:color w:val="auto"/>
          <w:sz w:val="24"/>
          <w:szCs w:val="24"/>
          <w:highlight w:val="none"/>
        </w:rPr>
        <w:t>https://zfcg.czt.zj.gov.cn/innerUsed_noticeDetails/index.html?noticeId=8876743</w:t>
      </w:r>
      <w:r>
        <w:rPr>
          <w:rFonts w:hint="eastAsia" w:ascii="宋体" w:hAnsi="宋体" w:cs="宋体"/>
          <w:color w:val="auto"/>
          <w:sz w:val="24"/>
          <w:highlight w:val="none"/>
        </w:rPr>
        <w:fldChar w:fldCharType="end"/>
      </w:r>
    </w:p>
    <w:p>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六、公告期限</w:t>
      </w:r>
      <w:bookmarkEnd w:id="1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pStyle w:val="23"/>
        <w:rPr>
          <w:rFonts w:ascii="宋体" w:hAnsi="宋体" w:cs="宋体"/>
          <w:color w:val="auto"/>
          <w:sz w:val="24"/>
          <w:szCs w:val="24"/>
          <w:highlight w:val="none"/>
        </w:rPr>
      </w:pPr>
    </w:p>
    <w:p>
      <w:pPr>
        <w:spacing w:line="360" w:lineRule="auto"/>
        <w:outlineLvl w:val="1"/>
        <w:rPr>
          <w:rFonts w:ascii="宋体" w:hAnsi="宋体" w:cs="宋体"/>
          <w:b/>
          <w:color w:val="auto"/>
          <w:sz w:val="24"/>
          <w:highlight w:val="none"/>
        </w:rPr>
      </w:pPr>
      <w:bookmarkStart w:id="17" w:name="_Toc24892"/>
      <w:r>
        <w:rPr>
          <w:rFonts w:hint="eastAsia" w:ascii="宋体" w:hAnsi="宋体" w:cs="宋体"/>
          <w:b/>
          <w:color w:val="auto"/>
          <w:sz w:val="24"/>
          <w:highlight w:val="none"/>
        </w:rPr>
        <w:t>七、其他补充事宜</w:t>
      </w:r>
      <w:bookmarkEnd w:id="1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5.电子招投标的说明：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kern w:val="0"/>
          <w:sz w:val="24"/>
          <w:highlight w:val="none"/>
        </w:rPr>
        <w:t>本采购项目，中标人与采购人签订的政府采购合同适用于嘉兴市政府采购贷款政策，简称“政采贷”，具体内容可参阅政府采购贷款流程：http://jxszwsjb.jiaxing.gov.cn/zxfw/005001/005001004/20190315/76d484f7-8fac-497f-9359-4df81cc086da.html或者供应商中标后也可在“政采云”平台申请政采贷：操作路径：登</w:t>
      </w:r>
      <w:r>
        <w:rPr>
          <w:rFonts w:hint="eastAsia" w:ascii="宋体" w:hAnsi="宋体" w:cs="宋体"/>
          <w:color w:val="auto"/>
          <w:sz w:val="24"/>
          <w:highlight w:val="none"/>
        </w:rPr>
        <w:t>录政采云平台 - 金融服务中心 -融资服务，可在热门申请中选择产品直接申请，也可点击云智贷匹配适合产品进行申请，或者在可申请项目中根据该项目进行申请。</w:t>
      </w:r>
    </w:p>
    <w:p>
      <w:pPr>
        <w:spacing w:line="360" w:lineRule="auto"/>
        <w:outlineLvl w:val="1"/>
        <w:rPr>
          <w:rFonts w:ascii="宋体" w:hAnsi="宋体" w:cs="宋体"/>
          <w:b/>
          <w:color w:val="auto"/>
          <w:sz w:val="24"/>
          <w:highlight w:val="none"/>
        </w:rPr>
      </w:pPr>
      <w:bookmarkStart w:id="18" w:name="_Toc7818"/>
      <w:r>
        <w:rPr>
          <w:rFonts w:hint="eastAsia" w:ascii="宋体" w:hAnsi="宋体" w:cs="宋体"/>
          <w:b/>
          <w:color w:val="auto"/>
          <w:sz w:val="24"/>
          <w:highlight w:val="none"/>
        </w:rPr>
        <w:t>八、对本次采购提出询问、质疑、投诉，请按以下方式联系</w:t>
      </w:r>
      <w:bookmarkEnd w:id="1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称：嘉兴市妇幼保健院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址：嘉兴市南湖区中环东路2468号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项目联系人（询问）：张女士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项目联系电话（询问）：0573-83689348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质疑联系人：朱科长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质疑联系方式：0573-83966870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称：杭州中浙招标有限公司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址：杭州市湖州街168号美好国际大厦1008室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真：0571-87553198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项目联系人（询问）：蒋菊、吴战军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项目联系方式（询问）：0571-87850058、15957136152、18957110019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质疑联系人：黄煊栋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质疑联系方式：0571-87850078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称：嘉兴市财政局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人：姚老师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监督投诉电话：0573-82031217  </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CA问题联系电话（人工）：汇信CA 400-888-4636；天谷CA 400-087-8198。</w:t>
      </w:r>
    </w:p>
    <w:p>
      <w:pPr>
        <w:adjustRightInd/>
        <w:spacing w:line="360" w:lineRule="auto"/>
        <w:jc w:val="center"/>
        <w:outlineLvl w:val="0"/>
        <w:rPr>
          <w:rFonts w:ascii="宋体" w:hAnsi="宋体" w:cs="宋体"/>
          <w:b/>
          <w:color w:val="auto"/>
          <w:sz w:val="24"/>
          <w:highlight w:val="none"/>
        </w:rPr>
      </w:pPr>
      <w:bookmarkStart w:id="19" w:name="_Toc7696"/>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adjustRightInd/>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第二部分</w:t>
      </w:r>
      <w:bookmarkEnd w:id="8"/>
      <w:r>
        <w:rPr>
          <w:rFonts w:hint="eastAsia" w:ascii="宋体" w:hAnsi="宋体" w:cs="宋体"/>
          <w:b/>
          <w:color w:val="auto"/>
          <w:sz w:val="36"/>
          <w:szCs w:val="36"/>
          <w:highlight w:val="none"/>
        </w:rPr>
        <w:t xml:space="preserve"> 投标人须知</w:t>
      </w:r>
      <w:bookmarkEnd w:id="9"/>
      <w:bookmarkEnd w:id="19"/>
    </w:p>
    <w:p>
      <w:pPr>
        <w:snapToGrid w:val="0"/>
        <w:spacing w:line="312"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前附表</w:t>
      </w:r>
    </w:p>
    <w:tbl>
      <w:tblPr>
        <w:tblStyle w:val="18"/>
        <w:tblW w:w="86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51"/>
        <w:gridCol w:w="66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312"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）投标报价出现下列情形的，投标无效：</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1）投标文件未按照招标文件要求签署、盖章的；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2）投标文件出现不是唯一的、有选择性投标报价的;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3）投标文件报价清单与招标文件（包括答疑等补充文件）提供的清单不一致的；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4）投标报价超过招标文件中规定的预算金额或者最高限价的;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5）报价明显低于其他通过符合性审查供应商的报价，有可能影响产品质量或者不能诚信履约的，未能按要求提供书面说明或者提交相关证明材料，不能证明其报价合理性的;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6)投标人对根据修正原则修正后的报价不确认的；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7)投标人提供虚假材料投标的；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8)投标人有恶意串通、妨碍其他供应商的竞争行为、损害采购人或者其他供应商的合法权益情形的；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9)投标人仅提交备份投标文件，没有在电子交易平台传输递交投标文件的，投标无效；</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10)投标文件不满足招标文件的其它实质性要求的；</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11)法律、法规、规章（适用本市的）及省级以上规范性文件（适用本市的）规定的其他无效情形。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分包</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kern w:val="0"/>
                <w:sz w:val="24"/>
                <w:highlight w:val="none"/>
              </w:rPr>
            </w:pPr>
            <w:r>
              <w:rPr>
                <w:rFonts w:hint="eastAsia" w:ascii="宋体" w:hAnsi="宋体" w:cs="宋体"/>
                <w:color w:val="auto"/>
                <w:kern w:val="0"/>
                <w:sz w:val="24"/>
                <w:highlight w:val="none"/>
              </w:rPr>
              <w:t>☐ A同意将非主体、非关键性的_________工作分包。</w:t>
            </w:r>
          </w:p>
          <w:p>
            <w:pPr>
              <w:spacing w:line="312"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 xml:space="preserve"> 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629" w:type="dxa"/>
            <w:vMerge w:val="restart"/>
            <w:tcBorders>
              <w:top w:val="single" w:color="auto" w:sz="4" w:space="0"/>
              <w:left w:val="single" w:color="auto" w:sz="4" w:space="0"/>
              <w:right w:val="single" w:color="auto" w:sz="4" w:space="0"/>
            </w:tcBorders>
          </w:tcPr>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351" w:type="dxa"/>
            <w:vMerge w:val="restart"/>
            <w:tcBorders>
              <w:top w:val="single" w:color="000000" w:sz="8" w:space="0"/>
              <w:left w:val="single" w:color="auto" w:sz="4"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37" w:type="dxa"/>
            <w:tcBorders>
              <w:top w:val="single" w:color="000000" w:sz="8" w:space="0"/>
              <w:left w:val="single" w:color="000000" w:sz="2" w:space="0"/>
              <w:bottom w:val="single" w:color="auto" w:sz="4" w:space="0"/>
              <w:right w:val="single" w:color="000000" w:sz="8" w:space="0"/>
            </w:tcBorders>
            <w:vAlign w:val="center"/>
          </w:tcPr>
          <w:p>
            <w:pPr>
              <w:spacing w:line="312"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12" w:lineRule="auto"/>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vMerge w:val="continue"/>
            <w:tcBorders>
              <w:left w:val="single" w:color="auto" w:sz="4" w:space="0"/>
              <w:bottom w:val="single" w:color="auto" w:sz="4" w:space="0"/>
              <w:right w:val="single" w:color="auto" w:sz="4" w:space="0"/>
            </w:tcBorders>
          </w:tcPr>
          <w:p>
            <w:pPr>
              <w:snapToGrid w:val="0"/>
              <w:spacing w:line="312" w:lineRule="auto"/>
              <w:jc w:val="center"/>
              <w:rPr>
                <w:rFonts w:ascii="宋体" w:hAnsi="宋体" w:cs="宋体"/>
                <w:color w:val="auto"/>
                <w:sz w:val="24"/>
                <w:highlight w:val="none"/>
              </w:rPr>
            </w:pPr>
          </w:p>
        </w:tc>
        <w:tc>
          <w:tcPr>
            <w:tcW w:w="1351" w:type="dxa"/>
            <w:vMerge w:val="continue"/>
            <w:tcBorders>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p>
        </w:tc>
        <w:tc>
          <w:tcPr>
            <w:tcW w:w="6637" w:type="dxa"/>
            <w:tcBorders>
              <w:top w:val="single" w:color="auto" w:sz="4"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00A8"/>
            </w:r>
            <w:r>
              <w:rPr>
                <w:rFonts w:hint="eastAsia" w:ascii="宋体" w:hAnsi="宋体"/>
                <w:color w:val="auto"/>
                <w:sz w:val="24"/>
                <w:highlight w:val="none"/>
                <w:lang w:val="zh-CN"/>
              </w:rPr>
              <w:t>A不组织。</w:t>
            </w:r>
          </w:p>
          <w:p>
            <w:pPr>
              <w:spacing w:line="360" w:lineRule="auto"/>
              <w:rPr>
                <w:rFonts w:ascii="宋体" w:hAnsi="宋体"/>
                <w:color w:val="auto"/>
                <w:sz w:val="24"/>
                <w:highlight w:val="none"/>
                <w:lang w:val="zh-CN"/>
              </w:rPr>
            </w:pPr>
            <w:r>
              <w:rPr>
                <w:rFonts w:ascii="仿宋_GB2312" w:hAnsi="仿宋" w:eastAsia="仿宋_GB2312" w:cs="Arial"/>
                <w:color w:val="auto"/>
                <w:kern w:val="0"/>
                <w:sz w:val="24"/>
                <w:highlight w:val="none"/>
              </w:rPr>
              <w:sym w:font="Wingdings" w:char="00FE"/>
            </w:r>
            <w:r>
              <w:rPr>
                <w:rFonts w:hint="eastAsia" w:ascii="宋体" w:hAnsi="宋体"/>
                <w:color w:val="auto"/>
                <w:sz w:val="24"/>
                <w:highlight w:val="none"/>
                <w:lang w:val="zh-CN"/>
              </w:rPr>
              <w:t>B组织，</w:t>
            </w:r>
            <w:r>
              <w:rPr>
                <w:rFonts w:hint="eastAsia" w:ascii="宋体" w:hAnsi="宋体"/>
                <w:color w:val="auto"/>
                <w:sz w:val="24"/>
                <w:highlight w:val="none"/>
              </w:rPr>
              <w:t>投标人在投标截止时间前自行前往嘉兴市妇幼保健院进行踏勘考察。</w:t>
            </w:r>
            <w:r>
              <w:rPr>
                <w:rFonts w:hint="eastAsia" w:ascii="宋体" w:hAnsi="宋体"/>
                <w:color w:val="auto"/>
                <w:sz w:val="24"/>
                <w:highlight w:val="none"/>
                <w:lang w:val="zh-CN"/>
              </w:rPr>
              <w:t>联系人：董先生，联系方式：0573-83966701。</w:t>
            </w:r>
          </w:p>
          <w:p>
            <w:pPr>
              <w:spacing w:line="360" w:lineRule="auto"/>
              <w:rPr>
                <w:rFonts w:ascii="宋体" w:hAnsi="宋体"/>
                <w:color w:val="auto"/>
                <w:sz w:val="24"/>
                <w:highlight w:val="none"/>
                <w:u w:val="single"/>
                <w:lang w:val="zh-CN"/>
              </w:rPr>
            </w:pPr>
            <w:r>
              <w:rPr>
                <w:rFonts w:hint="eastAsia" w:ascii="宋体" w:hAnsi="宋体" w:cs="宋体"/>
                <w:color w:val="auto"/>
                <w:sz w:val="24"/>
                <w:highlight w:val="none"/>
              </w:rPr>
              <w:t>本项目需对现场进行踏勘（招标文件中不能详细表述的不可预见费用、招标需求等，投标人需通过现场踏勘后考虑在最终报价内，否则后果由投标人自负）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351"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不要求提供。</w:t>
            </w:r>
          </w:p>
          <w:p>
            <w:pPr>
              <w:spacing w:line="312"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不组织。</w:t>
            </w:r>
          </w:p>
          <w:p>
            <w:pPr>
              <w:spacing w:line="312"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 xml:space="preserve"> 7</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12" w:lineRule="auto"/>
              <w:rPr>
                <w:rFonts w:ascii="宋体" w:hAnsi="宋体" w:cs="宋体"/>
                <w:color w:val="auto"/>
                <w:sz w:val="24"/>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sz w:val="24"/>
                <w:highlight w:val="none"/>
              </w:rPr>
            </w:pPr>
            <w:sdt>
              <w:sdtPr>
                <w:rPr>
                  <w:rFonts w:hint="eastAsia" w:ascii="宋体" w:hAnsi="宋体" w:cs="宋体"/>
                  <w:color w:val="auto"/>
                  <w:kern w:val="0"/>
                  <w:sz w:val="24"/>
                  <w:highlight w:val="none"/>
                </w:rPr>
                <w:id w:val="11872786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rPr>
              <w:t>。</w:t>
            </w:r>
          </w:p>
          <w:p>
            <w:pPr>
              <w:spacing w:line="312" w:lineRule="auto"/>
              <w:rPr>
                <w:rFonts w:ascii="宋体" w:hAnsi="宋体" w:cs="宋体"/>
                <w:color w:val="auto"/>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ascii="宋体" w:hAnsi="宋体" w:cs="宋体"/>
                <w:color w:val="auto"/>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嘉兴市妇幼保健院2022至2023年保安服务项目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服务行业</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37"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b/>
                <w:bCs/>
                <w:color w:val="auto"/>
                <w:kern w:val="0"/>
                <w:sz w:val="24"/>
                <w:highlight w:val="none"/>
              </w:rPr>
              <w:t>（本项目不适用）</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pPr>
              <w:snapToGrid w:val="0"/>
              <w:spacing w:line="312" w:lineRule="auto"/>
              <w:jc w:val="center"/>
              <w:rPr>
                <w:rFonts w:ascii="宋体" w:hAnsi="宋体" w:cs="宋体"/>
                <w:color w:val="auto"/>
                <w:sz w:val="24"/>
                <w:highlight w:val="none"/>
              </w:rPr>
            </w:pPr>
          </w:p>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351" w:type="dxa"/>
            <w:tcBorders>
              <w:top w:val="single" w:color="000000" w:sz="8" w:space="0"/>
              <w:left w:val="single" w:color="000000" w:sz="2"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sz w:val="24"/>
                <w:highlight w:val="none"/>
              </w:rPr>
            </w:pPr>
            <w:r>
              <w:rPr>
                <w:rFonts w:hint="eastAsia" w:ascii="宋体" w:hAnsi="宋体" w:cs="宋体"/>
                <w:color w:val="auto"/>
                <w:kern w:val="0"/>
                <w:sz w:val="24"/>
                <w:highlight w:val="none"/>
              </w:rPr>
              <w:t>本采购项目，中标人与采购人签订的政府采购合同适用于嘉兴市政府采购贷款政策，简称“政采贷”，具体内容可参阅政府采购贷款流程：http://jxszwsjb.jiaxing.gov.cn/zxfw/005001/005001004/20190315/76d484f7-8fac-497f-9359-4df81cc086da.html或者投标人中标后也可在“政采云”平台申请政采贷：操作路径：登录政采云平台 - 金融服务中心 -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637" w:type="dxa"/>
            <w:tcBorders>
              <w:top w:val="single" w:color="000000" w:sz="8" w:space="0"/>
              <w:left w:val="single" w:color="000000" w:sz="2" w:space="0"/>
              <w:bottom w:val="single" w:color="000000" w:sz="8" w:space="0"/>
              <w:right w:val="single" w:color="000000" w:sz="8" w:space="0"/>
            </w:tcBorders>
            <w:vAlign w:val="center"/>
          </w:tcPr>
          <w:p>
            <w:pPr>
              <w:pStyle w:val="9"/>
              <w:spacing w:line="312" w:lineRule="auto"/>
              <w:rPr>
                <w:rFonts w:hAnsi="宋体" w:cs="宋体"/>
                <w:color w:val="auto"/>
                <w:sz w:val="24"/>
                <w:szCs w:val="24"/>
                <w:highlight w:val="none"/>
              </w:rPr>
            </w:pPr>
            <w:r>
              <w:rPr>
                <w:color w:val="auto"/>
                <w:highlight w:val="none"/>
              </w:rPr>
              <w:fldChar w:fldCharType="begin"/>
            </w:r>
            <w:r>
              <w:rPr>
                <w:color w:val="auto"/>
                <w:highlight w:val="none"/>
              </w:rPr>
              <w:instrText xml:space="preserve"> HYPERLINK "mailto:投标人在投标截止时间前将加密的投标文件上传至政府采购云平台，还可以在投标截止时间前通过邮箱chinazhongzhe@163.com递交备份投标文件1份。" </w:instrText>
            </w:r>
            <w:r>
              <w:rPr>
                <w:color w:val="auto"/>
                <w:highlight w:val="none"/>
              </w:rPr>
              <w:fldChar w:fldCharType="separate"/>
            </w:r>
            <w:r>
              <w:rPr>
                <w:rStyle w:val="22"/>
                <w:rFonts w:hint="eastAsia" w:ascii="宋体" w:hAnsi="宋体" w:eastAsia="宋体" w:cs="宋体"/>
                <w:color w:val="auto"/>
                <w:sz w:val="24"/>
                <w:szCs w:val="24"/>
                <w:highlight w:val="none"/>
              </w:rPr>
              <w:t>投标人在投标截止时间前将加密的投标文件上传至政府采购云平台，还可以在投标截止时间前通过邮箱chinazhongzhe@163.com递交备份投标文件1份。</w:t>
            </w:r>
            <w:r>
              <w:rPr>
                <w:rStyle w:val="22"/>
                <w:rFonts w:hint="eastAsia" w:ascii="宋体" w:hAnsi="宋体" w:eastAsia="宋体" w:cs="宋体"/>
                <w:color w:val="auto"/>
                <w:sz w:val="24"/>
                <w:szCs w:val="24"/>
                <w:highlight w:val="none"/>
              </w:rPr>
              <w:fldChar w:fldCharType="end"/>
            </w:r>
          </w:p>
          <w:p>
            <w:pPr>
              <w:pStyle w:val="9"/>
              <w:spacing w:line="312" w:lineRule="auto"/>
              <w:rPr>
                <w:rFonts w:hAnsi="宋体" w:cs="宋体"/>
                <w:color w:val="auto"/>
                <w:kern w:val="28"/>
                <w:sz w:val="24"/>
                <w:szCs w:val="24"/>
                <w:highlight w:val="none"/>
              </w:rPr>
            </w:pP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b/>
                <w:bCs/>
                <w:color w:val="auto"/>
                <w:sz w:val="24"/>
                <w:highlight w:val="none"/>
              </w:rPr>
            </w:pPr>
            <w:r>
              <w:rPr>
                <w:rFonts w:hint="eastAsia" w:ascii="宋体" w:hAnsi="宋体" w:cs="宋体"/>
                <w:b/>
                <w:bCs/>
                <w:color w:val="auto"/>
                <w:sz w:val="24"/>
                <w:highlight w:val="none"/>
              </w:rPr>
              <w:t>1、供应商如中标需提供纸质投标文件一正一副，送至杭州中浙招标有限公司。</w:t>
            </w:r>
          </w:p>
          <w:p>
            <w:pPr>
              <w:spacing w:line="312" w:lineRule="auto"/>
              <w:rPr>
                <w:rFonts w:ascii="宋体" w:hAnsi="宋体" w:cs="宋体"/>
                <w:color w:val="auto"/>
                <w:sz w:val="24"/>
                <w:highlight w:val="none"/>
              </w:rPr>
            </w:pPr>
            <w:r>
              <w:rPr>
                <w:rFonts w:hint="eastAsia" w:ascii="宋体" w:hAnsi="宋体" w:cs="宋体"/>
                <w:color w:val="auto"/>
                <w:sz w:val="24"/>
                <w:highlight w:val="none"/>
              </w:rPr>
              <w:t>2、投标文件、流程文件签章：</w:t>
            </w:r>
          </w:p>
          <w:p>
            <w:pPr>
              <w:spacing w:line="312" w:lineRule="auto"/>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bCs/>
                <w:color w:val="auto"/>
                <w:kern w:val="0"/>
                <w:sz w:val="24"/>
                <w:highlight w:val="none"/>
              </w:rPr>
              <w:t>1）电子投标文件必须有电子签章；</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（2）开标后，相关信息记录确认、澄清说明、回复等内容，电子签章、或者签章后上传相关文件，均认可；</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（3）政采云系统平台有新的操作流程的，按其规定。</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3、采购过程中出现以下情形，导致电子交易平台无法正常运行，或者无法保证电子交易的公平、公正和安全时，采购组织机构可中止电子交易活动：</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（1）电子交易平台发生故障而无法登录访问的； </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（2）电子交易平台应用或数据库出现错误，不能进行正常操作的；</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（3）电子交易平台发现严重安全漏洞，有潜在泄密危险的；</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（4）病毒发作导致不能进行正常操作的； </w:t>
            </w:r>
          </w:p>
          <w:p>
            <w:pPr>
              <w:spacing w:line="312" w:lineRule="auto"/>
              <w:rPr>
                <w:rFonts w:ascii="宋体" w:hAnsi="宋体" w:cs="宋体"/>
                <w:color w:val="auto"/>
                <w:sz w:val="24"/>
                <w:highlight w:val="none"/>
              </w:rPr>
            </w:pPr>
            <w:r>
              <w:rPr>
                <w:rFonts w:hint="eastAsia" w:ascii="宋体" w:hAnsi="宋体" w:cs="宋体"/>
                <w:bCs/>
                <w:color w:val="auto"/>
                <w:kern w:val="0"/>
                <w:sz w:val="24"/>
                <w:highlight w:val="none"/>
              </w:rPr>
              <w:t>（5）其他无法保证电子交易的公平、公正和安全的情况。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351"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637"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（1）中标人在收到中标通知书后，支付采购代理机构成交代理服务费。</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（2）招标代理服务费参考国家计委计价格[2002]1980号文件中规定的服务标准采用差额定率累进计费方式下浮30%计算，如经计算不足5000元，按5000元收取，计入投标总价。</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中标金额（万元人民币）             下浮30%后费率</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100万元以下                        1.05%</w:t>
            </w:r>
          </w:p>
          <w:p>
            <w:pPr>
              <w:spacing w:line="312" w:lineRule="auto"/>
              <w:rPr>
                <w:rFonts w:ascii="宋体" w:hAnsi="宋体" w:cs="宋体"/>
                <w:bCs/>
                <w:color w:val="auto"/>
                <w:kern w:val="0"/>
                <w:sz w:val="24"/>
                <w:highlight w:val="none"/>
              </w:rPr>
            </w:pPr>
            <w:r>
              <w:rPr>
                <w:rFonts w:hint="eastAsia" w:ascii="宋体" w:hAnsi="宋体" w:cs="宋体"/>
                <w:bCs/>
                <w:color w:val="auto"/>
                <w:kern w:val="0"/>
                <w:sz w:val="24"/>
                <w:highlight w:val="none"/>
              </w:rPr>
              <w:t>100万元以上，500万元以下           0.56%</w:t>
            </w:r>
          </w:p>
          <w:p>
            <w:pPr>
              <w:spacing w:line="312" w:lineRule="auto"/>
              <w:rPr>
                <w:rFonts w:ascii="宋体" w:hAnsi="宋体" w:cs="宋体"/>
                <w:color w:val="auto"/>
                <w:sz w:val="24"/>
                <w:highlight w:val="none"/>
              </w:rPr>
            </w:pPr>
            <w:r>
              <w:rPr>
                <w:rFonts w:hint="eastAsia" w:ascii="宋体" w:hAnsi="宋体" w:cs="宋体"/>
                <w:bCs/>
                <w:color w:val="auto"/>
                <w:kern w:val="0"/>
                <w:sz w:val="24"/>
                <w:highlight w:val="none"/>
              </w:rPr>
              <w:t>500万元以上，1000万元以下          0.315%</w:t>
            </w:r>
          </w:p>
        </w:tc>
      </w:tr>
    </w:tbl>
    <w:p>
      <w:pPr>
        <w:snapToGrid w:val="0"/>
        <w:spacing w:line="360" w:lineRule="auto"/>
        <w:jc w:val="center"/>
        <w:rPr>
          <w:rFonts w:ascii="宋体" w:hAnsi="宋体" w:cs="宋体"/>
          <w:b/>
          <w:color w:val="auto"/>
          <w:sz w:val="24"/>
          <w:highlight w:val="none"/>
        </w:rPr>
      </w:pPr>
    </w:p>
    <w:bookmarkEnd w:id="10"/>
    <w:p>
      <w:pPr>
        <w:adjustRightInd/>
        <w:spacing w:line="360" w:lineRule="auto"/>
        <w:ind w:firstLine="2884" w:firstLineChars="1197"/>
        <w:rPr>
          <w:rFonts w:ascii="宋体" w:hAnsi="宋体" w:cs="宋体"/>
          <w:b/>
          <w:color w:val="auto"/>
          <w:sz w:val="24"/>
          <w:highlight w:val="none"/>
        </w:rPr>
      </w:pPr>
      <w:bookmarkStart w:id="20" w:name="_Toc164416483"/>
      <w:bookmarkStart w:id="21" w:name="第三部分"/>
    </w:p>
    <w:p>
      <w:pPr>
        <w:rPr>
          <w:rFonts w:ascii="宋体" w:hAnsi="宋体" w:cs="宋体"/>
          <w:color w:val="auto"/>
          <w:sz w:val="24"/>
          <w:highlight w:val="none"/>
        </w:rPr>
      </w:pPr>
      <w:bookmarkStart w:id="22" w:name="_Toc24026"/>
      <w:r>
        <w:rPr>
          <w:rFonts w:hint="eastAsia" w:ascii="宋体" w:hAnsi="宋体" w:cs="宋体"/>
          <w:color w:val="auto"/>
          <w:sz w:val="24"/>
          <w:highlight w:val="none"/>
        </w:rPr>
        <w:br w:type="page"/>
      </w:r>
    </w:p>
    <w:p>
      <w:pPr>
        <w:pStyle w:val="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bookmarkEnd w:id="22"/>
    </w:p>
    <w:p>
      <w:pPr>
        <w:snapToGrid w:val="0"/>
        <w:spacing w:line="360" w:lineRule="auto"/>
        <w:ind w:firstLine="361" w:firstLineChars="150"/>
        <w:jc w:val="left"/>
        <w:outlineLvl w:val="1"/>
        <w:rPr>
          <w:rFonts w:ascii="宋体" w:hAnsi="宋体" w:cs="宋体"/>
          <w:b/>
          <w:color w:val="auto"/>
          <w:sz w:val="24"/>
          <w:highlight w:val="none"/>
        </w:rPr>
      </w:pPr>
      <w:bookmarkStart w:id="23" w:name="_Toc30042"/>
      <w:r>
        <w:rPr>
          <w:rFonts w:hint="eastAsia" w:ascii="宋体" w:hAnsi="宋体" w:cs="宋体"/>
          <w:b/>
          <w:color w:val="auto"/>
          <w:sz w:val="24"/>
          <w:highlight w:val="none"/>
        </w:rPr>
        <w:t>1. 适用范围</w:t>
      </w:r>
      <w:bookmarkEnd w:id="23"/>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bookmarkStart w:id="24" w:name="_Toc13427"/>
      <w:r>
        <w:rPr>
          <w:rFonts w:hint="eastAsia" w:ascii="宋体" w:hAnsi="宋体" w:cs="宋体"/>
          <w:b/>
          <w:color w:val="auto"/>
          <w:sz w:val="24"/>
          <w:highlight w:val="none"/>
        </w:rPr>
        <w:t>2.定义</w:t>
      </w:r>
      <w:bookmarkEnd w:id="2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系指实质性要求条款，“★”系产品采购项目中单一产品或核心产品，“</w:t>
      </w: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bookmarkStart w:id="482" w:name="_GoBack"/>
      <w:bookmarkEnd w:id="482"/>
    </w:p>
    <w:p>
      <w:pPr>
        <w:spacing w:line="360" w:lineRule="auto"/>
        <w:rPr>
          <w:rFonts w:ascii="宋体" w:hAnsi="宋体" w:cs="宋体"/>
          <w:b/>
          <w:color w:val="auto"/>
          <w:sz w:val="24"/>
          <w:highlight w:val="none"/>
        </w:rPr>
      </w:pPr>
      <w:r>
        <w:rPr>
          <w:rFonts w:hint="eastAsia" w:ascii="宋体" w:hAnsi="宋体" w:cs="宋体"/>
          <w:color w:val="auto"/>
          <w:sz w:val="24"/>
          <w:highlight w:val="none"/>
        </w:rPr>
        <w:t>3.5中小企业信用融资：</w:t>
      </w:r>
      <w:r>
        <w:rPr>
          <w:rFonts w:hint="eastAsia" w:ascii="宋体" w:hAnsi="宋体" w:cs="宋体"/>
          <w:color w:val="auto"/>
          <w:kern w:val="0"/>
          <w:sz w:val="24"/>
          <w:highlight w:val="none"/>
        </w:rPr>
        <w:t>本采购项目，中标人与采购人签订的政府采购合同适用于嘉兴市政府采购贷款政策，简称“政采贷”，具体内容可参阅政府采购贷款流程：http://jxszwsjb.jiaxing.gov.cn/zxfw/005001/005001004/20190315/76d484f7-8fac-497f-9359-4df81cc086da.html或者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9"/>
        <w:spacing w:line="360" w:lineRule="auto"/>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4.2</w:t>
      </w:r>
      <w:r>
        <w:rPr>
          <w:rFonts w:hint="eastAsia" w:hAnsi="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9"/>
        <w:spacing w:line="360" w:lineRule="auto"/>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4.2</w:t>
      </w:r>
      <w:r>
        <w:rPr>
          <w:rFonts w:hint="eastAsia" w:hAnsi="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Ansi="宋体" w:cs="宋体"/>
          <w:snapToGrid/>
          <w:color w:val="auto"/>
          <w:kern w:val="2"/>
          <w:sz w:val="24"/>
          <w:szCs w:val="24"/>
          <w:highlight w:val="none"/>
        </w:rPr>
      </w:pPr>
      <w:r>
        <w:rPr>
          <w:rFonts w:hint="eastAsia" w:hAnsi="宋体" w:cs="宋体"/>
          <w:snapToGrid/>
          <w:color w:val="auto"/>
          <w:kern w:val="2"/>
          <w:sz w:val="24"/>
          <w:szCs w:val="24"/>
          <w:highlight w:val="none"/>
        </w:rPr>
        <w:t>4.2.2.1对招标文件提出质疑的，质疑期限为供应商获得招标文件之日或者招标文件公告期限届满之日起计算。</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4.2.2.2对采购过程提出质疑的，质疑期限为各采购程序环节结束之日起计算。对同一采购程序环节的质疑，供应商须一次性提出。</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4.2.2.3对采购结果提出质疑的，质疑期限自采购结果公告期限届满之日起计算。</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4.2.3</w:t>
      </w:r>
      <w:r>
        <w:rPr>
          <w:rFonts w:hint="eastAsia" w:hAnsi="宋体" w:cs="宋体"/>
          <w:color w:val="auto"/>
          <w:sz w:val="24"/>
          <w:szCs w:val="24"/>
          <w:highlight w:val="none"/>
        </w:rPr>
        <w:t>供应商提出质疑应当提交质疑函和必要的证明材料。质疑函应当包括下列内容：</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4.2.3.1供应商的姓名或者名称、地址、邮编、联系人及联系电话；</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4.2.3.2质疑项目的名称、编号；</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4.2.3.3具体、明确的质疑事项和与质疑事项相关的请求；</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4.2.3.4事实依据；</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　　4.2.3.5必要的法律依据；</w:t>
      </w:r>
    </w:p>
    <w:p>
      <w:pPr>
        <w:pStyle w:val="9"/>
        <w:spacing w:line="360" w:lineRule="auto"/>
        <w:ind w:firstLine="960" w:firstLineChars="400"/>
        <w:rPr>
          <w:rFonts w:hAnsi="宋体" w:cs="宋体"/>
          <w:snapToGrid/>
          <w:color w:val="auto"/>
          <w:kern w:val="0"/>
          <w:sz w:val="24"/>
          <w:szCs w:val="24"/>
          <w:highlight w:val="none"/>
          <w:lang w:val="zh-CN"/>
        </w:rPr>
      </w:pPr>
      <w:r>
        <w:rPr>
          <w:rFonts w:hint="eastAsia" w:hAnsi="宋体" w:cs="宋体"/>
          <w:color w:val="auto"/>
          <w:kern w:val="0"/>
          <w:sz w:val="24"/>
          <w:szCs w:val="24"/>
          <w:highlight w:val="none"/>
          <w:lang w:val="zh-CN"/>
        </w:rPr>
        <w:t>4</w:t>
      </w:r>
      <w:r>
        <w:rPr>
          <w:rFonts w:hint="eastAsia" w:hAnsi="宋体" w:cs="宋体"/>
          <w:snapToGrid/>
          <w:color w:val="auto"/>
          <w:kern w:val="0"/>
          <w:sz w:val="24"/>
          <w:szCs w:val="24"/>
          <w:highlight w:val="none"/>
          <w:lang w:val="zh-CN"/>
        </w:rPr>
        <w:t>.2.3.6提出质疑的日期。</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质疑函范本及制作说明详见附件2。</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4.2</w:t>
      </w:r>
      <w:r>
        <w:rPr>
          <w:rFonts w:hint="eastAsia" w:hAnsi="宋体" w:cs="宋体"/>
          <w:color w:val="auto"/>
          <w:kern w:val="0"/>
          <w:sz w:val="24"/>
          <w:szCs w:val="24"/>
          <w:highlight w:val="none"/>
        </w:rPr>
        <w:t>.4采购人或者采购机</w:t>
      </w:r>
      <w:r>
        <w:rPr>
          <w:rFonts w:hint="eastAsia" w:hAnsi="宋体" w:cs="宋体"/>
          <w:snapToGrid/>
          <w:color w:val="auto"/>
          <w:kern w:val="0"/>
          <w:sz w:val="24"/>
          <w:szCs w:val="24"/>
          <w:highlight w:val="none"/>
        </w:rPr>
        <w:t>构应当在收到供应商的书面质疑后七个工作日内作出答复，并以书面形式通知质疑供应商和其他与质疑处理结果有利害关系的政府采购当事人，但答</w:t>
      </w:r>
      <w:r>
        <w:rPr>
          <w:rFonts w:hint="eastAsia" w:hAnsi="宋体" w:cs="宋体"/>
          <w:color w:val="auto"/>
          <w:kern w:val="0"/>
          <w:sz w:val="24"/>
          <w:szCs w:val="24"/>
          <w:highlight w:val="none"/>
        </w:rPr>
        <w:t>复的内容不得涉及商业秘密。采购人或者采购机构在质疑回复后5个工作日内，在浙江政府采购网的“其他公告”栏</w:t>
      </w:r>
      <w:r>
        <w:rPr>
          <w:rFonts w:hint="eastAsia" w:hAnsi="宋体" w:cs="宋体"/>
          <w:color w:val="auto"/>
          <w:kern w:val="0"/>
          <w:sz w:val="24"/>
          <w:szCs w:val="24"/>
          <w:highlight w:val="none"/>
          <w:lang w:val="zh-CN"/>
        </w:rPr>
        <w:t>目公开质疑答复，答复内容应当完整。质疑函作为附件上传。</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4.2.5询问或者质疑事项可能影响采购结果的，采购人应当暂停签订合同，已经签订合同的，应当中止履行合同。</w:t>
      </w:r>
    </w:p>
    <w:p>
      <w:pPr>
        <w:pStyle w:val="9"/>
        <w:spacing w:line="360" w:lineRule="auto"/>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4.3供应商投诉</w:t>
      </w:r>
    </w:p>
    <w:p>
      <w:pPr>
        <w:pStyle w:val="9"/>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lang w:val="zh-CN"/>
        </w:rPr>
        <w:t>4.3.1质疑供应商对采购</w:t>
      </w:r>
      <w:r>
        <w:rPr>
          <w:rFonts w:hint="eastAsia" w:hAnsi="宋体" w:cs="宋体"/>
          <w:color w:val="auto"/>
          <w:kern w:val="0"/>
          <w:sz w:val="24"/>
          <w:szCs w:val="24"/>
          <w:highlight w:val="none"/>
        </w:rPr>
        <w:t>人、采购机构的答复不满意或者采购人、采购机构未在规定的时间内作出答复的，可以在答复期满后十五个工作日内向同级政府采购监督管理部门提出投诉。</w:t>
      </w:r>
    </w:p>
    <w:p>
      <w:pPr>
        <w:pStyle w:val="26"/>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26"/>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26"/>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26"/>
        <w:shd w:val="clear" w:color="auto" w:fill="FFFFFF"/>
        <w:snapToGrid w:val="0"/>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pPr>
        <w:pStyle w:val="25"/>
        <w:snapToGrid w:val="0"/>
        <w:spacing w:before="0"/>
        <w:ind w:firstLine="482"/>
        <w:rPr>
          <w:rFonts w:ascii="宋体" w:hAnsi="宋体" w:cs="宋体"/>
          <w:b/>
          <w:bCs/>
          <w:color w:val="auto"/>
          <w:szCs w:val="24"/>
          <w:highlight w:val="none"/>
          <w:lang w:val="zh-CN"/>
        </w:rPr>
      </w:pPr>
    </w:p>
    <w:p>
      <w:pPr>
        <w:pStyle w:val="3"/>
        <w:jc w:val="center"/>
        <w:rPr>
          <w:rFonts w:ascii="宋体" w:hAnsi="宋体" w:eastAsia="宋体" w:cs="宋体"/>
          <w:color w:val="auto"/>
          <w:sz w:val="24"/>
          <w:szCs w:val="24"/>
          <w:highlight w:val="none"/>
        </w:rPr>
      </w:pPr>
      <w:bookmarkStart w:id="25" w:name="_Toc1994"/>
      <w:r>
        <w:rPr>
          <w:rFonts w:hint="eastAsia" w:ascii="宋体" w:hAnsi="宋体" w:eastAsia="宋体" w:cs="宋体"/>
          <w:color w:val="auto"/>
          <w:sz w:val="24"/>
          <w:szCs w:val="24"/>
          <w:highlight w:val="none"/>
        </w:rPr>
        <w:t>二、招标文件的构成、澄清、修改</w:t>
      </w:r>
      <w:bookmarkEnd w:id="25"/>
    </w:p>
    <w:p>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5.1.6应提交的有关格式范例。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6.1已获取招标文件的潜在投标人，若有问题需要澄清，应于投标截止时间前，以书面形式向采购机构提出。</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hAnsi="宋体" w:cs="宋体"/>
          <w:color w:val="auto"/>
          <w:szCs w:val="24"/>
          <w:highlight w:val="none"/>
          <w:lang w:val="en-US"/>
        </w:rPr>
      </w:pPr>
    </w:p>
    <w:p>
      <w:pPr>
        <w:pStyle w:val="3"/>
        <w:jc w:val="center"/>
        <w:rPr>
          <w:rFonts w:ascii="宋体" w:hAnsi="宋体" w:eastAsia="宋体" w:cs="宋体"/>
          <w:color w:val="auto"/>
          <w:sz w:val="24"/>
          <w:szCs w:val="24"/>
          <w:highlight w:val="none"/>
        </w:rPr>
      </w:pPr>
      <w:bookmarkStart w:id="26" w:name="_Toc14221"/>
      <w:r>
        <w:rPr>
          <w:rFonts w:hint="eastAsia" w:ascii="宋体" w:hAnsi="宋体" w:eastAsia="宋体" w:cs="宋体"/>
          <w:color w:val="auto"/>
          <w:sz w:val="24"/>
          <w:szCs w:val="24"/>
          <w:highlight w:val="none"/>
        </w:rPr>
        <w:t>三、投标</w:t>
      </w:r>
      <w:bookmarkEnd w:id="26"/>
    </w:p>
    <w:p>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9"/>
        <w:spacing w:line="360" w:lineRule="auto"/>
        <w:rPr>
          <w:rFonts w:hAnsi="宋体" w:cs="宋体"/>
          <w:b/>
          <w:color w:val="auto"/>
          <w:sz w:val="24"/>
          <w:szCs w:val="24"/>
          <w:highlight w:val="none"/>
        </w:rPr>
      </w:pPr>
      <w:r>
        <w:rPr>
          <w:rFonts w:hint="eastAsia" w:hAnsi="宋体" w:cs="宋体"/>
          <w:b/>
          <w:color w:val="auto"/>
          <w:kern w:val="28"/>
          <w:sz w:val="24"/>
          <w:szCs w:val="24"/>
          <w:highlight w:val="none"/>
        </w:rPr>
        <w:t>9.投标保证金</w:t>
      </w:r>
    </w:p>
    <w:p>
      <w:pPr>
        <w:pStyle w:val="4"/>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本项目不需缴纳投标保证金。</w:t>
      </w:r>
    </w:p>
    <w:p>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11.2.1投标响应函；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napToGrid w:val="0"/>
        <w:spacing w:line="360" w:lineRule="auto"/>
        <w:ind w:firstLine="964" w:firstLineChars="400"/>
        <w:rPr>
          <w:rFonts w:ascii="宋体" w:hAnsi="宋体" w:cs="宋体"/>
          <w:b/>
          <w:bCs/>
          <w:color w:val="auto"/>
          <w:sz w:val="24"/>
          <w:highlight w:val="none"/>
        </w:rPr>
      </w:pPr>
      <w:bookmarkStart w:id="27" w:name="_Toc22496"/>
      <w:r>
        <w:rPr>
          <w:rFonts w:hint="eastAsia" w:ascii="宋体" w:hAnsi="宋体" w:cs="宋体"/>
          <w:b/>
          <w:bCs/>
          <w:color w:val="auto"/>
          <w:sz w:val="24"/>
          <w:highlight w:val="none"/>
        </w:rPr>
        <w:t>投标文件含有采购人不能接受的附加条件的，投标无效；</w:t>
      </w:r>
    </w:p>
    <w:p>
      <w:pPr>
        <w:snapToGrid w:val="0"/>
        <w:spacing w:line="360" w:lineRule="auto"/>
        <w:ind w:firstLine="964" w:firstLineChars="400"/>
        <w:rPr>
          <w:rFonts w:ascii="宋体" w:hAnsi="宋体" w:cs="宋体"/>
          <w:b/>
          <w:bCs/>
          <w:color w:val="auto"/>
          <w:sz w:val="24"/>
          <w:highlight w:val="none"/>
        </w:rPr>
      </w:pPr>
      <w:r>
        <w:rPr>
          <w:rFonts w:hint="eastAsia" w:ascii="宋体" w:hAnsi="宋体" w:cs="宋体"/>
          <w:b/>
          <w:bCs/>
          <w:color w:val="auto"/>
          <w:sz w:val="24"/>
          <w:highlight w:val="none"/>
        </w:rPr>
        <w:t>投标人提供虚假材料投标的，投标无效。</w:t>
      </w:r>
    </w:p>
    <w:p>
      <w:pPr>
        <w:pStyle w:val="2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7"/>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2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13.1投标文件按照招标文件第六部分格式要求进行签署、盖章。</w:t>
      </w:r>
      <w:r>
        <w:rPr>
          <w:rFonts w:hint="eastAsia" w:ascii="宋体" w:hAnsi="宋体" w:cs="宋体"/>
          <w:b/>
          <w:color w:val="auto"/>
          <w:szCs w:val="24"/>
          <w:highlight w:val="none"/>
        </w:rPr>
        <w:t>▲投标人的投标文件未按照招标文件要求签署、盖章的，其投标无效</w:t>
      </w:r>
      <w:r>
        <w:rPr>
          <w:rFonts w:hint="eastAsia" w:ascii="宋体" w:hAnsi="宋体" w:cs="宋体"/>
          <w:color w:val="auto"/>
          <w:szCs w:val="24"/>
          <w:highlight w:val="none"/>
        </w:rPr>
        <w:t>。</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13.3招标文件对投标文件签署、盖章的要求适用于电子签名。</w:t>
      </w:r>
    </w:p>
    <w:p>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25"/>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9"/>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9"/>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15.1投标人在电子交易平台传输递交投标文件后，还可以在投标截止时间前通过邮箱chinazhongzhe@163.com递交备份投标文件1份。</w:t>
      </w:r>
      <w:r>
        <w:rPr>
          <w:rFonts w:hint="eastAsia" w:hAnsi="宋体" w:cs="宋体"/>
          <w:b/>
          <w:color w:val="auto"/>
          <w:sz w:val="24"/>
          <w:szCs w:val="24"/>
          <w:highlight w:val="none"/>
        </w:rPr>
        <w:t>但采购人、采购机构不强制或变相强制投标人提交备份投标文件。</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15.2直接提交备份投标文件的，投标人应于投标截止时间前在招标公告中载明的开标地点将备份投标文件提交给采购机构，采购机构将拒绝接受逾期送达的备份投标文件。</w:t>
      </w:r>
    </w:p>
    <w:p>
      <w:pPr>
        <w:pStyle w:val="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15.3投标人仅提交备份投标文件，没有在电子交易平台传输递交投标文件的，投标无效。</w:t>
      </w:r>
    </w:p>
    <w:p>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8"/>
        <w:spacing w:line="360" w:lineRule="auto"/>
        <w:ind w:firstLine="360" w:firstLineChars="150"/>
        <w:rPr>
          <w:rFonts w:cs="宋体"/>
          <w:color w:val="auto"/>
          <w:highlight w:val="none"/>
        </w:rPr>
      </w:pPr>
      <w:r>
        <w:rPr>
          <w:rFonts w:hint="eastAsia" w:cs="宋体"/>
          <w:color w:val="auto"/>
          <w:highlight w:val="none"/>
        </w:rPr>
        <w:t>有招标文件</w:t>
      </w:r>
      <w:r>
        <w:rPr>
          <w:rFonts w:hint="eastAsia" w:cs="宋体"/>
          <w:b/>
          <w:color w:val="auto"/>
          <w:kern w:val="0"/>
          <w:highlight w:val="none"/>
        </w:rPr>
        <w:t>4.2投标响应无效</w:t>
      </w:r>
      <w:r>
        <w:rPr>
          <w:rFonts w:hint="eastAsia" w:cs="宋体"/>
          <w:color w:val="auto"/>
          <w:highlight w:val="none"/>
        </w:rPr>
        <w:t>规定的情形之一的，投标无效：</w:t>
      </w:r>
    </w:p>
    <w:p>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17.1</w:t>
      </w:r>
      <w:r>
        <w:rPr>
          <w:rFonts w:hint="eastAsia" w:ascii="宋体" w:hAnsi="宋体" w:cs="宋体"/>
          <w:b/>
          <w:bCs/>
          <w:color w:val="auto"/>
          <w:sz w:val="24"/>
          <w:highlight w:val="none"/>
        </w:rPr>
        <w:t>投标有效期为从提交投标文件的截止之日起90天</w:t>
      </w:r>
      <w:r>
        <w:rPr>
          <w:rFonts w:hint="eastAsia" w:ascii="宋体" w:hAnsi="宋体" w:cs="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p>
    <w:p>
      <w:pPr>
        <w:pStyle w:val="25"/>
        <w:spacing w:before="0"/>
        <w:ind w:firstLine="480"/>
        <w:rPr>
          <w:rFonts w:ascii="宋体" w:hAnsi="宋体" w:cs="宋体"/>
          <w:color w:val="auto"/>
          <w:szCs w:val="24"/>
          <w:highlight w:val="none"/>
        </w:rPr>
      </w:pPr>
      <w:r>
        <w:rPr>
          <w:rFonts w:hint="eastAsia" w:ascii="宋体" w:hAnsi="宋体" w:cs="宋体"/>
          <w:color w:val="auto"/>
          <w:szCs w:val="24"/>
          <w:highlight w:val="none"/>
        </w:rPr>
        <w:t>17.2投标文件合格投递后，自投标截止日期起，在投标有效期内有效。</w:t>
      </w:r>
    </w:p>
    <w:p>
      <w:pPr>
        <w:pStyle w:val="25"/>
        <w:spacing w:before="0"/>
        <w:ind w:firstLine="480"/>
        <w:rPr>
          <w:rFonts w:ascii="宋体" w:hAnsi="宋体" w:cs="宋体"/>
          <w:color w:val="auto"/>
          <w:szCs w:val="24"/>
          <w:highlight w:val="none"/>
        </w:rPr>
      </w:pPr>
      <w:r>
        <w:rPr>
          <w:rFonts w:hint="eastAsia" w:ascii="宋体" w:hAnsi="宋体" w:cs="宋体"/>
          <w:color w:val="auto"/>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5"/>
        <w:spacing w:before="0"/>
        <w:ind w:firstLine="482"/>
        <w:rPr>
          <w:rFonts w:ascii="宋体" w:hAnsi="宋体" w:cs="宋体"/>
          <w:b/>
          <w:color w:val="auto"/>
          <w:szCs w:val="24"/>
          <w:highlight w:val="none"/>
        </w:rPr>
      </w:pPr>
    </w:p>
    <w:p>
      <w:pPr>
        <w:pStyle w:val="3"/>
        <w:jc w:val="center"/>
        <w:rPr>
          <w:rFonts w:ascii="宋体" w:hAnsi="宋体" w:eastAsia="宋体" w:cs="宋体"/>
          <w:color w:val="auto"/>
          <w:sz w:val="24"/>
          <w:szCs w:val="24"/>
          <w:highlight w:val="none"/>
        </w:rPr>
      </w:pPr>
      <w:bookmarkStart w:id="28" w:name="_Toc8514"/>
      <w:r>
        <w:rPr>
          <w:rFonts w:hint="eastAsia" w:ascii="宋体" w:hAnsi="宋体" w:eastAsia="宋体" w:cs="宋体"/>
          <w:color w:val="auto"/>
          <w:sz w:val="24"/>
          <w:szCs w:val="24"/>
          <w:highlight w:val="none"/>
        </w:rPr>
        <w:t>四、开标、资格审查与信用信息查询</w:t>
      </w:r>
      <w:bookmarkEnd w:id="28"/>
    </w:p>
    <w:p>
      <w:pPr>
        <w:pStyle w:val="27"/>
        <w:spacing w:before="0" w:line="360" w:lineRule="auto"/>
        <w:ind w:left="0" w:firstLine="241" w:firstLineChars="100"/>
        <w:contextualSpacing/>
        <w:rPr>
          <w:rFonts w:ascii="宋体" w:hAnsi="宋体" w:cs="宋体"/>
          <w:color w:val="auto"/>
          <w:sz w:val="24"/>
          <w:szCs w:val="24"/>
          <w:highlight w:val="none"/>
        </w:rPr>
      </w:pPr>
      <w:r>
        <w:rPr>
          <w:rFonts w:hint="eastAsia" w:ascii="宋体" w:hAnsi="宋体" w:cs="宋体"/>
          <w:b/>
          <w:color w:val="auto"/>
          <w:sz w:val="24"/>
          <w:szCs w:val="24"/>
          <w:highlight w:val="none"/>
        </w:rPr>
        <w:t>18.开标</w:t>
      </w:r>
    </w:p>
    <w:p>
      <w:pPr>
        <w:pStyle w:val="27"/>
        <w:spacing w:before="0" w:line="360" w:lineRule="auto"/>
        <w:ind w:left="0"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18.1采购机构按照招标文件规定的时间通过电子交易平台组织开标，所有投标人均应当准时在线参加。投标人不足3家的，不得开标。</w:t>
      </w:r>
    </w:p>
    <w:p>
      <w:pPr>
        <w:pStyle w:val="27"/>
        <w:spacing w:before="0" w:line="360" w:lineRule="auto"/>
        <w:ind w:left="0" w:firstLine="240" w:firstLineChars="100"/>
        <w:contextualSpacing/>
        <w:rPr>
          <w:rFonts w:ascii="宋体" w:hAnsi="宋体" w:cs="宋体"/>
          <w:color w:val="auto"/>
          <w:sz w:val="24"/>
          <w:szCs w:val="24"/>
          <w:highlight w:val="none"/>
        </w:rPr>
      </w:pPr>
      <w:r>
        <w:rPr>
          <w:rFonts w:hint="eastAsia" w:ascii="宋体" w:hAnsi="宋体" w:cs="宋体"/>
          <w:color w:val="auto"/>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7"/>
        <w:spacing w:before="0" w:line="360" w:lineRule="auto"/>
        <w:ind w:left="0" w:firstLine="240" w:firstLineChars="100"/>
        <w:contextualSpacing/>
        <w:rPr>
          <w:rFonts w:ascii="宋体" w:hAnsi="宋体" w:cs="宋体"/>
          <w:b/>
          <w:color w:val="auto"/>
          <w:sz w:val="24"/>
          <w:szCs w:val="24"/>
          <w:highlight w:val="none"/>
        </w:rPr>
      </w:pPr>
      <w:r>
        <w:rPr>
          <w:rFonts w:hint="eastAsia" w:ascii="宋体" w:hAnsi="宋体" w:cs="宋体"/>
          <w:color w:val="auto"/>
          <w:sz w:val="24"/>
          <w:szCs w:val="24"/>
          <w:highlight w:val="none"/>
        </w:rPr>
        <w:t>　18.3</w:t>
      </w:r>
      <w:r>
        <w:rPr>
          <w:rFonts w:hint="eastAsia" w:ascii="宋体" w:hAnsi="宋体" w:cs="宋体"/>
          <w:b/>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　19、资格审查</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采购人或采购机构依据法律法规和招标文件的规定，对投标人的基本资格条件、特定资格条件进行审查。</w:t>
      </w:r>
    </w:p>
    <w:p>
      <w:pPr>
        <w:pStyle w:val="25"/>
        <w:spacing w:before="0"/>
        <w:ind w:firstLine="480"/>
        <w:rPr>
          <w:rFonts w:ascii="宋体" w:hAnsi="宋体" w:cs="宋体"/>
          <w:color w:val="auto"/>
          <w:szCs w:val="24"/>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szCs w:val="24"/>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szCs w:val="24"/>
          <w:highlight w:val="none"/>
        </w:rPr>
        <w:t>投标人不具备招标文件中规定的资格要求，其投标无效。</w:t>
      </w:r>
    </w:p>
    <w:p>
      <w:pPr>
        <w:pStyle w:val="25"/>
        <w:spacing w:before="0"/>
        <w:ind w:firstLine="480"/>
        <w:rPr>
          <w:rFonts w:ascii="宋体" w:hAnsi="宋体" w:cs="宋体"/>
          <w:color w:val="auto"/>
          <w:szCs w:val="24"/>
          <w:highlight w:val="none"/>
        </w:rPr>
      </w:pPr>
      <w:r>
        <w:rPr>
          <w:rFonts w:hint="eastAsia" w:ascii="宋体" w:hAnsi="宋体" w:cs="宋体"/>
          <w:color w:val="auto"/>
          <w:kern w:val="0"/>
          <w:szCs w:val="24"/>
          <w:highlight w:val="none"/>
        </w:rPr>
        <w:t>19.</w:t>
      </w:r>
      <w:r>
        <w:rPr>
          <w:rFonts w:hint="eastAsia" w:ascii="宋体" w:hAnsi="宋体" w:cs="宋体"/>
          <w:color w:val="auto"/>
          <w:szCs w:val="24"/>
          <w:highlight w:val="none"/>
        </w:rPr>
        <w:t>4对未通过资格审查的投标人，采购人或采购机构告知其未通过的原因。</w:t>
      </w:r>
    </w:p>
    <w:p>
      <w:pPr>
        <w:pStyle w:val="25"/>
        <w:spacing w:before="0"/>
        <w:ind w:firstLine="480"/>
        <w:rPr>
          <w:rFonts w:ascii="宋体" w:hAnsi="宋体" w:cs="宋体"/>
          <w:color w:val="auto"/>
          <w:szCs w:val="24"/>
          <w:highlight w:val="none"/>
        </w:rPr>
      </w:pPr>
      <w:r>
        <w:rPr>
          <w:rFonts w:hint="eastAsia" w:ascii="宋体" w:hAnsi="宋体" w:cs="宋体"/>
          <w:color w:val="auto"/>
          <w:kern w:val="0"/>
          <w:szCs w:val="24"/>
          <w:highlight w:val="none"/>
        </w:rPr>
        <w:t>19.</w:t>
      </w:r>
      <w:r>
        <w:rPr>
          <w:rFonts w:hint="eastAsia" w:ascii="宋体" w:hAnsi="宋体" w:cs="宋体"/>
          <w:color w:val="auto"/>
          <w:szCs w:val="24"/>
          <w:highlight w:val="none"/>
        </w:rPr>
        <w:t>5合格投标人不足3家的，不再评标。</w:t>
      </w:r>
    </w:p>
    <w:p>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2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2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2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5"/>
        <w:spacing w:before="0"/>
        <w:ind w:firstLine="480"/>
        <w:rPr>
          <w:rFonts w:ascii="宋体" w:hAnsi="宋体" w:cs="宋体"/>
          <w:color w:val="auto"/>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Cs w:val="24"/>
          <w:highlight w:val="none"/>
        </w:rPr>
        <w:t>。</w:t>
      </w:r>
    </w:p>
    <w:p>
      <w:pPr>
        <w:pStyle w:val="25"/>
        <w:spacing w:before="0"/>
        <w:ind w:firstLine="0" w:firstLineChars="0"/>
        <w:rPr>
          <w:rFonts w:ascii="宋体" w:hAnsi="宋体" w:cs="宋体"/>
          <w:color w:val="auto"/>
          <w:kern w:val="0"/>
          <w:szCs w:val="24"/>
          <w:highlight w:val="none"/>
        </w:rPr>
      </w:pPr>
    </w:p>
    <w:p>
      <w:pPr>
        <w:pStyle w:val="3"/>
        <w:jc w:val="center"/>
        <w:rPr>
          <w:rFonts w:ascii="宋体" w:hAnsi="宋体" w:eastAsia="宋体" w:cs="宋体"/>
          <w:color w:val="auto"/>
          <w:sz w:val="24"/>
          <w:szCs w:val="24"/>
          <w:highlight w:val="none"/>
        </w:rPr>
      </w:pPr>
      <w:bookmarkStart w:id="29" w:name="_Toc23164"/>
      <w:r>
        <w:rPr>
          <w:rFonts w:hint="eastAsia" w:ascii="宋体" w:hAnsi="宋体" w:eastAsia="宋体" w:cs="宋体"/>
          <w:color w:val="auto"/>
          <w:sz w:val="24"/>
          <w:szCs w:val="24"/>
          <w:highlight w:val="none"/>
        </w:rPr>
        <w:t>五、评标</w:t>
      </w:r>
      <w:bookmarkEnd w:id="29"/>
    </w:p>
    <w:p>
      <w:pPr>
        <w:spacing w:line="360" w:lineRule="auto"/>
        <w:rPr>
          <w:rFonts w:ascii="宋体" w:hAnsi="宋体" w:cs="宋体"/>
          <w:b/>
          <w:color w:val="auto"/>
          <w:sz w:val="24"/>
          <w:highlight w:val="none"/>
        </w:rPr>
      </w:pPr>
      <w:bookmarkStart w:id="30" w:name="_Toc91899903"/>
      <w:r>
        <w:rPr>
          <w:rFonts w:hint="eastAsia" w:ascii="宋体" w:hAnsi="宋体" w:cs="宋体"/>
          <w:b/>
          <w:color w:val="auto"/>
          <w:sz w:val="24"/>
          <w:highlight w:val="none"/>
        </w:rPr>
        <w:t>21.</w:t>
      </w:r>
      <w:r>
        <w:rPr>
          <w:rFonts w:hint="eastAsia" w:ascii="宋体" w:hAnsi="宋体" w:cs="宋体"/>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pStyle w:val="3"/>
        <w:jc w:val="center"/>
        <w:rPr>
          <w:rFonts w:ascii="宋体" w:hAnsi="宋体" w:eastAsia="宋体" w:cs="宋体"/>
          <w:color w:val="auto"/>
          <w:sz w:val="24"/>
          <w:szCs w:val="24"/>
          <w:highlight w:val="none"/>
        </w:rPr>
      </w:pPr>
      <w:bookmarkStart w:id="31" w:name="_Toc29018"/>
      <w:r>
        <w:rPr>
          <w:rFonts w:hint="eastAsia" w:ascii="宋体" w:hAnsi="宋体" w:eastAsia="宋体" w:cs="宋体"/>
          <w:color w:val="auto"/>
          <w:sz w:val="24"/>
          <w:szCs w:val="24"/>
          <w:highlight w:val="none"/>
        </w:rPr>
        <w:t>六、定 标</w:t>
      </w:r>
      <w:bookmarkEnd w:id="31"/>
    </w:p>
    <w:p>
      <w:pPr>
        <w:pStyle w:val="8"/>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2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采购人将自收到评审报告之日起5个工作日内通过电子交易平台在评审报告推荐的中标候选人中按顺序确定中标供应商。</w:t>
      </w:r>
    </w:p>
    <w:p>
      <w:pPr>
        <w:pStyle w:val="2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widowControl/>
        <w:shd w:val="clear" w:color="auto" w:fill="FFFFFF"/>
        <w:spacing w:line="360" w:lineRule="auto"/>
        <w:ind w:firstLine="480"/>
        <w:jc w:val="left"/>
        <w:rPr>
          <w:rFonts w:ascii="宋体" w:hAnsi="宋体" w:cs="宋体"/>
          <w:color w:val="auto"/>
          <w:sz w:val="24"/>
          <w:highlight w:val="none"/>
          <w:lang w:val="zh-CN"/>
        </w:rPr>
      </w:pPr>
    </w:p>
    <w:p>
      <w:pPr>
        <w:pStyle w:val="3"/>
        <w:jc w:val="center"/>
        <w:rPr>
          <w:rFonts w:ascii="宋体" w:hAnsi="宋体" w:eastAsia="宋体" w:cs="宋体"/>
          <w:color w:val="auto"/>
          <w:sz w:val="24"/>
          <w:szCs w:val="24"/>
          <w:highlight w:val="none"/>
        </w:rPr>
      </w:pPr>
      <w:bookmarkStart w:id="32" w:name="_Toc7433"/>
      <w:r>
        <w:rPr>
          <w:rFonts w:hint="eastAsia" w:ascii="宋体" w:hAnsi="宋体" w:eastAsia="宋体" w:cs="宋体"/>
          <w:color w:val="auto"/>
          <w:sz w:val="24"/>
          <w:szCs w:val="24"/>
          <w:highlight w:val="none"/>
        </w:rPr>
        <w:t>七、合同授予</w:t>
      </w:r>
      <w:bookmarkEnd w:id="32"/>
    </w:p>
    <w:p>
      <w:pPr>
        <w:pStyle w:val="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8"/>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25"/>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25.3如签订合同并生效后，供应商无故拒绝或延期，除按照合同条款处理外，列入不良行为记录一次，并给予通报。</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25.5采购合同由采购人与中标供应商根据招标文件、投标文件等内容通过政府采购电子交易平台在线签订，自动备案。</w:t>
      </w:r>
    </w:p>
    <w:p>
      <w:pPr>
        <w:pStyle w:val="8"/>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。履约保证金的数额不得超过政府采购合同金额的1%。鼓励和支持供应商以银行、保险公司出具的保函形式提供履约保证金。</w:t>
      </w:r>
      <w:r>
        <w:rPr>
          <w:rFonts w:hint="eastAsia" w:ascii="宋体" w:hAnsi="宋体" w:cs="宋体"/>
          <w:b/>
          <w:color w:val="auto"/>
          <w:sz w:val="24"/>
          <w:highlight w:val="none"/>
        </w:rPr>
        <w:t>采购人不得拒收履约保函。</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518" w:firstLineChars="1045"/>
        <w:rPr>
          <w:rFonts w:ascii="宋体" w:hAnsi="宋体" w:cs="宋体"/>
          <w:b/>
          <w:color w:val="auto"/>
          <w:sz w:val="24"/>
          <w:highlight w:val="none"/>
        </w:rPr>
      </w:pPr>
    </w:p>
    <w:p>
      <w:pPr>
        <w:pStyle w:val="3"/>
        <w:jc w:val="center"/>
        <w:rPr>
          <w:rFonts w:ascii="宋体" w:hAnsi="宋体" w:eastAsia="宋体" w:cs="宋体"/>
          <w:color w:val="auto"/>
          <w:sz w:val="24"/>
          <w:szCs w:val="24"/>
          <w:highlight w:val="none"/>
        </w:rPr>
      </w:pPr>
      <w:bookmarkStart w:id="33" w:name="_Toc24917"/>
      <w:r>
        <w:rPr>
          <w:rFonts w:hint="eastAsia" w:ascii="宋体" w:hAnsi="宋体" w:eastAsia="宋体" w:cs="宋体"/>
          <w:color w:val="auto"/>
          <w:sz w:val="24"/>
          <w:szCs w:val="24"/>
          <w:highlight w:val="none"/>
        </w:rPr>
        <w:t>八、电子交易活动的中止</w:t>
      </w:r>
      <w:bookmarkEnd w:id="33"/>
    </w:p>
    <w:p>
      <w:pPr>
        <w:pStyle w:val="25"/>
        <w:snapToGrid w:val="0"/>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b/>
          <w:color w:val="auto"/>
          <w:szCs w:val="24"/>
          <w:highlight w:val="none"/>
        </w:rPr>
        <w:t>7. 电子交易活动的中止。</w:t>
      </w:r>
      <w:r>
        <w:rPr>
          <w:rFonts w:hint="eastAsia" w:ascii="宋体" w:hAnsi="宋体" w:cs="宋体"/>
          <w:color w:val="auto"/>
          <w:szCs w:val="24"/>
          <w:highlight w:val="none"/>
        </w:rPr>
        <w:t>采购过程中出现以下情形，导致电子交易平台无法正常运行，或者无法保证电子交易的公平、公正和安全时，采购机构可中止电子交易活动：</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27.1电子交易平台发生故障而无法登录访问的； </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27.2电子交易平台应用或数据库出现错误，不能进行正常操作的；</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27.3电子交易平台发现严重安全漏洞，有潜在泄密危险的；</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 xml:space="preserve">27.4病毒发作导致不能进行正常操作的； </w:t>
      </w:r>
    </w:p>
    <w:p>
      <w:pPr>
        <w:pStyle w:val="25"/>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27.5其他无法保证电子交易的公平、公正和安全的情况。</w:t>
      </w:r>
    </w:p>
    <w:p>
      <w:pPr>
        <w:pStyle w:val="25"/>
        <w:snapToGrid w:val="0"/>
        <w:spacing w:before="0"/>
        <w:ind w:firstLine="0" w:firstLineChars="0"/>
        <w:rPr>
          <w:rFonts w:ascii="宋体" w:hAnsi="宋体" w:cs="宋体"/>
          <w:color w:val="auto"/>
          <w:szCs w:val="24"/>
          <w:highlight w:val="none"/>
        </w:rPr>
      </w:pPr>
      <w:r>
        <w:rPr>
          <w:rFonts w:hint="eastAsia" w:ascii="宋体" w:hAnsi="宋体" w:cs="宋体"/>
          <w:color w:val="auto"/>
          <w:szCs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pStyle w:val="3"/>
        <w:jc w:val="center"/>
        <w:rPr>
          <w:rFonts w:ascii="宋体" w:hAnsi="宋体" w:eastAsia="宋体" w:cs="宋体"/>
          <w:color w:val="auto"/>
          <w:sz w:val="24"/>
          <w:szCs w:val="24"/>
          <w:highlight w:val="none"/>
        </w:rPr>
      </w:pPr>
      <w:bookmarkStart w:id="34" w:name="_Toc13787"/>
      <w:r>
        <w:rPr>
          <w:rFonts w:hint="eastAsia" w:ascii="宋体" w:hAnsi="宋体" w:eastAsia="宋体" w:cs="宋体"/>
          <w:color w:val="auto"/>
          <w:sz w:val="24"/>
          <w:szCs w:val="24"/>
          <w:highlight w:val="none"/>
        </w:rPr>
        <w:t>九、验收</w:t>
      </w:r>
      <w:bookmarkEnd w:id="34"/>
    </w:p>
    <w:p>
      <w:pPr>
        <w:pStyle w:val="8"/>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0"/>
    <w:p>
      <w:pPr>
        <w:tabs>
          <w:tab w:val="left" w:pos="0"/>
        </w:tabs>
        <w:spacing w:line="360" w:lineRule="auto"/>
        <w:ind w:firstLine="480"/>
        <w:rPr>
          <w:rFonts w:ascii="宋体" w:hAnsi="宋体" w:cs="宋体"/>
          <w:color w:val="auto"/>
          <w:kern w:val="0"/>
          <w:sz w:val="24"/>
          <w:highlight w:val="none"/>
        </w:rPr>
        <w:sectPr>
          <w:pgSz w:w="11906" w:h="16838"/>
          <w:pgMar w:top="1474" w:right="1587" w:bottom="1474" w:left="1587" w:header="851" w:footer="992" w:gutter="0"/>
          <w:cols w:space="0" w:num="1"/>
          <w:docGrid w:linePitch="312" w:charSpace="0"/>
        </w:sectPr>
      </w:pPr>
      <w:bookmarkStart w:id="35" w:name="_Hlt68072998"/>
      <w:bookmarkEnd w:id="35"/>
      <w:bookmarkStart w:id="36" w:name="_Hlt68057669"/>
      <w:bookmarkEnd w:id="36"/>
      <w:bookmarkStart w:id="37" w:name="_Hlt75236011"/>
      <w:bookmarkEnd w:id="37"/>
      <w:bookmarkStart w:id="38" w:name="_Hlt68072990"/>
      <w:bookmarkEnd w:id="38"/>
      <w:bookmarkStart w:id="39" w:name="_Hlt75236101"/>
      <w:bookmarkEnd w:id="39"/>
      <w:bookmarkStart w:id="40" w:name="_Hlt74730295"/>
      <w:bookmarkEnd w:id="40"/>
      <w:bookmarkStart w:id="41" w:name="_Hlt68073093"/>
      <w:bookmarkEnd w:id="41"/>
      <w:bookmarkStart w:id="42" w:name="_Hlt68403820"/>
      <w:bookmarkEnd w:id="42"/>
      <w:bookmarkStart w:id="43" w:name="_Hlt74707468"/>
      <w:bookmarkEnd w:id="43"/>
      <w:bookmarkStart w:id="44" w:name="_Hlt74729768"/>
      <w:bookmarkEnd w:id="44"/>
      <w:bookmarkStart w:id="45" w:name="_Hlt74714665"/>
      <w:bookmarkEnd w:id="45"/>
      <w:bookmarkStart w:id="46" w:name="_Hlt75236290"/>
      <w:bookmarkEnd w:id="46"/>
    </w:p>
    <w:bookmarkEnd w:id="20"/>
    <w:bookmarkEnd w:id="21"/>
    <w:p>
      <w:pPr>
        <w:spacing w:line="360" w:lineRule="auto"/>
        <w:jc w:val="center"/>
        <w:outlineLvl w:val="0"/>
        <w:rPr>
          <w:rFonts w:ascii="宋体" w:hAnsi="宋体" w:cs="宋体"/>
          <w:b/>
          <w:color w:val="auto"/>
          <w:sz w:val="36"/>
          <w:szCs w:val="36"/>
          <w:highlight w:val="none"/>
        </w:rPr>
      </w:pPr>
      <w:bookmarkStart w:id="47" w:name="_Toc11704"/>
      <w:bookmarkStart w:id="48" w:name="第四部分"/>
      <w:r>
        <w:rPr>
          <w:rFonts w:hint="eastAsia" w:ascii="宋体" w:hAnsi="宋体" w:cs="宋体"/>
          <w:b/>
          <w:color w:val="auto"/>
          <w:sz w:val="36"/>
          <w:szCs w:val="36"/>
          <w:highlight w:val="none"/>
        </w:rPr>
        <w:t>第三部分   采购需求</w:t>
      </w:r>
      <w:bookmarkEnd w:id="47"/>
    </w:p>
    <w:p>
      <w:pPr>
        <w:pStyle w:val="3"/>
        <w:snapToGrid w:val="0"/>
        <w:ind w:left="0" w:firstLine="0"/>
        <w:rPr>
          <w:rFonts w:ascii="宋体" w:hAnsi="宋体" w:eastAsia="宋体" w:cs="宋体"/>
          <w:color w:val="auto"/>
          <w:sz w:val="24"/>
          <w:szCs w:val="24"/>
          <w:highlight w:val="none"/>
          <w:lang w:val="en-US"/>
        </w:rPr>
      </w:pPr>
      <w:bookmarkStart w:id="49" w:name="_Toc15190"/>
      <w:bookmarkStart w:id="50" w:name="_Toc12453"/>
      <w:bookmarkStart w:id="51" w:name="_Toc10772"/>
      <w:bookmarkStart w:id="52" w:name="_Toc11269"/>
      <w:bookmarkStart w:id="53" w:name="_Toc488941194"/>
      <w:bookmarkStart w:id="54" w:name="_Toc6337"/>
      <w:bookmarkStart w:id="55" w:name="_Toc332471280"/>
      <w:bookmarkStart w:id="56" w:name="_Toc465800109"/>
      <w:r>
        <w:rPr>
          <w:rFonts w:hint="eastAsia" w:ascii="宋体" w:hAnsi="宋体" w:eastAsia="宋体" w:cs="宋体"/>
          <w:color w:val="auto"/>
          <w:sz w:val="24"/>
          <w:szCs w:val="24"/>
          <w:highlight w:val="none"/>
          <w:lang w:val="en-US"/>
        </w:rPr>
        <w:t>一、</w:t>
      </w:r>
      <w:bookmarkEnd w:id="49"/>
      <w:bookmarkEnd w:id="50"/>
      <w:bookmarkEnd w:id="51"/>
      <w:bookmarkEnd w:id="52"/>
      <w:bookmarkEnd w:id="53"/>
      <w:r>
        <w:rPr>
          <w:rFonts w:hint="eastAsia" w:ascii="宋体" w:hAnsi="宋体" w:eastAsia="宋体" w:cs="宋体"/>
          <w:color w:val="auto"/>
          <w:sz w:val="24"/>
          <w:szCs w:val="24"/>
          <w:highlight w:val="none"/>
          <w:lang w:val="en-US"/>
        </w:rPr>
        <w:t>项目背景</w:t>
      </w:r>
      <w:bookmarkEnd w:id="54"/>
    </w:p>
    <w:p>
      <w:pPr>
        <w:snapToGrid w:val="0"/>
        <w:spacing w:line="360" w:lineRule="auto"/>
        <w:ind w:firstLine="472" w:firstLineChars="197"/>
        <w:rPr>
          <w:rFonts w:ascii="宋体" w:hAnsi="宋体" w:cs="宋体"/>
          <w:bCs/>
          <w:color w:val="auto"/>
          <w:sz w:val="24"/>
          <w:highlight w:val="none"/>
        </w:rPr>
      </w:pPr>
      <w:r>
        <w:rPr>
          <w:rFonts w:hint="eastAsia" w:ascii="宋体" w:hAnsi="宋体" w:cs="宋体"/>
          <w:bCs/>
          <w:color w:val="auto"/>
          <w:sz w:val="24"/>
          <w:highlight w:val="none"/>
        </w:rPr>
        <w:t>1.嘉兴市妇幼保健院是嘉兴市规模最大、设施齐全、技术力量雄厚的集医疗、科研、教学、预防于一体的三级甲等妇幼保健院院。2020年5月30日，医院二期住院大楼正式启用，医院总建筑面积达14.23万平方米，核定床位920张，配套停车位1052个。</w:t>
      </w:r>
    </w:p>
    <w:p>
      <w:pPr>
        <w:snapToGrid w:val="0"/>
        <w:spacing w:line="360" w:lineRule="auto"/>
        <w:ind w:firstLine="472" w:firstLineChars="197"/>
        <w:rPr>
          <w:rFonts w:ascii="宋体" w:hAnsi="宋体" w:cs="宋体"/>
          <w:bCs/>
          <w:color w:val="auto"/>
          <w:sz w:val="24"/>
          <w:highlight w:val="none"/>
        </w:rPr>
      </w:pPr>
      <w:r>
        <w:rPr>
          <w:rFonts w:hint="eastAsia" w:ascii="宋体" w:hAnsi="宋体" w:cs="宋体"/>
          <w:bCs/>
          <w:color w:val="auto"/>
          <w:sz w:val="24"/>
          <w:highlight w:val="none"/>
        </w:rPr>
        <w:t>2.为了保障医院各项工作的正常运行和安全保障需求，需要一支高素质、高水平的保安队伍承担医院安全保卫、消防、应急处置、车辆管理及停车收费等工作。</w:t>
      </w:r>
    </w:p>
    <w:p>
      <w:pPr>
        <w:pStyle w:val="7"/>
        <w:spacing w:after="0" w:line="360" w:lineRule="auto"/>
        <w:ind w:firstLine="0" w:firstLineChars="0"/>
        <w:rPr>
          <w:rFonts w:ascii="宋体" w:hAnsi="宋体" w:cs="宋体"/>
          <w:color w:val="auto"/>
          <w:sz w:val="24"/>
          <w:highlight w:val="none"/>
        </w:rPr>
      </w:pPr>
    </w:p>
    <w:p>
      <w:pPr>
        <w:pStyle w:val="3"/>
        <w:snapToGrid w:val="0"/>
        <w:ind w:left="0" w:firstLine="0"/>
        <w:rPr>
          <w:rFonts w:ascii="宋体" w:hAnsi="宋体" w:eastAsia="宋体" w:cs="宋体"/>
          <w:color w:val="auto"/>
          <w:sz w:val="24"/>
          <w:szCs w:val="24"/>
          <w:highlight w:val="none"/>
          <w:lang w:val="en-US"/>
        </w:rPr>
      </w:pPr>
      <w:bookmarkStart w:id="57" w:name="_Toc1783"/>
      <w:r>
        <w:rPr>
          <w:rFonts w:hint="eastAsia" w:ascii="宋体" w:hAnsi="宋体" w:eastAsia="宋体" w:cs="宋体"/>
          <w:color w:val="auto"/>
          <w:sz w:val="24"/>
          <w:szCs w:val="24"/>
          <w:highlight w:val="none"/>
          <w:lang w:val="en-US"/>
        </w:rPr>
        <w:t>▲二、招标内容</w:t>
      </w:r>
      <w:bookmarkEnd w:id="57"/>
    </w:p>
    <w:p>
      <w:pPr>
        <w:snapToGrid w:val="0"/>
        <w:spacing w:line="360" w:lineRule="auto"/>
        <w:ind w:firstLine="472" w:firstLineChars="197"/>
        <w:rPr>
          <w:rFonts w:ascii="宋体" w:hAnsi="宋体" w:cs="宋体"/>
          <w:bCs/>
          <w:color w:val="auto"/>
          <w:sz w:val="24"/>
          <w:highlight w:val="none"/>
        </w:rPr>
      </w:pPr>
      <w:r>
        <w:rPr>
          <w:rFonts w:hint="eastAsia" w:ascii="宋体" w:hAnsi="宋体" w:cs="宋体"/>
          <w:bCs/>
          <w:color w:val="auto"/>
          <w:sz w:val="24"/>
          <w:highlight w:val="none"/>
        </w:rPr>
        <w:t>嘉兴市妇幼保健院2022年-2023年一年的全院保安服务，承担保卫、消防、应急处置及车辆管理、停车收费等工作。具体包括1名保安大队长、1名保安副队长、4名保安班队长、8名特勤保安、118名普通保安。</w:t>
      </w:r>
    </w:p>
    <w:p>
      <w:pPr>
        <w:pStyle w:val="17"/>
        <w:ind w:firstLine="480"/>
        <w:rPr>
          <w:rFonts w:cs="宋体"/>
          <w:color w:val="auto"/>
          <w:szCs w:val="24"/>
          <w:highlight w:val="none"/>
        </w:rPr>
      </w:pPr>
    </w:p>
    <w:p>
      <w:pPr>
        <w:pStyle w:val="3"/>
        <w:snapToGrid w:val="0"/>
        <w:ind w:left="0" w:firstLine="241" w:firstLineChars="100"/>
        <w:rPr>
          <w:rFonts w:ascii="宋体" w:hAnsi="宋体" w:eastAsia="宋体" w:cs="宋体"/>
          <w:color w:val="auto"/>
          <w:sz w:val="24"/>
          <w:szCs w:val="24"/>
          <w:highlight w:val="none"/>
          <w:lang w:val="en-US"/>
        </w:rPr>
      </w:pPr>
      <w:bookmarkStart w:id="58" w:name="_Toc3983"/>
      <w:bookmarkStart w:id="59" w:name="_Toc29075"/>
      <w:bookmarkStart w:id="60" w:name="_Toc5520"/>
      <w:bookmarkStart w:id="61" w:name="_Toc488941195"/>
      <w:bookmarkStart w:id="62" w:name="_Toc19913"/>
      <w:bookmarkStart w:id="63" w:name="_Toc21325"/>
      <w:bookmarkStart w:id="64" w:name="_Toc20076"/>
      <w:bookmarkStart w:id="65" w:name="_Toc19818"/>
      <w:r>
        <w:rPr>
          <w:rFonts w:hint="eastAsia" w:ascii="宋体" w:hAnsi="宋体" w:eastAsia="宋体" w:cs="宋体"/>
          <w:color w:val="auto"/>
          <w:sz w:val="24"/>
          <w:szCs w:val="24"/>
          <w:highlight w:val="none"/>
          <w:lang w:val="en-US"/>
        </w:rPr>
        <w:t>▲三、报价要求</w:t>
      </w:r>
      <w:bookmarkEnd w:id="55"/>
      <w:bookmarkEnd w:id="56"/>
      <w:bookmarkEnd w:id="58"/>
      <w:bookmarkEnd w:id="59"/>
      <w:bookmarkEnd w:id="60"/>
      <w:bookmarkEnd w:id="61"/>
      <w:bookmarkEnd w:id="62"/>
      <w:bookmarkEnd w:id="63"/>
      <w:bookmarkEnd w:id="64"/>
      <w:bookmarkEnd w:id="65"/>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项目投标报价为一年保安服务的费用，投标总价应包括承包区域内提供保安服务所需的一切人员人工费用（含工资、奖金、补贴、加班费、高温补偿费、社会保险、意外伤害保险）、办公费、食宿与交通费、设备器材及工具、耗材费用、服装费、管理费用、税费、利润以及完成合同所需的一切本身和不可或缺的所有费用并承担一切风险责任。在保安合同服务期间内不得违反国家相关政策规定。</w:t>
      </w:r>
    </w:p>
    <w:p>
      <w:pPr>
        <w:autoSpaceDE w:val="0"/>
        <w:autoSpaceDN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支付给在采购人场所服务的保安员应发收入不少于每月人均服务费（中标总价÷保安人数÷12）的70%,每月向采购人提供前一个月的保安人员工资发放表用于备案,因医院工作需要增加或减少保安人员，相应的人员费用根据招标价格作出调整。</w:t>
      </w:r>
    </w:p>
    <w:p>
      <w:pPr>
        <w:autoSpaceDE w:val="0"/>
        <w:autoSpaceDN w:val="0"/>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临时加班：根据突发事件状况，决定临时加班，负责医院突发事件处置、灾害预防、火灾扑救，发现和制止医院暴力事件，随时准备提供紧急救助。临时加班计费,根据嘉政发〔2021〕22号《嘉兴市人民政府关于调整全市最低工资标准的通知》按照小时为计费单位，数量按实结算。</w:t>
      </w:r>
    </w:p>
    <w:p>
      <w:pPr>
        <w:autoSpaceDE w:val="0"/>
        <w:autoSpaceDN w:val="0"/>
        <w:snapToGrid w:val="0"/>
        <w:spacing w:line="360" w:lineRule="auto"/>
        <w:ind w:firstLine="480" w:firstLineChars="200"/>
        <w:jc w:val="left"/>
        <w:rPr>
          <w:rFonts w:hint="default" w:eastAsia="宋体"/>
          <w:color w:val="auto"/>
          <w:highlight w:val="none"/>
          <w:lang w:val="en-US" w:eastAsia="zh-CN"/>
        </w:rPr>
      </w:pPr>
      <w:r>
        <w:rPr>
          <w:rFonts w:hint="eastAsia" w:ascii="宋体" w:hAnsi="宋体" w:cs="宋体"/>
          <w:bCs/>
          <w:color w:val="auto"/>
          <w:sz w:val="24"/>
          <w:highlight w:val="none"/>
          <w:lang w:val="en-US" w:eastAsia="zh-CN"/>
        </w:rPr>
        <w:t>4.</w:t>
      </w:r>
      <w:r>
        <w:rPr>
          <w:rFonts w:hint="eastAsia" w:ascii="宋体" w:hAnsi="宋体" w:cs="宋体"/>
          <w:color w:val="auto"/>
          <w:sz w:val="24"/>
          <w:highlight w:val="none"/>
        </w:rPr>
        <w:t>供应商应保证在承包期内其员工最低月工资不少于嘉兴市最低工资标准，</w:t>
      </w:r>
      <w:r>
        <w:rPr>
          <w:rFonts w:hint="eastAsia" w:ascii="宋体" w:hAnsi="宋体" w:cs="宋体"/>
          <w:color w:val="auto"/>
          <w:sz w:val="24"/>
          <w:highlight w:val="none"/>
        </w:rPr>
        <w:t>在合同期内，如果国家或地方政府要求必须提高员工的最低工资标准，</w:t>
      </w: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同意相应地按照实际增加费用来增加供应商合同金额，且供应商同意将上述金额的实际增加费用部分支付给员工。</w:t>
      </w:r>
    </w:p>
    <w:p>
      <w:pPr>
        <w:pStyle w:val="7"/>
        <w:spacing w:after="0" w:line="360" w:lineRule="auto"/>
        <w:ind w:firstLine="0" w:firstLineChars="0"/>
        <w:rPr>
          <w:rFonts w:ascii="宋体" w:hAnsi="宋体" w:cs="宋体"/>
          <w:color w:val="auto"/>
          <w:sz w:val="24"/>
          <w:highlight w:val="none"/>
        </w:rPr>
      </w:pPr>
    </w:p>
    <w:p>
      <w:pPr>
        <w:pStyle w:val="3"/>
        <w:snapToGrid w:val="0"/>
        <w:ind w:left="0" w:firstLine="0"/>
        <w:rPr>
          <w:rFonts w:ascii="宋体" w:hAnsi="宋体" w:eastAsia="宋体" w:cs="宋体"/>
          <w:color w:val="auto"/>
          <w:sz w:val="24"/>
          <w:szCs w:val="24"/>
          <w:highlight w:val="none"/>
          <w:lang w:val="en-US"/>
        </w:rPr>
      </w:pPr>
      <w:bookmarkStart w:id="66" w:name="_Toc30971"/>
      <w:bookmarkStart w:id="67" w:name="_Toc3503"/>
      <w:bookmarkStart w:id="68" w:name="_Toc27146"/>
      <w:r>
        <w:rPr>
          <w:rFonts w:hint="eastAsia" w:ascii="宋体" w:hAnsi="宋体" w:eastAsia="宋体" w:cs="宋体"/>
          <w:color w:val="auto"/>
          <w:sz w:val="24"/>
          <w:szCs w:val="24"/>
          <w:highlight w:val="none"/>
          <w:lang w:val="en-US"/>
        </w:rPr>
        <w:t>▲四、</w:t>
      </w:r>
      <w:bookmarkEnd w:id="66"/>
      <w:bookmarkEnd w:id="67"/>
      <w:r>
        <w:rPr>
          <w:rFonts w:hint="eastAsia" w:ascii="宋体" w:hAnsi="宋体" w:eastAsia="宋体" w:cs="宋体"/>
          <w:color w:val="auto"/>
          <w:sz w:val="24"/>
          <w:szCs w:val="24"/>
          <w:highlight w:val="none"/>
          <w:lang w:val="en-US"/>
        </w:rPr>
        <w:t>服务期限</w:t>
      </w:r>
      <w:bookmarkEnd w:id="6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合同签订后一年，其中前三个月（包括在一年中）为试用期，试用期满经采购人考核合格后，合同方为有效。第二年经采购人考核合格后可续签一年。</w:t>
      </w:r>
    </w:p>
    <w:p>
      <w:pPr>
        <w:pStyle w:val="3"/>
        <w:adjustRightInd w:val="0"/>
        <w:snapToGrid w:val="0"/>
        <w:rPr>
          <w:rFonts w:ascii="宋体" w:hAnsi="宋体" w:eastAsia="宋体" w:cs="宋体"/>
          <w:color w:val="auto"/>
          <w:kern w:val="0"/>
          <w:sz w:val="24"/>
          <w:szCs w:val="24"/>
          <w:highlight w:val="none"/>
          <w:lang w:val="en-US"/>
        </w:rPr>
      </w:pPr>
    </w:p>
    <w:p>
      <w:pPr>
        <w:pStyle w:val="3"/>
        <w:snapToGrid w:val="0"/>
        <w:ind w:left="0" w:firstLine="0"/>
        <w:rPr>
          <w:rFonts w:ascii="宋体" w:hAnsi="宋体" w:eastAsia="宋体" w:cs="宋体"/>
          <w:color w:val="auto"/>
          <w:sz w:val="24"/>
          <w:szCs w:val="24"/>
          <w:highlight w:val="none"/>
          <w:lang w:val="en-US"/>
        </w:rPr>
      </w:pPr>
      <w:bookmarkStart w:id="69" w:name="_Toc10293"/>
      <w:r>
        <w:rPr>
          <w:rFonts w:hint="eastAsia" w:ascii="宋体" w:hAnsi="宋体" w:eastAsia="宋体" w:cs="宋体"/>
          <w:color w:val="auto"/>
          <w:sz w:val="24"/>
          <w:szCs w:val="24"/>
          <w:highlight w:val="none"/>
          <w:lang w:val="en-US"/>
        </w:rPr>
        <w:t>五、</w:t>
      </w:r>
      <w:bookmarkEnd w:id="69"/>
      <w:r>
        <w:rPr>
          <w:rFonts w:hint="eastAsia" w:ascii="宋体" w:hAnsi="宋体" w:eastAsia="宋体" w:cs="宋体"/>
          <w:color w:val="auto"/>
          <w:sz w:val="24"/>
          <w:szCs w:val="24"/>
          <w:highlight w:val="none"/>
        </w:rPr>
        <w:t>服务内容及要求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（一）总体要求</w:t>
      </w:r>
    </w:p>
    <w:p>
      <w:pPr>
        <w:widowControl/>
        <w:numPr>
          <w:ilvl w:val="0"/>
          <w:numId w:val="2"/>
        </w:num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负责医院门卫管理、急诊区域管理、门诊区域管理、发热门诊区域管理、住院部区域管理、主楼医用电梯陪客梯管理、行政楼管理、综合楼管理。</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2.确保各项医疗工作安全、有序开展。全年无责任事故和责任案件发生，医院职工每月对保安服务满意率在95%以上。</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标单位具有良好的人员保障机制，因队员辞职或辞退，须在5个工作日内补充。签订后一个月内保安人数必须达到100%，第二月人员数量按照合同约定人数（90％）必须全部到位；新入职人员一个月内病假定性为缺员；乙方在合同签订一个月后在岗人员低于90%的扣除当月总服务费的5%，连续3个月以上在岗人员低于90%，扣除当月总服务费的10%。</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中标单位信守承包承诺，认真落实具有相应的固定服务人员，服务人员必须统一穿着工作服，挂牌上岗并建立健全的管理制度。中标单位必须按采购人制订的服务标准，严格履行承包义务，为采购人提供专业、优质、高效的服务。并根据采购人要求改变不满意的状况，接受采购人的监督和检查。因工作需要，采购人临时向中标单位提出服务的要求，中标单位应全力配合，按照采购人提出标准及要求完成任务，不得无故拖延。</w:t>
      </w:r>
    </w:p>
    <w:p>
      <w:pPr>
        <w:widowControl/>
        <w:numPr>
          <w:ilvl w:val="0"/>
          <w:numId w:val="3"/>
        </w:num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保安服务的主要职责</w:t>
      </w:r>
    </w:p>
    <w:p>
      <w:pPr>
        <w:widowControl/>
        <w:numPr>
          <w:ilvl w:val="0"/>
          <w:numId w:val="4"/>
        </w:num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承担安全保卫工作</w:t>
      </w:r>
    </w:p>
    <w:p>
      <w:pPr>
        <w:widowControl/>
        <w:numPr>
          <w:ilvl w:val="0"/>
          <w:numId w:val="5"/>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应根据医院各科室的特点，对院内所有大楼及周围环境提供12-24小时的室内外保安服务，使其拥有安全的治疗环境。投标人应根据医院安全保卫工作实际情况和三甲医院安保工作标准，制订切实可行的医院安全保卫工作整体方案，为医院提供24小时专业化的室内外保安服务。</w:t>
      </w:r>
    </w:p>
    <w:p>
      <w:pPr>
        <w:widowControl/>
        <w:numPr>
          <w:ilvl w:val="0"/>
          <w:numId w:val="5"/>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医院内24小时定时定点治安巡逻检查，</w:t>
      </w:r>
      <w:r>
        <w:rPr>
          <w:rFonts w:hint="eastAsia" w:ascii="宋体" w:hAnsi="宋体" w:cs="宋体"/>
          <w:color w:val="auto"/>
          <w:sz w:val="24"/>
          <w:highlight w:val="none"/>
        </w:rPr>
        <w:t>重点部位</w:t>
      </w:r>
      <w:r>
        <w:rPr>
          <w:rFonts w:hint="eastAsia" w:ascii="宋体" w:hAnsi="宋体" w:cs="宋体"/>
          <w:color w:val="auto"/>
          <w:sz w:val="24"/>
          <w:highlight w:val="none"/>
        </w:rPr>
        <w:t>(包含医院门卫、急诊区域、发热门诊区域)</w:t>
      </w:r>
      <w:r>
        <w:rPr>
          <w:rFonts w:hint="eastAsia" w:ascii="宋体" w:hAnsi="宋体" w:cs="宋体"/>
          <w:color w:val="auto"/>
          <w:sz w:val="24"/>
          <w:highlight w:val="none"/>
        </w:rPr>
        <w:t>的定点守护。</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（3）及时处置各类治安、医患纠纷确保医院职工的人身安全和公共财产安全，配合医院保卫科和相关科室处理各类纠纷和治安案件，配合医院对违规事件的调查，协助公安机关对案件的排查。</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（4）全面负责院区门卫管理和院内防火、防盗、治安巡逻，维持秩序，维护稳定，及时发现和消除安全隐患。</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（5）在医院保卫科组织和领导下，做好医院内部治安综合治理、消防、**等安全工作，及时清理院内医托、号贩子及各类推销人员。</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（6）做好内部安全防范，严查四证：出院证、出门证、动火施工证、临时操作证，人员、物品无证不得出院（特殊情况经医院保卫科同意除外）；无证不得动火施工；外来人员无证不得作业。</w:t>
      </w:r>
    </w:p>
    <w:p>
      <w:pPr>
        <w:pStyle w:val="6"/>
        <w:ind w:firstLine="480" w:firstLineChars="200"/>
        <w:rPr>
          <w:color w:val="auto"/>
          <w:highlight w:val="none"/>
          <w:lang w:val="en-US"/>
        </w:rPr>
      </w:pPr>
      <w:r>
        <w:rPr>
          <w:rFonts w:hint="eastAsia" w:hAnsi="宋体" w:cs="宋体"/>
          <w:color w:val="auto"/>
          <w:highlight w:val="none"/>
        </w:rPr>
        <w:t>（</w:t>
      </w:r>
      <w:r>
        <w:rPr>
          <w:rFonts w:hint="eastAsia" w:hAnsi="宋体" w:cs="宋体"/>
          <w:color w:val="auto"/>
          <w:highlight w:val="none"/>
          <w:lang w:val="en-US"/>
        </w:rPr>
        <w:t>7）</w:t>
      </w:r>
      <w:r>
        <w:rPr>
          <w:rFonts w:hint="eastAsia" w:hAnsi="宋体" w:cs="宋体"/>
          <w:color w:val="auto"/>
          <w:highlight w:val="none"/>
        </w:rPr>
        <w:t>配合公安机关，打击医院内部与周边的违法犯罪活动。</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消防工作</w:t>
      </w:r>
    </w:p>
    <w:p>
      <w:pPr>
        <w:pStyle w:val="6"/>
        <w:ind w:firstLine="480" w:firstLineChars="20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rPr>
        <w:t>1）</w:t>
      </w:r>
      <w:r>
        <w:rPr>
          <w:rFonts w:hint="eastAsia" w:hAnsi="宋体" w:cs="宋体"/>
          <w:color w:val="auto"/>
          <w:highlight w:val="none"/>
        </w:rPr>
        <w:t>认真做好医院火灾预防、防火巡查。</w:t>
      </w:r>
    </w:p>
    <w:p>
      <w:pPr>
        <w:pStyle w:val="6"/>
        <w:ind w:firstLine="480" w:firstLineChars="20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rPr>
        <w:t>2）</w:t>
      </w:r>
      <w:r>
        <w:rPr>
          <w:rFonts w:hint="eastAsia" w:hAnsi="宋体" w:cs="宋体"/>
          <w:color w:val="auto"/>
          <w:highlight w:val="none"/>
        </w:rPr>
        <w:t>严禁停车区域内吸烟或携带易燃易爆危险品进入。</w:t>
      </w:r>
    </w:p>
    <w:p>
      <w:pPr>
        <w:pStyle w:val="6"/>
        <w:ind w:firstLine="480" w:firstLineChars="20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rPr>
        <w:t>3）</w:t>
      </w:r>
      <w:r>
        <w:rPr>
          <w:rFonts w:hint="eastAsia" w:hAnsi="宋体" w:cs="宋体"/>
          <w:color w:val="auto"/>
          <w:highlight w:val="none"/>
        </w:rPr>
        <w:t>每月2次检查院内机动车停车区域的消防设施，确保完好，检查有记录，有签名，有汇报。</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（4）严格执行监控发出指令，及时查看火警、红外报警、紧急按钮等指令并回复查看结果。</w:t>
      </w:r>
    </w:p>
    <w:p>
      <w:pPr>
        <w:pStyle w:val="6"/>
        <w:ind w:firstLine="480" w:firstLineChars="200"/>
        <w:rPr>
          <w:color w:val="auto"/>
          <w:highlight w:val="none"/>
        </w:rPr>
      </w:pPr>
      <w:r>
        <w:rPr>
          <w:rFonts w:hint="eastAsia" w:hAnsi="宋体" w:cs="宋体"/>
          <w:color w:val="auto"/>
          <w:highlight w:val="none"/>
        </w:rPr>
        <w:t>（</w:t>
      </w:r>
      <w:r>
        <w:rPr>
          <w:rFonts w:hint="eastAsia" w:hAnsi="宋体" w:cs="宋体"/>
          <w:color w:val="auto"/>
          <w:highlight w:val="none"/>
          <w:lang w:val="en-US"/>
        </w:rPr>
        <w:t>5）</w:t>
      </w:r>
      <w:r>
        <w:rPr>
          <w:rFonts w:hint="eastAsia" w:hAnsi="宋体" w:cs="宋体"/>
          <w:color w:val="auto"/>
          <w:highlight w:val="none"/>
        </w:rPr>
        <w:t>发现有人擅自动用消防设施的，应及时制止并报告；发现火灾隐患，立即报告医院保卫科并设法消除；发生火情，能冷静处置，熟知火灾报警、人员疏散、组织扑救、抢救物资等应急处置要领。</w:t>
      </w:r>
    </w:p>
    <w:p>
      <w:pPr>
        <w:pStyle w:val="6"/>
        <w:ind w:firstLine="480" w:firstLineChars="200"/>
        <w:rPr>
          <w:rFonts w:hAnsi="宋体" w:cs="宋体"/>
          <w:color w:val="auto"/>
          <w:highlight w:val="none"/>
          <w:lang w:val="en-US"/>
        </w:rPr>
      </w:pPr>
      <w:r>
        <w:rPr>
          <w:rFonts w:hint="eastAsia" w:hAnsi="宋体" w:cs="宋体"/>
          <w:color w:val="auto"/>
          <w:highlight w:val="none"/>
          <w:lang w:val="en-US"/>
        </w:rPr>
        <w:t>3.应急处置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（1）配合医院保卫科及时受理医院内部的各类纠纷和治安案件，及时、正确处理院内的各类突发事件，提供安全力量支援。</w:t>
      </w:r>
    </w:p>
    <w:p>
      <w:pPr>
        <w:widowControl/>
        <w:spacing w:line="360" w:lineRule="auto"/>
        <w:ind w:firstLine="480" w:firstLineChars="200"/>
        <w:jc w:val="left"/>
        <w:rPr>
          <w:color w:val="auto"/>
          <w:highlight w:val="none"/>
        </w:rPr>
      </w:pPr>
      <w:r>
        <w:rPr>
          <w:rFonts w:hint="eastAsia" w:ascii="宋体" w:hAnsi="宋体" w:cs="宋体"/>
          <w:color w:val="auto"/>
          <w:sz w:val="24"/>
          <w:highlight w:val="none"/>
        </w:rPr>
        <w:t xml:space="preserve">（2）医院突发事件处置、灾害预防、火灾扑救，发现和制止医院暴力事件，随时准备提供紧急救助。 </w:t>
      </w:r>
    </w:p>
    <w:p>
      <w:pPr>
        <w:pStyle w:val="6"/>
        <w:ind w:firstLine="480" w:firstLineChars="20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rPr>
        <w:t>3）</w:t>
      </w:r>
      <w:r>
        <w:rPr>
          <w:rFonts w:hint="eastAsia" w:hAnsi="宋体" w:cs="宋体"/>
          <w:color w:val="auto"/>
          <w:highlight w:val="none"/>
        </w:rPr>
        <w:t>抽调临时保安力量，医院重大活动的安全警戒与秩序保障；配合做好重大事件的治安保卫工作。</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车辆管理、停车收费工作</w:t>
      </w:r>
    </w:p>
    <w:p>
      <w:pPr>
        <w:widowControl/>
        <w:spacing w:line="360" w:lineRule="auto"/>
        <w:ind w:firstLine="480" w:firstLineChars="200"/>
        <w:jc w:val="left"/>
        <w:rPr>
          <w:rFonts w:ascii="宋体" w:hAnsi="宋体" w:cs="宋体"/>
          <w:snapToGrid w:val="0"/>
          <w:color w:val="auto"/>
          <w:sz w:val="24"/>
          <w:szCs w:val="21"/>
          <w:highlight w:val="none"/>
        </w:rPr>
      </w:pPr>
      <w:r>
        <w:rPr>
          <w:rFonts w:hint="eastAsia" w:ascii="宋体" w:hAnsi="宋体" w:cs="宋体"/>
          <w:snapToGrid w:val="0"/>
          <w:color w:val="auto"/>
          <w:sz w:val="24"/>
          <w:szCs w:val="21"/>
          <w:highlight w:val="none"/>
        </w:rPr>
        <w:t>（1）做好医院停车管理工作，包括负责门卫周边与广场的车辆指挥与停放，及时处理相关纠纷。</w:t>
      </w:r>
    </w:p>
    <w:p>
      <w:pPr>
        <w:pStyle w:val="6"/>
        <w:ind w:firstLine="480" w:firstLineChars="200"/>
        <w:rPr>
          <w:rFonts w:hAnsi="宋体" w:cs="宋体"/>
          <w:color w:val="auto"/>
          <w:highlight w:val="none"/>
          <w:lang w:val="en-US"/>
        </w:rPr>
      </w:pPr>
      <w:r>
        <w:rPr>
          <w:rFonts w:hint="eastAsia" w:hAnsi="宋体" w:cs="宋体"/>
          <w:color w:val="auto"/>
          <w:highlight w:val="none"/>
          <w:lang w:val="en-US"/>
        </w:rPr>
        <w:t>（2）根据医院要求做好院内道路交通临时管制，加强医院各进出口（大门）的管理，及时疏导交通拥堵，控制好车辆进出，有序分流，指挥车辆按规定区域有序停放。</w:t>
      </w:r>
    </w:p>
    <w:p>
      <w:pPr>
        <w:pStyle w:val="6"/>
        <w:ind w:firstLine="480" w:firstLineChars="200"/>
        <w:rPr>
          <w:rFonts w:hAnsi="宋体" w:cs="宋体"/>
          <w:color w:val="auto"/>
          <w:highlight w:val="none"/>
          <w:lang w:val="en-US"/>
        </w:rPr>
      </w:pPr>
      <w:r>
        <w:rPr>
          <w:rFonts w:hint="eastAsia" w:hAnsi="宋体" w:cs="宋体"/>
          <w:color w:val="auto"/>
          <w:highlight w:val="none"/>
          <w:lang w:val="en-US"/>
        </w:rPr>
        <w:t>（3）确保120车辆车位不得占用，确保120、119通道和院内道路畅通；根据需要及时增设、调整医院内部交通引导标识、车辆通行导向牌等指示标识。</w:t>
      </w:r>
    </w:p>
    <w:p>
      <w:pPr>
        <w:pStyle w:val="6"/>
        <w:ind w:firstLine="480" w:firstLineChars="200"/>
        <w:rPr>
          <w:color w:val="auto"/>
          <w:highlight w:val="none"/>
          <w:lang w:val="en-US"/>
        </w:rPr>
      </w:pPr>
      <w:r>
        <w:rPr>
          <w:rFonts w:hint="eastAsia" w:hAnsi="宋体" w:cs="宋体"/>
          <w:color w:val="auto"/>
          <w:highlight w:val="none"/>
          <w:lang w:val="en-US"/>
        </w:rPr>
        <w:t>（4）负责医院</w:t>
      </w:r>
      <w:r>
        <w:rPr>
          <w:rFonts w:hint="eastAsia" w:hAnsi="宋体" w:cs="宋体"/>
          <w:bCs/>
          <w:color w:val="auto"/>
          <w:highlight w:val="none"/>
        </w:rPr>
        <w:t>道闸收费工作</w:t>
      </w:r>
      <w:r>
        <w:rPr>
          <w:rFonts w:hint="eastAsia" w:hAnsi="宋体" w:cs="宋体"/>
          <w:color w:val="auto"/>
          <w:highlight w:val="none"/>
        </w:rPr>
        <w:t>，</w:t>
      </w:r>
      <w:r>
        <w:rPr>
          <w:rFonts w:hint="eastAsia" w:hAnsi="宋体" w:cs="宋体"/>
          <w:bCs/>
          <w:color w:val="auto"/>
          <w:highlight w:val="none"/>
        </w:rPr>
        <w:t>医院停车场现有停车位1052个，进出医院的车辆每月平均13万辆，停车收费的收益归采购人所有。</w:t>
      </w:r>
    </w:p>
    <w:p>
      <w:pPr>
        <w:pStyle w:val="6"/>
        <w:ind w:firstLine="480" w:firstLineChars="200"/>
        <w:rPr>
          <w:color w:val="auto"/>
          <w:highlight w:val="none"/>
          <w:lang w:val="en-US"/>
        </w:rPr>
      </w:pPr>
      <w:r>
        <w:rPr>
          <w:rFonts w:hint="eastAsia"/>
          <w:color w:val="auto"/>
          <w:highlight w:val="none"/>
          <w:lang w:val="en-US"/>
        </w:rPr>
        <w:t>5.其他</w:t>
      </w:r>
    </w:p>
    <w:p>
      <w:pPr>
        <w:pStyle w:val="6"/>
        <w:ind w:firstLine="480" w:firstLineChars="200"/>
        <w:rPr>
          <w:rFonts w:hAnsi="宋体" w:cs="宋体"/>
          <w:color w:val="auto"/>
          <w:highlight w:val="none"/>
          <w:lang w:val="en-US"/>
        </w:rPr>
      </w:pPr>
      <w:r>
        <w:rPr>
          <w:rFonts w:hint="eastAsia" w:hAnsi="宋体" w:cs="宋体"/>
          <w:color w:val="auto"/>
          <w:highlight w:val="none"/>
          <w:lang w:val="en-US"/>
        </w:rPr>
        <w:t>（1）协助医院做好包干区环境卫生、垃圾分类、控烟等工作。</w:t>
      </w:r>
    </w:p>
    <w:p>
      <w:pPr>
        <w:pStyle w:val="6"/>
        <w:ind w:firstLine="480" w:firstLineChars="200"/>
        <w:rPr>
          <w:rFonts w:hAnsi="宋体" w:cs="宋体"/>
          <w:color w:val="auto"/>
          <w:highlight w:val="none"/>
          <w:lang w:val="en-US"/>
        </w:rPr>
      </w:pPr>
      <w:r>
        <w:rPr>
          <w:rFonts w:hint="eastAsia" w:hAnsi="宋体" w:cs="宋体"/>
          <w:color w:val="auto"/>
          <w:highlight w:val="none"/>
          <w:lang w:val="en-US"/>
        </w:rPr>
        <w:t>（2）积极配合医院做好各时期重点、中心工作。</w:t>
      </w:r>
    </w:p>
    <w:p>
      <w:pPr>
        <w:pStyle w:val="6"/>
        <w:ind w:firstLine="480" w:firstLineChars="200"/>
        <w:rPr>
          <w:rFonts w:hAnsi="宋体" w:cs="宋体"/>
          <w:color w:val="auto"/>
          <w:highlight w:val="none"/>
          <w:lang w:val="en-US"/>
        </w:rPr>
      </w:pPr>
      <w:r>
        <w:rPr>
          <w:rFonts w:hint="eastAsia" w:hAnsi="宋体" w:cs="宋体"/>
          <w:color w:val="auto"/>
          <w:highlight w:val="none"/>
          <w:lang w:val="en-US"/>
        </w:rPr>
        <w:t>（3）悬挂横幅、张贴物的管理，临时经营摊位置的管理等。</w:t>
      </w:r>
    </w:p>
    <w:p>
      <w:pPr>
        <w:pStyle w:val="6"/>
        <w:ind w:firstLine="480" w:firstLineChars="200"/>
        <w:rPr>
          <w:rFonts w:hAnsi="宋体" w:cs="宋体"/>
          <w:color w:val="auto"/>
          <w:highlight w:val="none"/>
          <w:lang w:val="en-US"/>
        </w:rPr>
      </w:pPr>
      <w:r>
        <w:rPr>
          <w:rFonts w:hint="eastAsia" w:hAnsi="宋体" w:cs="宋体"/>
          <w:color w:val="auto"/>
          <w:highlight w:val="none"/>
          <w:lang w:val="en-US"/>
        </w:rPr>
        <w:t>（4）医院内部安全隐患检查、排除及上报，违规纠正，有针对性地开展安全教育和提示。</w:t>
      </w:r>
    </w:p>
    <w:p>
      <w:pPr>
        <w:pStyle w:val="6"/>
        <w:ind w:firstLine="480" w:firstLineChars="200"/>
        <w:rPr>
          <w:rFonts w:hAnsi="宋体" w:cs="宋体"/>
          <w:color w:val="auto"/>
          <w:highlight w:val="none"/>
          <w:lang w:val="en-US"/>
        </w:rPr>
      </w:pPr>
      <w:r>
        <w:rPr>
          <w:rFonts w:hint="eastAsia" w:hAnsi="宋体" w:cs="宋体"/>
          <w:color w:val="auto"/>
          <w:highlight w:val="none"/>
          <w:lang w:val="en-US"/>
        </w:rPr>
        <w:t>（5）定期参加医院、公司组织的治安、消防业务培训，定期安排专业人员对保安业务知识、实操培训与考核，不断提高保安业务水平。</w:t>
      </w:r>
    </w:p>
    <w:p>
      <w:pPr>
        <w:pStyle w:val="6"/>
        <w:ind w:firstLine="480" w:firstLineChars="200"/>
        <w:rPr>
          <w:rFonts w:hAnsi="宋体" w:cs="宋体"/>
          <w:color w:val="auto"/>
          <w:highlight w:val="none"/>
          <w:lang w:val="en-US"/>
        </w:rPr>
      </w:pPr>
      <w:r>
        <w:rPr>
          <w:rFonts w:hint="eastAsia" w:hAnsi="宋体" w:cs="宋体"/>
          <w:color w:val="auto"/>
          <w:highlight w:val="none"/>
          <w:lang w:val="en-US"/>
        </w:rPr>
        <w:t>（6）协助医院做好室外道路交通设施的日常维护管理，定期检查道路交通设施完好程度。</w:t>
      </w:r>
    </w:p>
    <w:p>
      <w:pPr>
        <w:pStyle w:val="6"/>
        <w:ind w:firstLine="480" w:firstLineChars="200"/>
        <w:rPr>
          <w:rFonts w:hAnsi="宋体" w:cs="宋体"/>
          <w:color w:val="auto"/>
          <w:highlight w:val="none"/>
          <w:lang w:val="en-US"/>
        </w:rPr>
      </w:pPr>
      <w:r>
        <w:rPr>
          <w:rFonts w:hint="eastAsia" w:hAnsi="宋体" w:cs="宋体"/>
          <w:color w:val="auto"/>
          <w:highlight w:val="none"/>
          <w:lang w:val="en-US"/>
        </w:rPr>
        <w:t>（7）发现可疑人、可疑车辆及时报告上级或监控中心，记录人员、车辆特征，必要时协助公安机关调查。</w:t>
      </w:r>
    </w:p>
    <w:p>
      <w:pPr>
        <w:widowControl/>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（三）项目管理要求</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1.服务标准：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《中华人民共和国**怖法》</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《中华人民共和国消防法》</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《企业、事业单位内部治安保卫工作条例》</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《浙江省平安医院考核标准》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《浙江省妇幼保健机等级评审标准》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《浙江省医疗卫生机构消防安全标准化管理规定》</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《嘉兴市妇幼保健院保安服务公司考核细则》</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《嘉兴市妇幼保健院保安考核细则》</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2.服务要求</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（1）树立“服务第一，安全为先”的思想，切实维护医院的人身和财产安全。</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（2）管理坚持原则、慎密严谨；服务以人为本、主动热情；处理问题高度警惕、有理有节。</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（3）上岗人员仪表整洁，业务操作规范，礼貌待人，保持岗位卫生整洁。</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（4）严禁酒后上岗，嗜酒、赌博人员及坚守自盗人员一律退回公司，造成严重后果的承担相应赔偿与法律责任。</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（5）依法办事，文明执勤，不发生争吵，杜绝保安与医院工作人员发生冲突，不与服务对象发生冲突。</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3.队伍建设与管理要求</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（1）投标人负责提供进驻保安人员值勤所需的装备、器材、通讯设备、常用办公耗材等（包括但不限于），具体要求见下表：</w:t>
      </w:r>
    </w:p>
    <w:tbl>
      <w:tblPr>
        <w:tblStyle w:val="18"/>
        <w:tblW w:w="3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227"/>
        <w:gridCol w:w="168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设备/器材名称</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数量</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钢盔</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警绳</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伸缩警棍</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263" w:type="pct"/>
            <w:tcBorders>
              <w:tl2br w:val="nil"/>
              <w:tr2bl w:val="nil"/>
            </w:tcBorders>
            <w:noWrap/>
            <w:vAlign w:val="center"/>
          </w:tcPr>
          <w:p>
            <w:pPr>
              <w:widowControl/>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多功能分体式雨衣</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雨鞋</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小雨伞</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20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武装带</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防刺服</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辣椒水喷射器</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防割手套</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70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数字对讲机</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140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强光电筒</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10</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钝角钢叉</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6</w:t>
            </w:r>
          </w:p>
        </w:tc>
        <w:tc>
          <w:tcPr>
            <w:tcW w:w="1015"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541" w:type="pct"/>
            <w:tcBorders>
              <w:tl2br w:val="nil"/>
              <w:tr2bl w:val="nil"/>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263"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其他</w:t>
            </w:r>
          </w:p>
        </w:tc>
        <w:tc>
          <w:tcPr>
            <w:tcW w:w="1179" w:type="pct"/>
            <w:tcBorders>
              <w:tl2br w:val="nil"/>
              <w:tr2bl w:val="nil"/>
            </w:tcBorders>
            <w:noWrap/>
            <w:vAlign w:val="center"/>
          </w:tcPr>
          <w:p>
            <w:pPr>
              <w:widowControl/>
              <w:spacing w:line="360" w:lineRule="auto"/>
              <w:ind w:firstLine="480"/>
              <w:rPr>
                <w:rFonts w:ascii="宋体" w:hAnsi="宋体" w:cs="宋体"/>
                <w:color w:val="auto"/>
                <w:sz w:val="24"/>
                <w:highlight w:val="none"/>
              </w:rPr>
            </w:pPr>
            <w:r>
              <w:rPr>
                <w:rFonts w:hint="eastAsia" w:ascii="宋体" w:hAnsi="宋体" w:cs="宋体"/>
                <w:color w:val="auto"/>
                <w:sz w:val="24"/>
                <w:highlight w:val="none"/>
              </w:rPr>
              <w:t>待定</w:t>
            </w:r>
          </w:p>
        </w:tc>
        <w:tc>
          <w:tcPr>
            <w:tcW w:w="1015" w:type="pct"/>
            <w:tcBorders>
              <w:tl2br w:val="nil"/>
              <w:tr2bl w:val="nil"/>
            </w:tcBorders>
            <w:noWrap/>
            <w:vAlign w:val="center"/>
          </w:tcPr>
          <w:p>
            <w:pPr>
              <w:widowControl/>
              <w:spacing w:line="360" w:lineRule="auto"/>
              <w:rPr>
                <w:rFonts w:ascii="宋体" w:hAnsi="宋体" w:cs="宋体"/>
                <w:color w:val="auto"/>
                <w:sz w:val="24"/>
                <w:highlight w:val="none"/>
              </w:rPr>
            </w:pPr>
            <w:r>
              <w:rPr>
                <w:rFonts w:hint="eastAsia" w:ascii="宋体" w:hAnsi="宋体" w:cs="宋体"/>
                <w:color w:val="auto"/>
                <w:sz w:val="24"/>
                <w:highlight w:val="none"/>
              </w:rPr>
              <w:t>投标人根据实际工作需要提出设置</w:t>
            </w:r>
          </w:p>
        </w:tc>
      </w:tr>
    </w:tbl>
    <w:p>
      <w:pPr>
        <w:widowControl/>
        <w:spacing w:line="360" w:lineRule="auto"/>
        <w:ind w:firstLine="480"/>
        <w:jc w:val="left"/>
        <w:rPr>
          <w:rFonts w:ascii="宋体" w:hAnsi="宋体" w:cs="宋体"/>
          <w:color w:val="auto"/>
          <w:sz w:val="24"/>
          <w:highlight w:val="none"/>
          <w:lang w:val="zh-CN"/>
        </w:rPr>
      </w:pPr>
      <w:bookmarkStart w:id="70" w:name="_Toc467702154"/>
      <w:r>
        <w:rPr>
          <w:rFonts w:hint="eastAsia" w:ascii="宋体" w:hAnsi="宋体" w:cs="宋体"/>
          <w:color w:val="auto"/>
          <w:sz w:val="24"/>
          <w:highlight w:val="none"/>
          <w:lang w:val="zh-CN"/>
        </w:rPr>
        <w:t>注：上述装备费用包含在投标总价中。</w:t>
      </w:r>
      <w:bookmarkEnd w:id="70"/>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（2）从医院安全实际出发，每月对保安进行工作考核、岗位职责知晓情况检查、业务培训及每周一次微型消防站人员拉练，相关检查、考核、培训、拉练记录报保卫科审核、备份。</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（3）内部管理体制健全，设立保安服务大队长和副队长各一名，全面负责日常保安队伍的规范化管理；每月对夜班保安的督查不少于4次，每次督查必须有记录、签名并及时报告保卫科。</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投标人必须采取切实有效措施保持保安队伍的稳定，严格控制非违纪人员轮换岗比例，合同期限内轮换岗保安人数不得超过合同编制的40%。保安队伍主要管理员更换，应提前一个月以书面形式通知采购人,其他队员更换要提前三天告知采购人，确保服务质量不因人员变动而受影响。</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（5）保安应聘、录用、离职等管理档案规范，手续齐全，队员花名册、身份证、上岗证等相应资料必须报医院保卫科备案。</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（6）投标人必须信守承包承诺，认真落实具有相应的固定服务人员，服务人员必须统一穿着工作服，挂牌上岗并建立健全的管理制度。</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（7）在服务期内承包人遇到医院各类检查（如上级部门来院检查等）及突发事件时，中标人应</w:t>
      </w:r>
      <w:r>
        <w:rPr>
          <w:rFonts w:hint="eastAsia" w:ascii="宋体" w:hAnsi="宋体" w:cs="宋体"/>
          <w:color w:val="auto"/>
          <w:sz w:val="24"/>
          <w:highlight w:val="none"/>
        </w:rPr>
        <w:t>合理安排人员</w:t>
      </w:r>
      <w:r>
        <w:rPr>
          <w:rFonts w:hint="eastAsia" w:ascii="宋体" w:hAnsi="宋体" w:cs="宋体"/>
          <w:color w:val="auto"/>
          <w:sz w:val="24"/>
          <w:highlight w:val="none"/>
        </w:rPr>
        <w:t>加班，服从采购人安排，不得无故拖延。</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（8）中标人必须对员工发生的事故责任以及员工计生、身份、健康等承担责任，同时对员工在院内发生不良行为给医院造成影响承担责任。</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（9）公司使用的对讲机必须定期检测，确保不影响通讯质量，数量不低于140部。</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4.人员要求</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（1）保安从业人员应知法、懂法、守法，依法办事，必须严格遵守保安从业规范，模范遵守医院安全管理规定，持证上岗。</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保安服务大队长（副队长）：应具备高中及以上文化程度，有较高的政治思想素养和业务水平，有较强的组织协调能力，受过专门的保安业务培训，能够积极配合医院完成相关突发事件的应急处置，采取有效措施预防在医院内的保安人员发生违法违规行为。</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保安特勤：应具备高中及以上文化程度，年龄要求50周岁以下（男性），身高175cm以上，身材挺拔，退伍军人优先，具有良好的政治面貌，无违法犯罪记录，能坚决服从医院的直接管理，工作积极主动，责任心强，具备一定的安保业务技能，善于沟通协调，能够积极配合医院完成相关突发事件的应急处置。</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保安人员：初中及以上文化水平，退伍军人为佳（退伍军人、在本院从事保安服务工作且表现一贯良好的2年以上老队员及本市人员可适当放宽以上条件要求），年龄在55周岁以下的达65%以上，身体健康，没有传染病及精神类疾病等不能控制自己行为能力的疾病病史，体貌端正，无犯罪记录,工作积极，责任心强，善于沟通、合作，会文明用语，态度和蔼，热情周到。</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停车收费人员：初中及以上文化水平，会计算机基本操作，年龄55周岁以下，有良好的职业道德素质，工作积极，责任心强，善于沟通、合作，会文明用语，态度和蔼，热情周到；统一着装和佩戴服务胸牌上岗。</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（6）停车管理人员：男性，本地人优先，初中及以上文化水平，年龄在57周岁以下的达50%以上,思想端正，身体健康，工作积极主动，善于沟通，文明用语，态度和蔼，热情周到。</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（7）所聘用的保安人员有吃苦耐劳的精神和高度的责任感，受过专门岗前培训，熟知院方的管理规定，严格履行岗位职责，善于发现各类问题，具备一定的管理经验和处理突发事件能力。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女性保安比例不得超过总人数30％，新入职年龄不得超过51周岁；男性保安新入职年龄不得超过56周岁，新入职特勤岗位年龄不得超过51周岁；在岗人员年龄55岁以下不到总人数的65%，扣除当月总服务费的1%。</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（9）必须派驻2名长期固定管理人员（具备高中及以文化水平，善于沟通协调），项目经理全面负责医院安全事务，副经理负责内部消防、车辆管理等事务。</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（10）必须按照医院对保安考核要求岗位职责、流程进行细化制定考核标准、岗位职责流程进行考核、执行，并将结果及时报送保卫科。</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（11）事假原则上不得超过半个月，半个月后定性为缺员；上一个合同期内发生的病假不得计入下一个合同期总人数内；病假连续超过三个月定性为缺员，间断性病假每月总时间超过10天的定性为缺员。</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12）所有招收录用人员必须经过审核，无违法犯罪记录才能录用；所有招收录用人员在上岗前必须持保安证上岗；所有新招收录用人员必须经过岗位职业教育及相关消防、安防安全培训，需持培训合格证报到，安检岗位人员应经过安检培训合格后上岗。</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（13）不得招收来自疫情地区人员，原则上以本地人为主，不得招收身体有疾病正在治疗中、严重残疾或精神类疾病人员，不得招收有不良政治倾向与邪教人员。</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5.工作衔接要求</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（1）根据行业服务标准与医院规定要求，独立运作，落实医院安全保卫整体方案，并结合医院实际在实践中不断完善。</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保安服务公司主管人员必须与医院保卫科保持必要的工作交流，公司领导每季度向医院分管领导、保卫科交流、分析医院保安服务工作情况；保安大队长（副队长）每天必须向医院保卫科口头汇报工作，每月一次向医院保卫科书面汇报所承担的保安工作开展情况及治安、防火检查信息反馈；重大情况必须及时报告。</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（3）按医院要求做好各类巡逻、执勤记录，原始台帐保存完好，以备核查。</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（4）协同医院治安协防组织，形成群防群治体系。</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（5）与当地***、综治办加强合作与交流。</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6.岗位工作职责要求：</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保安服务大队长（副队长）：代表公司全面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科汇报工作开展情况及治安信息，重大情况及时报告；配合院方对院内违规事件的处理；组织开展保安业务培训和预案演练，制订院内重大活动的安全保卫方案；建立健全录用保安人员档案资料。</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大队长应具有类似项目经验，有协调能力，能适应医院管理要求，能进行良好沟通及密切配合。</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大队长（副队长）未经采购人同意不得随意更换，否则采购人有权在履约保证金和服务费用中扣除相应的费用。</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保安班长：有类似工作经验，能承上启下、协调员工、能带教新进院保安人员。以身作则、吃苦在先、讲求奉献；贯彻落实医院任务要求与保安服务工作安排，带领班队成员认真落实医院有关安全保卫、消防、**等工作；负责安排本班保安的日常工作，参与保安值勤，增援重点岗位；督促检查本班在岗人员履行岗位职责情况，纠正队员违规违纪行为；坚持实事求是讲评，不流于形式，形成良好的班风；处理各岗位的突发事件，重大情况及时报告；妥善保管好医院提供的设备器材，严格设备交接班制度；按要求带领本班保安队员做好医院重大活动的安全保卫与秩序保障工作；将各岗位的执勤情况汇总记录，并及时上报给大队长或副队长。</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保安特勤：按规定时间、地点佩戴装备开展治安、防火巡查，发现和排除各种不安全因素，及时处置各种违法犯罪行为，如实记录汇报巡逻记录；服从医院工作安排与指挥调度，善于发现、分析处理各种事故隐患和突发事件；根据不同情况，灵活执行相应的巡逻方案；加强对重点区域、要害部位的安全巡查，巡更采点不流于形式，并与监控室保持联动；掌握消防栓、灭火器等安全设施的位置、性能和使用方法；维护责任区域公共秩序，发现可疑人员主动盘问，发现违规行为，大胆管理，主动干预，发现异常及安全隐患，立即采取措施并报告，制止暴力事件，有效处置各种违法犯罪行为；保持休息区域卫生整洁，无闲杂人员滞留。认真巡查院内公共部位的消防设施，确保完好；经常性开展消防业务培训。</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普通岗位保安：按规定执行院内停车区域防火、防盗、治安巡逻，维持秩序，维护稳定，发现安全隐患及时报告并消除。及时报告并处置停车区域内各类纠纷、治安案件及突发事件。严格执行监控发出指令，及时查看停车区域火警指令并回复查看结果。</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做好医院停车管理工作，发现乱停车行为及时阻止或提前做好移车通知。配合医院做好内部安全防范，严查四证：出院证、出门证、动火施工证、临时操作证，人员、物品无证不得出院（特殊情况经医院保卫科同意除外）；无证不得动火施工；外来人员无证不得作业。协助医院做好停车区域环境卫生、垃圾分类、控烟等工作。积极配合医院做好各时期重点、中心工作。配合医院做好医院重大活动安全保卫工作。配合公安机关，打击医院内部与周边的违法犯罪活动。 </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5）收费员：按规定上下班，做好交接班；发现停车收费系统故障及时报修；按规定执行停车收费，发生误收费及时退回并向车主道歉；发生车辆冲闸事件及时报告主管领导并记录肇事车辆；文明礼貌服务，讲普通话；执行医院有关停车收费临时性指令；做好收费岗亭环境卫生工作，配合做好医院禁烟工作。</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6）车辆管理员：按规定上下班，对进入医院车辆指挥、引导到指定区域停放；根据医院要求采取临时交通管理制措施，发现车辆拥堵及时疏通；及时向入口处保安通报车位空余数量；文明礼貌执勤，发现车辆违规停放及时制止；及时处置车辆碰撞、刮擦纠纷，发现医院公共财物受损及时报告并记录下当事车辆相关信息；按规定做好对停车区域的治安、防火巡查，发现消防设施设备受损及时报告医院保卫科或消控中心；严禁停车区域吸烟；配合做好医院垃圾分类及其他工作。</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7.院区保安人员岗位配置</w:t>
      </w:r>
    </w:p>
    <w:tbl>
      <w:tblPr>
        <w:tblStyle w:val="18"/>
        <w:tblW w:w="5129" w:type="pct"/>
        <w:tblInd w:w="0" w:type="dxa"/>
        <w:tblLayout w:type="fixed"/>
        <w:tblCellMar>
          <w:top w:w="0" w:type="dxa"/>
          <w:left w:w="108" w:type="dxa"/>
          <w:bottom w:w="0" w:type="dxa"/>
          <w:right w:w="108" w:type="dxa"/>
        </w:tblCellMar>
      </w:tblPr>
      <w:tblGrid>
        <w:gridCol w:w="1922"/>
        <w:gridCol w:w="1949"/>
        <w:gridCol w:w="1210"/>
        <w:gridCol w:w="2270"/>
        <w:gridCol w:w="1826"/>
      </w:tblGrid>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岗位编号</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设置地点</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设置人数</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值班时间</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备注1</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行政一楼大厅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四班三运转</w:t>
            </w:r>
          </w:p>
        </w:tc>
        <w:tc>
          <w:tcPr>
            <w:tcW w:w="995"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驻点(巡逻)岗位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西大门2号入口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门诊大厅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西大门3号入口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急诊大厅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西大门3号出口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住院二部大厅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班长</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机动岗位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住院一部大厅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6-18时，做一休一</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地点岗</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门诊1-5楼</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巡逻岗位</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1062" w:type="pct"/>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门诊大厅安检</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6-18时，做一休一</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安检机</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安检门</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062" w:type="pct"/>
            <w:tcBorders>
              <w:top w:val="nil"/>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住院二部安检</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安检机</w:t>
            </w:r>
          </w:p>
        </w:tc>
      </w:tr>
      <w:tr>
        <w:tblPrEx>
          <w:tblCellMar>
            <w:top w:w="0" w:type="dxa"/>
            <w:left w:w="108" w:type="dxa"/>
            <w:bottom w:w="0" w:type="dxa"/>
            <w:right w:w="108" w:type="dxa"/>
          </w:tblCellMar>
        </w:tblPrEx>
        <w:trPr>
          <w:trHeight w:val="416" w:hRule="atLeast"/>
        </w:trPr>
        <w:tc>
          <w:tcPr>
            <w:tcW w:w="1047"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保健大厅</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6-18时，做一休一</w:t>
            </w:r>
          </w:p>
        </w:tc>
        <w:tc>
          <w:tcPr>
            <w:tcW w:w="995"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住院一部5-10F</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7-19时，做一休一</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病区门口防控</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住院二部5-12F</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7-19时，做一休一</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病区门口防控</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老妇保</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勤俭路老院区门卫</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6-18时，做一休一</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定点岗位</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特勤</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行政</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vMerge w:val="restart"/>
            <w:tcBorders>
              <w:top w:val="nil"/>
              <w:left w:val="nil"/>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定点岗位</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一期、二期巡逻</w:t>
            </w:r>
          </w:p>
        </w:tc>
        <w:tc>
          <w:tcPr>
            <w:tcW w:w="659" w:type="pct"/>
            <w:tcBorders>
              <w:top w:val="single" w:color="000000" w:sz="4" w:space="0"/>
              <w:left w:val="nil"/>
              <w:bottom w:val="nil"/>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237" w:type="pct"/>
            <w:vMerge w:val="continue"/>
            <w:tcBorders>
              <w:top w:val="nil"/>
              <w:left w:val="nil"/>
              <w:bottom w:val="nil"/>
              <w:right w:val="single" w:color="000000" w:sz="4" w:space="0"/>
            </w:tcBorders>
            <w:vAlign w:val="center"/>
          </w:tcPr>
          <w:p>
            <w:pPr>
              <w:widowControl/>
              <w:jc w:val="left"/>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巡逻岗位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大队长</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总负责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管理岗位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副队长</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消防、停车管理</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管理岗位</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合计人数</w:t>
            </w:r>
          </w:p>
        </w:tc>
        <w:tc>
          <w:tcPr>
            <w:tcW w:w="1062" w:type="pct"/>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highlight w:val="none"/>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96</w:t>
            </w:r>
          </w:p>
        </w:tc>
        <w:tc>
          <w:tcPr>
            <w:tcW w:w="1237"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外岗（防控、停车管理）</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岗位名称</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设置地点</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设置人数</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值班时间</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备注</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防疫岗</w:t>
            </w: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发热门诊</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8-24时，做五休二</w:t>
            </w:r>
          </w:p>
        </w:tc>
        <w:tc>
          <w:tcPr>
            <w:tcW w:w="995" w:type="pct"/>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定点岗位</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南门</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6-18时，做一休一</w:t>
            </w: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西大门2号入口</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8-17时，7-15时、做五休二</w:t>
            </w:r>
          </w:p>
        </w:tc>
        <w:tc>
          <w:tcPr>
            <w:tcW w:w="99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机动车道测温</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西大门2号入口</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机动车道测温</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西大门2号入口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非机动车道测温</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西大门外引导</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扫码、车辆引导</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西大门3号入口</w:t>
            </w:r>
          </w:p>
        </w:tc>
        <w:tc>
          <w:tcPr>
            <w:tcW w:w="659"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非机动车道测温</w:t>
            </w:r>
          </w:p>
        </w:tc>
      </w:tr>
      <w:tr>
        <w:tblPrEx>
          <w:tblCellMar>
            <w:top w:w="0" w:type="dxa"/>
            <w:left w:w="108" w:type="dxa"/>
            <w:bottom w:w="0" w:type="dxa"/>
            <w:right w:w="108" w:type="dxa"/>
          </w:tblCellMar>
        </w:tblPrEx>
        <w:trPr>
          <w:trHeight w:val="374" w:hRule="atLeast"/>
        </w:trPr>
        <w:tc>
          <w:tcPr>
            <w:tcW w:w="1047"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收费、引导</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南门</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做一休一</w:t>
            </w:r>
          </w:p>
        </w:tc>
      </w:tr>
      <w:tr>
        <w:tblPrEx>
          <w:tblCellMar>
            <w:top w:w="0" w:type="dxa"/>
            <w:left w:w="108" w:type="dxa"/>
            <w:bottom w:w="0" w:type="dxa"/>
            <w:right w:w="108" w:type="dxa"/>
          </w:tblCellMar>
        </w:tblPrEx>
        <w:trPr>
          <w:trHeight w:val="416" w:hRule="atLeast"/>
        </w:trPr>
        <w:tc>
          <w:tcPr>
            <w:tcW w:w="1047" w:type="pct"/>
            <w:vMerge w:val="continue"/>
            <w:tcBorders>
              <w:left w:val="single" w:color="000000" w:sz="4" w:space="0"/>
              <w:right w:val="single" w:color="000000" w:sz="4" w:space="0"/>
            </w:tcBorders>
            <w:noWrap/>
            <w:vAlign w:val="center"/>
          </w:tcPr>
          <w:p>
            <w:pPr>
              <w:jc w:val="center"/>
              <w:textAlignment w:val="center"/>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4号岗</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6-18时,18-次日6时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做一休一</w:t>
            </w:r>
          </w:p>
        </w:tc>
      </w:tr>
      <w:tr>
        <w:tblPrEx>
          <w:tblCellMar>
            <w:top w:w="0" w:type="dxa"/>
            <w:left w:w="108" w:type="dxa"/>
            <w:bottom w:w="0" w:type="dxa"/>
            <w:right w:w="108" w:type="dxa"/>
          </w:tblCellMar>
        </w:tblPrEx>
        <w:trPr>
          <w:trHeight w:val="416" w:hRule="atLeast"/>
        </w:trPr>
        <w:tc>
          <w:tcPr>
            <w:tcW w:w="1047" w:type="pct"/>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7号岗</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6-18时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做一休一</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车辆管理</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南门停车场</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7-15时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车辆引导员</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行政楼地库入口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7-15时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氧气塔</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后勤楼东</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7-15时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急诊北停车场</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7-15时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停车楼一层进口</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7-15时、8-17时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停车楼二至四层</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7-15时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停车楼地下室</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7-15时</w:t>
            </w: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车辆引导员</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行政楼地下室</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vMerge w:val="restart"/>
            <w:tcBorders>
              <w:top w:val="nil"/>
              <w:left w:val="nil"/>
              <w:bottom w:val="single" w:color="000000" w:sz="4" w:space="0"/>
              <w:right w:val="single" w:color="000000" w:sz="4" w:space="0"/>
            </w:tcBorders>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547"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车辆引导员</w:t>
            </w:r>
          </w:p>
        </w:tc>
        <w:tc>
          <w:tcPr>
            <w:tcW w:w="106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二期地下室</w:t>
            </w: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8-17时，做五休二</w:t>
            </w:r>
          </w:p>
        </w:tc>
        <w:tc>
          <w:tcPr>
            <w:tcW w:w="995"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trHeight w:val="416"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轮休岗</w:t>
            </w:r>
          </w:p>
        </w:tc>
        <w:tc>
          <w:tcPr>
            <w:tcW w:w="1062" w:type="pct"/>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auto"/>
                <w:sz w:val="24"/>
                <w:highlight w:val="none"/>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7</w:t>
            </w:r>
          </w:p>
        </w:tc>
        <w:tc>
          <w:tcPr>
            <w:tcW w:w="1237"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做五休二</w:t>
            </w:r>
          </w:p>
        </w:tc>
      </w:tr>
      <w:tr>
        <w:tblPrEx>
          <w:tblCellMar>
            <w:top w:w="0" w:type="dxa"/>
            <w:left w:w="108" w:type="dxa"/>
            <w:bottom w:w="0" w:type="dxa"/>
            <w:right w:w="108" w:type="dxa"/>
          </w:tblCellMar>
        </w:tblPrEx>
        <w:trPr>
          <w:trHeight w:val="445" w:hRule="atLeast"/>
        </w:trPr>
        <w:tc>
          <w:tcPr>
            <w:tcW w:w="104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合计人数</w:t>
            </w:r>
          </w:p>
        </w:tc>
        <w:tc>
          <w:tcPr>
            <w:tcW w:w="1062" w:type="pct"/>
            <w:tcBorders>
              <w:top w:val="single" w:color="000000" w:sz="4" w:space="0"/>
              <w:left w:val="nil"/>
              <w:bottom w:val="single" w:color="000000" w:sz="4" w:space="0"/>
              <w:right w:val="single" w:color="000000" w:sz="4" w:space="0"/>
            </w:tcBorders>
            <w:noWrap/>
            <w:vAlign w:val="center"/>
          </w:tcPr>
          <w:p>
            <w:pPr>
              <w:rPr>
                <w:rFonts w:ascii="宋体" w:hAnsi="宋体" w:cs="宋体"/>
                <w:color w:val="auto"/>
                <w:sz w:val="24"/>
                <w:highlight w:val="none"/>
              </w:rPr>
            </w:pPr>
          </w:p>
        </w:tc>
        <w:tc>
          <w:tcPr>
            <w:tcW w:w="659"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36</w:t>
            </w:r>
          </w:p>
        </w:tc>
        <w:tc>
          <w:tcPr>
            <w:tcW w:w="1237" w:type="pct"/>
            <w:tcBorders>
              <w:top w:val="single" w:color="000000" w:sz="4" w:space="0"/>
              <w:left w:val="nil"/>
              <w:bottom w:val="single" w:color="000000" w:sz="4" w:space="0"/>
              <w:right w:val="single" w:color="000000" w:sz="4" w:space="0"/>
            </w:tcBorders>
            <w:noWrap/>
            <w:vAlign w:val="center"/>
          </w:tcPr>
          <w:p>
            <w:pPr>
              <w:rPr>
                <w:rFonts w:ascii="宋体" w:hAnsi="宋体" w:cs="宋体"/>
                <w:color w:val="auto"/>
                <w:sz w:val="24"/>
                <w:highlight w:val="none"/>
              </w:rPr>
            </w:pPr>
          </w:p>
        </w:tc>
        <w:tc>
          <w:tcPr>
            <w:tcW w:w="995" w:type="pct"/>
            <w:tcBorders>
              <w:top w:val="single" w:color="000000" w:sz="4" w:space="0"/>
              <w:left w:val="nil"/>
              <w:bottom w:val="single" w:color="000000" w:sz="4" w:space="0"/>
              <w:right w:val="single" w:color="000000" w:sz="4" w:space="0"/>
            </w:tcBorders>
            <w:noWrap/>
            <w:vAlign w:val="center"/>
          </w:tcPr>
          <w:p>
            <w:pPr>
              <w:rPr>
                <w:rFonts w:ascii="宋体" w:hAnsi="宋体" w:cs="宋体"/>
                <w:color w:val="auto"/>
                <w:sz w:val="24"/>
                <w:highlight w:val="none"/>
              </w:rPr>
            </w:pPr>
          </w:p>
        </w:tc>
      </w:tr>
    </w:tbl>
    <w:p>
      <w:pPr>
        <w:widowControl/>
        <w:adjustRightInd/>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注：（1）轮岗形式“三运转”指的是早班、中班、晚班。早班时间：8:00-17:00；中班时间：17：00-24:00；晚班：24:00-次日8:00。</w:t>
      </w:r>
    </w:p>
    <w:p>
      <w:pPr>
        <w:widowControl/>
        <w:adjustRightInd/>
        <w:spacing w:line="360" w:lineRule="auto"/>
        <w:ind w:firstLine="720" w:firstLineChars="300"/>
        <w:jc w:val="left"/>
        <w:rPr>
          <w:color w:val="auto"/>
          <w:highlight w:val="none"/>
        </w:rPr>
      </w:pPr>
      <w:r>
        <w:rPr>
          <w:rFonts w:hint="eastAsia" w:ascii="宋体" w:hAnsi="宋体" w:cs="宋体"/>
          <w:color w:val="auto"/>
          <w:sz w:val="24"/>
          <w:highlight w:val="none"/>
        </w:rPr>
        <w:t>（2）以上岗位安排为暂定，若采购人对岗位安排有调整，应配合采购人安排。</w:t>
      </w:r>
      <w:bookmarkStart w:id="71" w:name="_Toc467702156"/>
    </w:p>
    <w:p>
      <w:pPr>
        <w:widowControl/>
        <w:numPr>
          <w:ilvl w:val="0"/>
          <w:numId w:val="6"/>
        </w:num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采购人对保安服务的考核</w:t>
      </w:r>
    </w:p>
    <w:p>
      <w:pPr>
        <w:pStyle w:val="17"/>
        <w:numPr>
          <w:ilvl w:val="0"/>
          <w:numId w:val="7"/>
        </w:numPr>
        <w:ind w:left="0" w:leftChars="0" w:firstLine="480" w:firstLineChars="0"/>
        <w:rPr>
          <w:rFonts w:cs="宋体"/>
          <w:color w:val="auto"/>
          <w:szCs w:val="24"/>
          <w:highlight w:val="none"/>
        </w:rPr>
      </w:pPr>
      <w:r>
        <w:rPr>
          <w:rFonts w:hint="eastAsia" w:cs="宋体"/>
          <w:color w:val="auto"/>
          <w:szCs w:val="24"/>
          <w:highlight w:val="none"/>
        </w:rPr>
        <w:t>保安人员工作月度考核细则（100分制，每1分等值10元）</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1.1忠于职守、文明执勤、优质服务、秉公办事受到患者或院方表扬的，奖励5-10分。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1.2执勤中及时发现并有效控制各类治安事件和灾害事故，抓获违法犯罪嫌疑人员，为医院避免了经济损失的，奖励5-10分。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1.3为做好医院的安全保卫工作积极出谋划策，所提的合理化建议实行后效果明显者，奖励5-10分。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1.4拾金不昧者，奖励5-10分。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1.5积极参加医院抢险救灾，保护医院公共财产，奖励5-10分。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1.6工作认真负责，受到医院表扬的，奖励5-10分。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1.7每月保安服务满意度调查综合满意度达到99％，一名保安队员同时被3名医务工作人员提名表扬的，奖励5-10分。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1.8其他经保卫科认可可以奖励的行为，奖励5-10分。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1.9擅离职守，当班时间迟到、早退、脱岗、睡觉、闲聊、酒后上岗、做其他与工作无关的事项的，扣5-10分。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1.10未按时交接班，或不按有关规定进行交接班，或交接班不清楚，检查时相互推卸责任者，扣5-10分。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1.11执勤时，衣装不整，佩戴不齐者；扣5-10分。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1.12捡拾物品不报告，不上交者，扣5-10分。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1.13执勤中玩忽职守，疏于防范，致使在管辖范围内发生案件或事故，造成极坏影响者，在突发性事件或紧急情况下，临阵脱逃或坐视不管者，扣10-20分。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1.14思想不纯，见利忘义，监守自盗或以权谋私，严重损坏医院形象者，扣10-20分。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1.15工作责任心不强，不服从分配，不执行规章制度，并随意顶撞领导且屡教不改者，扣5-10分。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1.16执勤期间粗暴无礼或者其行为有损医院整体形象被群众举报的，每次扣5-10分。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1.17执行监控指令不及时或执行后不及时反馈处置结果给监控中心的行为，每次扣5-10分。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1.18医院检查发现保安岗位责任区域未按规定做好环境卫生、垃圾分类及控烟工作的，每次扣5-10分。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1.19每月保安服务满意度调查综合满意度低于90％，一名保安队员同时被2名院内工作人员提名工作不认真或投诉的，每次扣5-10分。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1.20其他违反医院规定的行为，每次扣5-10分。</w:t>
      </w:r>
    </w:p>
    <w:bookmarkEnd w:id="71"/>
    <w:p>
      <w:pPr>
        <w:rPr>
          <w:rFonts w:ascii="宋体" w:hAnsi="宋体" w:cs="宋体"/>
          <w:b/>
          <w:bCs/>
          <w:color w:val="auto"/>
          <w:sz w:val="28"/>
          <w:szCs w:val="28"/>
          <w:highlight w:val="none"/>
        </w:rPr>
      </w:pPr>
      <w:bookmarkStart w:id="72" w:name="_Toc24301"/>
      <w:r>
        <w:rPr>
          <w:rFonts w:hint="eastAsia" w:ascii="宋体" w:hAnsi="宋体" w:cs="宋体"/>
          <w:b/>
          <w:bCs/>
          <w:color w:val="auto"/>
          <w:sz w:val="28"/>
          <w:szCs w:val="28"/>
          <w:highlight w:val="none"/>
        </w:rPr>
        <w:t>2.季度考核细则</w:t>
      </w:r>
    </w:p>
    <w:tbl>
      <w:tblPr>
        <w:tblStyle w:val="18"/>
        <w:tblW w:w="5424" w:type="pct"/>
        <w:tblInd w:w="-230" w:type="dxa"/>
        <w:tblLayout w:type="autofit"/>
        <w:tblCellMar>
          <w:top w:w="0" w:type="dxa"/>
          <w:left w:w="108" w:type="dxa"/>
          <w:bottom w:w="0" w:type="dxa"/>
          <w:right w:w="108" w:type="dxa"/>
        </w:tblCellMar>
      </w:tblPr>
      <w:tblGrid>
        <w:gridCol w:w="1238"/>
        <w:gridCol w:w="4742"/>
        <w:gridCol w:w="1345"/>
        <w:gridCol w:w="1196"/>
        <w:gridCol w:w="1184"/>
      </w:tblGrid>
      <w:tr>
        <w:tblPrEx>
          <w:tblCellMar>
            <w:top w:w="0" w:type="dxa"/>
            <w:left w:w="108" w:type="dxa"/>
            <w:bottom w:w="0" w:type="dxa"/>
            <w:right w:w="108" w:type="dxa"/>
          </w:tblCellMar>
        </w:tblPrEx>
        <w:trPr>
          <w:trHeight w:val="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考核分类</w:t>
            </w:r>
          </w:p>
        </w:tc>
        <w:tc>
          <w:tcPr>
            <w:tcW w:w="2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考核标准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考核情况</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整改措施</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整改后落实成效</w:t>
            </w:r>
          </w:p>
        </w:tc>
      </w:tr>
      <w:tr>
        <w:tblPrEx>
          <w:tblCellMar>
            <w:top w:w="0" w:type="dxa"/>
            <w:left w:w="108" w:type="dxa"/>
            <w:bottom w:w="0" w:type="dxa"/>
            <w:right w:w="108" w:type="dxa"/>
          </w:tblCellMar>
        </w:tblPrEx>
        <w:trPr>
          <w:trHeight w:val="2373"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岗位责任（30）</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1.管理人员应每周检查全院保安对自身岗位职责、操作流程是否知晓，并有检查记录（2分）；                                                        2.管理人员每日检查重点岗位保安岗位职责履行情况，并有检查记录（2分）；                                                                                  3.所有岗位必须有保安值班记录本，如需交接的，应做好交接记录（2分）；                                                                        4.保安岗点配备的消防、**器材，应按时检查并保持齐全完好（2分）；                                                                              5.根据医院要求配合相关科室做好人员进出管控（2分）；                                                                                              6.做好病人出院检查，特别是新生儿出院检查、登记，放弃治疗的凭证出院，并报告监控中心（4分）；                                                                        7.做好医院物品（凭出门证）出院检查（2分）；                                                                                                8.安检人员做好安检工作，违禁物品登记收存（2分）；                                                                                          9.车辆管理人员做好车辆引导，交通拥堵及时疏通（2分）；                                                                                      10.疫情时期，按照医院要求，做好扫码、测温等（1分）；                                                                                         11.根据医院要求进行治安、防火巡查，并做好巡查记录，有电子巡更要求的应按照巡查线路巡查到点、到位，并按时上交巡更棒（2分）；                                      12.管理人员不定时抽查保安每两周一次公共部位消防器材检查是否完成（1分）；                                                                   13.按照医院要求巡查院内施工、动火场所，记录巡查情况，发现异常及时上报（2分）；                                                             14.管理人员必须每月对每位保安人员工作情况进行考核，考核结果与每月绩效挂钩（2分）；                                                           15.管理人员每月对保安工作考核应认真听取医院保卫科意见，切实体现多劳多得，对当月工作表现突出的人员应及时上报保卫科（2分）；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3076"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应急处置（20分）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按照医院要求配合保卫科组织安保、特勤等人员开展消防、**、医患纠纷等应急预案演练（4分）；                                                2.日常每周组织微型消防站人员开展不少于2次应急拉动（2分）；                                                                                 3.每月配合监控中心对全院一键报警按钮进行测试（2分）；</w:t>
            </w:r>
          </w:p>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4.保安人员接到消（监）控中心应急处置指令（如火警、一键报警）后应及时赶赴时发现场开展应急处置，并及时反馈现场情况（8分）；                                        5.管理人员接到医院有关上级暗访、检查通知后应积极准备，检查、督促岗位人员做好检查相关工作（4分）；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7"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人员配备（10分）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1.服务期第一个月必须按合同要求配足人员；                                                                                        2.第二个月开始每月总人数达到90%；                                                                                               3.保安55岁以下人员必须达到65%；                                                                                                     4.男性保安人员达到70%；（1-4点按招标要求执行）                                                                                                             5.新入职普通保安要求初中及以上文化水平，管理人员、安检人员、新入职特勤人员要求高中及以上文化水平（3分）；                                       6.新入职人员应先经过医院保卫科面试通过后再进行岗位分配，不得私自安排人员上岗执勤（4分）；                                                       7.病假人员应提供病假证明（3分）；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4"/>
                <w:highlight w:val="none"/>
              </w:rPr>
            </w:pPr>
          </w:p>
        </w:tc>
      </w:tr>
      <w:tr>
        <w:tblPrEx>
          <w:tblCellMar>
            <w:top w:w="0" w:type="dxa"/>
            <w:left w:w="108" w:type="dxa"/>
            <w:bottom w:w="0" w:type="dxa"/>
            <w:right w:w="108" w:type="dxa"/>
          </w:tblCellMar>
        </w:tblPrEx>
        <w:trPr>
          <w:trHeight w:val="2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文明执勤（10分）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1.管理人员应每日检查保安员值班岗亭、收费岗亭卫生是否保持干净、整洁，桌椅、执勤工具、器械摆放整齐，私人物品存放柜内（3分）；                                                            2.每日督查岗位保安执勤时是否坚持文明礼貌用语，及时处理相关服务投诉事件（3分）；                                                                3.管理人员应每日上岗前检查保安着装是否整齐，执勤、通讯工具是否携带并正常（2分）；                                                          4.管理人员每年应组织不少于两次文明礼貌服务培训，培训参与率应达到100％</w:t>
            </w:r>
            <w:r>
              <w:rPr>
                <w:rStyle w:val="50"/>
                <w:rFonts w:hint="default" w:ascii="宋体" w:hAnsi="宋体" w:eastAsia="宋体" w:cs="宋体"/>
                <w:color w:val="auto"/>
                <w:sz w:val="24"/>
                <w:szCs w:val="24"/>
                <w:highlight w:val="none"/>
              </w:rPr>
              <w:t>（2分）；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212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安全教育与培训                                                                                                                            （10分）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1.管理人员应每月组织保安人员召开工作例会，及时传达医院有关安全保卫、消防、**、反诈等工作要求（3分）；                                          2.每季度组织保安人员进行安防、**、消防等业务技能培训（4分）；                                                                                 3.管理人员应对新入职保安人员必须进行岗前安全培训，并取得相关培训、考核合格证明（3分）；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1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疫情防控（10分）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1.全体保安人员必须遵守医院疫情防控措施，不得谎报、瞒报、漏报有关自身及家人疫情信息。（5分）；                                               2.疫情期间管理人员应该按照医院要求严格把关人员录用、请假（返岗）、外出疫情防控措施（3分）；3.所有保安人员都应掌握基本的院感防护技能（如穿脱防护服、隔离衣，七步洗手及戴防护口罩等）（2分）；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18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重大事件（10分）</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保安人员在参与医院重大事件中处理得当或有重大立功表现的，经医院领导讨论后，给予保安公司适当的奖励（+5分）；2.因管理不善导致保安人员在履职不力，给医院造成重大经济损失或严重声誉受损的。（10分）</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highlight w:val="none"/>
              </w:rPr>
            </w:pP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10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482" w:hanging="482" w:hangingChars="200"/>
              <w:jc w:val="left"/>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参加考核人员签字:                                                         </w:t>
            </w:r>
          </w:p>
          <w:p>
            <w:pPr>
              <w:widowControl/>
              <w:ind w:left="482" w:hanging="482" w:hangingChars="200"/>
              <w:jc w:val="left"/>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考核日期：     年     月    日</w:t>
            </w:r>
          </w:p>
        </w:tc>
      </w:tr>
      <w:tr>
        <w:tblPrEx>
          <w:tblCellMar>
            <w:top w:w="0" w:type="dxa"/>
            <w:left w:w="108" w:type="dxa"/>
            <w:bottom w:w="0" w:type="dxa"/>
            <w:right w:w="108" w:type="dxa"/>
          </w:tblCellMar>
        </w:tblPrEx>
        <w:trPr>
          <w:trHeight w:val="92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24"/>
                <w:highlight w:val="none"/>
              </w:rPr>
            </w:pPr>
            <w:r>
              <w:rPr>
                <w:rFonts w:hint="eastAsia" w:ascii="宋体" w:hAnsi="宋体" w:cs="宋体"/>
                <w:color w:val="auto"/>
                <w:kern w:val="0"/>
                <w:sz w:val="24"/>
                <w:highlight w:val="none"/>
              </w:rPr>
              <w:t xml:space="preserve">注：100分制，每1分等值20元，考核完毕后扣除相应服务费，90分以上为合格；且75分-89分扣当月服务费0.5%，65分-74分扣当月服务费1%。64分以下约谈公司并扣当月保安服务费1%。 </w:t>
            </w:r>
          </w:p>
        </w:tc>
      </w:tr>
    </w:tbl>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pStyle w:val="17"/>
        <w:ind w:firstLine="480"/>
        <w:rPr>
          <w:color w:val="auto"/>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3" w:name="_Toc184308095"/>
      <w:bookmarkEnd w:id="73"/>
      <w:bookmarkStart w:id="74" w:name="_Toc184312101"/>
      <w:bookmarkEnd w:id="74"/>
      <w:bookmarkStart w:id="75" w:name="_Toc184312077"/>
      <w:bookmarkEnd w:id="75"/>
      <w:bookmarkStart w:id="76" w:name="_Toc184314411"/>
      <w:bookmarkEnd w:id="76"/>
      <w:bookmarkStart w:id="77" w:name="_Toc184308083"/>
      <w:bookmarkEnd w:id="77"/>
      <w:bookmarkStart w:id="78" w:name="_Toc184310315"/>
      <w:bookmarkEnd w:id="78"/>
      <w:bookmarkStart w:id="79" w:name="_Toc184312081"/>
      <w:bookmarkEnd w:id="79"/>
      <w:bookmarkStart w:id="80" w:name="_Toc184310298"/>
      <w:bookmarkEnd w:id="80"/>
      <w:bookmarkStart w:id="81" w:name="_Toc184308081"/>
      <w:bookmarkEnd w:id="81"/>
      <w:bookmarkStart w:id="82" w:name="_Toc184313290"/>
      <w:bookmarkEnd w:id="82"/>
      <w:bookmarkStart w:id="83" w:name="_Toc184314478"/>
      <w:bookmarkEnd w:id="83"/>
      <w:bookmarkStart w:id="84" w:name="_Toc184308061"/>
      <w:bookmarkEnd w:id="84"/>
      <w:bookmarkStart w:id="85" w:name="_Toc184314449"/>
      <w:bookmarkEnd w:id="85"/>
      <w:bookmarkStart w:id="86" w:name="_Toc184310332"/>
      <w:bookmarkEnd w:id="86"/>
      <w:bookmarkStart w:id="87" w:name="_Toc184308108"/>
      <w:bookmarkEnd w:id="87"/>
      <w:bookmarkStart w:id="88" w:name="_Toc184308082"/>
      <w:bookmarkEnd w:id="88"/>
      <w:bookmarkStart w:id="89" w:name="_Toc184310317"/>
      <w:bookmarkEnd w:id="89"/>
      <w:bookmarkStart w:id="90" w:name="_Toc184308045"/>
      <w:bookmarkEnd w:id="90"/>
      <w:bookmarkStart w:id="91" w:name="_Toc184310318"/>
      <w:bookmarkEnd w:id="91"/>
      <w:bookmarkStart w:id="92" w:name="_Toc184313298"/>
      <w:bookmarkEnd w:id="92"/>
      <w:bookmarkStart w:id="93" w:name="_Toc184313267"/>
      <w:bookmarkEnd w:id="93"/>
      <w:bookmarkStart w:id="94" w:name="_Toc184313293"/>
      <w:bookmarkEnd w:id="94"/>
      <w:bookmarkStart w:id="95" w:name="_Toc184313264"/>
      <w:bookmarkEnd w:id="95"/>
      <w:bookmarkStart w:id="96" w:name="_Toc184308073"/>
      <w:bookmarkEnd w:id="96"/>
      <w:bookmarkStart w:id="97" w:name="_Toc184314472"/>
      <w:bookmarkEnd w:id="97"/>
      <w:bookmarkStart w:id="98" w:name="_Toc184310339"/>
      <w:bookmarkEnd w:id="98"/>
      <w:bookmarkStart w:id="99" w:name="_Toc184314475"/>
      <w:bookmarkEnd w:id="99"/>
      <w:bookmarkStart w:id="100" w:name="_Toc184314413"/>
      <w:bookmarkEnd w:id="100"/>
      <w:bookmarkStart w:id="101" w:name="_Toc184310278"/>
      <w:bookmarkEnd w:id="101"/>
      <w:bookmarkStart w:id="102" w:name="_Toc184310335"/>
      <w:bookmarkEnd w:id="102"/>
      <w:bookmarkStart w:id="103" w:name="_Toc184310288"/>
      <w:bookmarkEnd w:id="103"/>
      <w:bookmarkStart w:id="104" w:name="_Toc184313273"/>
      <w:bookmarkEnd w:id="104"/>
      <w:bookmarkStart w:id="105" w:name="_Toc184310296"/>
      <w:bookmarkEnd w:id="105"/>
      <w:bookmarkStart w:id="106" w:name="_Toc184313280"/>
      <w:bookmarkEnd w:id="106"/>
      <w:bookmarkStart w:id="107" w:name="_Toc184312090"/>
      <w:bookmarkEnd w:id="107"/>
      <w:bookmarkStart w:id="108" w:name="_Toc184314474"/>
      <w:bookmarkEnd w:id="108"/>
      <w:bookmarkStart w:id="109" w:name="_Toc184310291"/>
      <w:bookmarkEnd w:id="109"/>
      <w:bookmarkStart w:id="110" w:name="_Toc184313292"/>
      <w:bookmarkEnd w:id="110"/>
      <w:bookmarkStart w:id="111" w:name="_Toc184310294"/>
      <w:bookmarkEnd w:id="111"/>
      <w:bookmarkStart w:id="112" w:name="_Toc184308071"/>
      <w:bookmarkEnd w:id="112"/>
      <w:bookmarkStart w:id="113" w:name="_Toc184314479"/>
      <w:bookmarkEnd w:id="113"/>
      <w:bookmarkStart w:id="114" w:name="_Toc184310276"/>
      <w:bookmarkEnd w:id="114"/>
      <w:bookmarkStart w:id="115" w:name="_Toc184308080"/>
      <w:bookmarkEnd w:id="115"/>
      <w:bookmarkStart w:id="116" w:name="_Toc184310279"/>
      <w:bookmarkEnd w:id="116"/>
      <w:bookmarkStart w:id="117" w:name="_Toc184312100"/>
      <w:bookmarkEnd w:id="117"/>
      <w:bookmarkStart w:id="118" w:name="_Toc184308056"/>
      <w:bookmarkEnd w:id="118"/>
      <w:bookmarkStart w:id="119" w:name="_Toc184310316"/>
      <w:bookmarkEnd w:id="119"/>
      <w:bookmarkStart w:id="120" w:name="_Toc184310282"/>
      <w:bookmarkEnd w:id="120"/>
      <w:bookmarkStart w:id="121" w:name="_Toc184310336"/>
      <w:bookmarkEnd w:id="121"/>
      <w:bookmarkStart w:id="122" w:name="_Toc184308092"/>
      <w:bookmarkEnd w:id="122"/>
      <w:bookmarkStart w:id="123" w:name="_Toc184314410"/>
      <w:bookmarkEnd w:id="123"/>
      <w:bookmarkStart w:id="124" w:name="_Toc184314436"/>
      <w:bookmarkEnd w:id="124"/>
      <w:bookmarkStart w:id="125" w:name="_Toc184312069"/>
      <w:bookmarkEnd w:id="125"/>
      <w:bookmarkStart w:id="126" w:name="_Toc184314482"/>
      <w:bookmarkEnd w:id="126"/>
      <w:bookmarkStart w:id="127" w:name="_Toc184314429"/>
      <w:bookmarkEnd w:id="127"/>
      <w:bookmarkStart w:id="128" w:name="_Toc184313291"/>
      <w:bookmarkEnd w:id="128"/>
      <w:bookmarkStart w:id="129" w:name="_Toc184313277"/>
      <w:bookmarkEnd w:id="129"/>
      <w:bookmarkStart w:id="130" w:name="_Toc184313285"/>
      <w:bookmarkEnd w:id="130"/>
      <w:bookmarkStart w:id="131" w:name="_Toc184312067"/>
      <w:bookmarkEnd w:id="131"/>
      <w:bookmarkStart w:id="132" w:name="_Toc184308075"/>
      <w:bookmarkEnd w:id="132"/>
      <w:bookmarkStart w:id="133" w:name="_Toc184314454"/>
      <w:bookmarkEnd w:id="133"/>
      <w:bookmarkStart w:id="134" w:name="_Toc184310324"/>
      <w:bookmarkEnd w:id="134"/>
      <w:bookmarkStart w:id="135" w:name="_Toc184308078"/>
      <w:bookmarkEnd w:id="135"/>
      <w:bookmarkStart w:id="136" w:name="_Toc184312119"/>
      <w:bookmarkEnd w:id="136"/>
      <w:bookmarkStart w:id="137" w:name="_Toc184314450"/>
      <w:bookmarkEnd w:id="137"/>
      <w:bookmarkStart w:id="138" w:name="_Toc184310274"/>
      <w:bookmarkEnd w:id="138"/>
      <w:bookmarkStart w:id="139" w:name="_Toc184312097"/>
      <w:bookmarkEnd w:id="139"/>
      <w:bookmarkStart w:id="140" w:name="_Toc184312086"/>
      <w:bookmarkEnd w:id="140"/>
      <w:bookmarkStart w:id="141" w:name="_Toc184314462"/>
      <w:bookmarkEnd w:id="141"/>
      <w:bookmarkStart w:id="142" w:name="_Toc184313253"/>
      <w:bookmarkEnd w:id="142"/>
      <w:bookmarkStart w:id="143" w:name="_Toc184312116"/>
      <w:bookmarkEnd w:id="143"/>
      <w:bookmarkStart w:id="144" w:name="_Toc184310277"/>
      <w:bookmarkEnd w:id="144"/>
      <w:bookmarkStart w:id="145" w:name="_Toc184313246"/>
      <w:bookmarkEnd w:id="145"/>
      <w:bookmarkStart w:id="146" w:name="_Toc184312110"/>
      <w:bookmarkEnd w:id="146"/>
      <w:bookmarkStart w:id="147" w:name="_Toc184312115"/>
      <w:bookmarkEnd w:id="147"/>
      <w:bookmarkStart w:id="148" w:name="_Toc184313260"/>
      <w:bookmarkEnd w:id="148"/>
      <w:bookmarkStart w:id="149" w:name="_Toc184314431"/>
      <w:bookmarkEnd w:id="149"/>
      <w:bookmarkStart w:id="150" w:name="_Toc184312089"/>
      <w:bookmarkEnd w:id="150"/>
      <w:bookmarkStart w:id="151" w:name="_Toc184313279"/>
      <w:bookmarkEnd w:id="151"/>
      <w:bookmarkStart w:id="152" w:name="_Toc184312084"/>
      <w:bookmarkEnd w:id="152"/>
      <w:bookmarkStart w:id="153" w:name="_Toc184313256"/>
      <w:bookmarkEnd w:id="153"/>
      <w:bookmarkStart w:id="154" w:name="_Toc184308104"/>
      <w:bookmarkEnd w:id="154"/>
      <w:bookmarkStart w:id="155" w:name="_Toc184310272"/>
      <w:bookmarkEnd w:id="155"/>
      <w:bookmarkStart w:id="156" w:name="_Toc184312139"/>
      <w:bookmarkEnd w:id="156"/>
      <w:bookmarkStart w:id="157" w:name="_Toc184314445"/>
      <w:bookmarkEnd w:id="157"/>
      <w:bookmarkStart w:id="158" w:name="_Toc184310286"/>
      <w:bookmarkEnd w:id="158"/>
      <w:bookmarkStart w:id="159" w:name="_Toc184314434"/>
      <w:bookmarkEnd w:id="159"/>
      <w:bookmarkStart w:id="160" w:name="_Toc184312102"/>
      <w:bookmarkEnd w:id="160"/>
      <w:bookmarkStart w:id="161" w:name="_Toc184314428"/>
      <w:bookmarkEnd w:id="161"/>
      <w:bookmarkStart w:id="162" w:name="_Toc184310300"/>
      <w:bookmarkEnd w:id="162"/>
      <w:bookmarkStart w:id="163" w:name="_Toc184308066"/>
      <w:bookmarkEnd w:id="163"/>
      <w:bookmarkStart w:id="164" w:name="_Toc184308052"/>
      <w:bookmarkEnd w:id="164"/>
      <w:bookmarkStart w:id="165" w:name="_Toc184313283"/>
      <w:bookmarkEnd w:id="165"/>
      <w:bookmarkStart w:id="166" w:name="_Toc184308055"/>
      <w:bookmarkEnd w:id="166"/>
      <w:bookmarkStart w:id="167" w:name="_Toc184310305"/>
      <w:bookmarkEnd w:id="167"/>
      <w:bookmarkStart w:id="168" w:name="_Toc184310310"/>
      <w:bookmarkEnd w:id="168"/>
      <w:bookmarkStart w:id="169" w:name="_Toc184314442"/>
      <w:bookmarkEnd w:id="169"/>
      <w:bookmarkStart w:id="170" w:name="_Toc184308105"/>
      <w:bookmarkEnd w:id="170"/>
      <w:bookmarkStart w:id="171" w:name="_Toc184313245"/>
      <w:bookmarkEnd w:id="171"/>
      <w:bookmarkStart w:id="172" w:name="_Toc184308084"/>
      <w:bookmarkEnd w:id="172"/>
      <w:bookmarkStart w:id="173" w:name="_Toc184313310"/>
      <w:bookmarkEnd w:id="173"/>
      <w:bookmarkStart w:id="174" w:name="_Toc184310342"/>
      <w:bookmarkEnd w:id="174"/>
      <w:bookmarkStart w:id="175" w:name="_Toc184308039"/>
      <w:bookmarkEnd w:id="175"/>
      <w:bookmarkStart w:id="176" w:name="_Toc184314458"/>
      <w:bookmarkEnd w:id="176"/>
      <w:bookmarkStart w:id="177" w:name="_Toc184314430"/>
      <w:bookmarkEnd w:id="177"/>
      <w:bookmarkStart w:id="178" w:name="_Toc184310328"/>
      <w:bookmarkEnd w:id="178"/>
      <w:bookmarkStart w:id="179" w:name="_Toc184308064"/>
      <w:bookmarkEnd w:id="179"/>
      <w:bookmarkStart w:id="180" w:name="_Toc184308100"/>
      <w:bookmarkEnd w:id="180"/>
      <w:bookmarkStart w:id="181" w:name="_Toc184314417"/>
      <w:bookmarkEnd w:id="181"/>
      <w:bookmarkStart w:id="182" w:name="_Toc184310273"/>
      <w:bookmarkEnd w:id="182"/>
      <w:bookmarkStart w:id="183" w:name="_Toc184310304"/>
      <w:bookmarkEnd w:id="183"/>
      <w:bookmarkStart w:id="184" w:name="_Toc184310308"/>
      <w:bookmarkEnd w:id="184"/>
      <w:bookmarkStart w:id="185" w:name="_Toc184308054"/>
      <w:bookmarkEnd w:id="185"/>
      <w:bookmarkStart w:id="186" w:name="_Toc184312138"/>
      <w:bookmarkEnd w:id="186"/>
      <w:bookmarkStart w:id="187" w:name="_Toc184308053"/>
      <w:bookmarkEnd w:id="187"/>
      <w:bookmarkStart w:id="188" w:name="_Toc184313272"/>
      <w:bookmarkEnd w:id="188"/>
      <w:bookmarkStart w:id="189" w:name="_Toc184313295"/>
      <w:bookmarkEnd w:id="189"/>
      <w:bookmarkStart w:id="190" w:name="_Toc184313252"/>
      <w:bookmarkEnd w:id="190"/>
      <w:bookmarkStart w:id="191" w:name="_Toc184313296"/>
      <w:bookmarkEnd w:id="191"/>
      <w:bookmarkStart w:id="192" w:name="_Toc184313263"/>
      <w:bookmarkEnd w:id="192"/>
      <w:bookmarkStart w:id="193" w:name="_Toc184310297"/>
      <w:bookmarkEnd w:id="193"/>
      <w:bookmarkStart w:id="194" w:name="_Toc184314421"/>
      <w:bookmarkEnd w:id="194"/>
      <w:bookmarkStart w:id="195" w:name="_Toc184310327"/>
      <w:bookmarkEnd w:id="195"/>
      <w:bookmarkStart w:id="196" w:name="_Toc184312117"/>
      <w:bookmarkEnd w:id="196"/>
      <w:bookmarkStart w:id="197" w:name="_Toc184313262"/>
      <w:bookmarkEnd w:id="197"/>
      <w:bookmarkStart w:id="198" w:name="_Toc184308088"/>
      <w:bookmarkEnd w:id="198"/>
      <w:bookmarkStart w:id="199" w:name="_Toc184314455"/>
      <w:bookmarkEnd w:id="199"/>
      <w:bookmarkStart w:id="200" w:name="_Toc184314465"/>
      <w:bookmarkEnd w:id="200"/>
      <w:bookmarkStart w:id="201" w:name="_Toc184314459"/>
      <w:bookmarkEnd w:id="201"/>
      <w:bookmarkStart w:id="202" w:name="_Toc184310325"/>
      <w:bookmarkEnd w:id="202"/>
      <w:bookmarkStart w:id="203" w:name="_Toc184308040"/>
      <w:bookmarkEnd w:id="203"/>
      <w:bookmarkStart w:id="204" w:name="_Toc184310343"/>
      <w:bookmarkEnd w:id="204"/>
      <w:bookmarkStart w:id="205" w:name="_Toc184314477"/>
      <w:bookmarkEnd w:id="205"/>
      <w:bookmarkStart w:id="206" w:name="_Toc184314419"/>
      <w:bookmarkEnd w:id="206"/>
      <w:bookmarkStart w:id="207" w:name="_Toc184310344"/>
      <w:bookmarkEnd w:id="207"/>
      <w:bookmarkStart w:id="208" w:name="_Toc184314412"/>
      <w:bookmarkEnd w:id="208"/>
      <w:bookmarkStart w:id="209" w:name="_Toc184310334"/>
      <w:bookmarkEnd w:id="209"/>
      <w:bookmarkStart w:id="210" w:name="_Toc184313265"/>
      <w:bookmarkEnd w:id="210"/>
      <w:bookmarkStart w:id="211" w:name="_Toc184310307"/>
      <w:bookmarkEnd w:id="211"/>
      <w:bookmarkStart w:id="212" w:name="_Toc184312099"/>
      <w:bookmarkEnd w:id="212"/>
      <w:bookmarkStart w:id="213" w:name="_Toc184312129"/>
      <w:bookmarkEnd w:id="213"/>
      <w:bookmarkStart w:id="214" w:name="_Toc184310333"/>
      <w:bookmarkEnd w:id="214"/>
      <w:bookmarkStart w:id="215" w:name="_Toc184308090"/>
      <w:bookmarkEnd w:id="215"/>
      <w:bookmarkStart w:id="216" w:name="_Toc184314433"/>
      <w:bookmarkEnd w:id="216"/>
      <w:bookmarkStart w:id="217" w:name="_Toc184314418"/>
      <w:bookmarkEnd w:id="217"/>
      <w:bookmarkStart w:id="218" w:name="_Toc184313274"/>
      <w:bookmarkEnd w:id="218"/>
      <w:bookmarkStart w:id="219" w:name="_Toc184313300"/>
      <w:bookmarkEnd w:id="219"/>
      <w:bookmarkStart w:id="220" w:name="_Toc184312087"/>
      <w:bookmarkEnd w:id="220"/>
      <w:bookmarkStart w:id="221" w:name="_Toc184308077"/>
      <w:bookmarkEnd w:id="221"/>
      <w:bookmarkStart w:id="222" w:name="_Toc184313258"/>
      <w:bookmarkEnd w:id="222"/>
      <w:bookmarkStart w:id="223" w:name="_Toc184310323"/>
      <w:bookmarkEnd w:id="223"/>
      <w:bookmarkStart w:id="224" w:name="_Toc184308038"/>
      <w:bookmarkEnd w:id="224"/>
      <w:bookmarkStart w:id="225" w:name="_Toc184314446"/>
      <w:bookmarkEnd w:id="225"/>
      <w:bookmarkStart w:id="226" w:name="_Toc184313303"/>
      <w:bookmarkEnd w:id="226"/>
      <w:bookmarkStart w:id="227" w:name="_Toc184310281"/>
      <w:bookmarkEnd w:id="227"/>
      <w:bookmarkStart w:id="228" w:name="_Toc184314416"/>
      <w:bookmarkEnd w:id="228"/>
      <w:bookmarkStart w:id="229" w:name="_Toc184312134"/>
      <w:bookmarkEnd w:id="229"/>
      <w:bookmarkStart w:id="230" w:name="_Toc184308094"/>
      <w:bookmarkEnd w:id="230"/>
      <w:bookmarkStart w:id="231" w:name="_Toc184308043"/>
      <w:bookmarkEnd w:id="231"/>
      <w:bookmarkStart w:id="232" w:name="_Toc184310284"/>
      <w:bookmarkEnd w:id="232"/>
      <w:bookmarkStart w:id="233" w:name="_Toc184310290"/>
      <w:bookmarkEnd w:id="233"/>
      <w:bookmarkStart w:id="234" w:name="_Toc184314463"/>
      <w:bookmarkEnd w:id="234"/>
      <w:bookmarkStart w:id="235" w:name="_Toc184308046"/>
      <w:bookmarkEnd w:id="235"/>
      <w:bookmarkStart w:id="236" w:name="_Toc184314443"/>
      <w:bookmarkEnd w:id="236"/>
      <w:bookmarkStart w:id="237" w:name="_Toc184312085"/>
      <w:bookmarkEnd w:id="237"/>
      <w:bookmarkStart w:id="238" w:name="_Toc184312082"/>
      <w:bookmarkEnd w:id="238"/>
      <w:bookmarkStart w:id="239" w:name="_Toc184308036"/>
      <w:bookmarkEnd w:id="239"/>
      <w:bookmarkStart w:id="240" w:name="_Toc184310285"/>
      <w:bookmarkEnd w:id="240"/>
      <w:bookmarkStart w:id="241" w:name="_Toc184312073"/>
      <w:bookmarkEnd w:id="241"/>
      <w:bookmarkStart w:id="242" w:name="_Toc184313240"/>
      <w:bookmarkEnd w:id="242"/>
      <w:bookmarkStart w:id="243" w:name="_Toc184314438"/>
      <w:bookmarkEnd w:id="243"/>
      <w:bookmarkStart w:id="244" w:name="_Toc184308103"/>
      <w:bookmarkEnd w:id="244"/>
      <w:bookmarkStart w:id="245" w:name="_Toc184308058"/>
      <w:bookmarkEnd w:id="245"/>
      <w:bookmarkStart w:id="246" w:name="_Toc184312072"/>
      <w:bookmarkEnd w:id="246"/>
      <w:bookmarkStart w:id="247" w:name="_Toc184312121"/>
      <w:bookmarkEnd w:id="247"/>
      <w:bookmarkStart w:id="248" w:name="_Toc184312111"/>
      <w:bookmarkEnd w:id="248"/>
      <w:bookmarkStart w:id="249" w:name="_Toc184310275"/>
      <w:bookmarkEnd w:id="249"/>
      <w:bookmarkStart w:id="250" w:name="_Toc184312075"/>
      <w:bookmarkEnd w:id="250"/>
      <w:bookmarkStart w:id="251" w:name="_Toc184313250"/>
      <w:bookmarkEnd w:id="251"/>
      <w:bookmarkStart w:id="252" w:name="_Toc184312118"/>
      <w:bookmarkEnd w:id="252"/>
      <w:bookmarkStart w:id="253" w:name="_Toc184308093"/>
      <w:bookmarkEnd w:id="253"/>
      <w:bookmarkStart w:id="254" w:name="_Toc184314425"/>
      <w:bookmarkEnd w:id="254"/>
      <w:bookmarkStart w:id="255" w:name="_Toc184308067"/>
      <w:bookmarkEnd w:id="255"/>
      <w:bookmarkStart w:id="256" w:name="_Toc184312105"/>
      <w:bookmarkEnd w:id="256"/>
      <w:bookmarkStart w:id="257" w:name="_Toc184313288"/>
      <w:bookmarkEnd w:id="257"/>
      <w:bookmarkStart w:id="258" w:name="_Toc184313270"/>
      <w:bookmarkEnd w:id="258"/>
      <w:bookmarkStart w:id="259" w:name="_Toc184312083"/>
      <w:bookmarkEnd w:id="259"/>
      <w:bookmarkStart w:id="260" w:name="_Toc184314415"/>
      <w:bookmarkEnd w:id="260"/>
      <w:bookmarkStart w:id="261" w:name="_Toc184312135"/>
      <w:bookmarkEnd w:id="261"/>
      <w:bookmarkStart w:id="262" w:name="_Toc184314448"/>
      <w:bookmarkEnd w:id="262"/>
      <w:bookmarkStart w:id="263" w:name="_Toc184314456"/>
      <w:bookmarkEnd w:id="263"/>
      <w:bookmarkStart w:id="264" w:name="_Toc184313299"/>
      <w:bookmarkEnd w:id="264"/>
      <w:bookmarkStart w:id="265" w:name="_Toc184313287"/>
      <w:bookmarkEnd w:id="265"/>
      <w:bookmarkStart w:id="266" w:name="_Toc184310312"/>
      <w:bookmarkEnd w:id="266"/>
      <w:bookmarkStart w:id="267" w:name="_Toc184313286"/>
      <w:bookmarkEnd w:id="267"/>
      <w:bookmarkStart w:id="268" w:name="_Toc184308099"/>
      <w:bookmarkEnd w:id="268"/>
      <w:bookmarkStart w:id="269" w:name="_Toc184308060"/>
      <w:bookmarkEnd w:id="269"/>
      <w:bookmarkStart w:id="270" w:name="_Toc184314453"/>
      <w:bookmarkEnd w:id="270"/>
      <w:bookmarkStart w:id="271" w:name="_Toc184312104"/>
      <w:bookmarkEnd w:id="271"/>
      <w:bookmarkStart w:id="272" w:name="_Toc184314452"/>
      <w:bookmarkEnd w:id="272"/>
      <w:bookmarkStart w:id="273" w:name="_Toc184314457"/>
      <w:bookmarkEnd w:id="273"/>
      <w:bookmarkStart w:id="274" w:name="_Toc184312070"/>
      <w:bookmarkEnd w:id="274"/>
      <w:bookmarkStart w:id="275" w:name="_Toc184312074"/>
      <w:bookmarkEnd w:id="275"/>
      <w:bookmarkStart w:id="276" w:name="_Toc184308096"/>
      <w:bookmarkEnd w:id="276"/>
      <w:bookmarkStart w:id="277" w:name="_Toc184314447"/>
      <w:bookmarkEnd w:id="277"/>
      <w:bookmarkStart w:id="278" w:name="_Toc184313241"/>
      <w:bookmarkEnd w:id="278"/>
      <w:bookmarkStart w:id="279" w:name="_Toc184312132"/>
      <w:bookmarkEnd w:id="279"/>
      <w:bookmarkStart w:id="280" w:name="_Toc184310314"/>
      <w:bookmarkEnd w:id="280"/>
      <w:bookmarkStart w:id="281" w:name="_Toc184308097"/>
      <w:bookmarkEnd w:id="281"/>
      <w:bookmarkStart w:id="282" w:name="_Toc184310319"/>
      <w:bookmarkEnd w:id="282"/>
      <w:bookmarkStart w:id="283" w:name="_Toc184313297"/>
      <w:bookmarkEnd w:id="283"/>
      <w:bookmarkStart w:id="284" w:name="_Toc184313242"/>
      <w:bookmarkEnd w:id="284"/>
      <w:bookmarkStart w:id="285" w:name="_Toc184313261"/>
      <w:bookmarkEnd w:id="285"/>
      <w:bookmarkStart w:id="286" w:name="_Toc184312120"/>
      <w:bookmarkEnd w:id="286"/>
      <w:bookmarkStart w:id="287" w:name="_Toc184312137"/>
      <w:bookmarkEnd w:id="287"/>
      <w:bookmarkStart w:id="288" w:name="_Toc184313309"/>
      <w:bookmarkEnd w:id="288"/>
      <w:bookmarkStart w:id="289" w:name="_Toc184313257"/>
      <w:bookmarkEnd w:id="289"/>
      <w:bookmarkStart w:id="290" w:name="_Toc184310302"/>
      <w:bookmarkEnd w:id="290"/>
      <w:bookmarkStart w:id="291" w:name="_Toc184313269"/>
      <w:bookmarkEnd w:id="291"/>
      <w:bookmarkStart w:id="292" w:name="_Toc184310280"/>
      <w:bookmarkEnd w:id="292"/>
      <w:bookmarkStart w:id="293" w:name="_Toc184314466"/>
      <w:bookmarkEnd w:id="293"/>
      <w:bookmarkStart w:id="294" w:name="_Toc184308074"/>
      <w:bookmarkEnd w:id="294"/>
      <w:bookmarkStart w:id="295" w:name="_Toc184310322"/>
      <w:bookmarkEnd w:id="295"/>
      <w:bookmarkStart w:id="296" w:name="_Toc184314439"/>
      <w:bookmarkEnd w:id="296"/>
      <w:bookmarkStart w:id="297" w:name="_Toc184312133"/>
      <w:bookmarkEnd w:id="297"/>
      <w:bookmarkStart w:id="298" w:name="_Toc184314451"/>
      <w:bookmarkEnd w:id="298"/>
      <w:bookmarkStart w:id="299" w:name="_Toc184313305"/>
      <w:bookmarkEnd w:id="299"/>
      <w:bookmarkStart w:id="300" w:name="_Toc184313247"/>
      <w:bookmarkEnd w:id="300"/>
      <w:bookmarkStart w:id="301" w:name="_Toc184310340"/>
      <w:bookmarkEnd w:id="301"/>
      <w:bookmarkStart w:id="302" w:name="_Toc184313239"/>
      <w:bookmarkEnd w:id="302"/>
      <w:bookmarkStart w:id="303" w:name="_Toc184312088"/>
      <w:bookmarkEnd w:id="303"/>
      <w:bookmarkStart w:id="304" w:name="_Toc184310295"/>
      <w:bookmarkEnd w:id="304"/>
      <w:bookmarkStart w:id="305" w:name="_Toc184312109"/>
      <w:bookmarkEnd w:id="305"/>
      <w:bookmarkStart w:id="306" w:name="_Toc184308107"/>
      <w:bookmarkEnd w:id="306"/>
      <w:bookmarkStart w:id="307" w:name="_Toc184313251"/>
      <w:bookmarkEnd w:id="307"/>
      <w:bookmarkStart w:id="308" w:name="_Toc184314423"/>
      <w:bookmarkEnd w:id="308"/>
      <w:bookmarkStart w:id="309" w:name="_Toc184314420"/>
      <w:bookmarkEnd w:id="309"/>
      <w:bookmarkStart w:id="310" w:name="_Toc184312096"/>
      <w:bookmarkEnd w:id="310"/>
      <w:bookmarkStart w:id="311" w:name="_Toc184314414"/>
      <w:bookmarkEnd w:id="311"/>
      <w:bookmarkStart w:id="312" w:name="_Toc184312076"/>
      <w:bookmarkEnd w:id="312"/>
      <w:bookmarkStart w:id="313" w:name="_Toc184310320"/>
      <w:bookmarkEnd w:id="313"/>
      <w:bookmarkStart w:id="314" w:name="_Toc184313294"/>
      <w:bookmarkEnd w:id="314"/>
      <w:bookmarkStart w:id="315" w:name="_Toc184314480"/>
      <w:bookmarkEnd w:id="315"/>
      <w:bookmarkStart w:id="316" w:name="_Toc184310301"/>
      <w:bookmarkEnd w:id="316"/>
      <w:bookmarkStart w:id="317" w:name="_Toc184314424"/>
      <w:bookmarkEnd w:id="317"/>
      <w:bookmarkStart w:id="318" w:name="_Toc184310331"/>
      <w:bookmarkEnd w:id="318"/>
      <w:bookmarkStart w:id="319" w:name="_Toc184308106"/>
      <w:bookmarkEnd w:id="319"/>
      <w:bookmarkStart w:id="320" w:name="_Toc184308098"/>
      <w:bookmarkEnd w:id="320"/>
      <w:bookmarkStart w:id="321" w:name="_Toc184312078"/>
      <w:bookmarkEnd w:id="321"/>
      <w:bookmarkStart w:id="322" w:name="_Toc184310313"/>
      <w:bookmarkEnd w:id="322"/>
      <w:bookmarkStart w:id="323" w:name="_Toc184308063"/>
      <w:bookmarkEnd w:id="323"/>
      <w:bookmarkStart w:id="324" w:name="_Toc184312091"/>
      <w:bookmarkEnd w:id="324"/>
      <w:bookmarkStart w:id="325" w:name="_Toc184313308"/>
      <w:bookmarkEnd w:id="325"/>
      <w:bookmarkStart w:id="326" w:name="_Toc184313276"/>
      <w:bookmarkEnd w:id="326"/>
      <w:bookmarkStart w:id="327" w:name="_Toc184313248"/>
      <w:bookmarkEnd w:id="327"/>
      <w:bookmarkStart w:id="328" w:name="_Toc184314426"/>
      <w:bookmarkEnd w:id="328"/>
      <w:bookmarkStart w:id="329" w:name="_Toc184308076"/>
      <w:bookmarkEnd w:id="329"/>
      <w:bookmarkStart w:id="330" w:name="_Toc184308042"/>
      <w:bookmarkEnd w:id="330"/>
      <w:bookmarkStart w:id="331" w:name="_Toc184312136"/>
      <w:bookmarkEnd w:id="331"/>
      <w:bookmarkStart w:id="332" w:name="_Toc184312114"/>
      <w:bookmarkEnd w:id="332"/>
      <w:bookmarkStart w:id="333" w:name="_Toc184308087"/>
      <w:bookmarkEnd w:id="333"/>
      <w:bookmarkStart w:id="334" w:name="_Toc184308089"/>
      <w:bookmarkEnd w:id="334"/>
      <w:bookmarkStart w:id="335" w:name="_Toc184310321"/>
      <w:bookmarkEnd w:id="335"/>
      <w:bookmarkStart w:id="336" w:name="_Toc184312080"/>
      <w:bookmarkEnd w:id="336"/>
      <w:bookmarkStart w:id="337" w:name="_Toc184312107"/>
      <w:bookmarkEnd w:id="337"/>
      <w:bookmarkStart w:id="338" w:name="_Toc184308050"/>
      <w:bookmarkEnd w:id="338"/>
      <w:bookmarkStart w:id="339" w:name="_Toc184308069"/>
      <w:bookmarkEnd w:id="339"/>
      <w:bookmarkStart w:id="340" w:name="_Toc184313243"/>
      <w:bookmarkEnd w:id="340"/>
      <w:bookmarkStart w:id="341" w:name="_Toc184312095"/>
      <w:bookmarkEnd w:id="341"/>
      <w:bookmarkStart w:id="342" w:name="_Toc184312123"/>
      <w:bookmarkEnd w:id="342"/>
      <w:bookmarkStart w:id="343" w:name="_Toc184313268"/>
      <w:bookmarkEnd w:id="343"/>
      <w:bookmarkStart w:id="344" w:name="_Toc184314440"/>
      <w:bookmarkEnd w:id="344"/>
      <w:bookmarkStart w:id="345" w:name="_Toc184308062"/>
      <w:bookmarkEnd w:id="345"/>
      <w:bookmarkStart w:id="346" w:name="_Toc184313275"/>
      <w:bookmarkEnd w:id="346"/>
      <w:bookmarkStart w:id="347" w:name="_Toc184312127"/>
      <w:bookmarkEnd w:id="347"/>
      <w:bookmarkStart w:id="348" w:name="_Toc184310326"/>
      <w:bookmarkEnd w:id="348"/>
      <w:bookmarkStart w:id="349" w:name="_Toc184312131"/>
      <w:bookmarkEnd w:id="349"/>
      <w:bookmarkStart w:id="350" w:name="_Toc184313301"/>
      <w:bookmarkEnd w:id="350"/>
      <w:bookmarkStart w:id="351" w:name="_Toc184308091"/>
      <w:bookmarkEnd w:id="351"/>
      <w:bookmarkStart w:id="352" w:name="_Toc184312092"/>
      <w:bookmarkEnd w:id="352"/>
      <w:bookmarkStart w:id="353" w:name="_Toc184314469"/>
      <w:bookmarkEnd w:id="353"/>
      <w:bookmarkStart w:id="354" w:name="_Toc184312122"/>
      <w:bookmarkEnd w:id="354"/>
      <w:bookmarkStart w:id="355" w:name="_Toc184308044"/>
      <w:bookmarkEnd w:id="355"/>
      <w:bookmarkStart w:id="356" w:name="_Toc184313289"/>
      <w:bookmarkEnd w:id="356"/>
      <w:bookmarkStart w:id="357" w:name="_Toc184308085"/>
      <w:bookmarkEnd w:id="357"/>
      <w:bookmarkStart w:id="358" w:name="_Toc184313284"/>
      <w:bookmarkEnd w:id="358"/>
      <w:bookmarkStart w:id="359" w:name="_Toc184314437"/>
      <w:bookmarkEnd w:id="359"/>
      <w:bookmarkStart w:id="360" w:name="_Toc184308086"/>
      <w:bookmarkEnd w:id="360"/>
      <w:bookmarkStart w:id="361" w:name="_Toc184312103"/>
      <w:bookmarkEnd w:id="361"/>
      <w:bookmarkStart w:id="362" w:name="_Toc184308102"/>
      <w:bookmarkEnd w:id="362"/>
      <w:bookmarkStart w:id="363" w:name="_Toc184313244"/>
      <w:bookmarkEnd w:id="363"/>
      <w:bookmarkStart w:id="364" w:name="_Toc184310299"/>
      <w:bookmarkEnd w:id="364"/>
      <w:bookmarkStart w:id="365" w:name="_Toc184313249"/>
      <w:bookmarkEnd w:id="365"/>
      <w:bookmarkStart w:id="366" w:name="_Toc184310306"/>
      <w:bookmarkEnd w:id="366"/>
      <w:bookmarkStart w:id="367" w:name="_Toc184314464"/>
      <w:bookmarkEnd w:id="367"/>
      <w:bookmarkStart w:id="368" w:name="_Toc184310289"/>
      <w:bookmarkEnd w:id="368"/>
      <w:bookmarkStart w:id="369" w:name="_Toc184310330"/>
      <w:bookmarkEnd w:id="369"/>
      <w:bookmarkStart w:id="370" w:name="_Toc184308037"/>
      <w:bookmarkEnd w:id="370"/>
      <w:bookmarkStart w:id="371" w:name="_Toc184313281"/>
      <w:bookmarkEnd w:id="371"/>
      <w:bookmarkStart w:id="372" w:name="_Toc184310338"/>
      <w:bookmarkEnd w:id="372"/>
      <w:bookmarkStart w:id="373" w:name="_Toc184314467"/>
      <w:bookmarkEnd w:id="373"/>
      <w:bookmarkStart w:id="374" w:name="_Toc184314435"/>
      <w:bookmarkEnd w:id="374"/>
      <w:bookmarkStart w:id="375" w:name="_Toc184308059"/>
      <w:bookmarkEnd w:id="375"/>
      <w:bookmarkStart w:id="376" w:name="_Toc184312068"/>
      <w:bookmarkEnd w:id="376"/>
      <w:bookmarkStart w:id="377" w:name="_Toc184313238"/>
      <w:bookmarkEnd w:id="377"/>
      <w:bookmarkStart w:id="378" w:name="_Toc184313306"/>
      <w:bookmarkEnd w:id="378"/>
      <w:bookmarkStart w:id="379" w:name="_Toc184308072"/>
      <w:bookmarkEnd w:id="379"/>
      <w:bookmarkStart w:id="380" w:name="_Toc184312112"/>
      <w:bookmarkEnd w:id="380"/>
      <w:bookmarkStart w:id="381" w:name="_Toc184308057"/>
      <w:bookmarkEnd w:id="381"/>
      <w:bookmarkStart w:id="382" w:name="_Toc184310293"/>
      <w:bookmarkEnd w:id="382"/>
      <w:bookmarkStart w:id="383" w:name="_Toc184313271"/>
      <w:bookmarkEnd w:id="383"/>
      <w:bookmarkStart w:id="384" w:name="_Toc184314441"/>
      <w:bookmarkEnd w:id="384"/>
      <w:bookmarkStart w:id="385" w:name="_Toc184312093"/>
      <w:bookmarkEnd w:id="385"/>
      <w:bookmarkStart w:id="386" w:name="_Toc184310283"/>
      <w:bookmarkEnd w:id="386"/>
      <w:bookmarkStart w:id="387" w:name="_Toc184312094"/>
      <w:bookmarkEnd w:id="387"/>
      <w:bookmarkStart w:id="388" w:name="_Toc184312098"/>
      <w:bookmarkEnd w:id="388"/>
      <w:bookmarkStart w:id="389" w:name="_Toc184312108"/>
      <w:bookmarkEnd w:id="389"/>
      <w:bookmarkStart w:id="390" w:name="_Toc184313302"/>
      <w:bookmarkEnd w:id="390"/>
      <w:bookmarkStart w:id="391" w:name="_Toc184313278"/>
      <w:bookmarkEnd w:id="391"/>
      <w:bookmarkStart w:id="392" w:name="_Toc184314444"/>
      <w:bookmarkEnd w:id="392"/>
      <w:bookmarkStart w:id="393" w:name="_Toc184314427"/>
      <w:bookmarkEnd w:id="393"/>
      <w:bookmarkStart w:id="394" w:name="_Toc184312106"/>
      <w:bookmarkEnd w:id="394"/>
      <w:bookmarkStart w:id="395" w:name="_Toc184313255"/>
      <w:bookmarkEnd w:id="395"/>
      <w:bookmarkStart w:id="396" w:name="_Toc184312130"/>
      <w:bookmarkEnd w:id="396"/>
      <w:bookmarkStart w:id="397" w:name="_Toc184308051"/>
      <w:bookmarkEnd w:id="397"/>
      <w:bookmarkStart w:id="398" w:name="_Toc184312079"/>
      <w:bookmarkEnd w:id="398"/>
      <w:bookmarkStart w:id="399" w:name="_Toc184310309"/>
      <w:bookmarkEnd w:id="399"/>
      <w:bookmarkStart w:id="400" w:name="_Toc184310311"/>
      <w:bookmarkEnd w:id="400"/>
      <w:bookmarkStart w:id="401" w:name="_Toc184314481"/>
      <w:bookmarkEnd w:id="401"/>
      <w:bookmarkStart w:id="402" w:name="_Toc184314432"/>
      <w:bookmarkEnd w:id="402"/>
      <w:bookmarkStart w:id="403" w:name="_Toc184312126"/>
      <w:bookmarkEnd w:id="403"/>
      <w:bookmarkStart w:id="404" w:name="_Toc184314422"/>
      <w:bookmarkEnd w:id="404"/>
      <w:bookmarkStart w:id="405" w:name="_Toc184313304"/>
      <w:bookmarkEnd w:id="405"/>
      <w:bookmarkStart w:id="406" w:name="_Toc184312071"/>
      <w:bookmarkEnd w:id="406"/>
      <w:bookmarkStart w:id="407" w:name="_Toc184312113"/>
      <w:bookmarkEnd w:id="407"/>
      <w:bookmarkStart w:id="408" w:name="_Toc184310337"/>
      <w:bookmarkEnd w:id="408"/>
      <w:bookmarkStart w:id="409" w:name="_Toc184313254"/>
      <w:bookmarkEnd w:id="409"/>
      <w:bookmarkStart w:id="410" w:name="_Toc184313259"/>
      <w:bookmarkEnd w:id="410"/>
      <w:bookmarkStart w:id="411" w:name="_Toc184313282"/>
      <w:bookmarkEnd w:id="411"/>
      <w:bookmarkStart w:id="412" w:name="_Toc184313307"/>
      <w:bookmarkEnd w:id="412"/>
      <w:bookmarkStart w:id="413" w:name="_Toc184314468"/>
      <w:bookmarkEnd w:id="413"/>
      <w:bookmarkStart w:id="414" w:name="_Toc184310329"/>
      <w:bookmarkEnd w:id="414"/>
      <w:bookmarkStart w:id="415" w:name="_Toc184308068"/>
      <w:bookmarkEnd w:id="415"/>
      <w:bookmarkStart w:id="416" w:name="_Toc184314476"/>
      <w:bookmarkEnd w:id="416"/>
      <w:bookmarkStart w:id="417" w:name="_Toc184310292"/>
      <w:bookmarkEnd w:id="417"/>
      <w:bookmarkStart w:id="418" w:name="_Toc184308048"/>
      <w:bookmarkEnd w:id="418"/>
      <w:bookmarkStart w:id="419" w:name="_Toc184314460"/>
      <w:bookmarkEnd w:id="419"/>
      <w:bookmarkStart w:id="420" w:name="_Toc184310341"/>
      <w:bookmarkEnd w:id="420"/>
      <w:bookmarkStart w:id="421" w:name="_Toc184308070"/>
      <w:bookmarkEnd w:id="421"/>
      <w:bookmarkStart w:id="422" w:name="_Toc184314471"/>
      <w:bookmarkEnd w:id="422"/>
      <w:bookmarkStart w:id="423" w:name="_Toc184308041"/>
      <w:bookmarkEnd w:id="423"/>
      <w:bookmarkStart w:id="424" w:name="_Toc184314470"/>
      <w:bookmarkEnd w:id="424"/>
      <w:bookmarkStart w:id="425" w:name="_Toc184308101"/>
      <w:bookmarkEnd w:id="425"/>
      <w:bookmarkStart w:id="426" w:name="_Toc184312128"/>
      <w:bookmarkEnd w:id="426"/>
      <w:bookmarkStart w:id="427" w:name="_Toc184314461"/>
      <w:bookmarkEnd w:id="427"/>
      <w:bookmarkStart w:id="428" w:name="_Toc184310303"/>
      <w:bookmarkEnd w:id="428"/>
      <w:bookmarkStart w:id="429" w:name="_Toc184310287"/>
      <w:bookmarkEnd w:id="429"/>
      <w:bookmarkStart w:id="430" w:name="_Toc184308079"/>
      <w:bookmarkEnd w:id="430"/>
      <w:bookmarkStart w:id="431" w:name="_Toc184312125"/>
      <w:bookmarkEnd w:id="431"/>
      <w:bookmarkStart w:id="432" w:name="_Toc184308047"/>
      <w:bookmarkEnd w:id="432"/>
      <w:bookmarkStart w:id="433" w:name="_Toc184314473"/>
      <w:bookmarkEnd w:id="433"/>
      <w:bookmarkStart w:id="434" w:name="_Toc184312124"/>
      <w:bookmarkEnd w:id="434"/>
      <w:bookmarkStart w:id="435" w:name="_Toc184313266"/>
      <w:bookmarkEnd w:id="435"/>
      <w:bookmarkStart w:id="436" w:name="_Toc184308049"/>
      <w:bookmarkEnd w:id="436"/>
      <w:bookmarkStart w:id="437" w:name="_Toc184308065"/>
      <w:bookmarkEnd w:id="437"/>
      <w:r>
        <w:rPr>
          <w:rFonts w:hint="eastAsia" w:ascii="宋体" w:hAnsi="宋体" w:cs="宋体"/>
          <w:b/>
          <w:color w:val="auto"/>
          <w:sz w:val="36"/>
          <w:szCs w:val="36"/>
          <w:highlight w:val="none"/>
        </w:rPr>
        <w:t>评标办法</w:t>
      </w:r>
      <w:bookmarkEnd w:id="72"/>
    </w:p>
    <w:p>
      <w:pPr>
        <w:pStyle w:val="3"/>
        <w:jc w:val="center"/>
        <w:rPr>
          <w:rFonts w:ascii="宋体" w:hAnsi="宋体" w:eastAsia="宋体" w:cs="宋体"/>
          <w:color w:val="auto"/>
          <w:sz w:val="28"/>
          <w:szCs w:val="28"/>
          <w:highlight w:val="none"/>
        </w:rPr>
      </w:pPr>
      <w:bookmarkStart w:id="438" w:name="_Toc24016"/>
      <w:r>
        <w:rPr>
          <w:rFonts w:hint="eastAsia" w:ascii="宋体" w:hAnsi="宋体" w:eastAsia="宋体" w:cs="宋体"/>
          <w:color w:val="auto"/>
          <w:sz w:val="28"/>
          <w:szCs w:val="28"/>
          <w:highlight w:val="none"/>
        </w:rPr>
        <w:t>评标办法前附表</w:t>
      </w:r>
      <w:bookmarkEnd w:id="438"/>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03"/>
        <w:gridCol w:w="5475"/>
        <w:gridCol w:w="60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评审内容</w:t>
            </w:r>
          </w:p>
        </w:tc>
        <w:tc>
          <w:tcPr>
            <w:tcW w:w="503"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5475"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评分标准</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权值比重(100分)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bCs/>
                <w:color w:val="auto"/>
                <w:sz w:val="24"/>
                <w:highlight w:val="none"/>
              </w:rPr>
              <w:t>投标文件中相应的商务技术资料目录（页码）</w:t>
            </w:r>
            <w:r>
              <w:rPr>
                <w:rFonts w:hint="eastAsia" w:ascii="宋体" w:hAnsi="宋体" w:cs="宋体"/>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restart"/>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商务技术部分（80分）</w:t>
            </w:r>
          </w:p>
        </w:tc>
        <w:tc>
          <w:tcPr>
            <w:tcW w:w="503"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475" w:type="dxa"/>
            <w:noWrap/>
            <w:vAlign w:val="center"/>
          </w:tcPr>
          <w:p>
            <w:pPr>
              <w:snapToGrid w:val="0"/>
              <w:spacing w:line="312" w:lineRule="auto"/>
              <w:ind w:left="-107" w:leftChars="-51" w:right="-97" w:rightChars="-46"/>
              <w:jc w:val="left"/>
              <w:rPr>
                <w:rFonts w:ascii="宋体" w:hAnsi="宋体" w:cs="宋体"/>
                <w:color w:val="auto"/>
                <w:kern w:val="0"/>
                <w:sz w:val="24"/>
                <w:highlight w:val="none"/>
              </w:rPr>
            </w:pPr>
            <w:r>
              <w:rPr>
                <w:rFonts w:hint="eastAsia" w:ascii="宋体" w:hAnsi="宋体" w:cs="宋体"/>
                <w:color w:val="auto"/>
                <w:kern w:val="0"/>
                <w:sz w:val="24"/>
                <w:highlight w:val="none"/>
              </w:rPr>
              <w:t>投标人自2019年1月1日至今（以合同签订时间为准）具有成功实施的保安同类项目的业绩或案例证明，提供1个得1分，最高2分。投标文件中需提供合同复印件加盖投标人公章，原件备查。</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2分</w:t>
            </w:r>
          </w:p>
        </w:tc>
        <w:tc>
          <w:tcPr>
            <w:tcW w:w="1062" w:type="dxa"/>
            <w:noWrap/>
            <w:vAlign w:val="center"/>
          </w:tcPr>
          <w:p>
            <w:pPr>
              <w:snapToGrid w:val="0"/>
              <w:spacing w:line="312" w:lineRule="auto"/>
              <w:ind w:left="-107" w:leftChars="-51" w:right="-97" w:rightChars="-46"/>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2</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投标文件对招标文件的响应情况：与招标文件无负偏离得5分；非实质性负偏离,每项扣1分，扣完为止。标注“▲”条款为实质性条款。</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3</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根据投标人提供完整的医院安全保卫工作整体方案、人员调度计划、值班轮休计划、日常管控的具体措施。</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8分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4</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日常工作程序（维护医院内的医疗秩序、消防安全、</w:t>
            </w:r>
          </w:p>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常态化巡逻等各项活动、公共秩序、调解纠纷、疏导人流等）内容。</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5</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保安服务方案可行性和质量保证：包括岗位服务内容、保安标准化方案、操作程序合理，操作规程、演练、演习、培训方案等科学实用，培训计划和内容等可行性，有完整的信息反馈系统。</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8分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6</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保安人员素质：提供配备保安人员的文化程度、持证证书、工作经验、年龄、退伍军人（提供退伍军人证复印件）数量。</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7</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保安管理规章制度、岗位职能及针对本项目制定实际有效的质量考核奖惩制度，提供考核表。</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8</w:t>
            </w:r>
          </w:p>
        </w:tc>
        <w:tc>
          <w:tcPr>
            <w:tcW w:w="5475" w:type="dxa"/>
            <w:noWrap/>
            <w:vAlign w:val="center"/>
          </w:tcPr>
          <w:p>
            <w:pPr>
              <w:snapToGrid w:val="0"/>
              <w:spacing w:line="312" w:lineRule="auto"/>
              <w:ind w:left="-107" w:leftChars="-51" w:right="-97" w:rightChars="-46"/>
              <w:jc w:val="left"/>
              <w:rPr>
                <w:rFonts w:hint="eastAsia" w:ascii="宋体" w:hAnsi="宋体" w:cs="宋体"/>
                <w:color w:val="auto"/>
                <w:sz w:val="24"/>
                <w:highlight w:val="none"/>
              </w:rPr>
            </w:pPr>
            <w:r>
              <w:rPr>
                <w:rFonts w:hint="eastAsia" w:ascii="宋体" w:hAnsi="宋体" w:cs="宋体"/>
                <w:color w:val="auto"/>
                <w:sz w:val="24"/>
                <w:highlight w:val="none"/>
              </w:rPr>
              <w:t>同类项目业绩中具有业主反馈表的：每提供一份证明材料获得业主好评(附合同)得1分；同一业主计一项，不提供不得分，最高得3分。</w:t>
            </w:r>
          </w:p>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注：证明材料：业主反馈表须加盖业主单位公章。</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3分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9</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稳定员工队伍的措施、人员保障机制及人员工资福利承诺情况，根据采购人投入项目资金情况，制定员工工资福利计划。（以符合采购人投入资金的使用合理性为原则）。</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10</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重点部位(包含医院门卫、急诊区域、发热门诊区域)的保安方案及保证措施</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11</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重大接待任务及重要节假日加班措施。</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5分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12</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提供详细、全面的突发事件应急预案（案件防控、打击罪犯、反扒防抢、自然灾害、突发事件处置等）。</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13</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拟投入本项目的秩序维护执勤器材设备工具、耗材配置和管理情况。</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14</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服务质量的承诺及保证措施、安全文明礼貌的承诺及保证措施、完善售后服务计划。</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6分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c>
          <w:tcPr>
            <w:tcW w:w="503" w:type="dxa"/>
            <w:noWrap/>
            <w:vAlign w:val="center"/>
          </w:tcPr>
          <w:p>
            <w:pPr>
              <w:snapToGrid w:val="0"/>
              <w:spacing w:line="312" w:lineRule="auto"/>
              <w:ind w:left="-107" w:leftChars="-51" w:right="-97" w:rightChars="-46"/>
              <w:jc w:val="center"/>
              <w:rPr>
                <w:rFonts w:ascii="宋体" w:hAnsi="宋体" w:cs="宋体"/>
                <w:color w:val="auto"/>
                <w:sz w:val="24"/>
                <w:highlight w:val="none"/>
              </w:rPr>
            </w:pPr>
            <w:r>
              <w:rPr>
                <w:rFonts w:hint="eastAsia" w:ascii="宋体" w:hAnsi="宋体" w:cs="宋体"/>
                <w:color w:val="auto"/>
                <w:sz w:val="24"/>
                <w:highlight w:val="none"/>
              </w:rPr>
              <w:t>15</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针对项目实施中可能会出现的问题和存在的困难，进行客观仔细地分析，并结合自身专业、经验等实际情况，在对项目理解的基础上提出合理化建议（解决对策）。经评标专家认可，每条合理化建议（解决对策）得1分，最高得3分。</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3分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998"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价格部分</w:t>
            </w:r>
          </w:p>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（满分20分）</w:t>
            </w:r>
          </w:p>
        </w:tc>
        <w:tc>
          <w:tcPr>
            <w:tcW w:w="503"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475" w:type="dxa"/>
            <w:noWrap/>
            <w:vAlign w:val="center"/>
          </w:tcPr>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满足招标文件要求且投标价格最低的投标报价为评标基准价，其价格分为满分。</w:t>
            </w:r>
          </w:p>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各个投标人的投标价与评标基准价相比，计算出投标报价得分。</w:t>
            </w:r>
          </w:p>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投标报价得分=(评标基准价／投标报价)×20。</w:t>
            </w:r>
          </w:p>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注：以上评分保留小数2位。</w:t>
            </w:r>
          </w:p>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snapToGrid w:val="0"/>
              <w:spacing w:line="312" w:lineRule="auto"/>
              <w:ind w:left="-107" w:leftChars="-51" w:right="-97" w:rightChars="-46"/>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tc>
        <w:tc>
          <w:tcPr>
            <w:tcW w:w="60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r>
              <w:rPr>
                <w:rFonts w:hint="eastAsia" w:ascii="宋体" w:hAnsi="宋体" w:cs="宋体"/>
                <w:color w:val="auto"/>
                <w:kern w:val="0"/>
                <w:sz w:val="24"/>
                <w:highlight w:val="none"/>
              </w:rPr>
              <w:t>20分</w:t>
            </w:r>
          </w:p>
        </w:tc>
        <w:tc>
          <w:tcPr>
            <w:tcW w:w="1062" w:type="dxa"/>
            <w:noWrap/>
            <w:vAlign w:val="center"/>
          </w:tcPr>
          <w:p>
            <w:pPr>
              <w:snapToGrid w:val="0"/>
              <w:spacing w:line="312" w:lineRule="auto"/>
              <w:ind w:left="-107" w:leftChars="-51" w:right="-97" w:rightChars="-46"/>
              <w:jc w:val="center"/>
              <w:rPr>
                <w:rFonts w:ascii="宋体" w:hAnsi="宋体" w:cs="宋体"/>
                <w:color w:val="auto"/>
                <w:kern w:val="0"/>
                <w:sz w:val="24"/>
                <w:highlight w:val="none"/>
              </w:rPr>
            </w:pPr>
          </w:p>
        </w:tc>
      </w:tr>
    </w:tbl>
    <w:p>
      <w:pPr>
        <w:snapToGrid w:val="0"/>
        <w:spacing w:line="360" w:lineRule="auto"/>
        <w:rPr>
          <w:rFonts w:ascii="宋体" w:hAnsi="宋体" w:cs="宋体"/>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供应商编制投标文件（商务技术文件部分）时，建议按此目录（序号和内容）</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提供评审标准相应的商务技术资料。</w:t>
      </w:r>
    </w:p>
    <w:p>
      <w:pPr>
        <w:snapToGrid w:val="0"/>
        <w:spacing w:line="360" w:lineRule="auto"/>
        <w:rPr>
          <w:rFonts w:ascii="宋体" w:hAnsi="宋体" w:cs="宋体"/>
          <w:b/>
          <w:color w:val="auto"/>
          <w:sz w:val="24"/>
          <w:highlight w:val="none"/>
        </w:rPr>
      </w:pPr>
    </w:p>
    <w:p>
      <w:pPr>
        <w:pStyle w:val="6"/>
        <w:rPr>
          <w:rFonts w:hAnsi="宋体" w:cs="宋体"/>
          <w:b/>
          <w:color w:val="auto"/>
          <w:szCs w:val="24"/>
          <w:highlight w:val="none"/>
        </w:rPr>
      </w:pPr>
    </w:p>
    <w:p>
      <w:pPr>
        <w:pStyle w:val="7"/>
        <w:ind w:firstLine="210"/>
        <w:rPr>
          <w:color w:val="auto"/>
          <w:highlight w:val="none"/>
        </w:rPr>
      </w:pPr>
    </w:p>
    <w:p>
      <w:pPr>
        <w:rPr>
          <w:color w:val="auto"/>
          <w:highlight w:val="none"/>
        </w:rPr>
      </w:pPr>
    </w:p>
    <w:p>
      <w:pPr>
        <w:pStyle w:val="3"/>
        <w:rPr>
          <w:rFonts w:ascii="宋体" w:hAnsi="宋体" w:eastAsia="宋体" w:cs="宋体"/>
          <w:color w:val="auto"/>
          <w:sz w:val="24"/>
          <w:szCs w:val="24"/>
          <w:highlight w:val="none"/>
        </w:rPr>
      </w:pPr>
      <w:bookmarkStart w:id="439" w:name="_Toc3941"/>
      <w:r>
        <w:rPr>
          <w:rFonts w:hint="eastAsia" w:ascii="宋体" w:hAnsi="宋体" w:eastAsia="宋体" w:cs="宋体"/>
          <w:color w:val="auto"/>
          <w:sz w:val="24"/>
          <w:szCs w:val="24"/>
          <w:highlight w:val="none"/>
        </w:rPr>
        <w:t>一、评标方法</w:t>
      </w:r>
      <w:bookmarkEnd w:id="439"/>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b/>
          <w:color w:val="auto"/>
          <w:sz w:val="24"/>
          <w:highlight w:val="none"/>
        </w:rPr>
      </w:pPr>
    </w:p>
    <w:p>
      <w:pPr>
        <w:pStyle w:val="3"/>
        <w:rPr>
          <w:rFonts w:ascii="宋体" w:hAnsi="宋体" w:eastAsia="宋体" w:cs="宋体"/>
          <w:color w:val="auto"/>
          <w:sz w:val="24"/>
          <w:szCs w:val="24"/>
          <w:highlight w:val="none"/>
        </w:rPr>
      </w:pPr>
      <w:bookmarkStart w:id="440" w:name="_Toc13269"/>
      <w:r>
        <w:rPr>
          <w:rFonts w:hint="eastAsia" w:ascii="宋体" w:hAnsi="宋体" w:eastAsia="宋体" w:cs="宋体"/>
          <w:color w:val="auto"/>
          <w:sz w:val="24"/>
          <w:szCs w:val="24"/>
          <w:highlight w:val="none"/>
        </w:rPr>
        <w:t>二、评标标准</w:t>
      </w:r>
      <w:bookmarkEnd w:id="440"/>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pPr>
        <w:spacing w:line="360" w:lineRule="auto"/>
        <w:rPr>
          <w:rFonts w:ascii="宋体" w:hAnsi="宋体" w:cs="宋体"/>
          <w:b/>
          <w:color w:val="auto"/>
          <w:sz w:val="24"/>
          <w:highlight w:val="none"/>
        </w:rPr>
      </w:pPr>
    </w:p>
    <w:p>
      <w:pPr>
        <w:pStyle w:val="3"/>
        <w:rPr>
          <w:rFonts w:ascii="宋体" w:hAnsi="宋体" w:eastAsia="宋体" w:cs="宋体"/>
          <w:color w:val="auto"/>
          <w:sz w:val="24"/>
          <w:szCs w:val="24"/>
          <w:highlight w:val="none"/>
        </w:rPr>
      </w:pPr>
      <w:bookmarkStart w:id="441" w:name="_Toc3879"/>
      <w:r>
        <w:rPr>
          <w:rFonts w:hint="eastAsia" w:ascii="宋体" w:hAnsi="宋体" w:eastAsia="宋体" w:cs="宋体"/>
          <w:color w:val="auto"/>
          <w:sz w:val="24"/>
          <w:szCs w:val="24"/>
          <w:highlight w:val="none"/>
        </w:rPr>
        <w:t>三、评标程序</w:t>
      </w:r>
      <w:bookmarkEnd w:id="441"/>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5"/>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jc w:val="left"/>
        <w:rPr>
          <w:rFonts w:ascii="宋体" w:hAnsi="宋体" w:cs="宋体"/>
          <w:b/>
          <w:color w:val="auto"/>
          <w:sz w:val="24"/>
          <w:highlight w:val="none"/>
        </w:rPr>
      </w:pPr>
    </w:p>
    <w:p>
      <w:pPr>
        <w:pStyle w:val="3"/>
        <w:rPr>
          <w:rFonts w:ascii="宋体" w:hAnsi="宋体" w:eastAsia="宋体" w:cs="宋体"/>
          <w:color w:val="auto"/>
          <w:sz w:val="24"/>
          <w:szCs w:val="24"/>
          <w:highlight w:val="none"/>
        </w:rPr>
      </w:pPr>
      <w:bookmarkStart w:id="442" w:name="_Toc1724"/>
      <w:r>
        <w:rPr>
          <w:rFonts w:hint="eastAsia" w:ascii="宋体" w:hAnsi="宋体" w:eastAsia="宋体" w:cs="宋体"/>
          <w:color w:val="auto"/>
          <w:sz w:val="24"/>
          <w:szCs w:val="24"/>
          <w:highlight w:val="none"/>
        </w:rPr>
        <w:t>四、评标中的其他事项</w:t>
      </w:r>
      <w:bookmarkEnd w:id="442"/>
    </w:p>
    <w:p>
      <w:pPr>
        <w:pStyle w:val="2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8"/>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kern w:val="0"/>
          <w:highlight w:val="none"/>
        </w:rPr>
        <w:t>开标结束后，采购人或采购代理机构将对依法对供应商的资格投标文件进行审查，资格审查结束后进入符合性审查和商务技术服务的评审。</w:t>
      </w:r>
      <w:r>
        <w:rPr>
          <w:rFonts w:hint="eastAsia" w:cs="宋体"/>
          <w:color w:val="auto"/>
          <w:highlight w:val="none"/>
        </w:rPr>
        <w:t>有下列情况之一的，投标无效：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4.2.1在商务和技术服务评审时，如发现下列情形之一的，投标文件将被视为无效：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1）投标人不具备招标文件中规定的资格要求的（投标人未提供有效的资格文件的，视为投标人不具备招标文件中规定的资格要求）；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2）投标文件未按照招标文件要求签署、盖章的；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4）投标文件含有采购人不能接受的附加条件的；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5）投标文件中承诺的投标有效期少于招标文件中载明的投标有效期的；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6）投标人提供虚假材料的；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7）投标人有恶意串通、妨碍其他供应商的竞争行为、损害采购人或者其他供应商的合法权益情形的；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8）投标人仅提交备份投标文件，没有在电子交易平台传输递交投标文件的，投标无效；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9）投标文件不满足招标文件的其它实质性要求的；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10）法律、法规、规章（适用本市的）及省级以上规范性文件（适用本市的）规定的其他无效情形。</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4.2.2在报价评审时，如发现下列情形之一的，投标文件将被视为无效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1）投标文件未按照招标文件要求签署、盖章的；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2）投标文件出现不是唯一的、有选择性投标报价的;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3）投标文件报价清单与招标文件（包括答疑等补充文件）提供的清单不一致的；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4）投标报价超过招标文件中规定的预算金额或者最高限价的;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5）报价明显低于其他通过符合性审查供应商的报价，有可能影响产品质量或者不能诚信履约的，未能按要求提供书面说明或者提交相关证明材料，不能证明其报价合理性的;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6)投标人对根据修正原则修正后的报价不确认的；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7)投标人提供虚假材料投标的；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8)投标人有恶意串通、妨碍其他供应商的竞争行为、损害采购人或者其他供应商的合法权益情形的；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9)投标人仅提交备份投标文件，没有在电子交易平台传输递交投标文件的，投标无效；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10)投标文件不满足招标文件的其它实质性要求的；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11)法律、法规、规章（适用本市的）及省级以上规范性文件（适用本市的）规定的其他无效情形。</w:t>
      </w:r>
    </w:p>
    <w:p>
      <w:pPr>
        <w:pStyle w:val="8"/>
        <w:snapToGrid w:val="0"/>
        <w:spacing w:line="360" w:lineRule="auto"/>
        <w:ind w:firstLine="482"/>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8"/>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8"/>
        <w:snapToGrid w:val="0"/>
        <w:spacing w:line="360" w:lineRule="auto"/>
        <w:rPr>
          <w:rFonts w:cs="宋体"/>
          <w:color w:val="auto"/>
          <w:highlight w:val="none"/>
        </w:rPr>
      </w:pPr>
      <w:r>
        <w:rPr>
          <w:rFonts w:hint="eastAsia" w:cs="宋体"/>
          <w:color w:val="auto"/>
          <w:highlight w:val="none"/>
        </w:rPr>
        <w:t>5.4因重大变故，采购任务取消的。</w:t>
      </w:r>
    </w:p>
    <w:p>
      <w:pPr>
        <w:pStyle w:val="8"/>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8"/>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pPr>
        <w:pStyle w:val="8"/>
        <w:snapToGrid w:val="0"/>
        <w:spacing w:line="360" w:lineRule="auto"/>
        <w:ind w:firstLine="600" w:firstLineChars="250"/>
        <w:rPr>
          <w:rFonts w:cs="宋体"/>
          <w:color w:val="auto"/>
          <w:highlight w:val="none"/>
        </w:rPr>
      </w:pPr>
      <w:r>
        <w:rPr>
          <w:rFonts w:hint="eastAsia" w:cs="宋体"/>
          <w:color w:val="auto"/>
          <w:highlight w:val="none"/>
        </w:rPr>
        <w:t>7.1未确定中标或者中标人的，终止本次政府采购活动，重新开展政府采购活动。</w:t>
      </w:r>
    </w:p>
    <w:p>
      <w:pPr>
        <w:pStyle w:val="8"/>
        <w:snapToGrid w:val="0"/>
        <w:spacing w:line="360" w:lineRule="auto"/>
        <w:ind w:firstLine="600" w:firstLineChars="250"/>
        <w:rPr>
          <w:rFonts w:cs="宋体"/>
          <w:color w:val="auto"/>
          <w:highlight w:val="none"/>
        </w:rPr>
      </w:pPr>
      <w:r>
        <w:rPr>
          <w:rFonts w:hint="eastAsia"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ind w:firstLine="600" w:firstLineChars="250"/>
        <w:rPr>
          <w:rFonts w:cs="宋体"/>
          <w:color w:val="auto"/>
          <w:highlight w:val="none"/>
        </w:rPr>
      </w:pPr>
      <w:r>
        <w:rPr>
          <w:rFonts w:hint="eastAsia"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8"/>
        <w:snapToGrid w:val="0"/>
        <w:spacing w:line="360" w:lineRule="auto"/>
        <w:rPr>
          <w:rFonts w:cs="宋体"/>
          <w:color w:val="auto"/>
          <w:highlight w:val="none"/>
        </w:rPr>
      </w:pPr>
      <w:r>
        <w:rPr>
          <w:rFonts w:hint="eastAsia" w:cs="宋体"/>
          <w:color w:val="auto"/>
          <w:highlight w:val="none"/>
        </w:rPr>
        <w:t>7.5政府采购当事人有其他违反政府采购法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的行为，经改正后仍然影响或者可能影响中标、成交结果或者依法被认定为中标、成交无效的，依照7.1-7.4规定处理。</w:t>
      </w:r>
    </w:p>
    <w:p>
      <w:pPr>
        <w:pStyle w:val="8"/>
        <w:snapToGrid w:val="0"/>
        <w:spacing w:line="360" w:lineRule="auto"/>
        <w:ind w:firstLine="0" w:firstLineChars="0"/>
        <w:rPr>
          <w:rFonts w:cs="宋体"/>
          <w:color w:val="auto"/>
          <w:highlight w:val="none"/>
        </w:rPr>
      </w:pPr>
    </w:p>
    <w:bookmarkEnd w:id="48"/>
    <w:p>
      <w:pPr>
        <w:rPr>
          <w:rFonts w:ascii="宋体" w:hAnsi="宋体" w:cs="宋体"/>
          <w:b/>
          <w:color w:val="auto"/>
          <w:sz w:val="24"/>
          <w:highlight w:val="none"/>
        </w:rPr>
      </w:pPr>
      <w:bookmarkStart w:id="443" w:name="第五部分"/>
      <w:bookmarkStart w:id="444" w:name="_Toc86217003"/>
      <w:r>
        <w:rPr>
          <w:rFonts w:hint="eastAsia" w:ascii="宋体" w:hAnsi="宋体" w:cs="宋体"/>
          <w:b/>
          <w:color w:val="auto"/>
          <w:sz w:val="24"/>
          <w:highlight w:val="none"/>
        </w:rPr>
        <w:br w:type="page"/>
      </w:r>
    </w:p>
    <w:p>
      <w:pPr>
        <w:pStyle w:val="2"/>
        <w:spacing w:before="0" w:after="0" w:line="360" w:lineRule="auto"/>
        <w:ind w:left="431" w:hanging="431"/>
        <w:jc w:val="center"/>
        <w:rPr>
          <w:rFonts w:ascii="宋体" w:hAnsi="宋体" w:cs="宋体"/>
          <w:color w:val="auto"/>
          <w:sz w:val="36"/>
          <w:szCs w:val="36"/>
          <w:highlight w:val="none"/>
        </w:rPr>
      </w:pPr>
      <w:bookmarkStart w:id="445" w:name="_Toc6416"/>
      <w:r>
        <w:rPr>
          <w:rFonts w:hint="eastAsia" w:ascii="宋体" w:hAnsi="宋体" w:cs="宋体"/>
          <w:color w:val="auto"/>
          <w:sz w:val="36"/>
          <w:szCs w:val="36"/>
          <w:highlight w:val="none"/>
        </w:rPr>
        <w:t>第五部分 拟签订的合同文本</w:t>
      </w:r>
      <w:bookmarkEnd w:id="445"/>
    </w:p>
    <w:p>
      <w:pPr>
        <w:spacing w:line="480" w:lineRule="auto"/>
        <w:rPr>
          <w:rFonts w:ascii="宋体" w:hAnsi="宋体" w:cs="宋体"/>
          <w:b/>
          <w:color w:val="auto"/>
          <w:sz w:val="24"/>
          <w:highlight w:val="none"/>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嘉兴市政府采购合同（指引）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一、通用必备条款部分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政府采购计划（预算）确认号：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预算金额：   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采购人（以下称甲方）：嘉兴市妇幼保健院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采购代理机构：杭州中浙招标有限公司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嘉兴市妇幼保健院2022至2023年保安服务项目</w:t>
      </w:r>
      <w:r>
        <w:rPr>
          <w:rFonts w:hint="eastAsia" w:ascii="宋体" w:hAnsi="宋体" w:cs="宋体"/>
          <w:color w:val="auto"/>
          <w:kern w:val="0"/>
          <w:sz w:val="24"/>
          <w:highlight w:val="none"/>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（2）招标文件与投标文件；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嘉兴市妇幼保健院2022至2023年保安服务项目</w:t>
      </w:r>
      <w:r>
        <w:rPr>
          <w:rFonts w:hint="eastAsia" w:ascii="宋体" w:hAnsi="宋体" w:cs="宋体"/>
          <w:color w:val="auto"/>
          <w:kern w:val="0"/>
          <w:sz w:val="24"/>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1.本合同项下总价款为小写</w:t>
      </w:r>
      <w:r>
        <w:rPr>
          <w:rFonts w:hint="eastAsia" w:ascii="宋体" w:hAnsi="宋体" w:cs="宋体"/>
          <w:color w:val="auto"/>
          <w:kern w:val="0"/>
          <w:sz w:val="24"/>
          <w:highlight w:val="none"/>
          <w:u w:val="single"/>
        </w:rPr>
        <w:t>元</w:t>
      </w:r>
      <w:r>
        <w:rPr>
          <w:rFonts w:hint="eastAsia" w:ascii="宋体" w:hAnsi="宋体" w:cs="宋体"/>
          <w:color w:val="auto"/>
          <w:kern w:val="0"/>
          <w:sz w:val="24"/>
          <w:highlight w:val="none"/>
        </w:rPr>
        <w:t>（大写）人民币。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2.本合同付款方式为以下第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（2）本合同项下的采购资金须财政直接支付，付款程序为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3.本合同项下的采购资金付款进度按招投标文件规定，未规定时按以下第</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 xml:space="preserve"> 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（条件）时，一次性付款；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时支付</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项处理：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1.本项目设置履约保证金，乙方应于</w:t>
      </w:r>
      <w:r>
        <w:rPr>
          <w:rFonts w:hint="eastAsia" w:ascii="宋体" w:hAnsi="宋体" w:cs="宋体"/>
          <w:color w:val="auto"/>
          <w:sz w:val="24"/>
          <w:highlight w:val="none"/>
          <w:u w:val="single"/>
        </w:rPr>
        <w:t xml:space="preserve">合同签订前10天内 </w:t>
      </w:r>
      <w:r>
        <w:rPr>
          <w:rFonts w:hint="eastAsia" w:ascii="宋体" w:hAnsi="宋体" w:cs="宋体"/>
          <w:color w:val="auto"/>
          <w:kern w:val="0"/>
          <w:sz w:val="24"/>
          <w:highlight w:val="none"/>
        </w:rPr>
        <w:t>向甲方提交履约保证金_______元（合同金额的1%）。履约保证金在</w:t>
      </w:r>
      <w:r>
        <w:rPr>
          <w:rFonts w:hint="eastAsia" w:ascii="宋体" w:hAnsi="宋体" w:cs="宋体"/>
          <w:color w:val="auto"/>
          <w:sz w:val="24"/>
          <w:highlight w:val="none"/>
          <w:u w:val="single"/>
        </w:rPr>
        <w:t>合同结束并结清费用后</w:t>
      </w:r>
      <w:r>
        <w:rPr>
          <w:rFonts w:hint="eastAsia" w:ascii="宋体" w:hAnsi="宋体" w:cs="宋体"/>
          <w:color w:val="auto"/>
          <w:sz w:val="24"/>
          <w:highlight w:val="none"/>
        </w:rPr>
        <w:t>完成</w:t>
      </w:r>
      <w:r>
        <w:rPr>
          <w:rFonts w:hint="eastAsia" w:ascii="宋体" w:hAnsi="宋体" w:cs="宋体"/>
          <w:color w:val="auto"/>
          <w:kern w:val="0"/>
          <w:sz w:val="24"/>
          <w:highlight w:val="none"/>
        </w:rPr>
        <w:t>退还乙方。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形式：支票、汇票、本票或者金融机构、担保机构出具的保函等非现金形式。鼓励和支持乙方以银行、保险公司出具的保函形式提供履约保证。乙方可登录政采云前台大厅选择金融服务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auto"/>
          <w:kern w:val="0"/>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color w:val="auto"/>
          <w:kern w:val="0"/>
          <w:sz w:val="24"/>
          <w:highlight w:val="non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rPr>
        <w:t>陆</w:t>
      </w:r>
      <w:r>
        <w:rPr>
          <w:rFonts w:hint="eastAsia" w:ascii="宋体" w:hAnsi="宋体" w:cs="宋体"/>
          <w:color w:val="auto"/>
          <w:kern w:val="0"/>
          <w:sz w:val="24"/>
          <w:highlight w:val="none"/>
        </w:rPr>
        <w:t>份，甲乙双方各执</w:t>
      </w:r>
      <w:r>
        <w:rPr>
          <w:rFonts w:hint="eastAsia" w:ascii="宋体" w:hAnsi="宋体" w:cs="宋体"/>
          <w:color w:val="auto"/>
          <w:kern w:val="0"/>
          <w:sz w:val="24"/>
          <w:highlight w:val="none"/>
          <w:u w:val="single"/>
        </w:rPr>
        <w:t>叁</w:t>
      </w:r>
      <w:r>
        <w:rPr>
          <w:rFonts w:hint="eastAsia" w:ascii="宋体" w:hAnsi="宋体" w:cs="宋体"/>
          <w:color w:val="auto"/>
          <w:kern w:val="0"/>
          <w:sz w:val="24"/>
          <w:highlight w:val="none"/>
        </w:rPr>
        <w:t>份，</w:t>
      </w:r>
      <w:r>
        <w:rPr>
          <w:rFonts w:hint="eastAsia" w:ascii="宋体" w:hAnsi="宋体" w:cs="宋体"/>
          <w:color w:val="auto"/>
          <w:kern w:val="0"/>
          <w:sz w:val="24"/>
          <w:highlight w:val="none"/>
          <w:u w:val="single"/>
        </w:rPr>
        <w:t>叁</w:t>
      </w:r>
      <w:r>
        <w:rPr>
          <w:rFonts w:hint="eastAsia" w:ascii="宋体" w:hAnsi="宋体" w:cs="宋体"/>
          <w:color w:val="auto"/>
          <w:kern w:val="0"/>
          <w:sz w:val="24"/>
          <w:highlight w:val="none"/>
        </w:rPr>
        <w:t>份报送政府采购监督管理部门备案，</w:t>
      </w:r>
      <w:r>
        <w:rPr>
          <w:rFonts w:hint="eastAsia" w:ascii="宋体" w:hAnsi="宋体" w:cs="宋体"/>
          <w:color w:val="auto"/>
          <w:kern w:val="0"/>
          <w:sz w:val="24"/>
          <w:highlight w:val="none"/>
          <w:u w:val="single"/>
        </w:rPr>
        <w:t xml:space="preserve"> 壹 </w:t>
      </w:r>
      <w:r>
        <w:rPr>
          <w:rFonts w:hint="eastAsia" w:ascii="宋体" w:hAnsi="宋体" w:cs="宋体"/>
          <w:color w:val="auto"/>
          <w:kern w:val="0"/>
          <w:sz w:val="24"/>
          <w:highlight w:val="none"/>
        </w:rPr>
        <w:t>份送</w:t>
      </w:r>
      <w:r>
        <w:rPr>
          <w:rFonts w:hint="eastAsia" w:ascii="宋体" w:hAnsi="宋体" w:cs="宋体"/>
          <w:color w:val="auto"/>
          <w:sz w:val="24"/>
          <w:highlight w:val="none"/>
        </w:rPr>
        <w:t>财政核算支付中心</w:t>
      </w:r>
      <w:r>
        <w:rPr>
          <w:rFonts w:hint="eastAsia" w:ascii="宋体" w:hAnsi="宋体" w:cs="宋体"/>
          <w:color w:val="auto"/>
          <w:kern w:val="0"/>
          <w:sz w:val="24"/>
          <w:highlight w:val="none"/>
        </w:rPr>
        <w:t>。（若执行政采贷，另加二份）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color w:val="auto"/>
          <w:kern w:val="0"/>
          <w:sz w:val="24"/>
          <w:highlight w:val="none"/>
        </w:rPr>
      </w:pPr>
    </w:p>
    <w:p>
      <w:pPr>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二、特殊专用条款部分</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1.服务期限</w:t>
      </w:r>
    </w:p>
    <w:p>
      <w:pPr>
        <w:snapToGrid w:val="0"/>
        <w:spacing w:line="360" w:lineRule="auto"/>
        <w:ind w:left="360" w:firstLine="480" w:firstLineChars="200"/>
        <w:rPr>
          <w:rFonts w:ascii="宋体" w:hAnsi="宋体" w:cs="宋体"/>
          <w:color w:val="auto"/>
          <w:sz w:val="24"/>
          <w:highlight w:val="none"/>
        </w:rPr>
      </w:pPr>
      <w:r>
        <w:rPr>
          <w:rFonts w:hint="eastAsia" w:ascii="宋体" w:hAnsi="宋体" w:cs="宋体"/>
          <w:color w:val="auto"/>
          <w:sz w:val="24"/>
          <w:highlight w:val="none"/>
        </w:rPr>
        <w:t>本次合同承包期为合同签订后一年，其中前三个月（包括在一年中）为试用期，试用期满经采购人考核合格后，合同方为有效。第二年经采购人考核合格后可续签一年。</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2.合同保安人数</w:t>
      </w:r>
    </w:p>
    <w:p>
      <w:pPr>
        <w:snapToGrid w:val="0"/>
        <w:spacing w:line="360" w:lineRule="auto"/>
        <w:ind w:left="360"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合同约定保安人数：人，其中                         。</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3.合同价格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本合同承包价为</w:t>
      </w:r>
      <w:r>
        <w:rPr>
          <w:rFonts w:hint="eastAsia" w:ascii="宋体" w:hAnsi="宋体" w:cs="宋体"/>
          <w:color w:val="auto"/>
          <w:kern w:val="0"/>
          <w:sz w:val="24"/>
          <w:highlight w:val="none"/>
        </w:rPr>
        <w:t>本合同项下总价款为小写</w:t>
      </w:r>
      <w:r>
        <w:rPr>
          <w:rFonts w:hint="eastAsia" w:ascii="宋体" w:hAnsi="宋体" w:cs="宋体"/>
          <w:color w:val="auto"/>
          <w:kern w:val="0"/>
          <w:sz w:val="24"/>
          <w:highlight w:val="none"/>
          <w:u w:val="single"/>
        </w:rPr>
        <w:t>元</w:t>
      </w:r>
      <w:r>
        <w:rPr>
          <w:rFonts w:hint="eastAsia" w:ascii="宋体" w:hAnsi="宋体" w:cs="宋体"/>
          <w:color w:val="auto"/>
          <w:kern w:val="0"/>
          <w:sz w:val="24"/>
          <w:highlight w:val="none"/>
        </w:rPr>
        <w:t>大写人民币。</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本项目合同价格为一年保安服务的费用，投标总价应包括承包区域内提供保安服务所需的一切人员人工费用（含工资、奖金、补贴、加班费、高温补偿费、社会保险、意外伤害保险）、办公费、食宿与交通费、设备器材及工具、耗材费用、服装费、管理费用、税费、利润以及完成合同所需的一切本身和不可或缺的所有费用并承担一切风险责任。在保安合同服务期间内不得违反国家相关政策规定。</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乙方支付给在甲方场所服务的保安员应发收入不少于每月人均服务费（中标总价÷保安人数÷12）的70%,每月向甲方提供前一个月的保安人员工资发放表用于备案,因医院工作需要增加或减少保安人员，相应的人员费用根据招标价格作出调整。</w:t>
      </w:r>
    </w:p>
    <w:p>
      <w:pPr>
        <w:snapToGrid w:val="0"/>
        <w:spacing w:line="360" w:lineRule="auto"/>
        <w:ind w:firstLine="472" w:firstLineChars="197"/>
        <w:rPr>
          <w:rFonts w:hint="eastAsia" w:ascii="宋体" w:hAnsi="宋体" w:cs="宋体"/>
          <w:bCs/>
          <w:color w:val="auto"/>
          <w:sz w:val="24"/>
          <w:highlight w:val="none"/>
        </w:rPr>
      </w:pPr>
      <w:r>
        <w:rPr>
          <w:rFonts w:hint="eastAsia" w:ascii="宋体" w:hAnsi="宋体" w:cs="宋体"/>
          <w:color w:val="auto"/>
          <w:sz w:val="24"/>
          <w:highlight w:val="none"/>
        </w:rPr>
        <w:t>3.3</w:t>
      </w:r>
      <w:r>
        <w:rPr>
          <w:rFonts w:hint="eastAsia" w:ascii="宋体" w:hAnsi="宋体" w:cs="宋体"/>
          <w:bCs/>
          <w:color w:val="auto"/>
          <w:sz w:val="24"/>
          <w:highlight w:val="none"/>
        </w:rPr>
        <w:t>临时加班：根据突发事件状况，决定临时加班，负责医院突发事件处置、灾害预防、火灾扑救，发现和制止医院暴力事件，随时准备提供紧急救助。临时加班计费,根据嘉政发〔2021〕22号《嘉兴市人民政府关于调整全市最低工资标准的通知》按照小时为计费单位，数量按实结算。</w:t>
      </w:r>
    </w:p>
    <w:p>
      <w:pPr>
        <w:autoSpaceDE w:val="0"/>
        <w:autoSpaceDN w:val="0"/>
        <w:snapToGrid w:val="0"/>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3.4乙方</w:t>
      </w:r>
      <w:r>
        <w:rPr>
          <w:rFonts w:hint="eastAsia" w:ascii="宋体" w:hAnsi="宋体" w:cs="宋体"/>
          <w:color w:val="auto"/>
          <w:sz w:val="24"/>
          <w:highlight w:val="none"/>
        </w:rPr>
        <w:t>应保证在承包期内其员工最低月工资不少于嘉兴市最低工资标准，在合同期内，如果国家或地方政府要求必须提高员工的最低工资标准，</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同意相应地按照实际增加费用来增加供应商合同金额，且</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同意将上述金额的实际增加费用部分支付给员工。</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4.付款方式</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（1）本合同项下的采购资金系甲方自行支付，付款程序为:</w:t>
      </w:r>
    </w:p>
    <w:p>
      <w:pPr>
        <w:snapToGrid w:val="0"/>
        <w:spacing w:line="360" w:lineRule="auto"/>
        <w:ind w:left="360" w:firstLine="480" w:firstLineChars="200"/>
        <w:rPr>
          <w:rFonts w:ascii="宋体" w:hAnsi="宋体" w:cs="宋体"/>
          <w:color w:val="auto"/>
          <w:sz w:val="24"/>
          <w:highlight w:val="none"/>
        </w:rPr>
      </w:pPr>
      <w:r>
        <w:rPr>
          <w:rFonts w:hint="eastAsia" w:ascii="宋体" w:hAnsi="宋体" w:cs="宋体"/>
          <w:color w:val="auto"/>
          <w:sz w:val="24"/>
          <w:highlight w:val="none"/>
        </w:rPr>
        <w:t>合同签订后，采用先服务后付款的方式每月支付一次服务费用</w:t>
      </w:r>
    </w:p>
    <w:p>
      <w:pPr>
        <w:snapToGrid w:val="0"/>
        <w:spacing w:line="360" w:lineRule="auto"/>
        <w:ind w:left="360" w:firstLine="480" w:firstLineChars="200"/>
        <w:rPr>
          <w:rFonts w:ascii="宋体" w:hAnsi="宋体" w:cs="宋体"/>
          <w:color w:val="auto"/>
          <w:sz w:val="24"/>
          <w:highlight w:val="none"/>
        </w:rPr>
      </w:pPr>
      <w:r>
        <w:rPr>
          <w:rFonts w:hint="eastAsia" w:ascii="宋体" w:hAnsi="宋体" w:cs="宋体"/>
          <w:color w:val="auto"/>
          <w:sz w:val="24"/>
          <w:highlight w:val="none"/>
        </w:rPr>
        <w:t>甲方按每月考核得分（具体考核标准详见招标文件）及季度考核标准在每月15日前支付上月费用；</w:t>
      </w:r>
    </w:p>
    <w:p>
      <w:pPr>
        <w:snapToGrid w:val="0"/>
        <w:spacing w:line="360" w:lineRule="auto"/>
        <w:ind w:left="360" w:firstLine="480" w:firstLineChars="200"/>
        <w:rPr>
          <w:rFonts w:ascii="宋体" w:hAnsi="宋体" w:cs="宋体"/>
          <w:color w:val="auto"/>
          <w:sz w:val="24"/>
          <w:highlight w:val="none"/>
        </w:rPr>
      </w:pPr>
      <w:r>
        <w:rPr>
          <w:rFonts w:hint="eastAsia" w:ascii="宋体" w:hAnsi="宋体" w:cs="宋体"/>
          <w:color w:val="auto"/>
          <w:sz w:val="24"/>
          <w:highlight w:val="none"/>
        </w:rPr>
        <w:t>乙方在服务期内有下列行为，造成的不当损失而产生费用，要从支付给乙方的费用中扣除：A、乙方要爱护与保管医院财产，如损坏医院设施等，按实际损失价值赔偿；B、没有达到考核标准的，按考核标准中规定的扣除；C、其它因乙方不作为或管理不严等，造成医院不良影响或损失。D、部分与招标文件不符合的做法，或不履行其投标文件的承诺。</w:t>
      </w:r>
    </w:p>
    <w:p>
      <w:pPr>
        <w:snapToGrid w:val="0"/>
        <w:spacing w:line="360" w:lineRule="auto"/>
        <w:ind w:left="360"/>
        <w:rPr>
          <w:color w:val="auto"/>
          <w:highlight w:val="none"/>
        </w:rPr>
      </w:pPr>
      <w:r>
        <w:rPr>
          <w:rFonts w:hint="eastAsia" w:ascii="宋体" w:hAnsi="宋体" w:cs="宋体"/>
          <w:color w:val="auto"/>
          <w:sz w:val="24"/>
          <w:highlight w:val="none"/>
        </w:rPr>
        <w:t>临时用工的费用按实计算，经甲方签证核实后在下一个月支付。</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5.甲方责任条款</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5.1提供医院保安服务质量标准、作业规范及考核办法。</w:t>
      </w:r>
    </w:p>
    <w:p>
      <w:pPr>
        <w:snapToGrid w:val="0"/>
        <w:spacing w:line="360" w:lineRule="auto"/>
        <w:ind w:left="360"/>
        <w:rPr>
          <w:color w:val="auto"/>
          <w:highlight w:val="none"/>
        </w:rPr>
      </w:pPr>
      <w:r>
        <w:rPr>
          <w:rFonts w:hint="eastAsia" w:ascii="宋体" w:hAnsi="宋体" w:cs="宋体"/>
          <w:color w:val="auto"/>
          <w:sz w:val="24"/>
          <w:highlight w:val="none"/>
        </w:rPr>
        <w:t>5.2甲方为乙方提供一定的办公场所。</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5.3组织对乙方提供服务的考核。</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5.4按合同约定支付合同款项。</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5.5如遇突发事件，协调乙方在作业过程中与其他部门的关系。</w:t>
      </w:r>
    </w:p>
    <w:p>
      <w:pPr>
        <w:snapToGrid w:val="0"/>
        <w:spacing w:line="360" w:lineRule="auto"/>
        <w:ind w:left="360"/>
        <w:rPr>
          <w:rFonts w:ascii="宋体" w:hAnsi="宋体" w:cs="宋体"/>
          <w:b/>
          <w:color w:val="auto"/>
          <w:sz w:val="24"/>
          <w:highlight w:val="none"/>
        </w:rPr>
      </w:pPr>
      <w:r>
        <w:rPr>
          <w:rFonts w:hint="eastAsia" w:ascii="宋体" w:hAnsi="宋体" w:cs="宋体"/>
          <w:b/>
          <w:color w:val="auto"/>
          <w:sz w:val="24"/>
          <w:highlight w:val="none"/>
        </w:rPr>
        <w:t>6.乙方责任条款</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6.1按招标文件、投标文件及医院的有关要求提供医院保安服务。</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6.2遇到突发事件或自然灾害，必须服从甲方指挥与安排。</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6.3协助甲方调查、处理有关投诉，并根据甲方要求及时处理。</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6.4完成甲方交办的临时性任务。</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6.5未经甲方同意，乙方无权在承包区域内从事任何经营活动或类似宣传，甲方有权依照法律法规和甲方相关的规定责令乙方限期改正，并接受处罚。</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6.6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6.7代理甲方**室协警服务费管理和代发协警工资。</w:t>
      </w:r>
    </w:p>
    <w:p>
      <w:pPr>
        <w:snapToGrid w:val="0"/>
        <w:spacing w:line="360" w:lineRule="auto"/>
        <w:ind w:left="360"/>
        <w:rPr>
          <w:rFonts w:ascii="宋体" w:hAnsi="宋体" w:cs="宋体"/>
          <w:bCs/>
          <w:color w:val="auto"/>
          <w:sz w:val="24"/>
          <w:highlight w:val="none"/>
        </w:rPr>
      </w:pPr>
      <w:r>
        <w:rPr>
          <w:rFonts w:hint="eastAsia" w:ascii="宋体" w:hAnsi="宋体" w:cs="宋体"/>
          <w:bCs/>
          <w:color w:val="auto"/>
          <w:sz w:val="24"/>
          <w:highlight w:val="none"/>
        </w:rPr>
        <w:t>7.承包职责</w:t>
      </w:r>
    </w:p>
    <w:p>
      <w:pPr>
        <w:snapToGrid w:val="0"/>
        <w:spacing w:line="360" w:lineRule="auto"/>
        <w:ind w:left="360"/>
        <w:rPr>
          <w:rFonts w:ascii="宋体" w:hAnsi="宋体" w:cs="宋体"/>
          <w:color w:val="auto"/>
          <w:sz w:val="24"/>
          <w:highlight w:val="none"/>
        </w:rPr>
      </w:pPr>
      <w:r>
        <w:rPr>
          <w:rFonts w:hint="eastAsia" w:ascii="宋体" w:hAnsi="宋体" w:cs="宋体"/>
          <w:bCs/>
          <w:color w:val="auto"/>
          <w:sz w:val="24"/>
          <w:highlight w:val="none"/>
        </w:rPr>
        <w:t>7.1乙方必须信守承包承诺，认真落实具有相应的固定服务人员，服务人员必须统一穿着工作服，挂牌上岗并建立健全的管理制度。</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7.2乙方必须按甲方制订的服务标准，严格履行承包义务，为甲方提供专业、优质、高效的服务。并根据甲方要求改变不满意的状况，接受甲方的监督和检查。</w:t>
      </w:r>
    </w:p>
    <w:p>
      <w:pPr>
        <w:snapToGrid w:val="0"/>
        <w:spacing w:line="360" w:lineRule="auto"/>
        <w:ind w:left="360"/>
        <w:rPr>
          <w:rFonts w:ascii="宋体" w:hAnsi="宋体" w:cs="宋体"/>
          <w:color w:val="auto"/>
          <w:sz w:val="24"/>
          <w:highlight w:val="none"/>
        </w:rPr>
      </w:pPr>
      <w:r>
        <w:rPr>
          <w:rFonts w:hint="eastAsia" w:ascii="宋体" w:hAnsi="宋体" w:cs="宋体"/>
          <w:bCs/>
          <w:color w:val="auto"/>
          <w:sz w:val="24"/>
          <w:highlight w:val="none"/>
        </w:rPr>
        <w:t>7.3因工作需要，甲方临时向乙方提出服务的要求，乙方应全力配合，按照甲方提出标准及要求完成任务，不得无故拖延。</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7.4在服务期内承包人遇到医院各类检查（如上级部门来院检查等），承包人要无条件加班，医院不另支付加班费，即此项造成的费用由承包方承担。</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7.5乙方必须对员工发生的事故责任以及员工计生、身份、健康等承担责任；同时对员工在院内做出不良行为给医院造成影响承担责任。</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7.6乙方员工发生被媒体曝光或影响甲方公众形象或违反医院规章制度造成不良影响，而由此产生的损失及消除影响产生的费用，由乙方全部承担。</w:t>
      </w:r>
    </w:p>
    <w:p>
      <w:pPr>
        <w:snapToGrid w:val="0"/>
        <w:spacing w:line="360" w:lineRule="auto"/>
        <w:ind w:left="360"/>
        <w:rPr>
          <w:rFonts w:ascii="宋体" w:hAnsi="宋体" w:cs="宋体"/>
          <w:color w:val="auto"/>
          <w:sz w:val="24"/>
          <w:highlight w:val="none"/>
        </w:rPr>
      </w:pPr>
      <w:r>
        <w:rPr>
          <w:rFonts w:hint="eastAsia" w:ascii="宋体" w:hAnsi="宋体" w:cs="宋体"/>
          <w:bCs/>
          <w:color w:val="auto"/>
          <w:sz w:val="24"/>
          <w:highlight w:val="none"/>
        </w:rPr>
        <w:t>7.7承包期间，乙方应保证承包区域内的其他有关设施、设备不受损坏，否则由此引起的责任和损失由乙方承担。</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7.8公司的办公各类设施及费用、人员食宿、安全等均由</w:t>
      </w:r>
      <w:r>
        <w:rPr>
          <w:rFonts w:hint="eastAsia" w:ascii="宋体" w:hAnsi="宋体" w:cs="宋体"/>
          <w:bCs/>
          <w:color w:val="auto"/>
          <w:sz w:val="24"/>
          <w:highlight w:val="none"/>
        </w:rPr>
        <w:t>乙方</w:t>
      </w:r>
      <w:r>
        <w:rPr>
          <w:rFonts w:hint="eastAsia" w:ascii="宋体" w:hAnsi="宋体" w:cs="宋体"/>
          <w:color w:val="auto"/>
          <w:sz w:val="24"/>
          <w:highlight w:val="none"/>
        </w:rPr>
        <w:t>自行负责解决。</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7.9乙方须缴纳员工必要的社会保险，员工福利方面按社保缴纳清单支付。</w:t>
      </w:r>
    </w:p>
    <w:p>
      <w:pPr>
        <w:snapToGrid w:val="0"/>
        <w:spacing w:line="360" w:lineRule="auto"/>
        <w:ind w:left="360"/>
        <w:rPr>
          <w:rFonts w:ascii="宋体" w:hAnsi="宋体" w:cs="宋体"/>
          <w:b/>
          <w:color w:val="auto"/>
          <w:sz w:val="24"/>
          <w:highlight w:val="none"/>
        </w:rPr>
      </w:pPr>
      <w:r>
        <w:rPr>
          <w:rFonts w:hint="eastAsia" w:ascii="宋体" w:hAnsi="宋体" w:cs="宋体"/>
          <w:color w:val="auto"/>
          <w:sz w:val="24"/>
          <w:highlight w:val="none"/>
        </w:rPr>
        <w:t>7.10乙方须为乙方的每位员工交纳各种社会保险及保证每位员工的必要休息时间，</w:t>
      </w:r>
      <w:r>
        <w:rPr>
          <w:rFonts w:hint="eastAsia" w:ascii="宋体" w:hAnsi="宋体" w:cs="宋体"/>
          <w:bCs/>
          <w:color w:val="auto"/>
          <w:sz w:val="24"/>
          <w:highlight w:val="none"/>
        </w:rPr>
        <w:t>乙方每月支付乙方员工的工资不低于每月人均服务费（中标总价÷保安人数÷12）的70%。</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7.11乙方必须信守承包承诺，认真落实具有相应的固定服务人员，服务人员必须统一穿着工作服，挂牌上岗并建立健全的管理制度。乙方必须按甲方制订的服务标准，严格履行承包义务，为甲方提供专业、优质、高效的服务。并根据甲方要求改变不满意的状况，接受甲方的监督和检查。因工作需要，甲方临时向乙方提出服务的要求，乙方应全力配合，按照甲方提出标准及要求完成任务，不得无故拖延。</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7.12女性保安比例不得超过总人数30％，新入职年龄不得超过51周岁；男性保安新入职年龄不得超过56周岁，新入职特勤岗位年龄不得超过51周岁。所有新入职保安，具备初中及以上文化水平，新入职特勤、安检人员必须具备高中及以上文化水平；必须派驻2名长期固定管理人员（具备高中及以文化水平，善于沟通协调），项目经理全面负责医院安全事务，副经理负责内部消防、车辆管理等事务；必须按照医院对保安考核要求岗位职责、流程进行细化制定考核标准、岗位职责流程进行考核、执行，并将结果及时报送保卫科；上一个合同期内发生的病假不得计入下一个合同期总人数内；事假，原则上不得超过半个月，半个月后定性为缺员；病假，连续超过三个月定性为缺员，间断性病假每月总时间超过10天的定性为缺员。</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7.13所有招收录用人员必须经过审核，无违法犯罪记录才能录用；所有招收录用人员在上岗前必须持保安证上岗；所有新招收录用人员必须经过岗位职业教育及相关消防、安防安全培训，需持培训合格证报到，安检岗位人员还应经过安检培训合格后上岗。</w:t>
      </w:r>
    </w:p>
    <w:p>
      <w:pPr>
        <w:snapToGrid w:val="0"/>
        <w:spacing w:line="360" w:lineRule="auto"/>
        <w:ind w:left="360"/>
        <w:rPr>
          <w:rFonts w:ascii="仿宋" w:hAnsi="仿宋" w:eastAsia="仿宋" w:cs="仿宋"/>
          <w:color w:val="auto"/>
          <w:sz w:val="32"/>
          <w:szCs w:val="32"/>
          <w:highlight w:val="none"/>
        </w:rPr>
      </w:pPr>
      <w:r>
        <w:rPr>
          <w:rFonts w:hint="eastAsia" w:ascii="宋体" w:hAnsi="宋体" w:cs="宋体"/>
          <w:color w:val="auto"/>
          <w:sz w:val="24"/>
          <w:highlight w:val="none"/>
        </w:rPr>
        <w:t>7.14不得招收来自疫情（原则上以本地人为主）、不得招收身体有疾病正在治疗中、严重残疾或精神病史人员;不得招收有不良政治倾向与信教人员。</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8.考核标准</w:t>
      </w:r>
    </w:p>
    <w:p>
      <w:pPr>
        <w:snapToGrid w:val="0"/>
        <w:spacing w:line="360" w:lineRule="auto"/>
        <w:ind w:left="360"/>
        <w:rPr>
          <w:rFonts w:ascii="宋体" w:hAnsi="宋体" w:cs="宋体"/>
          <w:color w:val="auto"/>
          <w:sz w:val="24"/>
          <w:highlight w:val="none"/>
        </w:rPr>
      </w:pPr>
      <w:r>
        <w:rPr>
          <w:rFonts w:hint="eastAsia" w:ascii="宋体" w:hAnsi="宋体" w:cs="宋体"/>
          <w:bCs/>
          <w:color w:val="auto"/>
          <w:sz w:val="24"/>
          <w:highlight w:val="none"/>
        </w:rPr>
        <w:t>甲方对乙方按考核制度每月保安进行考核及季度整体考核。</w:t>
      </w:r>
    </w:p>
    <w:p>
      <w:pPr>
        <w:snapToGrid w:val="0"/>
        <w:spacing w:line="360" w:lineRule="auto"/>
        <w:ind w:left="360"/>
        <w:rPr>
          <w:rFonts w:ascii="宋体" w:hAnsi="宋体" w:cs="宋体"/>
          <w:b/>
          <w:bCs/>
          <w:color w:val="auto"/>
          <w:sz w:val="24"/>
          <w:highlight w:val="none"/>
        </w:rPr>
      </w:pPr>
      <w:r>
        <w:rPr>
          <w:rFonts w:hint="eastAsia" w:ascii="宋体" w:hAnsi="宋体" w:cs="宋体"/>
          <w:b/>
          <w:bCs/>
          <w:color w:val="auto"/>
          <w:sz w:val="24"/>
          <w:highlight w:val="none"/>
        </w:rPr>
        <w:t>9.违约中止合同及赔偿</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9.1甲方在乙方存在如下违约情况时，有权单方面终止全部或部分合同，并保留进一步追究乙方责任的权利（包括经济赔偿）。</w:t>
      </w:r>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（1）乙方未能履行合同规定的义务；</w:t>
      </w:r>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（2）连续四个月或一年累计达6次月度考核不合格；</w:t>
      </w:r>
    </w:p>
    <w:p>
      <w:pPr>
        <w:spacing w:line="360" w:lineRule="auto"/>
        <w:ind w:left="567"/>
        <w:rPr>
          <w:rFonts w:ascii="宋体" w:hAnsi="宋体" w:cs="宋体"/>
          <w:color w:val="auto"/>
          <w:sz w:val="24"/>
          <w:highlight w:val="none"/>
        </w:rPr>
      </w:pPr>
      <w:r>
        <w:rPr>
          <w:rFonts w:hint="eastAsia" w:ascii="宋体" w:hAnsi="宋体" w:cs="宋体"/>
          <w:color w:val="auto"/>
          <w:sz w:val="24"/>
          <w:highlight w:val="none"/>
        </w:rPr>
        <w:t>（3）有严重影响医院有关科室的正常工作及医院形象。</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9.2乙方如要提前中止合同，需提前3个月，并征得甲方同意，否则按合同执行。</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9.3除不可抗力以外，如发生乙方不能履行合同义务，或甲方发生中途终止合同等情况，应及时以书面形式通知对方。甲乙双方应本着友好的态度进行协商，妥善解决。如协商无效，按下列规定计算并支付违约金：</w:t>
      </w:r>
    </w:p>
    <w:p>
      <w:pPr>
        <w:tabs>
          <w:tab w:val="left" w:pos="1222"/>
        </w:tabs>
        <w:spacing w:line="360" w:lineRule="auto"/>
        <w:ind w:left="567"/>
        <w:rPr>
          <w:rFonts w:ascii="宋体" w:hAnsi="宋体" w:cs="宋体"/>
          <w:color w:val="auto"/>
          <w:sz w:val="24"/>
          <w:highlight w:val="none"/>
        </w:rPr>
      </w:pPr>
      <w:r>
        <w:rPr>
          <w:rFonts w:hint="eastAsia" w:ascii="宋体" w:hAnsi="宋体" w:cs="宋体"/>
          <w:color w:val="auto"/>
          <w:sz w:val="24"/>
          <w:highlight w:val="none"/>
        </w:rPr>
        <w:t>（1）乙方不能履行合同义务，应按未履行部分合同价格的10%向甲方偿付违约金，同时履约保证金不予退还。</w:t>
      </w:r>
    </w:p>
    <w:p>
      <w:pPr>
        <w:tabs>
          <w:tab w:val="left" w:pos="1222"/>
        </w:tabs>
        <w:spacing w:line="360" w:lineRule="auto"/>
        <w:ind w:left="630"/>
        <w:rPr>
          <w:rFonts w:ascii="宋体" w:hAnsi="宋体" w:cs="宋体"/>
          <w:color w:val="auto"/>
          <w:sz w:val="24"/>
          <w:highlight w:val="none"/>
        </w:rPr>
      </w:pPr>
      <w:r>
        <w:rPr>
          <w:rFonts w:hint="eastAsia" w:ascii="宋体" w:hAnsi="宋体" w:cs="宋体"/>
          <w:color w:val="auto"/>
          <w:sz w:val="24"/>
          <w:highlight w:val="none"/>
        </w:rPr>
        <w:t>（2）如乙方未能履行合同规定的任何一项义务，甲方均有权从履约保证金中得到补偿。</w:t>
      </w:r>
    </w:p>
    <w:p>
      <w:pPr>
        <w:tabs>
          <w:tab w:val="left" w:pos="1222"/>
        </w:tabs>
        <w:spacing w:line="360" w:lineRule="auto"/>
        <w:ind w:left="630"/>
        <w:rPr>
          <w:rFonts w:ascii="宋体" w:hAnsi="宋体" w:cs="宋体"/>
          <w:color w:val="auto"/>
          <w:sz w:val="24"/>
          <w:highlight w:val="none"/>
        </w:rPr>
      </w:pPr>
      <w:r>
        <w:rPr>
          <w:rFonts w:hint="eastAsia" w:ascii="宋体" w:hAnsi="宋体" w:cs="宋体"/>
          <w:color w:val="auto"/>
          <w:sz w:val="24"/>
          <w:highlight w:val="none"/>
        </w:rPr>
        <w:t>（3）签订后一个月内保安人数必须达到100%，第二月人员数量按照合同约定人数（90％）必须全部到位；新入职人员一个月内病假定性为缺员；乙方在合同签订一个月后在岗人员低于90%的扣除当月总服务费的5%，连续3个月以上在岗人员低于90%，扣除当月总服务费的10%。在岗人员年龄55岁以下不到65%，扣除当月总服务费的1%。</w:t>
      </w:r>
    </w:p>
    <w:p>
      <w:pPr>
        <w:tabs>
          <w:tab w:val="left" w:pos="1222"/>
        </w:tabs>
        <w:spacing w:line="360" w:lineRule="auto"/>
        <w:ind w:left="630"/>
        <w:rPr>
          <w:rFonts w:ascii="宋体" w:hAnsi="宋体" w:cs="宋体"/>
          <w:color w:val="auto"/>
          <w:sz w:val="24"/>
          <w:highlight w:val="none"/>
        </w:rPr>
      </w:pPr>
      <w:r>
        <w:rPr>
          <w:rFonts w:hint="eastAsia" w:ascii="宋体" w:hAnsi="宋体" w:cs="宋体"/>
          <w:color w:val="auto"/>
          <w:sz w:val="24"/>
          <w:highlight w:val="none"/>
        </w:rPr>
        <w:t>（4）在岗人员年龄55岁以下不到65%，扣除当月总服务费的1%.</w:t>
      </w:r>
    </w:p>
    <w:p>
      <w:pPr>
        <w:tabs>
          <w:tab w:val="left" w:pos="1222"/>
        </w:tabs>
        <w:spacing w:line="360" w:lineRule="auto"/>
        <w:ind w:left="630"/>
        <w:rPr>
          <w:rFonts w:ascii="宋体" w:hAnsi="宋体" w:cs="宋体"/>
          <w:color w:val="auto"/>
          <w:sz w:val="24"/>
          <w:highlight w:val="none"/>
        </w:rPr>
      </w:pPr>
      <w:r>
        <w:rPr>
          <w:rFonts w:hint="eastAsia" w:ascii="宋体" w:hAnsi="宋体" w:cs="宋体"/>
          <w:color w:val="auto"/>
          <w:sz w:val="24"/>
          <w:highlight w:val="none"/>
        </w:rPr>
        <w:t>（5）甲方发生中途终止合同（8.1条原因除外），应向乙方偿付违约金，违约金按未履行部分合同价格的2%计算。</w:t>
      </w:r>
    </w:p>
    <w:p>
      <w:pPr>
        <w:tabs>
          <w:tab w:val="left" w:pos="1222"/>
        </w:tabs>
        <w:spacing w:line="360" w:lineRule="auto"/>
        <w:ind w:left="630"/>
        <w:rPr>
          <w:rFonts w:ascii="宋体" w:hAnsi="宋体" w:cs="宋体"/>
          <w:color w:val="auto"/>
          <w:sz w:val="24"/>
          <w:highlight w:val="none"/>
        </w:rPr>
      </w:pPr>
      <w:r>
        <w:rPr>
          <w:rFonts w:hint="eastAsia" w:ascii="宋体" w:hAnsi="宋体" w:cs="宋体"/>
          <w:color w:val="auto"/>
          <w:sz w:val="24"/>
          <w:highlight w:val="none"/>
        </w:rPr>
        <w:t>（6）经双方协商可终止部分或全部合同的，无须承担违约责任。</w:t>
      </w:r>
    </w:p>
    <w:p>
      <w:pPr>
        <w:snapToGrid w:val="0"/>
        <w:spacing w:line="360" w:lineRule="auto"/>
        <w:ind w:left="360"/>
        <w:rPr>
          <w:rFonts w:ascii="宋体" w:hAnsi="宋体" w:cs="宋体"/>
          <w:b/>
          <w:bCs/>
          <w:color w:val="auto"/>
          <w:sz w:val="24"/>
          <w:highlight w:val="none"/>
        </w:rPr>
      </w:pPr>
      <w:r>
        <w:rPr>
          <w:rFonts w:hint="eastAsia" w:ascii="宋体" w:hAnsi="宋体" w:cs="宋体"/>
          <w:b/>
          <w:bCs/>
          <w:color w:val="auto"/>
          <w:sz w:val="24"/>
          <w:highlight w:val="none"/>
        </w:rPr>
        <w:t>10.破产终止合同</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10.1如果乙方破产或无清偿能力时，甲方可在任何时候以书面通知乙方终止合同。该终止合同将不损害或影响甲方已经采取或将要采取的补救措施的权利。</w:t>
      </w:r>
    </w:p>
    <w:p>
      <w:pPr>
        <w:snapToGrid w:val="0"/>
        <w:spacing w:line="360" w:lineRule="auto"/>
        <w:ind w:left="360"/>
        <w:rPr>
          <w:rFonts w:ascii="宋体" w:hAnsi="宋体" w:cs="宋体"/>
          <w:b/>
          <w:bCs/>
          <w:color w:val="auto"/>
          <w:sz w:val="24"/>
          <w:highlight w:val="none"/>
        </w:rPr>
      </w:pPr>
      <w:r>
        <w:rPr>
          <w:rFonts w:hint="eastAsia" w:ascii="宋体" w:hAnsi="宋体" w:cs="宋体"/>
          <w:b/>
          <w:bCs/>
          <w:color w:val="auto"/>
          <w:sz w:val="24"/>
          <w:highlight w:val="none"/>
        </w:rPr>
        <w:t>11.仲裁</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11.1双方在执行合同中所发生的一切争议，应通过协商解决。如协商不成，应向甲方法定地址所在仲裁机构提交仲裁，也可直接向甲方法定地址所在人民法院起诉。</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11.2在仲裁期间，除正在进行仲裁的部份外，本合同其他部份应继续执行。</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11.3仲裁费用除仲裁机构另行有裁决外，由败诉方承担。</w:t>
      </w:r>
    </w:p>
    <w:p>
      <w:pPr>
        <w:snapToGrid w:val="0"/>
        <w:spacing w:line="360" w:lineRule="auto"/>
        <w:ind w:left="360"/>
        <w:rPr>
          <w:rFonts w:ascii="宋体" w:hAnsi="宋体" w:cs="宋体"/>
          <w:b/>
          <w:bCs/>
          <w:color w:val="auto"/>
          <w:sz w:val="24"/>
          <w:highlight w:val="none"/>
        </w:rPr>
      </w:pPr>
      <w:r>
        <w:rPr>
          <w:rFonts w:hint="eastAsia" w:ascii="宋体" w:hAnsi="宋体" w:cs="宋体"/>
          <w:b/>
          <w:bCs/>
          <w:color w:val="auto"/>
          <w:sz w:val="24"/>
          <w:highlight w:val="none"/>
        </w:rPr>
        <w:t>12.合同生效及其他</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12.1合同经双方签字并加盖公章后生效。</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12.2合同签定地点：合同执行地。</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12.3合同执行中，如需修改或补充合同内容，经协商，双方应签署书面修改或补充协议。该协议将作为合同不可分割的一部分。</w:t>
      </w:r>
    </w:p>
    <w:p>
      <w:pPr>
        <w:snapToGrid w:val="0"/>
        <w:spacing w:line="360" w:lineRule="auto"/>
        <w:ind w:left="360"/>
        <w:rPr>
          <w:rFonts w:ascii="宋体" w:hAnsi="宋体" w:cs="宋体"/>
          <w:b/>
          <w:bCs/>
          <w:color w:val="auto"/>
          <w:sz w:val="24"/>
          <w:highlight w:val="none"/>
        </w:rPr>
      </w:pPr>
      <w:r>
        <w:rPr>
          <w:rFonts w:hint="eastAsia" w:ascii="宋体" w:hAnsi="宋体" w:cs="宋体"/>
          <w:b/>
          <w:bCs/>
          <w:color w:val="auto"/>
          <w:sz w:val="24"/>
          <w:highlight w:val="none"/>
        </w:rPr>
        <w:t>13.其它</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13.1招标文件、补充文件、投标文件及询标答疑纪要、中标通知书等作为本合同的附件，与本合同具有同等法律效力。</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13.2本合同一式四份，双方各执二份，双方签字盖章后生效，违约及其处罚按经济合同法及本合同有关条款执行。</w:t>
      </w:r>
    </w:p>
    <w:p>
      <w:pPr>
        <w:snapToGrid w:val="0"/>
        <w:spacing w:line="360" w:lineRule="auto"/>
        <w:ind w:left="360"/>
        <w:rPr>
          <w:rFonts w:ascii="宋体" w:hAnsi="宋体" w:cs="宋体"/>
          <w:color w:val="auto"/>
          <w:sz w:val="24"/>
          <w:highlight w:val="none"/>
        </w:rPr>
      </w:pPr>
      <w:r>
        <w:rPr>
          <w:rFonts w:hint="eastAsia" w:ascii="宋体" w:hAnsi="宋体" w:cs="宋体"/>
          <w:color w:val="auto"/>
          <w:sz w:val="24"/>
          <w:highlight w:val="none"/>
        </w:rPr>
        <w:t>13.3以上协议未尽之处，双方协商解决。</w:t>
      </w:r>
    </w:p>
    <w:p>
      <w:pPr>
        <w:snapToGrid w:val="0"/>
        <w:spacing w:line="360" w:lineRule="auto"/>
        <w:ind w:left="360"/>
        <w:rPr>
          <w:rFonts w:ascii="宋体" w:hAnsi="宋体" w:cs="宋体"/>
          <w:color w:val="auto"/>
          <w:sz w:val="24"/>
          <w:highlight w:val="none"/>
        </w:rPr>
      </w:pPr>
    </w:p>
    <w:p>
      <w:pPr>
        <w:tabs>
          <w:tab w:val="left" w:pos="840"/>
        </w:tabs>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甲方（公章）：                             乙方（公章）：</w:t>
      </w:r>
    </w:p>
    <w:p>
      <w:pPr>
        <w:tabs>
          <w:tab w:val="left" w:pos="840"/>
        </w:tabs>
        <w:spacing w:line="360" w:lineRule="auto"/>
        <w:ind w:right="-220" w:rightChars="-105"/>
        <w:rPr>
          <w:rFonts w:ascii="宋体" w:hAnsi="宋体" w:cs="宋体"/>
          <w:color w:val="auto"/>
          <w:sz w:val="22"/>
          <w:szCs w:val="22"/>
          <w:highlight w:val="none"/>
        </w:rPr>
      </w:pPr>
      <w:r>
        <w:rPr>
          <w:rFonts w:hint="eastAsia" w:ascii="宋体" w:hAnsi="宋体" w:cs="宋体"/>
          <w:color w:val="auto"/>
          <w:sz w:val="22"/>
          <w:szCs w:val="22"/>
          <w:highlight w:val="none"/>
        </w:rPr>
        <w:t>法定代表人或受委托人（签字或盖章）：      法定代表人或受委托人（签字或盖章）：</w:t>
      </w:r>
    </w:p>
    <w:p>
      <w:pPr>
        <w:tabs>
          <w:tab w:val="left" w:pos="840"/>
        </w:tabs>
        <w:spacing w:line="360" w:lineRule="auto"/>
        <w:ind w:right="-220" w:rightChars="-105"/>
        <w:rPr>
          <w:rFonts w:ascii="宋体" w:hAnsi="宋体" w:cs="宋体"/>
          <w:color w:val="auto"/>
          <w:sz w:val="22"/>
          <w:szCs w:val="22"/>
          <w:highlight w:val="none"/>
        </w:rPr>
      </w:pPr>
      <w:r>
        <w:rPr>
          <w:rFonts w:hint="eastAsia" w:ascii="宋体" w:hAnsi="宋体" w:cs="宋体"/>
          <w:color w:val="auto"/>
          <w:sz w:val="22"/>
          <w:szCs w:val="22"/>
          <w:highlight w:val="none"/>
        </w:rPr>
        <w:t>地址：                                     地址：</w:t>
      </w:r>
    </w:p>
    <w:p>
      <w:pPr>
        <w:tabs>
          <w:tab w:val="left" w:pos="840"/>
        </w:tabs>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电话：                        电话：  </w:t>
      </w:r>
    </w:p>
    <w:p>
      <w:pPr>
        <w:tabs>
          <w:tab w:val="left" w:pos="840"/>
        </w:tabs>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签约地点：                                 签约时间：     年   月   日</w:t>
      </w:r>
    </w:p>
    <w:p>
      <w:pPr>
        <w:pStyle w:val="9"/>
        <w:snapToGrid w:val="0"/>
        <w:spacing w:line="360" w:lineRule="auto"/>
        <w:ind w:firstLine="440" w:firstLineChars="200"/>
        <w:rPr>
          <w:rFonts w:hAnsi="宋体" w:cs="宋体"/>
          <w:color w:val="auto"/>
          <w:sz w:val="22"/>
          <w:szCs w:val="22"/>
          <w:highlight w:val="none"/>
        </w:rPr>
      </w:pPr>
    </w:p>
    <w:p>
      <w:pPr>
        <w:spacing w:line="360" w:lineRule="auto"/>
        <w:rPr>
          <w:rFonts w:ascii="宋体" w:hAnsi="宋体" w:cs="宋体"/>
          <w:color w:val="auto"/>
          <w:sz w:val="24"/>
          <w:highlight w:val="none"/>
        </w:rPr>
        <w:sectPr>
          <w:footerReference r:id="rId13" w:type="first"/>
          <w:headerReference r:id="rId11" w:type="default"/>
          <w:footerReference r:id="rId12" w:type="default"/>
          <w:pgSz w:w="11906" w:h="16838"/>
          <w:pgMar w:top="1588" w:right="1588" w:bottom="1588" w:left="1588" w:header="964" w:footer="964" w:gutter="0"/>
          <w:cols w:space="720" w:num="1"/>
          <w:titlePg/>
          <w:docGrid w:linePitch="312" w:charSpace="0"/>
        </w:sectPr>
      </w:pPr>
    </w:p>
    <w:p>
      <w:pPr>
        <w:rPr>
          <w:rFonts w:ascii="宋体" w:hAnsi="宋体" w:cs="宋体"/>
          <w:color w:val="auto"/>
          <w:sz w:val="24"/>
          <w:highlight w:val="none"/>
        </w:rPr>
      </w:pPr>
    </w:p>
    <w:p>
      <w:pPr>
        <w:spacing w:line="360" w:lineRule="auto"/>
        <w:ind w:left="720" w:firstLine="964" w:firstLineChars="400"/>
        <w:rPr>
          <w:rFonts w:ascii="宋体" w:hAnsi="宋体" w:cs="宋体"/>
          <w:b/>
          <w:color w:val="auto"/>
          <w:sz w:val="24"/>
          <w:highlight w:val="none"/>
        </w:rPr>
      </w:pPr>
    </w:p>
    <w:p>
      <w:pPr>
        <w:spacing w:line="360" w:lineRule="auto"/>
        <w:ind w:firstLine="1446" w:firstLineChars="400"/>
        <w:outlineLvl w:val="0"/>
        <w:rPr>
          <w:rFonts w:ascii="宋体" w:hAnsi="宋体" w:cs="宋体"/>
          <w:b/>
          <w:color w:val="auto"/>
          <w:sz w:val="36"/>
          <w:szCs w:val="36"/>
          <w:highlight w:val="none"/>
        </w:rPr>
      </w:pPr>
      <w:bookmarkStart w:id="446" w:name="_Toc30154"/>
      <w:r>
        <w:rPr>
          <w:rFonts w:hint="eastAsia" w:ascii="宋体" w:hAnsi="宋体" w:cs="宋体"/>
          <w:b/>
          <w:color w:val="auto"/>
          <w:sz w:val="36"/>
          <w:szCs w:val="36"/>
          <w:highlight w:val="none"/>
        </w:rPr>
        <w:t>第六部分</w:t>
      </w:r>
      <w:bookmarkEnd w:id="443"/>
      <w:bookmarkEnd w:id="444"/>
      <w:r>
        <w:rPr>
          <w:rFonts w:hint="eastAsia" w:ascii="宋体" w:hAnsi="宋体" w:cs="宋体"/>
          <w:b/>
          <w:color w:val="auto"/>
          <w:sz w:val="36"/>
          <w:szCs w:val="36"/>
          <w:highlight w:val="none"/>
        </w:rPr>
        <w:t>应提交的有关格式范例</w:t>
      </w:r>
      <w:bookmarkEnd w:id="446"/>
    </w:p>
    <w:p>
      <w:pPr>
        <w:spacing w:afterLines="150"/>
        <w:ind w:firstLine="470" w:firstLineChars="196"/>
        <w:rPr>
          <w:rFonts w:ascii="宋体" w:hAnsi="宋体" w:cs="宋体"/>
          <w:color w:val="auto"/>
          <w:sz w:val="24"/>
          <w:highlight w:val="none"/>
        </w:rPr>
      </w:pPr>
    </w:p>
    <w:p>
      <w:pPr>
        <w:spacing w:line="360" w:lineRule="auto"/>
        <w:jc w:val="center"/>
        <w:outlineLvl w:val="0"/>
        <w:rPr>
          <w:rFonts w:ascii="宋体" w:hAnsi="宋体" w:cs="宋体"/>
          <w:b/>
          <w:color w:val="auto"/>
          <w:kern w:val="0"/>
          <w:sz w:val="28"/>
          <w:szCs w:val="28"/>
          <w:highlight w:val="none"/>
        </w:rPr>
      </w:pPr>
      <w:bookmarkStart w:id="447" w:name="_Toc26536"/>
      <w:r>
        <w:rPr>
          <w:rFonts w:hint="eastAsia" w:ascii="宋体" w:hAnsi="宋体" w:cs="宋体"/>
          <w:b/>
          <w:color w:val="auto"/>
          <w:kern w:val="0"/>
          <w:sz w:val="28"/>
          <w:szCs w:val="28"/>
          <w:highlight w:val="none"/>
        </w:rPr>
        <w:t>资格文件部分</w:t>
      </w:r>
      <w:bookmarkEnd w:id="447"/>
    </w:p>
    <w:p>
      <w:pPr>
        <w:spacing w:line="360" w:lineRule="auto"/>
        <w:jc w:val="center"/>
        <w:outlineLvl w:val="0"/>
        <w:rPr>
          <w:rFonts w:ascii="宋体" w:hAnsi="宋体" w:cs="宋体"/>
          <w:b/>
          <w:color w:val="auto"/>
          <w:kern w:val="0"/>
          <w:sz w:val="24"/>
          <w:highlight w:val="none"/>
        </w:rPr>
      </w:pPr>
      <w:bookmarkStart w:id="448" w:name="_Toc28764"/>
      <w:r>
        <w:rPr>
          <w:rFonts w:hint="eastAsia" w:ascii="宋体" w:hAnsi="宋体" w:cs="宋体"/>
          <w:b/>
          <w:color w:val="auto"/>
          <w:kern w:val="0"/>
          <w:sz w:val="24"/>
          <w:highlight w:val="none"/>
        </w:rPr>
        <w:t>目录</w:t>
      </w:r>
      <w:bookmarkEnd w:id="448"/>
    </w:p>
    <w:p>
      <w:pPr>
        <w:spacing w:line="360" w:lineRule="auto"/>
        <w:jc w:val="center"/>
        <w:rPr>
          <w:rFonts w:ascii="宋体" w:hAnsi="宋体" w:cs="宋体"/>
          <w:b/>
          <w:color w:val="auto"/>
          <w:kern w:val="0"/>
          <w:sz w:val="24"/>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（4）政府采购活动现场确认声明书………………………………………（页码）</w:t>
      </w: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0"/>
          <w:szCs w:val="30"/>
          <w:highlight w:val="none"/>
        </w:rPr>
        <w:t>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嘉兴市妇幼保健院</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杭州中浙招标有限公司：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我方参与嘉兴市妇幼保健院2022至2023年保安服务项目【招标编号：中浙-CZTC22188】政府采购活动，郑重承诺：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rPr>
          <w:rFonts w:ascii="宋体" w:hAnsi="宋体" w:cs="宋体"/>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pStyle w:val="3"/>
        <w:rPr>
          <w:rFonts w:ascii="宋体" w:hAnsi="宋体" w:eastAsia="宋体" w:cs="宋体"/>
          <w:color w:val="auto"/>
          <w:sz w:val="24"/>
          <w:szCs w:val="24"/>
          <w:highlight w:val="none"/>
        </w:rPr>
      </w:pPr>
    </w:p>
    <w:p>
      <w:pPr>
        <w:snapToGrid w:val="0"/>
        <w:spacing w:line="360" w:lineRule="auto"/>
        <w:ind w:right="480"/>
        <w:jc w:val="center"/>
        <w:outlineLvl w:val="1"/>
        <w:rPr>
          <w:rFonts w:ascii="宋体" w:hAnsi="宋体" w:cs="宋体"/>
          <w:b/>
          <w:color w:val="auto"/>
          <w:kern w:val="0"/>
          <w:sz w:val="30"/>
          <w:szCs w:val="30"/>
          <w:highlight w:val="none"/>
        </w:rPr>
      </w:pPr>
      <w:bookmarkStart w:id="449" w:name="_Toc13909"/>
      <w:r>
        <w:rPr>
          <w:rFonts w:hint="eastAsia" w:ascii="宋体" w:hAnsi="宋体" w:cs="宋体"/>
          <w:b/>
          <w:color w:val="auto"/>
          <w:kern w:val="0"/>
          <w:sz w:val="30"/>
          <w:szCs w:val="30"/>
          <w:highlight w:val="none"/>
        </w:rPr>
        <w:t>二、落实政府采购政策需满足的资格要求</w:t>
      </w:r>
      <w:bookmarkEnd w:id="449"/>
    </w:p>
    <w:p>
      <w:pPr>
        <w:pStyle w:val="24"/>
        <w:ind w:firstLine="1446" w:firstLineChars="600"/>
        <w:rPr>
          <w:rFonts w:hAnsi="宋体" w:eastAsia="宋体" w:cs="宋体"/>
          <w:b/>
          <w:color w:val="auto"/>
          <w:kern w:val="0"/>
          <w:sz w:val="24"/>
          <w:szCs w:val="24"/>
          <w:highlight w:val="none"/>
        </w:rPr>
      </w:pPr>
    </w:p>
    <w:p>
      <w:pPr>
        <w:pStyle w:val="24"/>
        <w:ind w:firstLine="1446" w:firstLineChars="600"/>
        <w:rPr>
          <w:rFonts w:hAnsi="宋体" w:eastAsia="宋体" w:cs="宋体"/>
          <w:b/>
          <w:color w:val="auto"/>
          <w:kern w:val="0"/>
          <w:sz w:val="24"/>
          <w:szCs w:val="24"/>
          <w:highlight w:val="none"/>
        </w:rPr>
      </w:pPr>
      <w:r>
        <w:rPr>
          <w:rFonts w:hint="eastAsia" w:hAnsi="宋体" w:eastAsia="宋体" w:cs="宋体"/>
          <w:b/>
          <w:color w:val="auto"/>
          <w:kern w:val="0"/>
          <w:sz w:val="24"/>
          <w:szCs w:val="24"/>
          <w:highlight w:val="none"/>
        </w:rPr>
        <w:t>专门面向中小/小微企业，必须提供《中小企业声明函》</w:t>
      </w:r>
    </w:p>
    <w:p>
      <w:pPr>
        <w:rPr>
          <w:rFonts w:ascii="宋体" w:hAnsi="宋体" w:cs="宋体"/>
          <w:color w:val="auto"/>
          <w:sz w:val="24"/>
          <w:highlight w:val="none"/>
        </w:rPr>
      </w:pPr>
    </w:p>
    <w:p>
      <w:pPr>
        <w:widowControl/>
        <w:spacing w:line="360" w:lineRule="auto"/>
        <w:ind w:firstLine="723" w:firstLineChars="300"/>
        <w:rPr>
          <w:rFonts w:ascii="宋体" w:hAnsi="宋体" w:cs="宋体"/>
          <w:b/>
          <w:color w:val="auto"/>
          <w:kern w:val="0"/>
          <w:sz w:val="24"/>
          <w:highlight w:val="none"/>
        </w:rPr>
      </w:pPr>
    </w:p>
    <w:p>
      <w:pPr>
        <w:widowControl/>
        <w:spacing w:line="360" w:lineRule="auto"/>
        <w:ind w:firstLine="723" w:firstLineChars="300"/>
        <w:rPr>
          <w:rFonts w:ascii="宋体" w:hAnsi="宋体" w:cs="宋体"/>
          <w:b/>
          <w:color w:val="auto"/>
          <w:kern w:val="0"/>
          <w:sz w:val="24"/>
          <w:highlight w:val="none"/>
        </w:rPr>
      </w:pPr>
    </w:p>
    <w:p>
      <w:pPr>
        <w:widowControl/>
        <w:spacing w:line="360" w:lineRule="auto"/>
        <w:jc w:val="center"/>
        <w:outlineLvl w:val="1"/>
        <w:rPr>
          <w:rFonts w:ascii="宋体" w:hAnsi="宋体" w:cs="宋体"/>
          <w:b/>
          <w:color w:val="auto"/>
          <w:kern w:val="0"/>
          <w:sz w:val="30"/>
          <w:szCs w:val="30"/>
          <w:highlight w:val="none"/>
        </w:rPr>
      </w:pPr>
      <w:bookmarkStart w:id="450" w:name="_Toc1708"/>
    </w:p>
    <w:p>
      <w:pPr>
        <w:widowControl/>
        <w:spacing w:line="360" w:lineRule="auto"/>
        <w:jc w:val="center"/>
        <w:outlineLvl w:val="1"/>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三、本项目的特定资格要求</w:t>
      </w:r>
      <w:bookmarkEnd w:id="450"/>
    </w:p>
    <w:p>
      <w:pPr>
        <w:snapToGrid w:val="0"/>
        <w:spacing w:line="360" w:lineRule="auto"/>
        <w:ind w:right="480" w:firstLine="1687" w:firstLineChars="700"/>
        <w:rPr>
          <w:rFonts w:ascii="宋体" w:hAnsi="宋体" w:cs="宋体"/>
          <w:b/>
          <w:color w:val="auto"/>
          <w:kern w:val="0"/>
          <w:sz w:val="24"/>
          <w:highlight w:val="none"/>
        </w:rPr>
      </w:pPr>
    </w:p>
    <w:p>
      <w:pPr>
        <w:snapToGrid w:val="0"/>
        <w:spacing w:line="360" w:lineRule="auto"/>
        <w:ind w:right="480"/>
        <w:rPr>
          <w:rFonts w:ascii="宋体" w:hAnsi="宋体" w:cs="宋体"/>
          <w:b/>
          <w:color w:val="auto"/>
          <w:kern w:val="0"/>
          <w:sz w:val="24"/>
          <w:highlight w:val="none"/>
        </w:rPr>
      </w:pPr>
      <w:r>
        <w:rPr>
          <w:rFonts w:hint="eastAsia" w:ascii="宋体" w:hAnsi="宋体" w:cs="宋体"/>
          <w:b/>
          <w:color w:val="auto"/>
          <w:kern w:val="0"/>
          <w:sz w:val="24"/>
          <w:highlight w:val="none"/>
        </w:rPr>
        <w:t>具有公安行政主管部门颁发的保安服务许可证（提供有效期内的保安服务许可证）</w:t>
      </w: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pacing w:line="360" w:lineRule="auto"/>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pacing w:line="360" w:lineRule="auto"/>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pacing w:line="360" w:lineRule="auto"/>
        <w:jc w:val="center"/>
        <w:rPr>
          <w:rFonts w:ascii="宋体" w:hAnsi="宋体" w:cs="宋体"/>
          <w:b/>
          <w:color w:val="auto"/>
          <w:kern w:val="0"/>
          <w:sz w:val="24"/>
          <w:highlight w:val="none"/>
        </w:rPr>
      </w:pPr>
    </w:p>
    <w:p>
      <w:pPr>
        <w:pStyle w:val="24"/>
        <w:rPr>
          <w:rFonts w:hAnsi="宋体" w:eastAsia="宋体" w:cs="宋体"/>
          <w:b/>
          <w:color w:val="auto"/>
          <w:kern w:val="0"/>
          <w:sz w:val="24"/>
          <w:szCs w:val="24"/>
          <w:highlight w:val="none"/>
        </w:rPr>
      </w:pPr>
    </w:p>
    <w:p>
      <w:pPr>
        <w:rPr>
          <w:rFonts w:ascii="宋体" w:hAnsi="宋体" w:cs="宋体"/>
          <w:b/>
          <w:color w:val="auto"/>
          <w:kern w:val="0"/>
          <w:sz w:val="24"/>
          <w:highlight w:val="none"/>
        </w:rPr>
      </w:pPr>
    </w:p>
    <w:p>
      <w:pPr>
        <w:rPr>
          <w:rFonts w:ascii="宋体" w:hAnsi="宋体" w:cs="宋体"/>
          <w:b/>
          <w:color w:val="auto"/>
          <w:kern w:val="0"/>
          <w:sz w:val="24"/>
          <w:highlight w:val="none"/>
        </w:rPr>
      </w:pPr>
      <w:bookmarkStart w:id="451" w:name="_Toc15734"/>
      <w:r>
        <w:rPr>
          <w:rFonts w:hint="eastAsia" w:ascii="宋体" w:hAnsi="宋体" w:cs="宋体"/>
          <w:b/>
          <w:color w:val="auto"/>
          <w:kern w:val="0"/>
          <w:sz w:val="24"/>
          <w:highlight w:val="none"/>
        </w:rPr>
        <w:br w:type="page"/>
      </w:r>
    </w:p>
    <w:p>
      <w:pPr>
        <w:pStyle w:val="3"/>
        <w:keepNext w:val="0"/>
        <w:keepLines w:val="0"/>
        <w:widowControl/>
        <w:snapToGrid w:val="0"/>
        <w:ind w:left="0" w:firstLine="0"/>
        <w:jc w:val="center"/>
        <w:rPr>
          <w:rFonts w:ascii="宋体" w:hAnsi="宋体" w:eastAsia="宋体" w:cs="宋体"/>
          <w:color w:val="auto"/>
          <w:highlight w:val="none"/>
        </w:rPr>
      </w:pPr>
      <w:r>
        <w:rPr>
          <w:rFonts w:hint="eastAsia" w:ascii="宋体" w:hAnsi="宋体" w:eastAsia="宋体" w:cs="宋体"/>
          <w:color w:val="auto"/>
          <w:highlight w:val="none"/>
          <w:lang w:val="en-US"/>
        </w:rPr>
        <w:t>四、</w:t>
      </w:r>
      <w:r>
        <w:rPr>
          <w:rFonts w:hint="eastAsia" w:ascii="宋体" w:hAnsi="宋体" w:eastAsia="宋体" w:cs="宋体"/>
          <w:color w:val="auto"/>
          <w:highlight w:val="none"/>
        </w:rPr>
        <w:t>政府采购活动现场确认声明书</w:t>
      </w:r>
    </w:p>
    <w:p>
      <w:pPr>
        <w:autoSpaceDE w:val="0"/>
        <w:autoSpaceDN w:val="0"/>
        <w:snapToGrid w:val="0"/>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杭州中浙招标有限公司:</w:t>
      </w:r>
    </w:p>
    <w:p>
      <w:pPr>
        <w:autoSpaceDE w:val="0"/>
        <w:autoSpaceDN w:val="0"/>
        <w:snapToGrid w:val="0"/>
        <w:spacing w:line="44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本人 ____________（授权代表姓名），经由_____________________（单位） ____________ （法定代表人姓名）合法授权参加</w:t>
      </w:r>
      <w:r>
        <w:rPr>
          <w:rFonts w:hint="eastAsia" w:ascii="宋体" w:hAnsi="宋体" w:cs="宋体"/>
          <w:color w:val="auto"/>
          <w:sz w:val="24"/>
          <w:highlight w:val="none"/>
          <w:u w:val="single"/>
          <w:lang w:val="zh-CN"/>
        </w:rPr>
        <w:t>嘉兴市妇幼保健院2022至2023年保安服务项目</w:t>
      </w:r>
      <w:r>
        <w:rPr>
          <w:rFonts w:hint="eastAsia" w:ascii="宋体" w:hAnsi="宋体" w:cs="宋体"/>
          <w:color w:val="auto"/>
          <w:sz w:val="24"/>
          <w:highlight w:val="none"/>
          <w:lang w:val="zh-CN"/>
        </w:rPr>
        <w:t>（编号：</w:t>
      </w:r>
      <w:r>
        <w:rPr>
          <w:rFonts w:hint="eastAsia" w:ascii="宋体" w:hAnsi="宋体" w:cs="宋体"/>
          <w:color w:val="auto"/>
          <w:sz w:val="24"/>
          <w:highlight w:val="none"/>
        </w:rPr>
        <w:t>中浙-CZTC22188</w:t>
      </w:r>
      <w:r>
        <w:rPr>
          <w:rFonts w:hint="eastAsia" w:ascii="宋体" w:hAnsi="宋体" w:cs="宋体"/>
          <w:color w:val="auto"/>
          <w:sz w:val="24"/>
          <w:highlight w:val="none"/>
          <w:lang w:val="zh-CN"/>
        </w:rPr>
        <w:t>）政府采购活动．经与本单位法人代表（负责人）联系确认，现就有关公平竞争事项郑重声明如下:</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一、本单位与采购人之间口不存在利害关系口存在下列利害关系:</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A．投资关系      B．行政隶属关系      C．业务指导关系</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D．其他可能影响采购公正的利害关系（如有，请如实说明）。</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二、现己清楚知道参加本项目采购活动的其他所有供应商名称，本单位 口与其他所有供应商之间均不存在利害关系 口与______________（供应商名称）之间存在下列利害关系:</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A．法定代表人或负责人或实际控制人是同一人</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B．法定代表人或负责人或实际控制人是夫妻关系</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C．法定代表人或负责人或实际控制人是直系血亲关系</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D．法定代表人或负责人或实际控制人存在三代以内旁系血亲关系</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E．法定代表人或负责人或实际控制人存在近姻亲关系</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F．法定代表人或负责人或实际控制人存在股份控制或实际控制关系</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G．存在共同直接或间接投资设立子公司、联营企业和合营企业情况    </w:t>
      </w:r>
      <w:r>
        <w:rPr>
          <w:rFonts w:hint="eastAsia" w:ascii="宋体" w:hAnsi="宋体" w:cs="宋体"/>
          <w:color w:val="auto"/>
          <w:sz w:val="24"/>
          <w:highlight w:val="none"/>
          <w:lang w:val="zh-CN"/>
        </w:rPr>
        <w:br w:type="textWrapping"/>
      </w:r>
      <w:r>
        <w:rPr>
          <w:rFonts w:hint="eastAsia" w:ascii="宋体" w:hAnsi="宋体" w:cs="宋体"/>
          <w:color w:val="auto"/>
          <w:sz w:val="24"/>
          <w:highlight w:val="none"/>
          <w:lang w:val="zh-CN"/>
        </w:rPr>
        <w:t>H．存在分级代理或代销关系、同一生产制造商关系、管理关系、重要业务（占主营业务收入 50 ％以上）或重要财务往来关系（如融资）等其他实质性控制关系</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I．其他利害关系情况 ________________________________________。</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三、现己清楚知道并严格遵守政府采购法律法规和现场纪律。</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四、我发现 ____________________供应商之间存在或可能存在上述第二条第 ____________项利害关系。</w:t>
      </w:r>
    </w:p>
    <w:p>
      <w:pPr>
        <w:autoSpaceDE w:val="0"/>
        <w:autoSpaceDN w:val="0"/>
        <w:snapToGrid w:val="0"/>
        <w:spacing w:line="440" w:lineRule="exact"/>
        <w:ind w:left="481" w:leftChars="229"/>
        <w:jc w:val="left"/>
        <w:rPr>
          <w:rFonts w:ascii="宋体" w:hAnsi="宋体" w:cs="宋体"/>
          <w:color w:val="auto"/>
          <w:sz w:val="24"/>
          <w:highlight w:val="none"/>
          <w:lang w:val="zh-CN"/>
        </w:rPr>
      </w:pPr>
      <w:r>
        <w:rPr>
          <w:rFonts w:hint="eastAsia" w:ascii="宋体" w:hAnsi="宋体" w:cs="宋体"/>
          <w:color w:val="auto"/>
          <w:sz w:val="24"/>
          <w:highlight w:val="none"/>
          <w:lang w:val="zh-CN"/>
        </w:rPr>
        <w:t>五、经检查确认所有投标人投标文件 口 不存在密封包装问题 口 存在密封包装问题（具体指出）__________________________________。</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ind w:firstLine="5301" w:firstLineChars="2200"/>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360" w:lineRule="auto"/>
        <w:ind w:right="420"/>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bookmarkEnd w:id="451"/>
    </w:p>
    <w:p>
      <w:pPr>
        <w:spacing w:line="360" w:lineRule="auto"/>
        <w:jc w:val="center"/>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4"/>
          <w:highlight w:val="none"/>
        </w:rPr>
      </w:pPr>
      <w:bookmarkStart w:id="452" w:name="_Toc3608"/>
      <w:r>
        <w:rPr>
          <w:rFonts w:hint="eastAsia" w:ascii="宋体" w:hAnsi="宋体" w:cs="宋体"/>
          <w:b/>
          <w:color w:val="auto"/>
          <w:kern w:val="0"/>
          <w:sz w:val="24"/>
          <w:highlight w:val="none"/>
        </w:rPr>
        <w:t>目录</w:t>
      </w:r>
      <w:bookmarkEnd w:id="452"/>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（1）投标响应函…………………………………………………………………（页码）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（3）符合性审查资料……………………………………………………………（页码）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（4）评审标准相应的商务技术资料……………………………………………（页码）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（5）商务技术偏离表……………………………………………………………（页码）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pStyle w:val="23"/>
        <w:rPr>
          <w:rFonts w:ascii="宋体" w:hAnsi="宋体" w:cs="宋体"/>
          <w:color w:val="auto"/>
          <w:sz w:val="24"/>
          <w:szCs w:val="24"/>
          <w:highlight w:val="none"/>
        </w:rPr>
      </w:pPr>
    </w:p>
    <w:p>
      <w:pPr>
        <w:pStyle w:val="23"/>
        <w:rPr>
          <w:rFonts w:ascii="宋体" w:hAnsi="宋体" w:cs="宋体"/>
          <w:color w:val="auto"/>
          <w:sz w:val="24"/>
          <w:szCs w:val="24"/>
          <w:highlight w:val="none"/>
        </w:rPr>
      </w:pPr>
    </w:p>
    <w:p>
      <w:pPr>
        <w:pStyle w:val="23"/>
        <w:rPr>
          <w:rFonts w:ascii="宋体" w:hAnsi="宋体" w:cs="宋体"/>
          <w:color w:val="auto"/>
          <w:sz w:val="24"/>
          <w:szCs w:val="24"/>
          <w:highlight w:val="none"/>
        </w:rPr>
      </w:pPr>
    </w:p>
    <w:p>
      <w:pPr>
        <w:pStyle w:val="23"/>
        <w:rPr>
          <w:rFonts w:ascii="宋体" w:hAnsi="宋体" w:cs="宋体"/>
          <w:color w:val="auto"/>
          <w:sz w:val="24"/>
          <w:szCs w:val="24"/>
          <w:highlight w:val="none"/>
        </w:rPr>
      </w:pPr>
    </w:p>
    <w:p>
      <w:pPr>
        <w:pStyle w:val="23"/>
        <w:rPr>
          <w:rFonts w:ascii="宋体" w:hAnsi="宋体" w:cs="宋体"/>
          <w:color w:val="auto"/>
          <w:sz w:val="24"/>
          <w:szCs w:val="24"/>
          <w:highlight w:val="none"/>
        </w:rPr>
      </w:pPr>
    </w:p>
    <w:p>
      <w:pPr>
        <w:snapToGrid w:val="0"/>
        <w:spacing w:line="360" w:lineRule="auto"/>
        <w:jc w:val="center"/>
        <w:rPr>
          <w:rFonts w:ascii="宋体" w:hAnsi="宋体" w:cs="宋体"/>
          <w:b/>
          <w:color w:val="auto"/>
          <w:kern w:val="0"/>
          <w:sz w:val="24"/>
          <w:highlight w:val="none"/>
          <w:lang w:val="zh-CN"/>
        </w:rPr>
      </w:pPr>
    </w:p>
    <w:p>
      <w:pPr>
        <w:snapToGrid w:val="0"/>
        <w:spacing w:line="360" w:lineRule="auto"/>
        <w:jc w:val="center"/>
        <w:rPr>
          <w:rFonts w:ascii="宋体" w:hAnsi="宋体" w:cs="宋体"/>
          <w:b/>
          <w:color w:val="auto"/>
          <w:kern w:val="0"/>
          <w:sz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pStyle w:val="23"/>
        <w:rPr>
          <w:rFonts w:ascii="宋体" w:hAnsi="宋体" w:cs="宋体"/>
          <w:b/>
          <w:color w:val="auto"/>
          <w:kern w:val="0"/>
          <w:sz w:val="24"/>
          <w:szCs w:val="24"/>
          <w:highlight w:val="none"/>
        </w:rPr>
      </w:pPr>
    </w:p>
    <w:p>
      <w:pPr>
        <w:snapToGrid w:val="0"/>
        <w:spacing w:line="360" w:lineRule="auto"/>
        <w:jc w:val="center"/>
        <w:rPr>
          <w:rFonts w:ascii="宋体" w:hAnsi="宋体" w:cs="宋体"/>
          <w:b/>
          <w:color w:val="auto"/>
          <w:kern w:val="0"/>
          <w:sz w:val="24"/>
          <w:highlight w:val="none"/>
        </w:rPr>
      </w:pPr>
    </w:p>
    <w:p>
      <w:pPr>
        <w:pStyle w:val="6"/>
        <w:rPr>
          <w:rFonts w:hAnsi="宋体" w:cs="宋体"/>
          <w:b/>
          <w:color w:val="auto"/>
          <w:kern w:val="0"/>
          <w:szCs w:val="24"/>
          <w:highlight w:val="none"/>
        </w:rPr>
      </w:pPr>
    </w:p>
    <w:p>
      <w:pPr>
        <w:pStyle w:val="7"/>
        <w:ind w:firstLine="241"/>
        <w:rPr>
          <w:rFonts w:ascii="宋体" w:hAnsi="宋体" w:cs="宋体"/>
          <w:b/>
          <w:color w:val="auto"/>
          <w:kern w:val="0"/>
          <w:sz w:val="24"/>
          <w:highlight w:val="none"/>
        </w:rPr>
      </w:pPr>
    </w:p>
    <w:p>
      <w:pPr>
        <w:rPr>
          <w:rFonts w:ascii="宋体" w:hAnsi="宋体" w:cs="宋体"/>
          <w:b/>
          <w:color w:val="auto"/>
          <w:kern w:val="0"/>
          <w:sz w:val="24"/>
          <w:highlight w:val="none"/>
        </w:rPr>
      </w:pPr>
    </w:p>
    <w:p>
      <w:pPr>
        <w:pStyle w:val="6"/>
        <w:rPr>
          <w:rFonts w:hAnsi="宋体" w:cs="宋体"/>
          <w:b/>
          <w:color w:val="auto"/>
          <w:kern w:val="0"/>
          <w:szCs w:val="24"/>
          <w:highlight w:val="none"/>
        </w:rPr>
      </w:pPr>
    </w:p>
    <w:p>
      <w:pPr>
        <w:pStyle w:val="7"/>
        <w:ind w:firstLine="210"/>
        <w:rPr>
          <w:color w:val="auto"/>
          <w:highlight w:val="none"/>
        </w:rPr>
      </w:pPr>
    </w:p>
    <w:p>
      <w:pPr>
        <w:snapToGrid w:val="0"/>
        <w:spacing w:line="360" w:lineRule="auto"/>
        <w:jc w:val="center"/>
        <w:outlineLvl w:val="0"/>
        <w:rPr>
          <w:rFonts w:ascii="宋体" w:hAnsi="宋体" w:cs="宋体"/>
          <w:b/>
          <w:color w:val="auto"/>
          <w:sz w:val="30"/>
          <w:szCs w:val="30"/>
          <w:highlight w:val="none"/>
        </w:rPr>
      </w:pPr>
      <w:r>
        <w:rPr>
          <w:rFonts w:hint="eastAsia" w:ascii="宋体" w:hAnsi="宋体" w:cs="宋体"/>
          <w:b/>
          <w:color w:val="auto"/>
          <w:kern w:val="0"/>
          <w:sz w:val="30"/>
          <w:szCs w:val="30"/>
          <w:highlight w:val="none"/>
        </w:rPr>
        <w:t>一、投标</w:t>
      </w:r>
      <w:r>
        <w:rPr>
          <w:rFonts w:hint="eastAsia" w:ascii="宋体" w:hAnsi="宋体" w:cs="宋体"/>
          <w:b/>
          <w:color w:val="auto"/>
          <w:sz w:val="30"/>
          <w:szCs w:val="30"/>
          <w:highlight w:val="none"/>
        </w:rPr>
        <w:t>函</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嘉兴市妇幼保健院</w:t>
      </w:r>
    </w:p>
    <w:p>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杭州中浙招标有限公司：</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我方参加你方组织的嘉兴市妇幼保健院2022至2023年保安服务项目【招标编号：中浙-CZTC22188】招标的有关活动，并对此项目进行投标。为此：</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90</w:t>
      </w:r>
      <w:r>
        <w:rPr>
          <w:rFonts w:hint="eastAsia" w:ascii="宋体" w:hAnsi="宋体" w:cs="宋体"/>
          <w:color w:val="auto"/>
          <w:sz w:val="24"/>
          <w:highlight w:val="none"/>
        </w:rPr>
        <w:t>天（不少于90天），本投标文件在投标有效期满之前均具有约束力。</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pPr>
        <w:pStyle w:val="6"/>
        <w:spacing w:line="312" w:lineRule="auto"/>
        <w:ind w:firstLine="960" w:firstLineChars="400"/>
        <w:rPr>
          <w:rFonts w:hAnsi="宋体" w:cs="宋体"/>
          <w:color w:val="auto"/>
          <w:szCs w:val="24"/>
          <w:highlight w:val="none"/>
        </w:rPr>
      </w:pPr>
      <w:r>
        <w:rPr>
          <w:rFonts w:hint="eastAsia" w:hAnsi="宋体" w:cs="宋体"/>
          <w:color w:val="auto"/>
          <w:szCs w:val="24"/>
          <w:highlight w:val="none"/>
          <w:lang w:val="en-US"/>
        </w:rPr>
        <w:t>2.1.4</w:t>
      </w:r>
      <w:r>
        <w:rPr>
          <w:rFonts w:hint="eastAsia" w:hAnsi="宋体" w:cs="宋体"/>
          <w:color w:val="auto"/>
          <w:szCs w:val="24"/>
          <w:highlight w:val="none"/>
        </w:rPr>
        <w:t>政府采购活动现场确认声明书。</w:t>
      </w:r>
    </w:p>
    <w:p>
      <w:pPr>
        <w:snapToGrid w:val="0"/>
        <w:spacing w:line="312"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2.2.5商务技术偏离表；</w:t>
      </w:r>
    </w:p>
    <w:p>
      <w:pPr>
        <w:snapToGrid w:val="0"/>
        <w:spacing w:line="312"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政府采购供应商廉洁自律承诺书；</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12"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12"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pP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br w:type="page"/>
      </w:r>
    </w:p>
    <w:p>
      <w:pPr>
        <w:pStyle w:val="6"/>
        <w:rPr>
          <w:color w:val="auto"/>
          <w:highlight w:val="none"/>
        </w:rPr>
      </w:pPr>
    </w:p>
    <w:p>
      <w:pPr>
        <w:jc w:val="center"/>
        <w:outlineLvl w:val="0"/>
        <w:rPr>
          <w:rFonts w:ascii="宋体" w:hAnsi="宋体" w:cs="宋体"/>
          <w:b/>
          <w:color w:val="auto"/>
          <w:kern w:val="0"/>
          <w:sz w:val="28"/>
          <w:szCs w:val="28"/>
          <w:highlight w:val="none"/>
          <w:lang w:val="zh-CN"/>
        </w:rPr>
      </w:pPr>
      <w:bookmarkStart w:id="453" w:name="_Toc15434"/>
      <w:r>
        <w:rPr>
          <w:rFonts w:hint="eastAsia" w:ascii="宋体" w:hAnsi="宋体" w:cs="宋体"/>
          <w:b/>
          <w:color w:val="auto"/>
          <w:kern w:val="0"/>
          <w:sz w:val="28"/>
          <w:szCs w:val="28"/>
          <w:highlight w:val="none"/>
          <w:lang w:val="zh-CN"/>
        </w:rPr>
        <w:t>二、授权委托书或法定代表人（单位负责人、自然人本人）身份证明</w:t>
      </w:r>
      <w:bookmarkEnd w:id="453"/>
    </w:p>
    <w:p>
      <w:pPr>
        <w:snapToGrid w:val="0"/>
        <w:spacing w:line="360" w:lineRule="auto"/>
        <w:rPr>
          <w:rFonts w:ascii="宋体" w:hAnsi="宋体" w:cs="宋体"/>
          <w:color w:val="auto"/>
          <w:sz w:val="24"/>
          <w:highlight w:val="none"/>
        </w:rPr>
      </w:pPr>
    </w:p>
    <w:p>
      <w:pPr>
        <w:snapToGrid w:val="0"/>
        <w:spacing w:line="360" w:lineRule="auto"/>
        <w:ind w:firstLine="3916" w:firstLineChars="1393"/>
        <w:rPr>
          <w:rFonts w:ascii="宋体" w:hAnsi="宋体" w:cs="宋体"/>
          <w:color w:val="auto"/>
          <w:sz w:val="28"/>
          <w:szCs w:val="28"/>
          <w:highlight w:val="none"/>
        </w:rPr>
      </w:pPr>
      <w:r>
        <w:rPr>
          <w:rFonts w:hint="eastAsia" w:ascii="宋体" w:hAnsi="宋体" w:cs="宋体"/>
          <w:b/>
          <w:color w:val="auto"/>
          <w:kern w:val="0"/>
          <w:sz w:val="28"/>
          <w:szCs w:val="28"/>
          <w:highlight w:val="none"/>
          <w:lang w:val="zh-CN"/>
        </w:rPr>
        <w:t>授权委托书</w:t>
      </w:r>
    </w:p>
    <w:p>
      <w:pPr>
        <w:snapToGrid w:val="0"/>
        <w:spacing w:line="360" w:lineRule="auto"/>
        <w:ind w:firstLine="3343" w:firstLineChars="1393"/>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嘉兴市妇幼保健院、杭州中浙招标有限公司：</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嘉兴市妇幼保健院2022至2023年保安服务项目（招标编号：中浙-CZTC22188）</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b/>
          <w:color w:val="auto"/>
          <w:kern w:val="0"/>
          <w:sz w:val="24"/>
          <w:highlight w:val="none"/>
          <w:lang w:val="zh-CN"/>
        </w:rPr>
      </w:pPr>
    </w:p>
    <w:p>
      <w:pPr>
        <w:pStyle w:val="24"/>
        <w:rPr>
          <w:rFonts w:hAnsi="宋体" w:eastAsia="宋体" w:cs="宋体"/>
          <w:b/>
          <w:color w:val="auto"/>
          <w:kern w:val="0"/>
          <w:sz w:val="24"/>
          <w:szCs w:val="24"/>
          <w:highlight w:val="none"/>
          <w:lang w:val="zh-CN"/>
        </w:rPr>
      </w:pPr>
    </w:p>
    <w:p>
      <w:pPr>
        <w:rPr>
          <w:rFonts w:ascii="宋体" w:hAnsi="宋体" w:cs="宋体"/>
          <w:b/>
          <w:color w:val="auto"/>
          <w:kern w:val="0"/>
          <w:sz w:val="24"/>
          <w:highlight w:val="none"/>
          <w:lang w:val="zh-CN"/>
        </w:rPr>
      </w:pPr>
    </w:p>
    <w:p>
      <w:pPr>
        <w:pStyle w:val="24"/>
        <w:rPr>
          <w:rFonts w:hAnsi="宋体" w:eastAsia="宋体" w:cs="宋体"/>
          <w:b/>
          <w:color w:val="auto"/>
          <w:kern w:val="0"/>
          <w:sz w:val="24"/>
          <w:szCs w:val="24"/>
          <w:highlight w:val="none"/>
          <w:lang w:val="zh-CN"/>
        </w:rPr>
      </w:pPr>
    </w:p>
    <w:p>
      <w:pPr>
        <w:rPr>
          <w:rFonts w:ascii="宋体" w:hAnsi="宋体" w:cs="宋体"/>
          <w:b/>
          <w:color w:val="auto"/>
          <w:kern w:val="0"/>
          <w:sz w:val="24"/>
          <w:highlight w:val="none"/>
          <w:lang w:val="zh-CN"/>
        </w:rPr>
      </w:pPr>
    </w:p>
    <w:p>
      <w:pPr>
        <w:pStyle w:val="24"/>
        <w:rPr>
          <w:rFonts w:hAnsi="宋体" w:eastAsia="宋体" w:cs="宋体"/>
          <w:b/>
          <w:color w:val="auto"/>
          <w:kern w:val="0"/>
          <w:sz w:val="24"/>
          <w:szCs w:val="24"/>
          <w:highlight w:val="none"/>
          <w:lang w:val="zh-CN"/>
        </w:rPr>
      </w:pPr>
    </w:p>
    <w:p>
      <w:pPr>
        <w:rPr>
          <w:rFonts w:ascii="宋体" w:hAnsi="宋体" w:cs="宋体"/>
          <w:b/>
          <w:color w:val="auto"/>
          <w:kern w:val="0"/>
          <w:sz w:val="24"/>
          <w:highlight w:val="none"/>
          <w:lang w:val="zh-CN"/>
        </w:rPr>
      </w:pPr>
    </w:p>
    <w:p>
      <w:pPr>
        <w:pStyle w:val="24"/>
        <w:rPr>
          <w:rFonts w:hAnsi="宋体" w:eastAsia="宋体" w:cs="宋体"/>
          <w:b/>
          <w:color w:val="auto"/>
          <w:kern w:val="0"/>
          <w:sz w:val="24"/>
          <w:szCs w:val="24"/>
          <w:highlight w:val="none"/>
          <w:lang w:val="zh-CN"/>
        </w:rPr>
      </w:pPr>
    </w:p>
    <w:p>
      <w:pPr>
        <w:rPr>
          <w:color w:val="auto"/>
          <w:highlight w:val="none"/>
          <w:lang w:val="zh-CN"/>
        </w:rPr>
      </w:pPr>
    </w:p>
    <w:p>
      <w:pPr>
        <w:rPr>
          <w:rFonts w:ascii="宋体" w:hAnsi="宋体" w:cs="宋体"/>
          <w:b/>
          <w:color w:val="auto"/>
          <w:kern w:val="0"/>
          <w:sz w:val="24"/>
          <w:highlight w:val="none"/>
          <w:lang w:val="zh-CN"/>
        </w:rPr>
      </w:pPr>
    </w:p>
    <w:p>
      <w:pPr>
        <w:pStyle w:val="3"/>
        <w:rPr>
          <w:rFonts w:ascii="宋体" w:hAnsi="宋体" w:eastAsia="宋体" w:cs="宋体"/>
          <w:color w:val="auto"/>
          <w:kern w:val="0"/>
          <w:sz w:val="24"/>
          <w:szCs w:val="24"/>
          <w:highlight w:val="none"/>
        </w:rPr>
      </w:pPr>
    </w:p>
    <w:p>
      <w:pPr>
        <w:rPr>
          <w:rFonts w:ascii="宋体" w:hAnsi="宋体" w:cs="宋体"/>
          <w:color w:val="auto"/>
          <w:sz w:val="24"/>
          <w:highlight w:val="none"/>
          <w:lang w:val="zh-CN"/>
        </w:rPr>
      </w:pPr>
    </w:p>
    <w:p>
      <w:pPr>
        <w:rPr>
          <w:rFonts w:ascii="宋体" w:hAnsi="宋体" w:cs="宋体"/>
          <w:b/>
          <w:color w:val="auto"/>
          <w:kern w:val="0"/>
          <w:sz w:val="24"/>
          <w:highlight w:val="none"/>
          <w:lang w:val="zh-CN"/>
        </w:rPr>
      </w:pPr>
    </w:p>
    <w:p>
      <w:pPr>
        <w:pStyle w:val="6"/>
        <w:rPr>
          <w:color w:val="auto"/>
          <w:highlight w:val="none"/>
        </w:rPr>
      </w:pPr>
    </w:p>
    <w:p>
      <w:pPr>
        <w:pStyle w:val="24"/>
        <w:rPr>
          <w:rFonts w:hAnsi="宋体" w:eastAsia="宋体" w:cs="宋体"/>
          <w:color w:val="auto"/>
          <w:sz w:val="24"/>
          <w:szCs w:val="24"/>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24"/>
          <w:highlight w:val="none"/>
          <w:lang w:val="zh-CN"/>
        </w:rPr>
        <w:t>法定代表人、单位负责人或自然人本人</w:t>
      </w:r>
      <w:r>
        <w:rPr>
          <w:rFonts w:hint="eastAsia" w:ascii="宋体" w:hAnsi="宋体" w:cs="宋体"/>
          <w:b/>
          <w:color w:val="auto"/>
          <w:sz w:val="24"/>
          <w:highlight w:val="none"/>
        </w:rPr>
        <w:t>的身份证明（适用于法定代表人、单位负责人或者自然人本人代表投标人参加投标）</w:t>
      </w:r>
    </w:p>
    <w:p>
      <w:pPr>
        <w:pStyle w:val="33"/>
        <w:spacing w:line="360" w:lineRule="auto"/>
        <w:rPr>
          <w:rFonts w:hAnsi="宋体" w:cs="宋体"/>
          <w:bCs/>
          <w:color w:val="auto"/>
          <w:sz w:val="24"/>
          <w:szCs w:val="24"/>
          <w:highlight w:val="none"/>
        </w:rPr>
      </w:pPr>
      <w:r>
        <w:rPr>
          <w:rFonts w:hint="eastAsia" w:hAnsi="宋体" w:cs="宋体"/>
          <w:bCs/>
          <w:color w:val="auto"/>
          <w:sz w:val="24"/>
          <w:szCs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3"/>
              <w:adjustRightInd w:val="0"/>
              <w:spacing w:line="360" w:lineRule="auto"/>
              <w:rPr>
                <w:rFonts w:hAnsi="宋体" w:cs="宋体"/>
                <w:bCs/>
                <w:color w:val="auto"/>
                <w:sz w:val="24"/>
                <w:szCs w:val="24"/>
                <w:highlight w:val="none"/>
              </w:rPr>
            </w:pPr>
            <w:r>
              <w:rPr>
                <w:rFonts w:hint="eastAsia" w:hAnsi="宋体" w:cs="宋体"/>
                <w:bCs/>
                <w:color w:val="auto"/>
                <w:sz w:val="24"/>
                <w:szCs w:val="24"/>
                <w:highlight w:val="none"/>
              </w:rPr>
              <w:t>正面：                                 反面：</w:t>
            </w:r>
          </w:p>
          <w:p>
            <w:pPr>
              <w:pStyle w:val="33"/>
              <w:adjustRightInd w:val="0"/>
              <w:spacing w:line="360" w:lineRule="auto"/>
              <w:rPr>
                <w:rFonts w:hAnsi="宋体" w:cs="宋体"/>
                <w:bCs/>
                <w:color w:val="auto"/>
                <w:sz w:val="24"/>
                <w:szCs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jc w:val="center"/>
        <w:rPr>
          <w:rFonts w:ascii="宋体" w:hAnsi="宋体" w:cs="宋体"/>
          <w:b/>
          <w:color w:val="auto"/>
          <w:kern w:val="0"/>
          <w:sz w:val="24"/>
          <w:highlight w:val="none"/>
        </w:rPr>
      </w:pPr>
    </w:p>
    <w:p>
      <w:pPr>
        <w:jc w:val="center"/>
        <w:rPr>
          <w:rFonts w:ascii="宋体" w:hAnsi="宋体" w:cs="宋体"/>
          <w:b/>
          <w:color w:val="auto"/>
          <w:kern w:val="0"/>
          <w:sz w:val="24"/>
          <w:highlight w:val="none"/>
        </w:rPr>
      </w:pPr>
    </w:p>
    <w:p>
      <w:pPr>
        <w:jc w:val="center"/>
        <w:rPr>
          <w:rFonts w:ascii="宋体" w:hAnsi="宋体" w:cs="宋体"/>
          <w:b/>
          <w:color w:val="auto"/>
          <w:kern w:val="0"/>
          <w:sz w:val="24"/>
          <w:highlight w:val="none"/>
        </w:rPr>
      </w:pPr>
    </w:p>
    <w:p>
      <w:pPr>
        <w:jc w:val="center"/>
        <w:rPr>
          <w:rFonts w:ascii="宋体" w:hAnsi="宋体" w:cs="宋体"/>
          <w:b/>
          <w:color w:val="auto"/>
          <w:kern w:val="0"/>
          <w:sz w:val="24"/>
          <w:highlight w:val="none"/>
        </w:rPr>
      </w:pPr>
    </w:p>
    <w:p>
      <w:pPr>
        <w:jc w:val="center"/>
        <w:rPr>
          <w:rFonts w:ascii="宋体" w:hAnsi="宋体" w:cs="宋体"/>
          <w:b/>
          <w:color w:val="auto"/>
          <w:kern w:val="0"/>
          <w:sz w:val="24"/>
          <w:highlight w:val="none"/>
        </w:rPr>
      </w:pPr>
    </w:p>
    <w:p>
      <w:pPr>
        <w:jc w:val="center"/>
        <w:rPr>
          <w:rFonts w:ascii="宋体" w:hAnsi="宋体" w:cs="宋体"/>
          <w:b/>
          <w:color w:val="auto"/>
          <w:kern w:val="0"/>
          <w:sz w:val="24"/>
          <w:highlight w:val="none"/>
        </w:rPr>
      </w:pPr>
    </w:p>
    <w:p>
      <w:pPr>
        <w:jc w:val="center"/>
        <w:rPr>
          <w:rFonts w:ascii="宋体" w:hAnsi="宋体" w:cs="宋体"/>
          <w:b/>
          <w:color w:val="auto"/>
          <w:kern w:val="0"/>
          <w:sz w:val="24"/>
          <w:highlight w:val="none"/>
        </w:rPr>
      </w:pPr>
    </w:p>
    <w:p>
      <w:pPr>
        <w:jc w:val="center"/>
        <w:rPr>
          <w:rFonts w:ascii="宋体" w:hAnsi="宋体" w:cs="宋体"/>
          <w:b/>
          <w:color w:val="auto"/>
          <w:kern w:val="0"/>
          <w:sz w:val="24"/>
          <w:highlight w:val="none"/>
        </w:rPr>
      </w:pPr>
    </w:p>
    <w:p>
      <w:pPr>
        <w:pStyle w:val="3"/>
        <w:rPr>
          <w:rFonts w:ascii="宋体" w:hAnsi="宋体" w:eastAsia="宋体" w:cs="宋体"/>
          <w:color w:val="auto"/>
          <w:kern w:val="0"/>
          <w:sz w:val="24"/>
          <w:szCs w:val="24"/>
          <w:highlight w:val="none"/>
        </w:rPr>
      </w:pPr>
    </w:p>
    <w:p>
      <w:pPr>
        <w:rPr>
          <w:rFonts w:ascii="宋体" w:hAnsi="宋体" w:cs="宋体"/>
          <w:b/>
          <w:color w:val="auto"/>
          <w:kern w:val="0"/>
          <w:sz w:val="24"/>
          <w:highlight w:val="none"/>
        </w:rPr>
      </w:pPr>
    </w:p>
    <w:p>
      <w:pPr>
        <w:pStyle w:val="3"/>
        <w:rPr>
          <w:rFonts w:ascii="宋体" w:hAnsi="宋体" w:eastAsia="宋体" w:cs="宋体"/>
          <w:color w:val="auto"/>
          <w:kern w:val="0"/>
          <w:sz w:val="24"/>
          <w:szCs w:val="24"/>
          <w:highlight w:val="none"/>
        </w:rPr>
      </w:pPr>
    </w:p>
    <w:p>
      <w:pPr>
        <w:rPr>
          <w:rFonts w:ascii="宋体" w:hAnsi="宋体" w:cs="宋体"/>
          <w:color w:val="auto"/>
          <w:sz w:val="24"/>
          <w:highlight w:val="none"/>
        </w:rPr>
      </w:pPr>
    </w:p>
    <w:p>
      <w:pPr>
        <w:pStyle w:val="23"/>
        <w:rPr>
          <w:rFonts w:ascii="宋体" w:hAnsi="宋体" w:cs="宋体"/>
          <w:color w:val="auto"/>
          <w:sz w:val="24"/>
          <w:szCs w:val="24"/>
          <w:highlight w:val="none"/>
        </w:rPr>
      </w:pPr>
    </w:p>
    <w:p>
      <w:pPr>
        <w:jc w:val="center"/>
        <w:rPr>
          <w:rFonts w:ascii="宋体" w:hAnsi="宋体" w:cs="宋体"/>
          <w:b/>
          <w:color w:val="auto"/>
          <w:kern w:val="0"/>
          <w:sz w:val="24"/>
          <w:highlight w:val="none"/>
        </w:rPr>
      </w:pPr>
    </w:p>
    <w:p>
      <w:pPr>
        <w:pStyle w:val="6"/>
        <w:rPr>
          <w:rFonts w:hAnsi="宋体" w:cs="宋体"/>
          <w:b/>
          <w:color w:val="auto"/>
          <w:kern w:val="0"/>
          <w:szCs w:val="24"/>
          <w:highlight w:val="none"/>
        </w:rPr>
      </w:pPr>
    </w:p>
    <w:p>
      <w:pPr>
        <w:pStyle w:val="7"/>
        <w:ind w:firstLine="241"/>
        <w:rPr>
          <w:rFonts w:ascii="宋体" w:hAnsi="宋体" w:cs="宋体"/>
          <w:b/>
          <w:color w:val="auto"/>
          <w:kern w:val="0"/>
          <w:sz w:val="24"/>
          <w:highlight w:val="none"/>
        </w:rPr>
      </w:pPr>
    </w:p>
    <w:p>
      <w:pPr>
        <w:rPr>
          <w:rFonts w:ascii="宋体" w:hAnsi="宋体" w:cs="宋体"/>
          <w:b/>
          <w:color w:val="auto"/>
          <w:kern w:val="0"/>
          <w:sz w:val="24"/>
          <w:highlight w:val="none"/>
        </w:rPr>
      </w:pPr>
    </w:p>
    <w:p>
      <w:pPr>
        <w:pStyle w:val="6"/>
        <w:rPr>
          <w:rFonts w:hAnsi="宋体" w:cs="宋体"/>
          <w:b/>
          <w:color w:val="auto"/>
          <w:kern w:val="0"/>
          <w:szCs w:val="24"/>
          <w:highlight w:val="none"/>
        </w:rPr>
      </w:pPr>
    </w:p>
    <w:p>
      <w:pPr>
        <w:pStyle w:val="7"/>
        <w:ind w:firstLine="210"/>
        <w:rPr>
          <w:color w:val="auto"/>
          <w:highlight w:val="none"/>
        </w:rPr>
      </w:pPr>
    </w:p>
    <w:p>
      <w:pPr>
        <w:jc w:val="center"/>
        <w:outlineLvl w:val="0"/>
        <w:rPr>
          <w:rFonts w:ascii="宋体" w:hAnsi="宋体" w:cs="宋体"/>
          <w:b/>
          <w:color w:val="auto"/>
          <w:kern w:val="0"/>
          <w:sz w:val="28"/>
          <w:szCs w:val="28"/>
          <w:highlight w:val="none"/>
        </w:rPr>
      </w:pPr>
      <w:bookmarkStart w:id="454" w:name="_Toc31808"/>
      <w:r>
        <w:rPr>
          <w:rFonts w:hint="eastAsia" w:ascii="宋体" w:hAnsi="宋体" w:cs="宋体"/>
          <w:b/>
          <w:color w:val="auto"/>
          <w:kern w:val="0"/>
          <w:sz w:val="28"/>
          <w:szCs w:val="28"/>
          <w:highlight w:val="none"/>
        </w:rPr>
        <w:t>三、符合性审查资料</w:t>
      </w:r>
      <w:bookmarkEnd w:id="454"/>
    </w:p>
    <w:tbl>
      <w:tblPr>
        <w:tblStyle w:val="18"/>
        <w:tblpPr w:leftFromText="180" w:rightFromText="180" w:vertAnchor="text" w:horzAnchor="page" w:tblpX="1407" w:tblpY="398"/>
        <w:tblOverlap w:val="never"/>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362"/>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30"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362"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92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Cs/>
                <w:color w:val="auto"/>
                <w:sz w:val="24"/>
                <w:highlight w:val="none"/>
              </w:rPr>
              <w:t>1</w:t>
            </w:r>
          </w:p>
        </w:tc>
        <w:tc>
          <w:tcPr>
            <w:tcW w:w="5362" w:type="dxa"/>
            <w:vAlign w:val="center"/>
          </w:tcPr>
          <w:p>
            <w:pPr>
              <w:snapToGrid w:val="0"/>
              <w:spacing w:line="240" w:lineRule="atLeast"/>
              <w:jc w:val="left"/>
              <w:rPr>
                <w:rFonts w:ascii="宋体" w:hAnsi="宋体" w:cs="宋体"/>
                <w:b/>
                <w:color w:val="auto"/>
                <w:sz w:val="24"/>
                <w:highlight w:val="none"/>
              </w:rPr>
            </w:pP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tc>
        <w:tc>
          <w:tcPr>
            <w:tcW w:w="292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color w:val="auto"/>
                <w:kern w:val="0"/>
                <w:sz w:val="24"/>
                <w:highlight w:val="none"/>
              </w:rPr>
              <w:t>提供有效资格文件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5362"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投标文件未按照招标文件要求签署、盖章的</w:t>
            </w:r>
          </w:p>
        </w:tc>
        <w:tc>
          <w:tcPr>
            <w:tcW w:w="2925"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62" w:type="dxa"/>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投标文件含有采购人不能接受的附加条件的</w:t>
            </w:r>
          </w:p>
        </w:tc>
        <w:tc>
          <w:tcPr>
            <w:tcW w:w="2925"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投标文件中承诺的投标有效期少于招标文件中载明的投标有效期的</w:t>
            </w:r>
          </w:p>
        </w:tc>
        <w:tc>
          <w:tcPr>
            <w:tcW w:w="2925"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投标文件出现不是唯一的、有选择性投标报价的</w:t>
            </w:r>
          </w:p>
        </w:tc>
        <w:tc>
          <w:tcPr>
            <w:tcW w:w="2925" w:type="dxa"/>
            <w:vAlign w:val="center"/>
          </w:tcPr>
          <w:p>
            <w:pPr>
              <w:rPr>
                <w:rFonts w:ascii="宋体" w:hAnsi="宋体" w:cs="宋体"/>
                <w:color w:val="auto"/>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投标报价超过招标文件中规定的预算金额或者最高限价的</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投标人对根据修正原则修正后的报价不确认的</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9</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投标人提供虚假材料投标的</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10</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投标人有恶意串通、妨碍其他投标人的竞争行为、损害采购人或者其他投标人的合法权益情形的；</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11</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投标人仅提交备份投标文件，没有在电子交易平台传输递交投标文件的，投标无效；</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12</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投标文件不满足招标文件的其它实质性要求的</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13</w:t>
            </w:r>
          </w:p>
        </w:tc>
        <w:tc>
          <w:tcPr>
            <w:tcW w:w="5362"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法律、法规、规章规定的其他无效情形</w:t>
            </w:r>
          </w:p>
        </w:tc>
        <w:tc>
          <w:tcPr>
            <w:tcW w:w="2925"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根据投标文件情况，进行评审</w:t>
            </w:r>
          </w:p>
        </w:tc>
      </w:tr>
    </w:tbl>
    <w:p>
      <w:pPr>
        <w:jc w:val="center"/>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bookmarkStart w:id="455" w:name="_Toc6371"/>
    </w:p>
    <w:p>
      <w:pPr>
        <w:spacing w:line="360" w:lineRule="auto"/>
        <w:jc w:val="center"/>
        <w:outlineLvl w:val="0"/>
        <w:rPr>
          <w:rFonts w:ascii="宋体" w:hAnsi="宋体" w:cs="宋体"/>
          <w:color w:val="auto"/>
          <w:sz w:val="28"/>
          <w:szCs w:val="28"/>
          <w:highlight w:val="none"/>
        </w:rPr>
      </w:pPr>
      <w:r>
        <w:rPr>
          <w:rFonts w:hint="eastAsia" w:ascii="宋体" w:hAnsi="宋体" w:cs="宋体"/>
          <w:b/>
          <w:color w:val="auto"/>
          <w:kern w:val="0"/>
          <w:sz w:val="28"/>
          <w:szCs w:val="28"/>
          <w:highlight w:val="none"/>
        </w:rPr>
        <w:t>四、评审标准相应的商务技术资料</w:t>
      </w:r>
      <w:bookmarkEnd w:id="455"/>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（按招标文件第四部分评审办法前附表中“投标文件中评审标准相应的商务技术资料目录”提供资料,除以下投标文件格式外相关资料由供应商自拟。）</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1.供应商基本情况表（格式参考投标文件格式1）。</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招标代理费支付承诺书</w:t>
      </w:r>
      <w:r>
        <w:rPr>
          <w:rFonts w:hint="eastAsia" w:ascii="宋体" w:hAnsi="宋体" w:cs="宋体"/>
          <w:color w:val="auto"/>
          <w:kern w:val="0"/>
          <w:sz w:val="24"/>
          <w:szCs w:val="24"/>
          <w:highlight w:val="none"/>
        </w:rPr>
        <w:t>（格式参考投标文件格式5）。</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highlight w:val="none"/>
        </w:rPr>
        <w:t>投标人自2019年1月1日至今（以合同签订时间为准）具有成功实施的保安同类项目的业绩或案例证明</w:t>
      </w:r>
      <w:r>
        <w:rPr>
          <w:rFonts w:hint="eastAsia" w:ascii="宋体" w:hAnsi="宋体" w:cs="宋体"/>
          <w:color w:val="auto"/>
          <w:kern w:val="0"/>
          <w:sz w:val="24"/>
          <w:szCs w:val="24"/>
          <w:highlight w:val="none"/>
        </w:rPr>
        <w:t>（格式参考投标文件格式2）（若有）。</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4.投标文件对招标文件的响应情况（格式参考五、商务技术偏离表）。</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sz w:val="24"/>
          <w:highlight w:val="none"/>
        </w:rPr>
        <w:t>投标人提供完整的医院安全保卫工作整体方案、人员调度计划、值班轮休计划、日常管控的具体措施</w:t>
      </w:r>
      <w:r>
        <w:rPr>
          <w:rFonts w:hint="eastAsia" w:ascii="宋体" w:hAnsi="宋体" w:cs="宋体"/>
          <w:color w:val="auto"/>
          <w:kern w:val="0"/>
          <w:sz w:val="24"/>
          <w:szCs w:val="24"/>
          <w:highlight w:val="none"/>
        </w:rPr>
        <w:t>。</w:t>
      </w:r>
    </w:p>
    <w:p>
      <w:pPr>
        <w:snapToGrid w:val="0"/>
        <w:spacing w:line="312" w:lineRule="auto"/>
        <w:ind w:right="-97" w:rightChars="-46"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日常工作程序（维护医院内的医疗秩序、消防安全、常态化巡逻等各项活动、公共秩序、调解纠纷、疏导人流等）内容</w:t>
      </w:r>
      <w:r>
        <w:rPr>
          <w:rFonts w:hint="eastAsia" w:ascii="宋体" w:hAnsi="宋体" w:cs="宋体"/>
          <w:color w:val="auto"/>
          <w:kern w:val="0"/>
          <w:sz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sz w:val="24"/>
          <w:highlight w:val="none"/>
        </w:rPr>
        <w:t>保安服务方案可行性和质量保证：包括岗位服务内容、保安标准化方案、操作程序合理，操作规程、演练、演习、培训方案等科学实用，培训计划和内容等可行性，有完整的信息反馈系统</w:t>
      </w:r>
      <w:r>
        <w:rPr>
          <w:rFonts w:hint="eastAsia" w:ascii="宋体" w:hAnsi="宋体" w:cs="宋体"/>
          <w:color w:val="auto"/>
          <w:kern w:val="0"/>
          <w:sz w:val="24"/>
          <w:szCs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sz w:val="24"/>
          <w:highlight w:val="none"/>
        </w:rPr>
        <w:t>保安人员素质：提供配备保安人员的文化程度、持证证书、工作经验、年龄、退伍军人（提供退伍军人证复印件）数量</w:t>
      </w:r>
      <w:r>
        <w:rPr>
          <w:rFonts w:hint="eastAsia" w:ascii="宋体" w:hAnsi="宋体" w:cs="宋体"/>
          <w:color w:val="auto"/>
          <w:kern w:val="0"/>
          <w:sz w:val="24"/>
          <w:szCs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highlight w:val="none"/>
        </w:rPr>
        <w:t>保安管理规章制度、岗位职能及针对本项目制定实际有效的质量考核奖惩制度，提供考核表。</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r>
        <w:rPr>
          <w:rFonts w:hint="eastAsia" w:ascii="宋体" w:hAnsi="宋体" w:cs="宋体"/>
          <w:color w:val="auto"/>
          <w:sz w:val="24"/>
          <w:highlight w:val="none"/>
        </w:rPr>
        <w:t>稳定员工队伍的措施、人员保障机制及人员工资福利承诺情况，根据采购人投入项目资金情况，制定员工工资福利计划。（以符合采购人投入资金的使用合理性为原则）</w:t>
      </w:r>
      <w:r>
        <w:rPr>
          <w:rFonts w:hint="eastAsia" w:ascii="宋体" w:hAnsi="宋体" w:cs="宋体"/>
          <w:color w:val="auto"/>
          <w:kern w:val="0"/>
          <w:sz w:val="24"/>
          <w:szCs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r>
        <w:rPr>
          <w:rFonts w:hint="eastAsia" w:ascii="宋体" w:hAnsi="宋体" w:cs="宋体"/>
          <w:color w:val="auto"/>
          <w:sz w:val="24"/>
          <w:highlight w:val="none"/>
        </w:rPr>
        <w:t>重点部位(包含医院门卫、急诊区域、发热门诊区域)的保安方案及保证措施</w:t>
      </w:r>
      <w:r>
        <w:rPr>
          <w:rFonts w:hint="eastAsia" w:ascii="宋体" w:hAnsi="宋体" w:cs="宋体"/>
          <w:color w:val="auto"/>
          <w:kern w:val="0"/>
          <w:sz w:val="24"/>
          <w:szCs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w:t>
      </w:r>
      <w:r>
        <w:rPr>
          <w:rFonts w:hint="eastAsia" w:ascii="宋体" w:hAnsi="宋体" w:cs="宋体"/>
          <w:color w:val="auto"/>
          <w:sz w:val="24"/>
          <w:highlight w:val="none"/>
        </w:rPr>
        <w:t>重大接待任务及重要节假日加班措施</w:t>
      </w:r>
      <w:r>
        <w:rPr>
          <w:rFonts w:hint="eastAsia" w:ascii="宋体" w:hAnsi="宋体" w:cs="宋体"/>
          <w:color w:val="auto"/>
          <w:kern w:val="0"/>
          <w:sz w:val="24"/>
          <w:szCs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w:t>
      </w:r>
      <w:r>
        <w:rPr>
          <w:rFonts w:hint="eastAsia" w:ascii="宋体" w:hAnsi="宋体" w:cs="宋体"/>
          <w:color w:val="auto"/>
          <w:sz w:val="24"/>
          <w:highlight w:val="none"/>
        </w:rPr>
        <w:t>提供详细、全面的突发事件应急预案（案件防控、打击罪犯、反扒防抢、自然灾害、突发事件处置等）</w:t>
      </w:r>
      <w:r>
        <w:rPr>
          <w:rFonts w:hint="eastAsia" w:ascii="宋体" w:hAnsi="宋体" w:cs="宋体"/>
          <w:color w:val="auto"/>
          <w:kern w:val="0"/>
          <w:sz w:val="24"/>
          <w:szCs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w:t>
      </w:r>
      <w:r>
        <w:rPr>
          <w:rFonts w:hint="eastAsia" w:ascii="宋体" w:hAnsi="宋体" w:cs="宋体"/>
          <w:color w:val="auto"/>
          <w:sz w:val="24"/>
          <w:highlight w:val="none"/>
        </w:rPr>
        <w:t>拟投入本项目的秩序维护执勤器材设备工具、耗材配置和管理情况</w:t>
      </w:r>
      <w:r>
        <w:rPr>
          <w:rFonts w:hint="eastAsia" w:ascii="宋体" w:hAnsi="宋体" w:cs="宋体"/>
          <w:color w:val="auto"/>
          <w:kern w:val="0"/>
          <w:sz w:val="24"/>
          <w:szCs w:val="24"/>
          <w:highlight w:val="none"/>
        </w:rPr>
        <w:t>。</w:t>
      </w:r>
    </w:p>
    <w:p>
      <w:pPr>
        <w:pStyle w:val="23"/>
        <w:spacing w:line="312" w:lineRule="auto"/>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r>
        <w:rPr>
          <w:rFonts w:hint="eastAsia" w:ascii="宋体" w:hAnsi="宋体" w:cs="宋体"/>
          <w:color w:val="auto"/>
          <w:sz w:val="24"/>
          <w:highlight w:val="none"/>
        </w:rPr>
        <w:t>服务质量的承诺及保证措施、安全文明礼貌的承诺及保证措施、完善售后服务计划</w:t>
      </w:r>
      <w:r>
        <w:rPr>
          <w:rFonts w:hint="eastAsia" w:ascii="宋体" w:hAnsi="宋体" w:cs="宋体"/>
          <w:color w:val="auto"/>
          <w:kern w:val="0"/>
          <w:sz w:val="24"/>
          <w:szCs w:val="24"/>
          <w:highlight w:val="none"/>
        </w:rPr>
        <w:t>。</w:t>
      </w:r>
    </w:p>
    <w:p>
      <w:pPr>
        <w:pStyle w:val="23"/>
        <w:spacing w:line="312" w:lineRule="auto"/>
        <w:ind w:firstLine="240" w:firstLineChars="100"/>
        <w:rPr>
          <w:rFonts w:hint="eastAsia" w:ascii="宋体" w:hAnsi="宋体" w:cs="宋体"/>
          <w:color w:val="auto"/>
          <w:sz w:val="24"/>
          <w:highlight w:val="none"/>
        </w:rPr>
      </w:pPr>
      <w:r>
        <w:rPr>
          <w:rFonts w:hint="eastAsia" w:ascii="宋体" w:hAnsi="宋体" w:cs="宋体"/>
          <w:color w:val="auto"/>
          <w:kern w:val="0"/>
          <w:sz w:val="24"/>
          <w:szCs w:val="24"/>
          <w:highlight w:val="none"/>
        </w:rPr>
        <w:t>16.</w:t>
      </w:r>
      <w:r>
        <w:rPr>
          <w:rFonts w:hint="eastAsia" w:ascii="宋体" w:hAnsi="宋体" w:cs="宋体"/>
          <w:color w:val="auto"/>
          <w:sz w:val="24"/>
          <w:highlight w:val="none"/>
        </w:rPr>
        <w:t>针对项目实施中可能会出现的问题和存在的困难，进行客观仔细地分析，并结合自身专业、经验等实际情况，在对项目理解的基础上提出合理化建议（解决对策）。</w:t>
      </w:r>
    </w:p>
    <w:p>
      <w:pPr>
        <w:pStyle w:val="23"/>
        <w:spacing w:line="312" w:lineRule="auto"/>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17.业主反馈表。</w:t>
      </w:r>
    </w:p>
    <w:p>
      <w:pPr>
        <w:pStyle w:val="23"/>
        <w:spacing w:line="312" w:lineRule="auto"/>
        <w:ind w:firstLine="240" w:firstLineChars="100"/>
        <w:rPr>
          <w:rFonts w:ascii="宋体" w:hAnsi="宋体" w:cs="宋体"/>
          <w:color w:val="auto"/>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.其它投标人认为应该提供的资料。</w:t>
      </w:r>
    </w:p>
    <w:p>
      <w:pPr>
        <w:pStyle w:val="3"/>
        <w:jc w:val="center"/>
        <w:rPr>
          <w:rFonts w:ascii="宋体" w:hAnsi="宋体" w:eastAsia="宋体" w:cs="宋体"/>
          <w:color w:val="auto"/>
          <w:sz w:val="24"/>
          <w:szCs w:val="24"/>
          <w:highlight w:val="none"/>
        </w:rPr>
      </w:pPr>
      <w:bookmarkStart w:id="456" w:name="_Toc20440"/>
      <w:r>
        <w:rPr>
          <w:rFonts w:hint="eastAsia" w:ascii="宋体" w:hAnsi="宋体" w:eastAsia="宋体" w:cs="宋体"/>
          <w:color w:val="auto"/>
          <w:sz w:val="24"/>
          <w:szCs w:val="24"/>
          <w:highlight w:val="none"/>
          <w:lang w:val="en-US"/>
        </w:rPr>
        <w:t>附件投标文件格式1：</w:t>
      </w:r>
      <w:r>
        <w:rPr>
          <w:rFonts w:hint="eastAsia" w:ascii="宋体" w:hAnsi="宋体" w:eastAsia="宋体" w:cs="宋体"/>
          <w:color w:val="auto"/>
          <w:sz w:val="24"/>
          <w:szCs w:val="24"/>
          <w:highlight w:val="none"/>
        </w:rPr>
        <w:t>供应商基本情况表</w:t>
      </w:r>
      <w:bookmarkEnd w:id="456"/>
    </w:p>
    <w:p>
      <w:pPr>
        <w:spacing w:line="480" w:lineRule="exact"/>
        <w:jc w:val="center"/>
        <w:outlineLvl w:val="0"/>
        <w:rPr>
          <w:rFonts w:ascii="宋体" w:hAnsi="宋体" w:cs="宋体"/>
          <w:color w:val="auto"/>
          <w:sz w:val="24"/>
          <w:highlight w:val="none"/>
        </w:rPr>
      </w:pPr>
      <w:bookmarkStart w:id="457" w:name="_Toc23820"/>
      <w:r>
        <w:rPr>
          <w:rFonts w:hint="eastAsia" w:ascii="宋体" w:hAnsi="宋体" w:cs="宋体"/>
          <w:color w:val="auto"/>
          <w:sz w:val="24"/>
          <w:highlight w:val="none"/>
        </w:rPr>
        <w:t>（由投标人自行编制）</w:t>
      </w:r>
      <w:bookmarkEnd w:id="457"/>
    </w:p>
    <w:tbl>
      <w:tblPr>
        <w:tblStyle w:val="18"/>
        <w:tblW w:w="0" w:type="auto"/>
        <w:tblInd w:w="168" w:type="dxa"/>
        <w:shd w:val="clear" w:color="auto" w:fill="FFFFFF" w:themeFill="background1"/>
        <w:tblLayout w:type="fixed"/>
        <w:tblCellMar>
          <w:top w:w="0" w:type="dxa"/>
          <w:left w:w="168" w:type="dxa"/>
          <w:bottom w:w="0" w:type="dxa"/>
          <w:right w:w="168" w:type="dxa"/>
        </w:tblCellMar>
      </w:tblPr>
      <w:tblGrid>
        <w:gridCol w:w="5227"/>
        <w:gridCol w:w="3799"/>
      </w:tblGrid>
      <w:tr>
        <w:tblPrEx>
          <w:shd w:val="clear" w:color="auto" w:fill="FFFFFF" w:themeFill="background1"/>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项目</w:t>
            </w:r>
          </w:p>
        </w:tc>
        <w:tc>
          <w:tcPr>
            <w:tcW w:w="3799" w:type="dxa"/>
            <w:tcBorders>
              <w:top w:val="single" w:color="auto" w:sz="6" w:space="0"/>
              <w:left w:val="single" w:color="auto" w:sz="6" w:space="0"/>
              <w:bottom w:val="nil"/>
              <w:right w:val="single" w:color="auto" w:sz="6" w:space="0"/>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rPr>
              <w:tab/>
            </w:r>
            <w:r>
              <w:rPr>
                <w:rFonts w:hint="eastAsia" w:ascii="宋体" w:hAnsi="宋体" w:cs="宋体"/>
                <w:b/>
                <w:bCs/>
                <w:color w:val="auto"/>
                <w:sz w:val="24"/>
                <w:highlight w:val="none"/>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rPr>
              <w:tab/>
            </w:r>
            <w:r>
              <w:rPr>
                <w:rFonts w:hint="eastAsia" w:ascii="宋体" w:hAnsi="宋体" w:cs="宋体"/>
                <w:color w:val="auto"/>
                <w:sz w:val="24"/>
                <w:highlight w:val="none"/>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color w:val="auto"/>
                <w:sz w:val="24"/>
                <w:highlight w:val="none"/>
              </w:rPr>
              <w:tab/>
            </w:r>
            <w:r>
              <w:rPr>
                <w:rFonts w:hint="eastAsia" w:ascii="宋体" w:hAnsi="宋体" w:cs="宋体"/>
                <w:color w:val="auto"/>
                <w:sz w:val="24"/>
                <w:highlight w:val="none"/>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rPr>
              <w:tab/>
            </w:r>
            <w:r>
              <w:rPr>
                <w:rFonts w:hint="eastAsia" w:ascii="宋体" w:hAnsi="宋体" w:cs="宋体"/>
                <w:color w:val="auto"/>
                <w:sz w:val="24"/>
                <w:highlight w:val="none"/>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rPr>
              <w:tab/>
            </w:r>
            <w:r>
              <w:rPr>
                <w:rFonts w:hint="eastAsia" w:ascii="宋体" w:hAnsi="宋体" w:cs="宋体"/>
                <w:color w:val="auto"/>
                <w:sz w:val="24"/>
                <w:highlight w:val="none"/>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rPr>
              <w:tab/>
            </w:r>
            <w:r>
              <w:rPr>
                <w:rFonts w:hint="eastAsia" w:ascii="宋体" w:hAnsi="宋体" w:cs="宋体"/>
                <w:color w:val="auto"/>
                <w:sz w:val="24"/>
                <w:highlight w:val="none"/>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rPr>
              <w:tab/>
            </w:r>
            <w:r>
              <w:rPr>
                <w:rFonts w:hint="eastAsia" w:ascii="宋体" w:hAnsi="宋体" w:cs="宋体"/>
                <w:color w:val="auto"/>
                <w:sz w:val="24"/>
                <w:highlight w:val="none"/>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1.7</w:t>
            </w:r>
            <w:r>
              <w:rPr>
                <w:rFonts w:hint="eastAsia" w:ascii="宋体" w:hAnsi="宋体" w:cs="宋体"/>
                <w:color w:val="auto"/>
                <w:sz w:val="24"/>
                <w:highlight w:val="none"/>
              </w:rPr>
              <w:tab/>
            </w:r>
            <w:r>
              <w:rPr>
                <w:rFonts w:hint="eastAsia" w:ascii="宋体" w:hAnsi="宋体" w:cs="宋体"/>
                <w:color w:val="auto"/>
                <w:sz w:val="24"/>
                <w:highlight w:val="none"/>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rPr>
              <w:tab/>
            </w:r>
            <w:r>
              <w:rPr>
                <w:rFonts w:hint="eastAsia" w:ascii="宋体" w:hAnsi="宋体" w:cs="宋体"/>
                <w:color w:val="auto"/>
                <w:sz w:val="24"/>
                <w:highlight w:val="none"/>
              </w:rPr>
              <w:t>典型项目实例: 需提供合同复印件，成功案例单位出具的用户报告并加盖公章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rPr>
              <w:tab/>
            </w:r>
            <w:r>
              <w:rPr>
                <w:rFonts w:hint="eastAsia" w:ascii="宋体" w:hAnsi="宋体" w:cs="宋体"/>
                <w:b/>
                <w:bCs/>
                <w:color w:val="auto"/>
                <w:sz w:val="24"/>
                <w:highlight w:val="none"/>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rPr>
              <w:tab/>
            </w:r>
            <w:r>
              <w:rPr>
                <w:rFonts w:hint="eastAsia" w:ascii="宋体" w:hAnsi="宋体" w:cs="宋体"/>
                <w:color w:val="auto"/>
                <w:sz w:val="24"/>
                <w:highlight w:val="none"/>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服务人员的数量、学历、资历，典型项目实例；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r>
              <w:rPr>
                <w:rFonts w:hint="eastAsia" w:ascii="宋体" w:hAnsi="宋体" w:cs="宋体"/>
                <w:b/>
                <w:bCs/>
                <w:color w:val="auto"/>
                <w:sz w:val="24"/>
                <w:highlight w:val="none"/>
              </w:rPr>
              <w:t>3．公司的组织结构简图</w:t>
            </w:r>
            <w:r>
              <w:rPr>
                <w:rFonts w:hint="eastAsia" w:ascii="宋体" w:hAnsi="宋体" w:cs="宋体"/>
                <w:color w:val="auto"/>
                <w:sz w:val="24"/>
                <w:highlight w:val="none"/>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4．营业执照复印件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5．相关资质证明</w:t>
            </w:r>
          </w:p>
        </w:tc>
        <w:tc>
          <w:tcPr>
            <w:tcW w:w="3799" w:type="dxa"/>
            <w:tcBorders>
              <w:top w:val="single" w:color="auto" w:sz="6" w:space="0"/>
              <w:left w:val="single" w:color="auto" w:sz="6" w:space="0"/>
              <w:bottom w:val="single" w:color="auto" w:sz="6" w:space="0"/>
              <w:right w:val="single" w:color="auto" w:sz="6" w:space="0"/>
            </w:tcBorders>
            <w:shd w:val="clear" w:color="auto" w:fill="FFFFFF" w:themeFill="background1"/>
            <w:noWra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spacing w:line="440" w:lineRule="exact"/>
              <w:rPr>
                <w:rFonts w:ascii="宋体" w:hAnsi="宋体" w:cs="宋体"/>
                <w:color w:val="auto"/>
                <w:sz w:val="24"/>
                <w:highlight w:val="none"/>
              </w:rPr>
            </w:pPr>
          </w:p>
        </w:tc>
      </w:tr>
    </w:tbl>
    <w:p>
      <w:pPr>
        <w:rPr>
          <w:rFonts w:ascii="宋体" w:hAnsi="宋体" w:cs="宋体"/>
          <w:color w:val="auto"/>
          <w:sz w:val="24"/>
          <w:highlight w:val="none"/>
        </w:rPr>
      </w:pPr>
      <w:r>
        <w:rPr>
          <w:rFonts w:hint="eastAsia" w:ascii="宋体" w:hAnsi="宋体" w:cs="宋体"/>
          <w:color w:val="auto"/>
          <w:sz w:val="24"/>
          <w:highlight w:val="none"/>
        </w:rPr>
        <w:br w:type="page"/>
      </w:r>
    </w:p>
    <w:p>
      <w:pPr>
        <w:pStyle w:val="3"/>
        <w:ind w:left="729" w:leftChars="347" w:firstLine="1110" w:firstLineChars="395"/>
        <w:jc w:val="both"/>
        <w:rPr>
          <w:rFonts w:ascii="宋体" w:hAnsi="宋体" w:eastAsia="宋体" w:cs="宋体"/>
          <w:color w:val="auto"/>
          <w:sz w:val="28"/>
          <w:szCs w:val="28"/>
          <w:highlight w:val="none"/>
        </w:rPr>
      </w:pPr>
      <w:bookmarkStart w:id="458" w:name="_Toc21795"/>
      <w:r>
        <w:rPr>
          <w:rFonts w:hint="eastAsia" w:ascii="宋体" w:hAnsi="宋体" w:eastAsia="宋体" w:cs="宋体"/>
          <w:color w:val="auto"/>
          <w:sz w:val="28"/>
          <w:szCs w:val="28"/>
          <w:highlight w:val="none"/>
          <w:lang w:val="en-US"/>
        </w:rPr>
        <w:t>附件投标文件格式2：</w:t>
      </w:r>
      <w:r>
        <w:rPr>
          <w:rFonts w:hint="eastAsia" w:ascii="宋体" w:hAnsi="宋体" w:eastAsia="宋体" w:cs="宋体"/>
          <w:color w:val="auto"/>
          <w:sz w:val="28"/>
          <w:szCs w:val="28"/>
          <w:highlight w:val="none"/>
        </w:rPr>
        <w:t>主要业绩证明</w:t>
      </w:r>
      <w:bookmarkEnd w:id="458"/>
    </w:p>
    <w:tbl>
      <w:tblPr>
        <w:tblStyle w:val="18"/>
        <w:tblW w:w="4998" w:type="pct"/>
        <w:tblInd w:w="0" w:type="dxa"/>
        <w:tblLayout w:type="autofit"/>
        <w:tblCellMar>
          <w:top w:w="0" w:type="dxa"/>
          <w:left w:w="28" w:type="dxa"/>
          <w:bottom w:w="0" w:type="dxa"/>
          <w:right w:w="28" w:type="dxa"/>
        </w:tblCellMar>
      </w:tblPr>
      <w:tblGrid>
        <w:gridCol w:w="1378"/>
        <w:gridCol w:w="1119"/>
        <w:gridCol w:w="1179"/>
        <w:gridCol w:w="1139"/>
        <w:gridCol w:w="2936"/>
        <w:gridCol w:w="1033"/>
      </w:tblGrid>
      <w:tr>
        <w:tblPrEx>
          <w:tblCellMar>
            <w:top w:w="0" w:type="dxa"/>
            <w:left w:w="28" w:type="dxa"/>
            <w:bottom w:w="0" w:type="dxa"/>
            <w:right w:w="28" w:type="dxa"/>
          </w:tblCellMar>
        </w:tblPrEx>
        <w:trPr>
          <w:trHeight w:val="1177" w:hRule="atLeast"/>
        </w:trPr>
        <w:tc>
          <w:tcPr>
            <w:tcW w:w="869"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22"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项目类型</w:t>
            </w:r>
          </w:p>
        </w:tc>
        <w:tc>
          <w:tcPr>
            <w:tcW w:w="756"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简要描述</w:t>
            </w:r>
          </w:p>
        </w:tc>
        <w:tc>
          <w:tcPr>
            <w:tcW w:w="73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pPr>
              <w:autoSpaceDE w:val="0"/>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24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项目地址与采购人联系电话</w:t>
            </w:r>
          </w:p>
        </w:tc>
        <w:tc>
          <w:tcPr>
            <w:tcW w:w="673" w:type="pc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所在页码</w:t>
            </w:r>
          </w:p>
        </w:tc>
      </w:tr>
      <w:tr>
        <w:tblPrEx>
          <w:tblCellMar>
            <w:top w:w="0" w:type="dxa"/>
            <w:left w:w="28" w:type="dxa"/>
            <w:bottom w:w="0" w:type="dxa"/>
            <w:right w:w="28" w:type="dxa"/>
          </w:tblCellMar>
        </w:tblPrEx>
        <w:trPr>
          <w:trHeight w:val="528"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r>
      <w:tr>
        <w:tblPrEx>
          <w:tblCellMar>
            <w:top w:w="0" w:type="dxa"/>
            <w:left w:w="28" w:type="dxa"/>
            <w:bottom w:w="0" w:type="dxa"/>
            <w:right w:w="28" w:type="dxa"/>
          </w:tblCellMar>
        </w:tblPrEx>
        <w:trPr>
          <w:trHeight w:val="450"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r>
      <w:tr>
        <w:tblPrEx>
          <w:tblCellMar>
            <w:top w:w="0" w:type="dxa"/>
            <w:left w:w="28" w:type="dxa"/>
            <w:bottom w:w="0" w:type="dxa"/>
            <w:right w:w="28" w:type="dxa"/>
          </w:tblCellMar>
        </w:tblPrEx>
        <w:trPr>
          <w:trHeight w:val="456"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r>
      <w:tr>
        <w:tblPrEx>
          <w:tblCellMar>
            <w:top w:w="0" w:type="dxa"/>
            <w:left w:w="28" w:type="dxa"/>
            <w:bottom w:w="0" w:type="dxa"/>
            <w:right w:w="28" w:type="dxa"/>
          </w:tblCellMar>
        </w:tblPrEx>
        <w:trPr>
          <w:trHeight w:val="448"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r>
      <w:tr>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22"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56"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73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124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c>
          <w:tcPr>
            <w:tcW w:w="673" w:type="pct"/>
            <w:tcBorders>
              <w:top w:val="single" w:color="auto" w:sz="6" w:space="0"/>
              <w:left w:val="single" w:color="auto" w:sz="6" w:space="0"/>
              <w:bottom w:val="single" w:color="auto" w:sz="6" w:space="0"/>
              <w:right w:val="single" w:color="auto" w:sz="6" w:space="0"/>
            </w:tcBorders>
            <w:noWrap/>
          </w:tcPr>
          <w:p>
            <w:pPr>
              <w:autoSpaceDE w:val="0"/>
              <w:autoSpaceDN w:val="0"/>
              <w:spacing w:line="440" w:lineRule="exact"/>
              <w:rPr>
                <w:rFonts w:ascii="宋体" w:hAnsi="宋体" w:cs="宋体"/>
                <w:color w:val="auto"/>
                <w:sz w:val="24"/>
                <w:highlight w:val="none"/>
              </w:rPr>
            </w:pPr>
          </w:p>
        </w:tc>
      </w:tr>
    </w:tbl>
    <w:p>
      <w:pPr>
        <w:autoSpaceDE w:val="0"/>
        <w:autoSpaceDN w:val="0"/>
        <w:spacing w:line="440" w:lineRule="exact"/>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投标人自2019年1月1日至今（以合同签订时间为准）具有成功实施的保安同类项目的业绩或案例证明</w:t>
      </w:r>
      <w:r>
        <w:rPr>
          <w:rFonts w:hint="eastAsia" w:ascii="宋体" w:hAnsi="宋体" w:cs="宋体"/>
          <w:color w:val="auto"/>
          <w:sz w:val="24"/>
          <w:highlight w:val="none"/>
        </w:rPr>
        <w:t>。投标文件中需提供合同复印件加盖投标人公章，原件备查。</w:t>
      </w:r>
    </w:p>
    <w:p>
      <w:pPr>
        <w:autoSpaceDE w:val="0"/>
        <w:autoSpaceDN w:val="0"/>
        <w:spacing w:line="420" w:lineRule="exact"/>
        <w:ind w:firstLine="5280" w:firstLineChars="2200"/>
        <w:rPr>
          <w:rFonts w:ascii="宋体" w:hAnsi="宋体" w:cs="宋体"/>
          <w:color w:val="auto"/>
          <w:kern w:val="0"/>
          <w:sz w:val="24"/>
          <w:highlight w:val="none"/>
        </w:rPr>
      </w:pPr>
    </w:p>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snapToGrid w:val="0"/>
        <w:spacing w:line="360" w:lineRule="auto"/>
        <w:jc w:val="center"/>
        <w:rPr>
          <w:rFonts w:hAnsi="宋体" w:cs="宋体"/>
          <w:color w:val="auto"/>
          <w:kern w:val="0"/>
          <w:highlight w:val="none"/>
        </w:rPr>
      </w:pPr>
      <w:r>
        <w:rPr>
          <w:rFonts w:hint="eastAsia" w:ascii="宋体" w:hAnsi="宋体" w:cs="宋体"/>
          <w:b/>
          <w:bCs/>
          <w:color w:val="auto"/>
          <w:sz w:val="28"/>
          <w:szCs w:val="28"/>
          <w:highlight w:val="none"/>
        </w:rPr>
        <w:t>附件投标文件格式3：</w:t>
      </w:r>
      <w:r>
        <w:rPr>
          <w:rStyle w:val="49"/>
          <w:rFonts w:hint="eastAsia" w:ascii="宋体" w:hAnsi="宋体" w:eastAsia="宋体" w:cs="宋体"/>
          <w:color w:val="auto"/>
          <w:sz w:val="28"/>
          <w:szCs w:val="28"/>
          <w:highlight w:val="none"/>
        </w:rPr>
        <w:t>保安大队长简历表</w:t>
      </w:r>
    </w:p>
    <w:tbl>
      <w:tblPr>
        <w:tblStyle w:val="18"/>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50"/>
        <w:gridCol w:w="723"/>
        <w:gridCol w:w="968"/>
        <w:gridCol w:w="1037"/>
        <w:gridCol w:w="1400"/>
        <w:gridCol w:w="1777"/>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 名</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03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400"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资格证书</w:t>
            </w:r>
          </w:p>
        </w:tc>
        <w:tc>
          <w:tcPr>
            <w:tcW w:w="177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身份证号码</w:t>
            </w:r>
          </w:p>
        </w:tc>
        <w:tc>
          <w:tcPr>
            <w:tcW w:w="133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color w:val="auto"/>
                <w:kern w:val="0"/>
                <w:sz w:val="24"/>
                <w:highlight w:val="none"/>
              </w:rPr>
            </w:pP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color w:val="auto"/>
                <w:kern w:val="0"/>
                <w:sz w:val="24"/>
                <w:highlight w:val="none"/>
              </w:rPr>
            </w:pP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p>
        </w:tc>
        <w:tc>
          <w:tcPr>
            <w:tcW w:w="103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p>
        </w:tc>
        <w:tc>
          <w:tcPr>
            <w:tcW w:w="1400"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p>
        </w:tc>
        <w:tc>
          <w:tcPr>
            <w:tcW w:w="1777" w:type="dxa"/>
            <w:tcBorders>
              <w:top w:val="single" w:color="auto" w:sz="4" w:space="0"/>
              <w:left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p>
        </w:tc>
        <w:tc>
          <w:tcPr>
            <w:tcW w:w="133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jc w:val="center"/>
        </w:trPr>
        <w:tc>
          <w:tcPr>
            <w:tcW w:w="9154" w:type="dxa"/>
            <w:gridSpan w:val="8"/>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cs="宋体"/>
                <w:color w:val="auto"/>
                <w:kern w:val="0"/>
                <w:sz w:val="24"/>
                <w:highlight w:val="none"/>
              </w:rPr>
            </w:pPr>
          </w:p>
          <w:p>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保安大队长简历：</w:t>
            </w:r>
          </w:p>
        </w:tc>
      </w:tr>
    </w:tbl>
    <w:p>
      <w:pPr>
        <w:rPr>
          <w:rFonts w:ascii="宋体" w:hAnsi="宋体" w:cs="宋体"/>
          <w:bCs/>
          <w:color w:val="auto"/>
          <w:kern w:val="0"/>
          <w:sz w:val="24"/>
          <w:highlight w:val="none"/>
        </w:rPr>
      </w:pPr>
      <w:r>
        <w:rPr>
          <w:rFonts w:hint="eastAsia" w:ascii="宋体" w:hAnsi="宋体" w:cs="宋体"/>
          <w:bCs/>
          <w:color w:val="auto"/>
          <w:kern w:val="0"/>
          <w:sz w:val="24"/>
          <w:highlight w:val="none"/>
        </w:rPr>
        <w:t>注：1.须附身份证、职称证书、</w:t>
      </w:r>
      <w:r>
        <w:rPr>
          <w:rFonts w:hint="eastAsia" w:ascii="宋体" w:hAnsi="宋体" w:cs="宋体"/>
          <w:color w:val="auto"/>
          <w:kern w:val="0"/>
          <w:sz w:val="24"/>
          <w:highlight w:val="none"/>
        </w:rPr>
        <w:t>资格证书、学历证书、</w:t>
      </w:r>
      <w:r>
        <w:rPr>
          <w:rFonts w:hint="eastAsia" w:ascii="宋体" w:hAnsi="宋体" w:cs="宋体"/>
          <w:bCs/>
          <w:color w:val="auto"/>
          <w:kern w:val="0"/>
          <w:sz w:val="24"/>
          <w:highlight w:val="none"/>
        </w:rPr>
        <w:t>社保证明复印件，原件备查。</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2.不得随意更换项目负责人，如不经采购人同意擅自更换，则采购人有权解除合同。      </w:t>
      </w:r>
    </w:p>
    <w:p>
      <w:pPr>
        <w:rPr>
          <w:rFonts w:ascii="宋体" w:hAnsi="宋体" w:cs="宋体"/>
          <w:color w:val="auto"/>
          <w:kern w:val="0"/>
          <w:sz w:val="24"/>
          <w:highlight w:val="none"/>
        </w:rPr>
      </w:pPr>
    </w:p>
    <w:p>
      <w:pPr>
        <w:spacing w:line="360" w:lineRule="auto"/>
        <w:rPr>
          <w:rFonts w:ascii="宋体" w:hAnsi="宋体" w:cs="宋体"/>
          <w:color w:val="auto"/>
          <w:sz w:val="24"/>
          <w:highlight w:val="none"/>
        </w:rPr>
      </w:pPr>
    </w:p>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color w:val="auto"/>
          <w:sz w:val="24"/>
          <w:highlight w:val="none"/>
        </w:rPr>
      </w:pPr>
    </w:p>
    <w:p>
      <w:pPr>
        <w:rPr>
          <w:rFonts w:ascii="宋体" w:hAnsi="宋体" w:cs="宋体"/>
          <w:b/>
          <w:bCs/>
          <w:color w:val="auto"/>
          <w:sz w:val="24"/>
          <w:highlight w:val="none"/>
        </w:rPr>
      </w:pPr>
      <w:bookmarkStart w:id="459" w:name="_Toc13580"/>
      <w:r>
        <w:rPr>
          <w:rFonts w:hint="eastAsia" w:ascii="宋体" w:hAnsi="宋体" w:cs="宋体"/>
          <w:b/>
          <w:bCs/>
          <w:color w:val="auto"/>
          <w:sz w:val="24"/>
          <w:highlight w:val="none"/>
        </w:rPr>
        <w:br w:type="page"/>
      </w:r>
    </w:p>
    <w:p>
      <w:pPr>
        <w:pStyle w:val="3"/>
        <w:jc w:val="center"/>
        <w:rPr>
          <w:rFonts w:hAnsi="宋体" w:cs="宋体"/>
          <w:color w:val="auto"/>
          <w:kern w:val="0"/>
          <w:highlight w:val="none"/>
        </w:rPr>
      </w:pPr>
      <w:r>
        <w:rPr>
          <w:rFonts w:hint="eastAsia" w:ascii="宋体" w:hAnsi="宋体" w:eastAsia="宋体" w:cs="宋体"/>
          <w:color w:val="auto"/>
          <w:sz w:val="28"/>
          <w:szCs w:val="28"/>
          <w:highlight w:val="none"/>
          <w:lang w:val="en-US"/>
        </w:rPr>
        <w:t>附件投标文件格式</w:t>
      </w:r>
      <w:r>
        <w:rPr>
          <w:rStyle w:val="43"/>
          <w:rFonts w:hint="eastAsia" w:ascii="宋体" w:hAnsi="宋体" w:eastAsia="宋体" w:cs="宋体"/>
          <w:b/>
          <w:bCs/>
          <w:color w:val="auto"/>
          <w:sz w:val="28"/>
          <w:szCs w:val="28"/>
          <w:highlight w:val="none"/>
          <w:lang w:val="en-US"/>
        </w:rPr>
        <w:t>4：</w:t>
      </w:r>
      <w:bookmarkEnd w:id="459"/>
      <w:r>
        <w:rPr>
          <w:rFonts w:hint="eastAsia" w:ascii="宋体" w:hAnsi="宋体" w:eastAsia="宋体" w:cs="宋体"/>
          <w:color w:val="auto"/>
          <w:sz w:val="28"/>
          <w:szCs w:val="28"/>
          <w:highlight w:val="none"/>
        </w:rPr>
        <w:t>拟派本项目组人员配备情况</w:t>
      </w:r>
    </w:p>
    <w:tbl>
      <w:tblPr>
        <w:tblStyle w:val="18"/>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96"/>
        <w:gridCol w:w="853"/>
        <w:gridCol w:w="801"/>
        <w:gridCol w:w="867"/>
        <w:gridCol w:w="1210"/>
        <w:gridCol w:w="1829"/>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姓 名</w:t>
            </w: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10" w:leftChars="-36" w:hanging="86" w:hangingChars="36"/>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leftChars="-36" w:hanging="75" w:hangingChars="36"/>
              <w:jc w:val="center"/>
              <w:rPr>
                <w:rFonts w:ascii="宋体" w:hAnsi="宋体" w:cs="宋体"/>
                <w:color w:val="auto"/>
                <w:kern w:val="0"/>
                <w:sz w:val="24"/>
                <w:highlight w:val="none"/>
              </w:rPr>
            </w:pPr>
            <w:r>
              <w:rPr>
                <w:rFonts w:hint="eastAsia" w:ascii="宋体" w:hAnsi="宋体" w:cs="宋体"/>
                <w:color w:val="auto"/>
                <w:szCs w:val="21"/>
                <w:highlight w:val="none"/>
              </w:rPr>
              <w:t>学历</w:t>
            </w: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拟任岗位</w:t>
            </w: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身份证号码</w:t>
            </w: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p>
            <w:pPr>
              <w:spacing w:line="440" w:lineRule="exact"/>
              <w:ind w:firstLine="592"/>
              <w:jc w:val="center"/>
              <w:rPr>
                <w:rFonts w:ascii="宋体" w:hAnsi="宋体" w:cs="宋体"/>
                <w:color w:val="auto"/>
                <w:kern w:val="0"/>
                <w:sz w:val="24"/>
                <w:highlight w:val="none"/>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p>
            <w:pPr>
              <w:spacing w:line="440" w:lineRule="exact"/>
              <w:ind w:firstLine="592"/>
              <w:jc w:val="center"/>
              <w:rPr>
                <w:rFonts w:ascii="宋体" w:hAnsi="宋体" w:cs="宋体"/>
                <w:color w:val="auto"/>
                <w:kern w:val="0"/>
                <w:sz w:val="24"/>
                <w:highlight w:val="none"/>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p>
            <w:pPr>
              <w:spacing w:line="440" w:lineRule="exact"/>
              <w:ind w:firstLine="592"/>
              <w:jc w:val="center"/>
              <w:rPr>
                <w:rFonts w:ascii="宋体" w:hAnsi="宋体" w:cs="宋体"/>
                <w:color w:val="auto"/>
                <w:kern w:val="0"/>
                <w:sz w:val="24"/>
                <w:highlight w:val="none"/>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69"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p>
            <w:pPr>
              <w:spacing w:line="440" w:lineRule="exact"/>
              <w:ind w:firstLine="592"/>
              <w:jc w:val="center"/>
              <w:rPr>
                <w:rFonts w:ascii="宋体" w:hAnsi="宋体" w:cs="宋体"/>
                <w:color w:val="auto"/>
                <w:kern w:val="0"/>
                <w:sz w:val="24"/>
                <w:highlight w:val="none"/>
              </w:rPr>
            </w:pPr>
          </w:p>
        </w:tc>
        <w:tc>
          <w:tcPr>
            <w:tcW w:w="448"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485"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1023"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noWrap/>
            <w:vAlign w:val="center"/>
          </w:tcPr>
          <w:p>
            <w:pPr>
              <w:spacing w:line="440" w:lineRule="exact"/>
              <w:ind w:firstLine="592"/>
              <w:jc w:val="center"/>
              <w:rPr>
                <w:rFonts w:ascii="宋体" w:hAnsi="宋体" w:cs="宋体"/>
                <w:color w:val="auto"/>
                <w:kern w:val="0"/>
                <w:sz w:val="24"/>
                <w:highlight w:val="none"/>
              </w:rPr>
            </w:pPr>
          </w:p>
        </w:tc>
      </w:tr>
    </w:tbl>
    <w:p>
      <w:pPr>
        <w:rPr>
          <w:rFonts w:ascii="宋体" w:hAnsi="宋体" w:cs="宋体"/>
          <w:bCs/>
          <w:color w:val="auto"/>
          <w:kern w:val="0"/>
          <w:sz w:val="24"/>
          <w:highlight w:val="none"/>
        </w:rPr>
      </w:pPr>
    </w:p>
    <w:p>
      <w:pPr>
        <w:rPr>
          <w:rFonts w:ascii="宋体" w:hAnsi="宋体" w:cs="宋体"/>
          <w:bCs/>
          <w:color w:val="auto"/>
          <w:kern w:val="0"/>
          <w:sz w:val="24"/>
          <w:highlight w:val="none"/>
        </w:rPr>
      </w:pPr>
      <w:r>
        <w:rPr>
          <w:rFonts w:hint="eastAsia" w:ascii="宋体" w:hAnsi="宋体" w:cs="宋体"/>
          <w:bCs/>
          <w:color w:val="auto"/>
          <w:kern w:val="0"/>
          <w:sz w:val="24"/>
          <w:highlight w:val="none"/>
        </w:rPr>
        <w:t>注：1.此表仅提供了表格形式，报价供应商可按此表格复制。</w:t>
      </w:r>
    </w:p>
    <w:p>
      <w:pPr>
        <w:rPr>
          <w:rFonts w:ascii="宋体" w:hAnsi="宋体" w:cs="宋体"/>
          <w:bCs/>
          <w:color w:val="auto"/>
          <w:kern w:val="0"/>
          <w:sz w:val="24"/>
          <w:highlight w:val="none"/>
        </w:rPr>
      </w:pPr>
      <w:r>
        <w:rPr>
          <w:rFonts w:hint="eastAsia" w:ascii="宋体" w:hAnsi="宋体" w:cs="宋体"/>
          <w:bCs/>
          <w:color w:val="auto"/>
          <w:kern w:val="0"/>
          <w:sz w:val="24"/>
          <w:highlight w:val="none"/>
        </w:rPr>
        <w:t xml:space="preserve">2.不得随意更换项目实施人员，如不经采购人同意擅自更换，则采购人有权解除合同。 </w:t>
      </w:r>
    </w:p>
    <w:p>
      <w:pPr>
        <w:widowControl/>
        <w:jc w:val="left"/>
        <w:rPr>
          <w:rFonts w:ascii="宋体" w:hAnsi="宋体" w:cs="宋体"/>
          <w:bCs/>
          <w:color w:val="auto"/>
          <w:kern w:val="0"/>
          <w:sz w:val="24"/>
          <w:highlight w:val="none"/>
        </w:rPr>
      </w:pPr>
    </w:p>
    <w:p>
      <w:pPr>
        <w:widowControl/>
        <w:jc w:val="left"/>
        <w:rPr>
          <w:rFonts w:ascii="宋体" w:hAnsi="宋体" w:cs="宋体"/>
          <w:bCs/>
          <w:color w:val="auto"/>
          <w:kern w:val="0"/>
          <w:sz w:val="24"/>
          <w:highlight w:val="none"/>
        </w:rPr>
      </w:pPr>
    </w:p>
    <w:p>
      <w:pPr>
        <w:widowControl/>
        <w:jc w:val="left"/>
        <w:rPr>
          <w:rFonts w:ascii="宋体" w:hAnsi="宋体" w:cs="宋体"/>
          <w:bCs/>
          <w:color w:val="auto"/>
          <w:kern w:val="0"/>
          <w:sz w:val="24"/>
          <w:highlight w:val="none"/>
        </w:rPr>
      </w:pPr>
    </w:p>
    <w:p>
      <w:pPr>
        <w:widowControl/>
        <w:jc w:val="left"/>
        <w:rPr>
          <w:rFonts w:ascii="宋体" w:hAnsi="宋体" w:cs="宋体"/>
          <w:bCs/>
          <w:color w:val="auto"/>
          <w:kern w:val="0"/>
          <w:sz w:val="24"/>
          <w:highlight w:val="none"/>
        </w:rPr>
      </w:pPr>
    </w:p>
    <w:p>
      <w:pPr>
        <w:snapToGrid w:val="0"/>
        <w:spacing w:line="360"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color w:val="auto"/>
          <w:sz w:val="24"/>
          <w:highlight w:val="none"/>
        </w:rPr>
      </w:pPr>
      <w:r>
        <w:rPr>
          <w:rFonts w:hint="eastAsia" w:ascii="宋体" w:hAnsi="宋体" w:cs="宋体"/>
          <w:color w:val="auto"/>
          <w:sz w:val="24"/>
          <w:highlight w:val="none"/>
        </w:rPr>
        <w:br w:type="page"/>
      </w:r>
    </w:p>
    <w:p>
      <w:pPr>
        <w:ind w:firstLine="2249" w:firstLineChars="800"/>
        <w:outlineLvl w:val="1"/>
        <w:rPr>
          <w:rStyle w:val="43"/>
          <w:rFonts w:ascii="宋体" w:hAnsi="宋体" w:eastAsia="宋体" w:cs="宋体"/>
          <w:color w:val="auto"/>
          <w:sz w:val="28"/>
          <w:szCs w:val="28"/>
          <w:highlight w:val="none"/>
        </w:rPr>
      </w:pPr>
      <w:bookmarkStart w:id="460" w:name="_Toc11258"/>
      <w:r>
        <w:rPr>
          <w:rFonts w:hint="eastAsia" w:ascii="宋体" w:hAnsi="宋体" w:cs="宋体"/>
          <w:b/>
          <w:bCs/>
          <w:color w:val="auto"/>
          <w:sz w:val="28"/>
          <w:szCs w:val="28"/>
          <w:highlight w:val="none"/>
        </w:rPr>
        <w:t>附件</w:t>
      </w:r>
      <w:r>
        <w:rPr>
          <w:rStyle w:val="43"/>
          <w:rFonts w:hint="eastAsia" w:ascii="宋体" w:hAnsi="宋体" w:eastAsia="宋体" w:cs="宋体"/>
          <w:color w:val="auto"/>
          <w:sz w:val="28"/>
          <w:szCs w:val="28"/>
          <w:highlight w:val="none"/>
          <w:lang w:val="en-US"/>
        </w:rPr>
        <w:t>投标文件格式5：</w:t>
      </w:r>
      <w:r>
        <w:rPr>
          <w:rStyle w:val="43"/>
          <w:rFonts w:hint="eastAsia" w:ascii="宋体" w:hAnsi="宋体" w:eastAsia="宋体" w:cs="宋体"/>
          <w:color w:val="auto"/>
          <w:sz w:val="28"/>
          <w:szCs w:val="28"/>
          <w:highlight w:val="none"/>
        </w:rPr>
        <w:t>招标代理费支付承诺书</w:t>
      </w:r>
      <w:bookmarkEnd w:id="460"/>
    </w:p>
    <w:p>
      <w:pPr>
        <w:spacing w:line="420" w:lineRule="exact"/>
        <w:jc w:val="center"/>
        <w:rPr>
          <w:rFonts w:ascii="宋体" w:hAnsi="宋体" w:cs="宋体"/>
          <w:b/>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致：杭州中浙招标有限公司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如我单位在贵方组织的</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招标中（</w:t>
      </w:r>
      <w:r>
        <w:rPr>
          <w:rFonts w:hint="eastAsia" w:ascii="宋体" w:hAnsi="宋体" w:cs="宋体"/>
          <w:color w:val="auto"/>
          <w:sz w:val="24"/>
          <w:highlight w:val="none"/>
          <w:u w:val="single"/>
        </w:rPr>
        <w:t xml:space="preserve">编号：      </w:t>
      </w:r>
      <w:r>
        <w:rPr>
          <w:rFonts w:hint="eastAsia" w:ascii="宋体" w:hAnsi="宋体" w:cs="宋体"/>
          <w:color w:val="auto"/>
          <w:sz w:val="24"/>
          <w:highlight w:val="none"/>
        </w:rPr>
        <w:t>）中标。我方承诺按投标文件的规定，在领取中标通知书的同时，以网银或电汇形式向贵方支付招标代理服务费。其金额按投标文件约定计算。</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我方如违约，愿凭贵方开出的违约通知，按上述承诺金额的200％在采购人支付给成交人的合同款中扣缴。</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特此承诺！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承诺方法定名称：＿＿＿＿＿＿＿＿＿＿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邮编：＿＿＿＿＿＿＿＿＿＿</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电话：＿＿＿＿＿＿＿＿＿＿</w:t>
      </w:r>
    </w:p>
    <w:p>
      <w:pPr>
        <w:pStyle w:val="23"/>
        <w:rPr>
          <w:rFonts w:ascii="宋体" w:hAnsi="宋体" w:cs="宋体"/>
          <w:color w:val="auto"/>
          <w:sz w:val="24"/>
          <w:szCs w:val="24"/>
          <w:highlight w:val="none"/>
        </w:rPr>
      </w:pPr>
      <w:r>
        <w:rPr>
          <w:rFonts w:hint="eastAsia" w:ascii="宋体" w:hAnsi="宋体" w:cs="宋体"/>
          <w:color w:val="auto"/>
          <w:sz w:val="24"/>
          <w:szCs w:val="24"/>
          <w:highlight w:val="none"/>
        </w:rPr>
        <w:t xml:space="preserve">          传真：＿＿＿＿＿＿＿＿＿＿</w:t>
      </w:r>
    </w:p>
    <w:p>
      <w:pPr>
        <w:pStyle w:val="23"/>
        <w:rPr>
          <w:rFonts w:ascii="宋体" w:hAnsi="宋体" w:cs="宋体"/>
          <w:color w:val="auto"/>
          <w:sz w:val="24"/>
          <w:szCs w:val="24"/>
          <w:highlight w:val="none"/>
        </w:rPr>
      </w:pPr>
    </w:p>
    <w:p>
      <w:pPr>
        <w:pStyle w:val="23"/>
        <w:rPr>
          <w:rFonts w:ascii="宋体" w:hAnsi="宋体" w:cs="宋体"/>
          <w:color w:val="auto"/>
          <w:sz w:val="24"/>
          <w:szCs w:val="24"/>
          <w:highlight w:val="none"/>
        </w:rPr>
      </w:pPr>
    </w:p>
    <w:p>
      <w:pPr>
        <w:autoSpaceDE w:val="0"/>
        <w:autoSpaceDN w:val="0"/>
        <w:snapToGrid w:val="0"/>
        <w:spacing w:line="312" w:lineRule="auto"/>
        <w:outlineLvl w:val="0"/>
        <w:rPr>
          <w:rFonts w:ascii="宋体" w:hAnsi="宋体" w:cs="宋体"/>
          <w:b/>
          <w:bCs/>
          <w:color w:val="auto"/>
          <w:sz w:val="24"/>
          <w:highlight w:val="none"/>
        </w:rPr>
      </w:pPr>
      <w:bookmarkStart w:id="461" w:name="_Toc20372"/>
      <w:r>
        <w:rPr>
          <w:rFonts w:hint="eastAsia" w:ascii="宋体" w:hAnsi="宋体" w:cs="宋体"/>
          <w:b/>
          <w:bCs/>
          <w:color w:val="auto"/>
          <w:sz w:val="24"/>
          <w:highlight w:val="none"/>
        </w:rPr>
        <w:t>附：账户信息</w:t>
      </w:r>
      <w:bookmarkEnd w:id="461"/>
    </w:p>
    <w:p>
      <w:pPr>
        <w:autoSpaceDE w:val="0"/>
        <w:autoSpaceDN w:val="0"/>
        <w:snapToGrid w:val="0"/>
        <w:spacing w:line="312" w:lineRule="auto"/>
        <w:outlineLvl w:val="0"/>
        <w:rPr>
          <w:rFonts w:ascii="宋体" w:hAnsi="宋体" w:cs="宋体"/>
          <w:b/>
          <w:bCs/>
          <w:color w:val="auto"/>
          <w:sz w:val="24"/>
          <w:highlight w:val="none"/>
        </w:rPr>
      </w:pPr>
      <w:bookmarkStart w:id="462" w:name="_Toc31765"/>
      <w:r>
        <w:rPr>
          <w:rFonts w:hint="eastAsia" w:ascii="宋体" w:hAnsi="宋体" w:cs="宋体"/>
          <w:b/>
          <w:bCs/>
          <w:color w:val="auto"/>
          <w:sz w:val="24"/>
          <w:highlight w:val="none"/>
        </w:rPr>
        <w:t>单位名称：杭州中浙招标有限公司</w:t>
      </w:r>
      <w:bookmarkEnd w:id="462"/>
    </w:p>
    <w:p>
      <w:pPr>
        <w:autoSpaceDE w:val="0"/>
        <w:autoSpaceDN w:val="0"/>
        <w:snapToGrid w:val="0"/>
        <w:spacing w:line="312" w:lineRule="auto"/>
        <w:outlineLvl w:val="0"/>
        <w:rPr>
          <w:rFonts w:ascii="宋体" w:hAnsi="宋体" w:cs="宋体"/>
          <w:b/>
          <w:bCs/>
          <w:color w:val="auto"/>
          <w:sz w:val="24"/>
          <w:highlight w:val="none"/>
        </w:rPr>
      </w:pPr>
      <w:bookmarkStart w:id="463" w:name="_Toc16788"/>
      <w:r>
        <w:rPr>
          <w:rFonts w:hint="eastAsia" w:ascii="宋体" w:hAnsi="宋体" w:cs="宋体"/>
          <w:b/>
          <w:bCs/>
          <w:color w:val="auto"/>
          <w:sz w:val="24"/>
          <w:highlight w:val="none"/>
        </w:rPr>
        <w:t>开户银行：杭州银行拱宸桥支行</w:t>
      </w:r>
      <w:bookmarkEnd w:id="463"/>
    </w:p>
    <w:p>
      <w:pPr>
        <w:outlineLvl w:val="0"/>
        <w:rPr>
          <w:rFonts w:ascii="宋体" w:hAnsi="宋体" w:cs="宋体"/>
          <w:color w:val="auto"/>
          <w:sz w:val="24"/>
          <w:highlight w:val="none"/>
        </w:rPr>
      </w:pPr>
      <w:bookmarkStart w:id="464" w:name="_Toc7490"/>
      <w:r>
        <w:rPr>
          <w:rFonts w:hint="eastAsia" w:ascii="宋体" w:hAnsi="宋体" w:cs="宋体"/>
          <w:b/>
          <w:bCs/>
          <w:color w:val="auto"/>
          <w:sz w:val="24"/>
          <w:highlight w:val="none"/>
        </w:rPr>
        <w:t>帐    号：3301040160001182073</w:t>
      </w:r>
      <w:bookmarkEnd w:id="464"/>
    </w:p>
    <w:p>
      <w:pPr>
        <w:pStyle w:val="23"/>
        <w:rPr>
          <w:rFonts w:ascii="宋体" w:hAnsi="宋体" w:cs="宋体"/>
          <w:color w:val="auto"/>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pStyle w:val="3"/>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附件</w:t>
      </w:r>
      <w:r>
        <w:rPr>
          <w:rFonts w:hint="eastAsia" w:ascii="宋体" w:hAnsi="宋体" w:eastAsia="宋体" w:cs="宋体"/>
          <w:color w:val="auto"/>
          <w:sz w:val="28"/>
          <w:szCs w:val="28"/>
          <w:highlight w:val="none"/>
        </w:rPr>
        <w:t>投标文件格式</w:t>
      </w:r>
      <w:r>
        <w:rPr>
          <w:rFonts w:hint="eastAsia" w:ascii="宋体" w:hAnsi="宋体" w:eastAsia="宋体" w:cs="宋体"/>
          <w:color w:val="auto"/>
          <w:sz w:val="28"/>
          <w:szCs w:val="28"/>
          <w:highlight w:val="none"/>
          <w:lang w:val="en-US"/>
        </w:rPr>
        <w:t>6</w:t>
      </w:r>
      <w:r>
        <w:rPr>
          <w:rFonts w:hint="eastAsia" w:ascii="宋体" w:hAnsi="宋体" w:eastAsia="宋体" w:cs="宋体"/>
          <w:color w:val="auto"/>
          <w:sz w:val="28"/>
          <w:szCs w:val="28"/>
          <w:highlight w:val="none"/>
        </w:rPr>
        <w:t>：拟投入设备及工具一览表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70"/>
        <w:gridCol w:w="1068"/>
        <w:gridCol w:w="1129"/>
        <w:gridCol w:w="685"/>
        <w:gridCol w:w="815"/>
        <w:gridCol w:w="2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828" w:type="dxa"/>
            <w:tcBorders>
              <w:top w:val="single" w:color="auto" w:sz="12" w:space="0"/>
              <w:left w:val="single" w:color="auto" w:sz="12" w:space="0"/>
              <w:bottom w:val="single" w:color="auto" w:sz="12" w:space="0"/>
              <w:right w:val="single" w:color="auto" w:sz="4" w:space="0"/>
            </w:tcBorders>
            <w:noWrap/>
            <w:vAlign w:val="center"/>
          </w:tcPr>
          <w:p>
            <w:pPr>
              <w:ind w:left="-40" w:leftChars="-19" w:right="-38" w:rightChars="-18"/>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70"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color w:val="auto"/>
                <w:sz w:val="24"/>
                <w:highlight w:val="none"/>
              </w:rPr>
            </w:pPr>
            <w:r>
              <w:rPr>
                <w:rFonts w:hint="eastAsia" w:ascii="宋体" w:hAnsi="宋体" w:cs="宋体"/>
                <w:color w:val="auto"/>
                <w:sz w:val="24"/>
                <w:highlight w:val="none"/>
              </w:rPr>
              <w:t>设备/工具名称</w:t>
            </w:r>
          </w:p>
        </w:tc>
        <w:tc>
          <w:tcPr>
            <w:tcW w:w="1068"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color w:val="auto"/>
                <w:sz w:val="24"/>
                <w:highlight w:val="none"/>
              </w:rPr>
            </w:pPr>
            <w:r>
              <w:rPr>
                <w:rFonts w:hint="eastAsia" w:ascii="宋体" w:hAnsi="宋体" w:cs="宋体"/>
                <w:color w:val="auto"/>
                <w:sz w:val="24"/>
                <w:highlight w:val="none"/>
              </w:rPr>
              <w:t>型号规格</w:t>
            </w:r>
          </w:p>
        </w:tc>
        <w:tc>
          <w:tcPr>
            <w:tcW w:w="1129"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color w:val="auto"/>
                <w:sz w:val="24"/>
                <w:highlight w:val="none"/>
              </w:rPr>
            </w:pPr>
            <w:r>
              <w:rPr>
                <w:rFonts w:hint="eastAsia" w:ascii="宋体" w:hAnsi="宋体" w:cs="宋体"/>
                <w:color w:val="auto"/>
                <w:sz w:val="24"/>
                <w:highlight w:val="none"/>
              </w:rPr>
              <w:t>品牌/产地</w:t>
            </w:r>
          </w:p>
        </w:tc>
        <w:tc>
          <w:tcPr>
            <w:tcW w:w="685"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color w:val="auto"/>
                <w:sz w:val="24"/>
                <w:highlight w:val="none"/>
              </w:rPr>
            </w:pPr>
            <w:r>
              <w:rPr>
                <w:rFonts w:hint="eastAsia" w:ascii="宋体" w:hAnsi="宋体" w:cs="宋体"/>
                <w:color w:val="auto"/>
                <w:sz w:val="24"/>
                <w:highlight w:val="none"/>
              </w:rPr>
              <w:t>单位</w:t>
            </w:r>
          </w:p>
        </w:tc>
        <w:tc>
          <w:tcPr>
            <w:tcW w:w="815" w:type="dxa"/>
            <w:tcBorders>
              <w:top w:val="single" w:color="auto" w:sz="12" w:space="0"/>
              <w:left w:val="single" w:color="auto" w:sz="4" w:space="0"/>
              <w:bottom w:val="single" w:color="auto" w:sz="12" w:space="0"/>
              <w:right w:val="single" w:color="auto" w:sz="4" w:space="0"/>
            </w:tcBorders>
            <w:noWrap/>
            <w:vAlign w:val="center"/>
          </w:tcPr>
          <w:p>
            <w:pPr>
              <w:ind w:left="-40" w:leftChars="-19" w:right="-38" w:rightChars="-18"/>
              <w:jc w:val="center"/>
              <w:rPr>
                <w:rFonts w:ascii="宋体" w:hAnsi="宋体" w:cs="宋体"/>
                <w:color w:val="auto"/>
                <w:sz w:val="24"/>
                <w:highlight w:val="none"/>
              </w:rPr>
            </w:pPr>
            <w:r>
              <w:rPr>
                <w:rFonts w:hint="eastAsia" w:ascii="宋体" w:hAnsi="宋体" w:cs="宋体"/>
                <w:color w:val="auto"/>
                <w:sz w:val="24"/>
                <w:highlight w:val="none"/>
              </w:rPr>
              <w:t>数量</w:t>
            </w:r>
          </w:p>
        </w:tc>
        <w:tc>
          <w:tcPr>
            <w:tcW w:w="2540" w:type="dxa"/>
            <w:tcBorders>
              <w:top w:val="single" w:color="auto" w:sz="12" w:space="0"/>
              <w:left w:val="single" w:color="auto" w:sz="4" w:space="0"/>
              <w:bottom w:val="single" w:color="auto" w:sz="12" w:space="0"/>
              <w:right w:val="single" w:color="auto" w:sz="12" w:space="0"/>
            </w:tcBorders>
            <w:noWrap/>
            <w:vAlign w:val="center"/>
          </w:tcPr>
          <w:p>
            <w:pPr>
              <w:ind w:left="-40" w:leftChars="-19" w:right="-38" w:rightChars="-18"/>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12"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270"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钢盔</w:t>
            </w:r>
          </w:p>
        </w:tc>
        <w:tc>
          <w:tcPr>
            <w:tcW w:w="1068" w:type="dxa"/>
            <w:tcBorders>
              <w:top w:val="single" w:color="auto" w:sz="12"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12"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顶</w:t>
            </w:r>
          </w:p>
        </w:tc>
        <w:tc>
          <w:tcPr>
            <w:tcW w:w="815" w:type="dxa"/>
            <w:tcBorders>
              <w:top w:val="single" w:color="auto" w:sz="12"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12"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警绳</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伸缩警棍</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多功能分体式雨衣</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雨鞋</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双</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小雨伞</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把</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武装带</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条</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防刺服</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辣椒水喷射器</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只</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防割手套</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套</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数字对讲机</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强光电筒</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40" w:leftChars="-19" w:right="-38" w:rightChars="-18"/>
              <w:jc w:val="center"/>
              <w:rPr>
                <w:rFonts w:ascii="宋体" w:hAnsi="宋体" w:cs="宋体"/>
                <w:color w:val="auto"/>
                <w:kern w:val="0"/>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支</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钝角钢叉</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副</w:t>
            </w: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left="-40" w:leftChars="-19" w:right="-38" w:rightChars="-18" w:firstLine="592"/>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4" w:space="0"/>
              <w:right w:val="single" w:color="auto" w:sz="4" w:space="0"/>
            </w:tcBorders>
            <w:noWrap/>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22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其他</w:t>
            </w:r>
          </w:p>
        </w:tc>
        <w:tc>
          <w:tcPr>
            <w:tcW w:w="1068"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4"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8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4" w:space="0"/>
              <w:right w:val="single" w:color="auto" w:sz="12" w:space="0"/>
            </w:tcBorders>
            <w:noWrap/>
            <w:vAlign w:val="center"/>
          </w:tcPr>
          <w:p>
            <w:pPr>
              <w:ind w:right="-38" w:rightChars="-18"/>
              <w:rPr>
                <w:rFonts w:ascii="宋体" w:hAnsi="宋体" w:cs="宋体"/>
                <w:color w:val="auto"/>
                <w:sz w:val="24"/>
                <w:highlight w:val="none"/>
              </w:rPr>
            </w:pPr>
            <w:r>
              <w:rPr>
                <w:rFonts w:hint="eastAsia" w:ascii="宋体" w:hAnsi="宋体" w:cs="宋体"/>
                <w:color w:val="auto"/>
                <w:kern w:val="0"/>
                <w:sz w:val="24"/>
                <w:highlight w:val="none"/>
              </w:rPr>
              <w:t>投标人根据实际工作需要提出配置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28" w:type="dxa"/>
            <w:tcBorders>
              <w:top w:val="single" w:color="auto" w:sz="4" w:space="0"/>
              <w:left w:val="single" w:color="auto" w:sz="12" w:space="0"/>
              <w:bottom w:val="single" w:color="auto" w:sz="12"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70"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1068" w:type="dxa"/>
            <w:tcBorders>
              <w:top w:val="single" w:color="auto" w:sz="4" w:space="0"/>
              <w:left w:val="single" w:color="auto" w:sz="4" w:space="0"/>
              <w:bottom w:val="single" w:color="auto" w:sz="12"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1129" w:type="dxa"/>
            <w:tcBorders>
              <w:top w:val="single" w:color="auto" w:sz="4" w:space="0"/>
              <w:left w:val="single" w:color="auto" w:sz="4" w:space="0"/>
              <w:bottom w:val="single" w:color="auto" w:sz="12" w:space="0"/>
              <w:right w:val="single" w:color="auto" w:sz="4" w:space="0"/>
            </w:tcBorders>
            <w:noWrap/>
            <w:vAlign w:val="center"/>
          </w:tcPr>
          <w:p>
            <w:pPr>
              <w:ind w:left="-40" w:leftChars="-19" w:right="-38" w:rightChars="-18" w:firstLine="592"/>
              <w:jc w:val="center"/>
              <w:rPr>
                <w:rFonts w:ascii="宋体" w:hAnsi="宋体" w:cs="宋体"/>
                <w:color w:val="auto"/>
                <w:sz w:val="24"/>
                <w:highlight w:val="none"/>
              </w:rPr>
            </w:pPr>
          </w:p>
        </w:tc>
        <w:tc>
          <w:tcPr>
            <w:tcW w:w="685"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815" w:type="dxa"/>
            <w:tcBorders>
              <w:top w:val="single" w:color="auto" w:sz="4" w:space="0"/>
              <w:left w:val="single" w:color="auto" w:sz="4" w:space="0"/>
              <w:bottom w:val="single" w:color="auto" w:sz="12" w:space="0"/>
              <w:right w:val="single" w:color="auto" w:sz="4" w:space="0"/>
            </w:tcBorders>
            <w:noWrap/>
            <w:vAlign w:val="center"/>
          </w:tcPr>
          <w:p>
            <w:pPr>
              <w:widowControl/>
              <w:spacing w:line="360" w:lineRule="auto"/>
              <w:jc w:val="center"/>
              <w:rPr>
                <w:rFonts w:ascii="宋体" w:hAnsi="宋体" w:cs="宋体"/>
                <w:color w:val="auto"/>
                <w:kern w:val="0"/>
                <w:sz w:val="24"/>
                <w:highlight w:val="none"/>
              </w:rPr>
            </w:pPr>
          </w:p>
        </w:tc>
        <w:tc>
          <w:tcPr>
            <w:tcW w:w="2540" w:type="dxa"/>
            <w:tcBorders>
              <w:top w:val="single" w:color="auto" w:sz="4" w:space="0"/>
              <w:left w:val="single" w:color="auto" w:sz="4" w:space="0"/>
              <w:bottom w:val="single" w:color="auto" w:sz="12" w:space="0"/>
              <w:right w:val="single" w:color="auto" w:sz="12" w:space="0"/>
            </w:tcBorders>
            <w:noWrap/>
            <w:vAlign w:val="center"/>
          </w:tcPr>
          <w:p>
            <w:pPr>
              <w:ind w:right="-38" w:rightChars="-18"/>
              <w:rPr>
                <w:rFonts w:ascii="宋体" w:hAnsi="宋体" w:cs="宋体"/>
                <w:color w:val="auto"/>
                <w:kern w:val="0"/>
                <w:sz w:val="24"/>
                <w:highlight w:val="none"/>
              </w:rPr>
            </w:pPr>
          </w:p>
        </w:tc>
      </w:tr>
    </w:tbl>
    <w:p>
      <w:pPr>
        <w:ind w:firstLine="592"/>
        <w:rPr>
          <w:rFonts w:ascii="宋体" w:hAnsi="宋体" w:cs="宋体"/>
          <w:color w:val="auto"/>
          <w:highlight w:val="none"/>
        </w:rPr>
      </w:pPr>
    </w:p>
    <w:p>
      <w:pPr>
        <w:pStyle w:val="4"/>
        <w:spacing w:line="360" w:lineRule="auto"/>
        <w:ind w:firstLine="0"/>
        <w:jc w:val="left"/>
        <w:rPr>
          <w:rFonts w:hAnsi="宋体" w:cs="宋体"/>
          <w:color w:val="auto"/>
          <w:sz w:val="24"/>
          <w:szCs w:val="24"/>
          <w:highlight w:val="none"/>
        </w:rPr>
      </w:pPr>
      <w:r>
        <w:rPr>
          <w:rFonts w:hint="eastAsia" w:hAnsi="宋体" w:cs="宋体"/>
          <w:color w:val="auto"/>
          <w:sz w:val="24"/>
          <w:szCs w:val="24"/>
          <w:highlight w:val="none"/>
        </w:rPr>
        <w:t>备注：</w:t>
      </w:r>
    </w:p>
    <w:p>
      <w:pPr>
        <w:pStyle w:val="4"/>
        <w:spacing w:line="360" w:lineRule="auto"/>
        <w:ind w:firstLine="0"/>
        <w:jc w:val="left"/>
        <w:rPr>
          <w:rFonts w:hAnsi="宋体" w:cs="宋体"/>
          <w:color w:val="auto"/>
          <w:sz w:val="24"/>
          <w:szCs w:val="24"/>
          <w:highlight w:val="none"/>
        </w:rPr>
      </w:pPr>
      <w:r>
        <w:rPr>
          <w:rFonts w:hint="eastAsia" w:hAnsi="宋体" w:cs="宋体"/>
          <w:color w:val="auto"/>
          <w:sz w:val="24"/>
          <w:szCs w:val="24"/>
          <w:highlight w:val="none"/>
        </w:rPr>
        <w:t>1. 本表所列为投标人拟投入的设备及工具。</w:t>
      </w:r>
    </w:p>
    <w:p>
      <w:pPr>
        <w:pStyle w:val="4"/>
        <w:spacing w:line="360" w:lineRule="auto"/>
        <w:ind w:firstLine="0"/>
        <w:jc w:val="left"/>
        <w:rPr>
          <w:rFonts w:hAnsi="宋体" w:cs="宋体"/>
          <w:color w:val="auto"/>
          <w:sz w:val="24"/>
          <w:highlight w:val="none"/>
        </w:rPr>
      </w:pPr>
      <w:r>
        <w:rPr>
          <w:rFonts w:hint="eastAsia" w:hAnsi="宋体" w:cs="宋体"/>
          <w:color w:val="auto"/>
          <w:sz w:val="24"/>
          <w:szCs w:val="24"/>
          <w:highlight w:val="none"/>
        </w:rPr>
        <w:t>2. 此表仅提供了表格形式，投标人应根据需要准备足够数量的表格来填写。</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rPr>
          <w:rFonts w:ascii="宋体" w:hAnsi="宋体" w:cs="宋体"/>
          <w:color w:val="auto"/>
          <w:sz w:val="24"/>
          <w:highlight w:val="none"/>
        </w:rPr>
      </w:pPr>
      <w:r>
        <w:rPr>
          <w:rFonts w:hint="eastAsia" w:ascii="宋体" w:hAnsi="宋体" w:cs="宋体"/>
          <w:color w:val="auto"/>
          <w:sz w:val="24"/>
          <w:highlight w:val="none"/>
        </w:rPr>
        <w:br w:type="page"/>
      </w:r>
    </w:p>
    <w:p>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附件投标文件格式7：劳动用工书面承诺</w:t>
      </w:r>
    </w:p>
    <w:p>
      <w:pPr>
        <w:snapToGrid w:val="0"/>
        <w:spacing w:line="360" w:lineRule="auto"/>
        <w:jc w:val="center"/>
        <w:rPr>
          <w:rFonts w:ascii="宋体" w:hAnsi="宋体"/>
          <w:color w:val="auto"/>
          <w:highlight w:val="none"/>
        </w:rPr>
      </w:pPr>
    </w:p>
    <w:p>
      <w:pPr>
        <w:snapToGrid w:val="0"/>
        <w:spacing w:line="360" w:lineRule="auto"/>
        <w:jc w:val="center"/>
        <w:rPr>
          <w:rFonts w:ascii="宋体" w:hAnsi="宋体"/>
          <w:color w:val="auto"/>
          <w:highlight w:val="none"/>
        </w:rPr>
      </w:pP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pPr>
        <w:pStyle w:val="6"/>
        <w:rPr>
          <w:color w:val="auto"/>
          <w:highlight w:val="none"/>
        </w:rPr>
      </w:pPr>
    </w:p>
    <w:p>
      <w:pPr>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特此承诺。</w:t>
      </w:r>
    </w:p>
    <w:p>
      <w:pPr>
        <w:snapToGrid w:val="0"/>
        <w:spacing w:line="360" w:lineRule="auto"/>
        <w:ind w:left="630" w:leftChars="100" w:hanging="420" w:hangingChars="200"/>
        <w:jc w:val="center"/>
        <w:rPr>
          <w:rFonts w:ascii="宋体" w:hAnsi="宋体"/>
          <w:color w:val="auto"/>
          <w:highlight w:val="none"/>
        </w:rPr>
      </w:pPr>
    </w:p>
    <w:p>
      <w:pPr>
        <w:snapToGrid w:val="0"/>
        <w:spacing w:line="360" w:lineRule="auto"/>
        <w:ind w:left="630" w:leftChars="100" w:hanging="420" w:hangingChars="200"/>
        <w:jc w:val="center"/>
        <w:rPr>
          <w:rFonts w:ascii="宋体" w:hAnsi="宋体"/>
          <w:color w:val="auto"/>
          <w:highlight w:val="none"/>
        </w:rPr>
      </w:pPr>
    </w:p>
    <w:p>
      <w:pPr>
        <w:pStyle w:val="6"/>
        <w:rPr>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left="630" w:leftChars="100" w:hanging="420" w:hangingChars="200"/>
        <w:jc w:val="center"/>
        <w:rPr>
          <w:rFonts w:ascii="宋体" w:hAnsi="宋体"/>
          <w:color w:val="auto"/>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pPr>
    </w:p>
    <w:p>
      <w:pPr>
        <w:rPr>
          <w:rFonts w:ascii="宋体" w:hAnsi="宋体" w:cs="宋体"/>
          <w:b/>
          <w:color w:val="auto"/>
          <w:kern w:val="0"/>
          <w:sz w:val="24"/>
          <w:highlight w:val="none"/>
        </w:rPr>
      </w:pPr>
      <w:bookmarkStart w:id="465" w:name="_Toc7717"/>
      <w:r>
        <w:rPr>
          <w:rFonts w:hint="eastAsia" w:ascii="宋体" w:hAnsi="宋体" w:cs="宋体"/>
          <w:b/>
          <w:color w:val="auto"/>
          <w:kern w:val="0"/>
          <w:sz w:val="24"/>
          <w:highlight w:val="none"/>
        </w:rPr>
        <w:br w:type="page"/>
      </w: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24"/>
                <w:highlight w:val="none"/>
              </w:rPr>
            </w:pPr>
          </w:p>
        </w:tc>
        <w:tc>
          <w:tcPr>
            <w:tcW w:w="3546" w:type="dxa"/>
          </w:tcPr>
          <w:p>
            <w:pPr>
              <w:jc w:val="center"/>
              <w:rPr>
                <w:rFonts w:ascii="宋体" w:hAnsi="宋体" w:cs="宋体"/>
                <w:b/>
                <w:color w:val="auto"/>
                <w:kern w:val="0"/>
                <w:sz w:val="24"/>
                <w:highlight w:val="none"/>
              </w:rPr>
            </w:pPr>
          </w:p>
        </w:tc>
        <w:tc>
          <w:tcPr>
            <w:tcW w:w="1276" w:type="dxa"/>
          </w:tcPr>
          <w:p>
            <w:pPr>
              <w:jc w:val="center"/>
              <w:rPr>
                <w:rFonts w:ascii="宋体" w:hAnsi="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24"/>
                <w:highlight w:val="none"/>
              </w:rPr>
            </w:pPr>
          </w:p>
        </w:tc>
        <w:tc>
          <w:tcPr>
            <w:tcW w:w="3546" w:type="dxa"/>
          </w:tcPr>
          <w:p>
            <w:pPr>
              <w:jc w:val="center"/>
              <w:rPr>
                <w:rFonts w:ascii="宋体" w:hAnsi="宋体" w:cs="宋体"/>
                <w:b/>
                <w:color w:val="auto"/>
                <w:kern w:val="0"/>
                <w:sz w:val="24"/>
                <w:highlight w:val="none"/>
              </w:rPr>
            </w:pPr>
          </w:p>
        </w:tc>
        <w:tc>
          <w:tcPr>
            <w:tcW w:w="1276" w:type="dxa"/>
          </w:tcPr>
          <w:p>
            <w:pPr>
              <w:jc w:val="center"/>
              <w:rPr>
                <w:rFonts w:ascii="宋体" w:hAnsi="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83" w:type="dxa"/>
          </w:tcPr>
          <w:p>
            <w:pPr>
              <w:jc w:val="center"/>
              <w:rPr>
                <w:rFonts w:ascii="宋体" w:hAnsi="宋体" w:cs="宋体"/>
                <w:b/>
                <w:color w:val="auto"/>
                <w:kern w:val="0"/>
                <w:sz w:val="24"/>
                <w:highlight w:val="none"/>
              </w:rPr>
            </w:pPr>
          </w:p>
        </w:tc>
        <w:tc>
          <w:tcPr>
            <w:tcW w:w="3546" w:type="dxa"/>
          </w:tcPr>
          <w:p>
            <w:pPr>
              <w:jc w:val="center"/>
              <w:rPr>
                <w:rFonts w:ascii="宋体" w:hAnsi="宋体" w:cs="宋体"/>
                <w:b/>
                <w:color w:val="auto"/>
                <w:kern w:val="0"/>
                <w:sz w:val="24"/>
                <w:highlight w:val="none"/>
              </w:rPr>
            </w:pPr>
          </w:p>
        </w:tc>
        <w:tc>
          <w:tcPr>
            <w:tcW w:w="1276" w:type="dxa"/>
          </w:tcPr>
          <w:p>
            <w:pPr>
              <w:jc w:val="center"/>
              <w:rPr>
                <w:rFonts w:ascii="宋体" w:hAnsi="宋体"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24"/>
                <w:highlight w:val="none"/>
              </w:rPr>
            </w:pPr>
          </w:p>
        </w:tc>
        <w:tc>
          <w:tcPr>
            <w:tcW w:w="3546" w:type="dxa"/>
          </w:tcPr>
          <w:p>
            <w:pPr>
              <w:jc w:val="center"/>
              <w:rPr>
                <w:rFonts w:ascii="宋体" w:hAnsi="宋体" w:cs="宋体"/>
                <w:b/>
                <w:color w:val="auto"/>
                <w:kern w:val="0"/>
                <w:sz w:val="24"/>
                <w:highlight w:val="none"/>
              </w:rPr>
            </w:pPr>
          </w:p>
        </w:tc>
        <w:tc>
          <w:tcPr>
            <w:tcW w:w="1276" w:type="dxa"/>
          </w:tcPr>
          <w:p>
            <w:pPr>
              <w:jc w:val="center"/>
              <w:rPr>
                <w:rFonts w:ascii="宋体" w:hAnsi="宋体" w:cs="宋体"/>
                <w:b/>
                <w:color w:val="auto"/>
                <w:kern w:val="0"/>
                <w:sz w:val="24"/>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numPr>
          <w:ilvl w:val="0"/>
          <w:numId w:val="9"/>
        </w:numPr>
        <w:ind w:firstLine="1911" w:firstLineChars="595"/>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政府采购供应商廉洁自律承诺书</w:t>
      </w:r>
    </w:p>
    <w:p>
      <w:pPr>
        <w:pStyle w:val="6"/>
        <w:rPr>
          <w:color w:val="auto"/>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嘉兴市妇幼保健院、杭州中浙招标有限公司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ind w:firstLine="4560" w:firstLineChars="19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w:t>
      </w:r>
      <w:r>
        <w:rPr>
          <w:rFonts w:hint="eastAsia" w:ascii="宋体" w:hAnsi="宋体" w:cs="宋体"/>
          <w:color w:val="auto"/>
          <w:kern w:val="0"/>
          <w:sz w:val="24"/>
          <w:highlight w:val="none"/>
        </w:rPr>
        <w:t xml:space="preserve">  日</w:t>
      </w:r>
    </w:p>
    <w:p>
      <w:pPr>
        <w:rPr>
          <w:rFonts w:ascii="宋体" w:hAnsi="宋体" w:cs="宋体"/>
          <w:b/>
          <w:color w:val="auto"/>
          <w:kern w:val="0"/>
          <w:sz w:val="24"/>
          <w:highlight w:val="none"/>
        </w:rPr>
      </w:pPr>
      <w:r>
        <w:rPr>
          <w:rFonts w:hint="eastAsia" w:ascii="宋体" w:hAnsi="宋体" w:cs="宋体"/>
          <w:color w:val="auto"/>
          <w:sz w:val="24"/>
          <w:highlight w:val="none"/>
        </w:rPr>
        <w:br w:type="page"/>
      </w:r>
    </w:p>
    <w:p>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报价文件部分</w:t>
      </w:r>
      <w:bookmarkEnd w:id="465"/>
    </w:p>
    <w:p>
      <w:pPr>
        <w:spacing w:line="360" w:lineRule="auto"/>
        <w:jc w:val="center"/>
        <w:outlineLvl w:val="0"/>
        <w:rPr>
          <w:rFonts w:ascii="宋体" w:hAnsi="宋体" w:cs="宋体"/>
          <w:b/>
          <w:color w:val="auto"/>
          <w:kern w:val="0"/>
          <w:sz w:val="24"/>
          <w:highlight w:val="none"/>
        </w:rPr>
      </w:pPr>
      <w:bookmarkStart w:id="466" w:name="_Toc22115"/>
      <w:r>
        <w:rPr>
          <w:rFonts w:hint="eastAsia" w:ascii="宋体" w:hAnsi="宋体" w:cs="宋体"/>
          <w:b/>
          <w:color w:val="auto"/>
          <w:kern w:val="0"/>
          <w:sz w:val="24"/>
          <w:highlight w:val="none"/>
        </w:rPr>
        <w:t>目录</w:t>
      </w:r>
      <w:bookmarkEnd w:id="466"/>
    </w:p>
    <w:p>
      <w:pPr>
        <w:spacing w:line="360" w:lineRule="auto"/>
        <w:jc w:val="center"/>
        <w:rPr>
          <w:rFonts w:ascii="宋体" w:hAnsi="宋体" w:cs="宋体"/>
          <w:b/>
          <w:color w:val="auto"/>
          <w:kern w:val="0"/>
          <w:sz w:val="24"/>
          <w:highlight w:val="none"/>
        </w:rPr>
      </w:pPr>
    </w:p>
    <w:p>
      <w:pPr>
        <w:numPr>
          <w:ilvl w:val="0"/>
          <w:numId w:val="10"/>
        </w:numPr>
        <w:snapToGrid w:val="0"/>
        <w:spacing w:line="360" w:lineRule="auto"/>
        <w:outlineLvl w:val="0"/>
        <w:rPr>
          <w:rFonts w:ascii="宋体" w:hAnsi="宋体" w:cs="宋体"/>
          <w:color w:val="auto"/>
          <w:sz w:val="24"/>
          <w:highlight w:val="none"/>
        </w:rPr>
      </w:pPr>
      <w:bookmarkStart w:id="467" w:name="_Toc22758"/>
      <w:r>
        <w:rPr>
          <w:rFonts w:hint="eastAsia" w:ascii="宋体" w:hAnsi="宋体" w:cs="宋体"/>
          <w:color w:val="auto"/>
          <w:sz w:val="24"/>
          <w:highlight w:val="none"/>
        </w:rPr>
        <w:t>开标一览表（报价表）………………………………………………………（页码）</w:t>
      </w:r>
      <w:bookmarkEnd w:id="467"/>
    </w:p>
    <w:p>
      <w:pPr>
        <w:pStyle w:val="6"/>
        <w:numPr>
          <w:ilvl w:val="0"/>
          <w:numId w:val="10"/>
        </w:numPr>
        <w:rPr>
          <w:color w:val="auto"/>
          <w:highlight w:val="none"/>
        </w:rPr>
      </w:pPr>
      <w:r>
        <w:rPr>
          <w:rFonts w:hint="eastAsia"/>
          <w:color w:val="auto"/>
          <w:highlight w:val="none"/>
          <w:lang w:val="en-US"/>
        </w:rPr>
        <w:t>报价明细清单</w:t>
      </w:r>
      <w:r>
        <w:rPr>
          <w:rFonts w:hint="eastAsia" w:hAnsi="宋体" w:cs="宋体"/>
          <w:color w:val="auto"/>
          <w:szCs w:val="24"/>
          <w:highlight w:val="none"/>
        </w:rPr>
        <w:t>………………………………………………………………（页码）</w:t>
      </w:r>
    </w:p>
    <w:p>
      <w:pPr>
        <w:snapToGrid w:val="0"/>
        <w:spacing w:line="360" w:lineRule="auto"/>
        <w:outlineLvl w:val="0"/>
        <w:rPr>
          <w:rFonts w:ascii="宋体" w:hAnsi="宋体" w:cs="宋体"/>
          <w:color w:val="auto"/>
          <w:sz w:val="24"/>
          <w:highlight w:val="none"/>
        </w:rPr>
      </w:pPr>
      <w:bookmarkStart w:id="468" w:name="_Toc31702"/>
      <w:r>
        <w:rPr>
          <w:rFonts w:hint="eastAsia" w:ascii="宋体" w:hAnsi="宋体" w:cs="宋体"/>
          <w:color w:val="auto"/>
          <w:sz w:val="24"/>
          <w:highlight w:val="none"/>
        </w:rPr>
        <w:t>（2）中小企业声明函………………………………………………………………（页码）</w:t>
      </w:r>
      <w:bookmarkEnd w:id="468"/>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24"/>
          <w:szCs w:val="24"/>
          <w:highlight w:val="none"/>
        </w:rPr>
        <w:sectPr>
          <w:headerReference r:id="rId15" w:type="first"/>
          <w:footerReference r:id="rId17" w:type="first"/>
          <w:headerReference r:id="rId14" w:type="default"/>
          <w:footerReference r:id="rId16" w:type="default"/>
          <w:pgSz w:w="11906" w:h="16838"/>
          <w:pgMar w:top="1474" w:right="1587" w:bottom="1474" w:left="1587" w:header="851" w:footer="992" w:gutter="0"/>
          <w:cols w:space="0" w:num="1"/>
          <w:titlePg/>
          <w:docGrid w:linePitch="312" w:charSpace="0"/>
        </w:sectPr>
      </w:pPr>
    </w:p>
    <w:p>
      <w:pPr>
        <w:pStyle w:val="35"/>
        <w:keepNext w:val="0"/>
        <w:pageBreakBefore w:val="0"/>
        <w:tabs>
          <w:tab w:val="clear" w:pos="720"/>
        </w:tabs>
        <w:snapToGrid w:val="0"/>
        <w:spacing w:before="120" w:after="120"/>
        <w:ind w:firstLine="643"/>
        <w:outlineLvl w:val="1"/>
        <w:rPr>
          <w:rFonts w:ascii="宋体" w:hAnsi="宋体" w:eastAsia="宋体" w:cs="宋体"/>
          <w:color w:val="auto"/>
          <w:kern w:val="2"/>
          <w:sz w:val="28"/>
          <w:szCs w:val="28"/>
          <w:highlight w:val="none"/>
        </w:rPr>
      </w:pPr>
      <w:bookmarkStart w:id="469" w:name="_Toc20237"/>
      <w:r>
        <w:rPr>
          <w:rFonts w:hint="eastAsia" w:ascii="宋体" w:hAnsi="宋体" w:eastAsia="宋体" w:cs="宋体"/>
          <w:color w:val="auto"/>
          <w:kern w:val="2"/>
          <w:sz w:val="28"/>
          <w:szCs w:val="28"/>
          <w:highlight w:val="none"/>
        </w:rPr>
        <w:t>一、开标一览表（报价表）</w:t>
      </w:r>
      <w:bookmarkEnd w:id="469"/>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嘉兴市妇幼保健院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杭州中浙招标有限公司</w:t>
      </w:r>
      <w:r>
        <w:rPr>
          <w:rFonts w:hint="eastAsia" w:ascii="宋体" w:hAnsi="宋体" w:cs="宋体"/>
          <w:color w:val="auto"/>
          <w:kern w:val="0"/>
          <w:sz w:val="24"/>
          <w:highlight w:val="none"/>
          <w:lang w:val="zh-CN"/>
        </w:rPr>
        <w:t>：</w:t>
      </w:r>
    </w:p>
    <w:p>
      <w:pPr>
        <w:spacing w:line="360" w:lineRule="auto"/>
        <w:jc w:val="cente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按你方招标文件要求，我们，本投标文件签字方，谨此向你方发出要约如下：如你方接受本投标，我方承诺按照如下开标一览表（报价表）的价格完成（项目名称）【招标编号：（采购编号）】的实施。</w:t>
      </w:r>
    </w:p>
    <w:p>
      <w:pPr>
        <w:spacing w:line="360" w:lineRule="auto"/>
        <w:jc w:val="center"/>
        <w:rPr>
          <w:rFonts w:ascii="宋体" w:hAnsi="宋体" w:cs="宋体"/>
          <w:color w:val="auto"/>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8"/>
        <w:tblW w:w="976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038"/>
        <w:gridCol w:w="349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40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3497"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______________项目</w:t>
            </w:r>
          </w:p>
        </w:tc>
        <w:tc>
          <w:tcPr>
            <w:tcW w:w="1331"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0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0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投标价格</w:t>
            </w:r>
          </w:p>
        </w:tc>
        <w:tc>
          <w:tcPr>
            <w:tcW w:w="3497"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人民币（小写）：</w:t>
            </w:r>
          </w:p>
          <w:p>
            <w:pPr>
              <w:spacing w:line="360" w:lineRule="auto"/>
              <w:rPr>
                <w:rFonts w:ascii="宋体" w:hAnsi="宋体" w:cs="宋体"/>
                <w:color w:val="auto"/>
                <w:sz w:val="24"/>
                <w:highlight w:val="none"/>
              </w:rPr>
            </w:pPr>
            <w:r>
              <w:rPr>
                <w:rFonts w:hint="eastAsia" w:ascii="宋体" w:hAnsi="宋体" w:cs="宋体"/>
                <w:color w:val="auto"/>
                <w:sz w:val="24"/>
                <w:highlight w:val="none"/>
              </w:rPr>
              <w:t>人民币（大写）：</w:t>
            </w:r>
          </w:p>
        </w:tc>
        <w:tc>
          <w:tcPr>
            <w:tcW w:w="1331" w:type="dxa"/>
            <w:noWrap/>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0"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038"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3497" w:type="dxa"/>
            <w:noWrap/>
            <w:vAlign w:val="center"/>
          </w:tcPr>
          <w:p>
            <w:pPr>
              <w:spacing w:line="360" w:lineRule="auto"/>
              <w:rPr>
                <w:rFonts w:ascii="宋体" w:hAnsi="宋体" w:cs="宋体"/>
                <w:color w:val="auto"/>
                <w:sz w:val="24"/>
                <w:highlight w:val="none"/>
              </w:rPr>
            </w:pPr>
          </w:p>
        </w:tc>
        <w:tc>
          <w:tcPr>
            <w:tcW w:w="1331" w:type="dxa"/>
            <w:noWrap/>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00"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038"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3497" w:type="dxa"/>
            <w:noWrap/>
            <w:vAlign w:val="center"/>
          </w:tcPr>
          <w:p>
            <w:pPr>
              <w:spacing w:line="360" w:lineRule="auto"/>
              <w:rPr>
                <w:rFonts w:ascii="宋体" w:hAnsi="宋体" w:cs="宋体"/>
                <w:color w:val="auto"/>
                <w:sz w:val="24"/>
                <w:highlight w:val="none"/>
              </w:rPr>
            </w:pPr>
          </w:p>
        </w:tc>
        <w:tc>
          <w:tcPr>
            <w:tcW w:w="1331" w:type="dxa"/>
            <w:noWrap/>
            <w:vAlign w:val="center"/>
          </w:tcPr>
          <w:p>
            <w:pPr>
              <w:spacing w:line="360" w:lineRule="auto"/>
              <w:jc w:val="center"/>
              <w:rPr>
                <w:rFonts w:ascii="宋体" w:hAnsi="宋体" w:cs="宋体"/>
                <w:color w:val="auto"/>
                <w:sz w:val="24"/>
                <w:highlight w:val="none"/>
              </w:rPr>
            </w:pPr>
          </w:p>
        </w:tc>
      </w:tr>
    </w:tbl>
    <w:p>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1.供应商需按本表格式分别填写，不得自行更改。</w:t>
      </w:r>
    </w:p>
    <w:p>
      <w:pPr>
        <w:spacing w:line="28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pPr>
        <w:spacing w:line="28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288" w:lineRule="auto"/>
        <w:ind w:firstLine="576"/>
        <w:jc w:val="center"/>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288" w:lineRule="auto"/>
        <w:ind w:firstLine="480" w:firstLineChars="200"/>
        <w:rPr>
          <w:rFonts w:ascii="宋体" w:hAnsi="宋体" w:cs="宋体"/>
          <w:color w:val="auto"/>
          <w:kern w:val="0"/>
          <w:sz w:val="24"/>
          <w:highlight w:val="none"/>
          <w:lang w:val="zh-CN"/>
        </w:rPr>
      </w:pPr>
    </w:p>
    <w:p>
      <w:pPr>
        <w:snapToGrid w:val="0"/>
        <w:spacing w:line="288" w:lineRule="auto"/>
        <w:ind w:firstLine="480" w:firstLineChars="200"/>
        <w:rPr>
          <w:rFonts w:ascii="宋体" w:hAnsi="宋体" w:cs="宋体"/>
          <w:color w:val="auto"/>
          <w:kern w:val="0"/>
          <w:sz w:val="24"/>
          <w:highlight w:val="none"/>
          <w:lang w:val="zh-CN"/>
        </w:rPr>
      </w:pPr>
    </w:p>
    <w:p>
      <w:pPr>
        <w:snapToGrid w:val="0"/>
        <w:spacing w:line="288" w:lineRule="auto"/>
        <w:ind w:firstLine="480" w:firstLineChars="200"/>
        <w:rPr>
          <w:rFonts w:ascii="宋体" w:hAnsi="宋体" w:cs="宋体"/>
          <w:color w:val="auto"/>
          <w:kern w:val="0"/>
          <w:sz w:val="24"/>
          <w:highlight w:val="none"/>
          <w:lang w:val="zh-CN"/>
        </w:rPr>
      </w:pPr>
    </w:p>
    <w:p>
      <w:pPr>
        <w:snapToGrid w:val="0"/>
        <w:spacing w:line="288" w:lineRule="auto"/>
        <w:ind w:firstLine="4080" w:firstLineChars="17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pacing w:line="288" w:lineRule="auto"/>
        <w:ind w:firstLine="4080" w:firstLineChars="1700"/>
        <w:rPr>
          <w:rFonts w:ascii="宋体" w:hAnsi="宋体" w:cs="宋体"/>
          <w:color w:val="auto"/>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color w:val="auto"/>
          <w:sz w:val="28"/>
          <w:szCs w:val="28"/>
          <w:highlight w:val="none"/>
        </w:rPr>
      </w:pPr>
      <w:bookmarkStart w:id="470" w:name="_Toc28755"/>
      <w:bookmarkStart w:id="471" w:name="_Toc30212"/>
      <w:r>
        <w:rPr>
          <w:rFonts w:hint="eastAsia" w:ascii="宋体" w:hAnsi="宋体" w:cs="宋体"/>
          <w:color w:val="auto"/>
          <w:sz w:val="28"/>
          <w:szCs w:val="28"/>
          <w:highlight w:val="none"/>
        </w:rPr>
        <w:br w:type="page"/>
      </w:r>
    </w:p>
    <w:p>
      <w:pPr>
        <w:pStyle w:val="35"/>
        <w:keepNext w:val="0"/>
        <w:pageBreakBefore w:val="0"/>
        <w:tabs>
          <w:tab w:val="clear" w:pos="720"/>
        </w:tabs>
        <w:snapToGrid w:val="0"/>
        <w:spacing w:before="120" w:after="120"/>
        <w:ind w:firstLine="3106" w:firstLineChars="1105"/>
        <w:jc w:val="both"/>
        <w:outlineLvl w:val="1"/>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二、报价明细清单</w:t>
      </w:r>
      <w:bookmarkEnd w:id="470"/>
      <w:bookmarkEnd w:id="471"/>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729"/>
        <w:gridCol w:w="1123"/>
        <w:gridCol w:w="211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序号</w:t>
            </w:r>
          </w:p>
        </w:tc>
        <w:tc>
          <w:tcPr>
            <w:tcW w:w="1527"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岗位</w:t>
            </w:r>
          </w:p>
        </w:tc>
        <w:tc>
          <w:tcPr>
            <w:tcW w:w="629"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人数</w:t>
            </w:r>
          </w:p>
        </w:tc>
        <w:tc>
          <w:tcPr>
            <w:tcW w:w="1184"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单价</w:t>
            </w:r>
          </w:p>
          <w:p>
            <w:pPr>
              <w:spacing w:line="360" w:lineRule="auto"/>
              <w:rPr>
                <w:rFonts w:ascii="宋体" w:hAnsi="宋体" w:cs="宋体"/>
                <w:color w:val="auto"/>
                <w:sz w:val="24"/>
                <w:highlight w:val="none"/>
              </w:rPr>
            </w:pPr>
            <w:r>
              <w:rPr>
                <w:rFonts w:hint="eastAsia" w:ascii="宋体" w:hAnsi="宋体" w:cs="宋体"/>
                <w:color w:val="auto"/>
                <w:sz w:val="24"/>
                <w:highlight w:val="none"/>
              </w:rPr>
              <w:t>（元/月/人）</w:t>
            </w:r>
          </w:p>
        </w:tc>
        <w:tc>
          <w:tcPr>
            <w:tcW w:w="1191"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合价</w:t>
            </w:r>
          </w:p>
          <w:p>
            <w:pPr>
              <w:spacing w:line="360" w:lineRule="auto"/>
              <w:rPr>
                <w:rFonts w:ascii="宋体" w:hAnsi="宋体" w:cs="宋体"/>
                <w:color w:val="auto"/>
                <w:sz w:val="24"/>
                <w:highlight w:val="none"/>
              </w:rPr>
            </w:pPr>
            <w:r>
              <w:rPr>
                <w:rFonts w:hint="eastAsia" w:ascii="宋体" w:hAnsi="宋体" w:cs="宋体"/>
                <w:color w:val="auto"/>
                <w:sz w:val="24"/>
                <w:highlight w:val="none"/>
              </w:rPr>
              <w:t>（单价*12*人数）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1527"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保安大队长</w:t>
            </w:r>
          </w:p>
        </w:tc>
        <w:tc>
          <w:tcPr>
            <w:tcW w:w="629" w:type="pct"/>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84" w:type="pct"/>
            <w:noWrap/>
            <w:vAlign w:val="center"/>
          </w:tcPr>
          <w:p>
            <w:pPr>
              <w:spacing w:line="360" w:lineRule="auto"/>
              <w:rPr>
                <w:rFonts w:ascii="宋体" w:hAnsi="宋体" w:cs="宋体"/>
                <w:color w:val="auto"/>
                <w:sz w:val="24"/>
                <w:highlight w:val="none"/>
              </w:rPr>
            </w:pPr>
          </w:p>
        </w:tc>
        <w:tc>
          <w:tcPr>
            <w:tcW w:w="1191" w:type="pct"/>
            <w:noWrap/>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1527"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保安副大队长</w:t>
            </w:r>
          </w:p>
        </w:tc>
        <w:tc>
          <w:tcPr>
            <w:tcW w:w="629" w:type="pct"/>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184" w:type="pct"/>
            <w:noWrap/>
            <w:vAlign w:val="center"/>
          </w:tcPr>
          <w:p>
            <w:pPr>
              <w:spacing w:line="360" w:lineRule="auto"/>
              <w:rPr>
                <w:rFonts w:ascii="宋体" w:hAnsi="宋体" w:cs="宋体"/>
                <w:color w:val="auto"/>
                <w:sz w:val="24"/>
                <w:highlight w:val="none"/>
              </w:rPr>
            </w:pPr>
          </w:p>
        </w:tc>
        <w:tc>
          <w:tcPr>
            <w:tcW w:w="1191" w:type="pct"/>
            <w:noWrap/>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1527"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保安班长</w:t>
            </w:r>
          </w:p>
        </w:tc>
        <w:tc>
          <w:tcPr>
            <w:tcW w:w="629" w:type="pct"/>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184" w:type="pct"/>
            <w:noWrap/>
            <w:vAlign w:val="center"/>
          </w:tcPr>
          <w:p>
            <w:pPr>
              <w:spacing w:line="360" w:lineRule="auto"/>
              <w:rPr>
                <w:rFonts w:ascii="宋体" w:hAnsi="宋体" w:cs="宋体"/>
                <w:color w:val="auto"/>
                <w:sz w:val="24"/>
                <w:highlight w:val="none"/>
              </w:rPr>
            </w:pPr>
          </w:p>
        </w:tc>
        <w:tc>
          <w:tcPr>
            <w:tcW w:w="1191" w:type="pct"/>
            <w:noWrap/>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tabs>
                <w:tab w:val="left" w:pos="247"/>
              </w:tabs>
              <w:spacing w:line="360" w:lineRule="auto"/>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rPr>
              <w:tab/>
            </w:r>
          </w:p>
        </w:tc>
        <w:tc>
          <w:tcPr>
            <w:tcW w:w="1527"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保安特勤</w:t>
            </w:r>
          </w:p>
        </w:tc>
        <w:tc>
          <w:tcPr>
            <w:tcW w:w="629" w:type="pct"/>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184" w:type="pct"/>
            <w:noWrap/>
            <w:vAlign w:val="center"/>
          </w:tcPr>
          <w:p>
            <w:pPr>
              <w:spacing w:line="360" w:lineRule="auto"/>
              <w:rPr>
                <w:rFonts w:ascii="宋体" w:hAnsi="宋体" w:cs="宋体"/>
                <w:color w:val="auto"/>
                <w:sz w:val="24"/>
                <w:highlight w:val="none"/>
              </w:rPr>
            </w:pPr>
          </w:p>
        </w:tc>
        <w:tc>
          <w:tcPr>
            <w:tcW w:w="1191" w:type="pct"/>
            <w:noWrap/>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1527"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普通保安</w:t>
            </w:r>
          </w:p>
        </w:tc>
        <w:tc>
          <w:tcPr>
            <w:tcW w:w="629" w:type="pct"/>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118</w:t>
            </w:r>
          </w:p>
        </w:tc>
        <w:tc>
          <w:tcPr>
            <w:tcW w:w="1184" w:type="pct"/>
            <w:noWrap/>
            <w:vAlign w:val="center"/>
          </w:tcPr>
          <w:p>
            <w:pPr>
              <w:spacing w:line="360" w:lineRule="auto"/>
              <w:rPr>
                <w:rFonts w:ascii="宋体" w:hAnsi="宋体" w:cs="宋体"/>
                <w:color w:val="auto"/>
                <w:sz w:val="24"/>
                <w:highlight w:val="none"/>
              </w:rPr>
            </w:pPr>
          </w:p>
        </w:tc>
        <w:tc>
          <w:tcPr>
            <w:tcW w:w="1191" w:type="pct"/>
            <w:noWrap/>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1527" w:type="pct"/>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投标总价（元）</w:t>
            </w:r>
          </w:p>
        </w:tc>
        <w:tc>
          <w:tcPr>
            <w:tcW w:w="3004" w:type="pct"/>
            <w:gridSpan w:val="3"/>
            <w:noWrap/>
            <w:vAlign w:val="center"/>
          </w:tcPr>
          <w:p>
            <w:pPr>
              <w:spacing w:line="360" w:lineRule="auto"/>
              <w:rPr>
                <w:rFonts w:ascii="宋体" w:hAnsi="宋体" w:cs="宋体"/>
                <w:color w:val="auto"/>
                <w:sz w:val="24"/>
                <w:highlight w:val="none"/>
              </w:rPr>
            </w:pPr>
          </w:p>
        </w:tc>
      </w:tr>
    </w:tbl>
    <w:p>
      <w:pPr>
        <w:rPr>
          <w:rFonts w:ascii="宋体" w:hAnsi="宋体" w:cs="宋体"/>
          <w:color w:val="auto"/>
          <w:highlight w:val="none"/>
        </w:rPr>
      </w:pP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lang w:val="zh-CN"/>
        </w:rPr>
        <w:t>以上表格中各项可进一步细分，栏数不够可自加。</w:t>
      </w:r>
    </w:p>
    <w:p>
      <w:pPr>
        <w:pStyle w:val="9"/>
        <w:spacing w:line="360" w:lineRule="auto"/>
        <w:ind w:firstLine="480" w:firstLineChars="200"/>
        <w:rPr>
          <w:rFonts w:hAnsi="宋体" w:cs="宋体"/>
          <w:color w:val="auto"/>
          <w:sz w:val="24"/>
          <w:szCs w:val="24"/>
          <w:highlight w:val="none"/>
        </w:rPr>
      </w:pPr>
    </w:p>
    <w:p>
      <w:pPr>
        <w:snapToGrid w:val="0"/>
        <w:spacing w:line="360" w:lineRule="auto"/>
        <w:ind w:firstLine="480" w:firstLineChars="200"/>
        <w:rPr>
          <w:rFonts w:ascii="宋体" w:hAnsi="宋体" w:cs="宋体"/>
          <w:color w:val="auto"/>
          <w:kern w:val="0"/>
          <w:sz w:val="24"/>
          <w:highlight w:val="none"/>
        </w:rPr>
      </w:pPr>
    </w:p>
    <w:p>
      <w:pPr>
        <w:pStyle w:val="9"/>
        <w:spacing w:line="360" w:lineRule="auto"/>
        <w:ind w:firstLine="480" w:firstLineChars="200"/>
        <w:rPr>
          <w:rFonts w:hAnsi="宋体" w:cs="宋体"/>
          <w:color w:val="auto"/>
          <w:sz w:val="24"/>
          <w:highlight w:val="none"/>
        </w:rPr>
      </w:pPr>
    </w:p>
    <w:p>
      <w:pPr>
        <w:snapToGrid w:val="0"/>
        <w:spacing w:line="288" w:lineRule="auto"/>
        <w:ind w:firstLine="576"/>
        <w:jc w:val="center"/>
        <w:rPr>
          <w:rFonts w:ascii="宋体" w:hAnsi="宋体" w:cs="宋体"/>
          <w:color w:val="auto"/>
          <w:kern w:val="0"/>
          <w:sz w:val="24"/>
          <w:highlight w:val="none"/>
          <w:lang w:val="zh-CN"/>
        </w:rPr>
      </w:pPr>
    </w:p>
    <w:p>
      <w:pPr>
        <w:snapToGrid w:val="0"/>
        <w:spacing w:line="288" w:lineRule="auto"/>
        <w:ind w:firstLine="576"/>
        <w:jc w:val="center"/>
        <w:rPr>
          <w:rFonts w:ascii="宋体" w:hAnsi="宋体" w:cs="宋体"/>
          <w:color w:val="auto"/>
          <w:kern w:val="0"/>
          <w:sz w:val="24"/>
          <w:highlight w:val="none"/>
          <w:lang w:val="zh-CN"/>
        </w:rPr>
      </w:pPr>
    </w:p>
    <w:p>
      <w:pPr>
        <w:snapToGrid w:val="0"/>
        <w:spacing w:line="288" w:lineRule="auto"/>
        <w:ind w:firstLine="576"/>
        <w:jc w:val="center"/>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pacing w:line="288" w:lineRule="auto"/>
        <w:ind w:firstLine="3360" w:firstLineChars="1400"/>
        <w:rPr>
          <w:rFonts w:ascii="宋体" w:hAnsi="宋体" w:cs="宋体"/>
          <w:color w:val="auto"/>
          <w:sz w:val="24"/>
          <w:highlight w:val="none"/>
          <w:lang w:val="zh-CN"/>
        </w:rPr>
      </w:pPr>
      <w:r>
        <w:rPr>
          <w:rFonts w:hint="eastAsia" w:ascii="宋体" w:hAnsi="宋体" w:cs="宋体"/>
          <w:color w:val="auto"/>
          <w:kern w:val="0"/>
          <w:sz w:val="24"/>
          <w:highlight w:val="none"/>
          <w:lang w:val="zh-CN"/>
        </w:rPr>
        <w:t>日期：  年  月  日</w:t>
      </w:r>
    </w:p>
    <w:p>
      <w:pPr>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br w:type="page"/>
      </w:r>
      <w:bookmarkStart w:id="472" w:name="_Toc12033"/>
    </w:p>
    <w:p>
      <w:pPr>
        <w:rPr>
          <w:rFonts w:ascii="宋体" w:hAnsi="宋体" w:cs="宋体"/>
          <w:color w:val="auto"/>
          <w:sz w:val="24"/>
          <w:highlight w:val="none"/>
        </w:rPr>
      </w:pPr>
    </w:p>
    <w:p>
      <w:pPr>
        <w:pStyle w:val="35"/>
        <w:keepNext w:val="0"/>
        <w:pageBreakBefore w:val="0"/>
        <w:tabs>
          <w:tab w:val="clear" w:pos="720"/>
        </w:tabs>
        <w:snapToGrid w:val="0"/>
        <w:spacing w:before="120" w:after="120"/>
        <w:ind w:firstLine="643"/>
        <w:outlineLvl w:val="1"/>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二、</w:t>
      </w:r>
      <w:r>
        <w:rPr>
          <w:rFonts w:hint="eastAsia" w:ascii="宋体" w:hAnsi="宋体" w:eastAsia="宋体" w:cs="宋体"/>
          <w:color w:val="auto"/>
          <w:sz w:val="24"/>
          <w:szCs w:val="24"/>
          <w:highlight w:val="none"/>
        </w:rPr>
        <w:t>中小企业声明函（非小微企业不用提供）</w:t>
      </w:r>
      <w:bookmarkEnd w:id="472"/>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5"/>
        <w:keepNext w:val="0"/>
        <w:pageBreakBefore w:val="0"/>
        <w:tabs>
          <w:tab w:val="clear" w:pos="720"/>
        </w:tabs>
        <w:snapToGrid w:val="0"/>
        <w:spacing w:before="120" w:after="120"/>
        <w:ind w:firstLine="643"/>
        <w:outlineLvl w:val="9"/>
        <w:rPr>
          <w:rFonts w:ascii="宋体" w:hAnsi="宋体" w:eastAsia="宋体" w:cs="宋体"/>
          <w:b w:val="0"/>
          <w:color w:val="auto"/>
          <w:sz w:val="24"/>
          <w:szCs w:val="24"/>
          <w:highlight w:val="none"/>
        </w:rPr>
      </w:pPr>
    </w:p>
    <w:p>
      <w:pPr>
        <w:spacing w:line="360" w:lineRule="auto"/>
        <w:ind w:right="420" w:firstLine="2409" w:firstLineChars="1000"/>
        <w:rPr>
          <w:rFonts w:ascii="宋体" w:hAnsi="宋体" w:cs="宋体"/>
          <w:b/>
          <w:color w:val="auto"/>
          <w:kern w:val="0"/>
          <w:sz w:val="24"/>
          <w:highlight w:val="none"/>
        </w:rPr>
      </w:pPr>
    </w:p>
    <w:p>
      <w:pPr>
        <w:pStyle w:val="2"/>
        <w:keepNext w:val="0"/>
        <w:keepLines w:val="0"/>
        <w:pageBreakBefore/>
        <w:widowControl/>
        <w:spacing w:before="100" w:beforeAutospacing="1" w:after="100" w:afterAutospacing="1" w:line="360" w:lineRule="auto"/>
        <w:ind w:left="1090" w:leftChars="519" w:firstLine="1672" w:firstLineChars="694"/>
        <w:rPr>
          <w:rFonts w:ascii="宋体" w:hAnsi="宋体" w:cs="宋体"/>
          <w:color w:val="auto"/>
          <w:sz w:val="24"/>
          <w:szCs w:val="24"/>
          <w:highlight w:val="none"/>
        </w:rPr>
      </w:pPr>
      <w:bookmarkStart w:id="473" w:name="_Toc6476"/>
      <w:bookmarkStart w:id="474" w:name="_Toc465665161"/>
      <w:r>
        <w:rPr>
          <w:rFonts w:hint="eastAsia" w:ascii="宋体" w:hAnsi="宋体" w:cs="宋体"/>
          <w:color w:val="auto"/>
          <w:sz w:val="24"/>
          <w:szCs w:val="24"/>
          <w:highlight w:val="none"/>
        </w:rPr>
        <w:t>附件</w:t>
      </w:r>
      <w:bookmarkEnd w:id="473"/>
      <w:bookmarkEnd w:id="474"/>
    </w:p>
    <w:p>
      <w:pPr>
        <w:spacing w:line="360" w:lineRule="auto"/>
        <w:outlineLvl w:val="0"/>
        <w:rPr>
          <w:rFonts w:ascii="宋体" w:hAnsi="宋体" w:cs="宋体"/>
          <w:b/>
          <w:color w:val="auto"/>
          <w:spacing w:val="6"/>
          <w:sz w:val="24"/>
          <w:highlight w:val="none"/>
        </w:rPr>
      </w:pPr>
      <w:bookmarkStart w:id="475" w:name="_Toc14123"/>
      <w:r>
        <w:rPr>
          <w:rFonts w:hint="eastAsia" w:ascii="宋体" w:hAnsi="宋体" w:cs="宋体"/>
          <w:b/>
          <w:color w:val="auto"/>
          <w:spacing w:val="6"/>
          <w:sz w:val="24"/>
          <w:highlight w:val="none"/>
        </w:rPr>
        <w:t>附件1：</w:t>
      </w:r>
      <w:bookmarkEnd w:id="475"/>
    </w:p>
    <w:p>
      <w:pPr>
        <w:spacing w:line="360" w:lineRule="auto"/>
        <w:jc w:val="center"/>
        <w:rPr>
          <w:rFonts w:ascii="宋体" w:hAnsi="宋体" w:cs="宋体"/>
          <w:b/>
          <w:color w:val="auto"/>
          <w:spacing w:val="6"/>
          <w:sz w:val="24"/>
          <w:highlight w:val="none"/>
        </w:rPr>
      </w:pPr>
      <w:bookmarkStart w:id="476" w:name="OLE_LINK13"/>
      <w:bookmarkStart w:id="477" w:name="OLE_LINK14"/>
      <w:r>
        <w:rPr>
          <w:rFonts w:hint="eastAsia" w:ascii="宋体" w:hAnsi="宋体" w:cs="宋体"/>
          <w:b/>
          <w:color w:val="auto"/>
          <w:spacing w:val="6"/>
          <w:sz w:val="24"/>
          <w:highlight w:val="none"/>
        </w:rPr>
        <w:t>残疾人福利性单位声明函（如有）</w:t>
      </w:r>
    </w:p>
    <w:bookmarkEnd w:id="476"/>
    <w:bookmarkEnd w:id="477"/>
    <w:p>
      <w:pPr>
        <w:spacing w:line="360" w:lineRule="auto"/>
        <w:rPr>
          <w:rFonts w:ascii="宋体" w:hAnsi="宋体" w:cs="宋体"/>
          <w:b/>
          <w:color w:val="auto"/>
          <w:spacing w:val="6"/>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outlineLvl w:val="0"/>
        <w:rPr>
          <w:rFonts w:ascii="宋体" w:hAnsi="宋体" w:cs="宋体"/>
          <w:b/>
          <w:color w:val="auto"/>
          <w:spacing w:val="6"/>
          <w:sz w:val="24"/>
          <w:highlight w:val="none"/>
        </w:rPr>
      </w:pPr>
      <w:bookmarkStart w:id="478" w:name="_Toc5562"/>
      <w:r>
        <w:rPr>
          <w:rFonts w:hint="eastAsia" w:ascii="宋体" w:hAnsi="宋体" w:cs="宋体"/>
          <w:b/>
          <w:color w:val="auto"/>
          <w:spacing w:val="6"/>
          <w:sz w:val="24"/>
          <w:highlight w:val="none"/>
        </w:rPr>
        <w:t>附件2：质疑函范本及制作说明</w:t>
      </w:r>
      <w:bookmarkEnd w:id="478"/>
    </w:p>
    <w:p>
      <w:pPr>
        <w:spacing w:line="360" w:lineRule="auto"/>
        <w:jc w:val="center"/>
        <w:rPr>
          <w:rFonts w:ascii="宋体" w:hAnsi="宋体" w:cs="宋体"/>
          <w:b/>
          <w:color w:val="auto"/>
          <w:spacing w:val="6"/>
          <w:sz w:val="24"/>
          <w:highlight w:val="none"/>
        </w:rPr>
      </w:pPr>
      <w:r>
        <w:rPr>
          <w:rFonts w:hint="eastAsia" w:ascii="宋体" w:hAnsi="宋体" w:cs="宋体"/>
          <w:b/>
          <w:color w:val="auto"/>
          <w:spacing w:val="6"/>
          <w:sz w:val="24"/>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pStyle w:val="17"/>
        <w:ind w:firstLine="482"/>
        <w:rPr>
          <w:rFonts w:cs="宋体"/>
          <w:b/>
          <w:color w:val="auto"/>
          <w:szCs w:val="24"/>
          <w:highlight w:val="none"/>
        </w:rPr>
      </w:pPr>
    </w:p>
    <w:p>
      <w:pPr>
        <w:pStyle w:val="17"/>
        <w:ind w:firstLine="482"/>
        <w:rPr>
          <w:rFonts w:cs="宋体"/>
          <w:b/>
          <w:color w:val="auto"/>
          <w:szCs w:val="24"/>
          <w:highlight w:val="none"/>
        </w:rPr>
      </w:pPr>
    </w:p>
    <w:p>
      <w:pPr>
        <w:pStyle w:val="17"/>
        <w:ind w:firstLine="482"/>
        <w:rPr>
          <w:rFonts w:cs="宋体"/>
          <w:b/>
          <w:color w:val="auto"/>
          <w:szCs w:val="24"/>
          <w:highlight w:val="none"/>
        </w:rPr>
      </w:pPr>
    </w:p>
    <w:p>
      <w:pPr>
        <w:pStyle w:val="17"/>
        <w:ind w:firstLine="482"/>
        <w:rPr>
          <w:rFonts w:cs="宋体"/>
          <w:b/>
          <w:color w:val="auto"/>
          <w:szCs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宋体" w:hAnsi="宋体" w:cs="宋体"/>
          <w:color w:val="auto"/>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center"/>
        <w:rPr>
          <w:rFonts w:ascii="宋体" w:hAnsi="宋体" w:cs="宋体"/>
          <w:b/>
          <w:color w:val="auto"/>
          <w:spacing w:val="6"/>
          <w:sz w:val="24"/>
          <w:highlight w:val="none"/>
        </w:rPr>
      </w:pPr>
    </w:p>
    <w:p>
      <w:pPr>
        <w:spacing w:line="360" w:lineRule="auto"/>
        <w:jc w:val="left"/>
        <w:rPr>
          <w:rFonts w:ascii="宋体" w:hAnsi="宋体" w:cs="宋体"/>
          <w:b/>
          <w:color w:val="auto"/>
          <w:spacing w:val="6"/>
          <w:sz w:val="24"/>
          <w:highlight w:val="none"/>
        </w:rPr>
      </w:pPr>
    </w:p>
    <w:p>
      <w:pPr>
        <w:rPr>
          <w:rFonts w:ascii="宋体" w:hAnsi="宋体" w:cs="宋体"/>
          <w:b/>
          <w:color w:val="auto"/>
          <w:spacing w:val="6"/>
          <w:sz w:val="24"/>
          <w:highlight w:val="none"/>
        </w:rPr>
      </w:pPr>
      <w:bookmarkStart w:id="479" w:name="_Toc9781"/>
      <w:r>
        <w:rPr>
          <w:rFonts w:hint="eastAsia" w:ascii="宋体" w:hAnsi="宋体" w:cs="宋体"/>
          <w:b/>
          <w:color w:val="auto"/>
          <w:spacing w:val="6"/>
          <w:sz w:val="24"/>
          <w:highlight w:val="none"/>
        </w:rPr>
        <w:br w:type="page"/>
      </w:r>
    </w:p>
    <w:p>
      <w:pPr>
        <w:spacing w:line="360" w:lineRule="auto"/>
        <w:jc w:val="left"/>
        <w:outlineLvl w:val="0"/>
        <w:rPr>
          <w:rFonts w:ascii="宋体" w:hAnsi="宋体" w:cs="宋体"/>
          <w:b/>
          <w:color w:val="auto"/>
          <w:spacing w:val="6"/>
          <w:sz w:val="24"/>
          <w:highlight w:val="none"/>
        </w:rPr>
      </w:pPr>
      <w:r>
        <w:rPr>
          <w:rFonts w:hint="eastAsia" w:ascii="宋体" w:hAnsi="宋体" w:cs="宋体"/>
          <w:b/>
          <w:color w:val="auto"/>
          <w:spacing w:val="6"/>
          <w:sz w:val="24"/>
          <w:highlight w:val="none"/>
        </w:rPr>
        <w:t>附件3：投诉书范本及制作说明</w:t>
      </w:r>
      <w:bookmarkEnd w:id="479"/>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24"/>
          <w:highlight w:val="none"/>
        </w:rPr>
      </w:pPr>
      <w:bookmarkStart w:id="480" w:name="_Toc12862"/>
      <w:r>
        <w:rPr>
          <w:rFonts w:hint="eastAsia" w:ascii="宋体" w:hAnsi="宋体" w:cs="宋体"/>
          <w:b/>
          <w:color w:val="auto"/>
          <w:spacing w:val="6"/>
          <w:sz w:val="24"/>
          <w:highlight w:val="none"/>
        </w:rPr>
        <w:br w:type="page"/>
      </w:r>
    </w:p>
    <w:p>
      <w:pPr>
        <w:autoSpaceDE w:val="0"/>
        <w:autoSpaceDN w:val="0"/>
        <w:jc w:val="center"/>
        <w:outlineLvl w:val="0"/>
        <w:rPr>
          <w:rFonts w:ascii="宋体" w:hAnsi="宋体" w:cs="宋体"/>
          <w:b/>
          <w:bCs/>
          <w:color w:val="auto"/>
          <w:sz w:val="24"/>
          <w:highlight w:val="none"/>
        </w:rPr>
      </w:pPr>
      <w:r>
        <w:rPr>
          <w:rFonts w:hint="eastAsia" w:ascii="宋体" w:hAnsi="宋体" w:cs="宋体"/>
          <w:b/>
          <w:color w:val="auto"/>
          <w:spacing w:val="6"/>
          <w:sz w:val="24"/>
          <w:highlight w:val="none"/>
        </w:rPr>
        <w:t>附件4：</w:t>
      </w:r>
      <w:r>
        <w:rPr>
          <w:rFonts w:hint="eastAsia" w:ascii="宋体" w:hAnsi="宋体" w:cs="宋体"/>
          <w:b/>
          <w:bCs/>
          <w:color w:val="auto"/>
          <w:sz w:val="24"/>
          <w:highlight w:val="none"/>
        </w:rPr>
        <w:t>业务专用章使用说明函</w:t>
      </w:r>
      <w:bookmarkEnd w:id="480"/>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autoSpaceDE w:val="0"/>
        <w:autoSpaceDN w:val="0"/>
        <w:jc w:val="center"/>
        <w:rPr>
          <w:rFonts w:ascii="宋体" w:hAnsi="宋体" w:cs="宋体"/>
          <w:b/>
          <w:color w:val="auto"/>
          <w:spacing w:val="6"/>
          <w:sz w:val="24"/>
          <w:highlight w:val="none"/>
        </w:rPr>
      </w:pPr>
    </w:p>
    <w:p>
      <w:pPr>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pPr>
        <w:autoSpaceDE w:val="0"/>
        <w:autoSpaceDN w:val="0"/>
        <w:jc w:val="center"/>
        <w:outlineLvl w:val="0"/>
        <w:rPr>
          <w:rFonts w:ascii="宋体" w:hAnsi="宋体" w:cs="宋体"/>
          <w:b/>
          <w:bCs/>
          <w:color w:val="auto"/>
          <w:sz w:val="24"/>
          <w:highlight w:val="none"/>
        </w:rPr>
      </w:pPr>
      <w:bookmarkStart w:id="481" w:name="_Toc20456"/>
      <w:r>
        <w:rPr>
          <w:rFonts w:hint="eastAsia" w:ascii="宋体" w:hAnsi="宋体" w:cs="宋体"/>
          <w:b/>
          <w:color w:val="auto"/>
          <w:spacing w:val="6"/>
          <w:sz w:val="24"/>
          <w:highlight w:val="none"/>
        </w:rPr>
        <w:t>附件5：</w:t>
      </w:r>
      <w:r>
        <w:rPr>
          <w:rFonts w:hint="eastAsia" w:ascii="宋体" w:hAnsi="宋体" w:cs="宋体"/>
          <w:b/>
          <w:color w:val="auto"/>
          <w:sz w:val="24"/>
          <w:highlight w:val="none"/>
        </w:rPr>
        <w:t>中小企业声明函</w:t>
      </w:r>
      <w:bookmarkEnd w:id="481"/>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6120" w:firstLineChars="25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1120"/>
        <w:rPr>
          <w:rFonts w:ascii="宋体" w:hAnsi="宋体" w:cs="宋体"/>
          <w:color w:val="auto"/>
          <w:sz w:val="24"/>
          <w:highlight w:val="none"/>
        </w:rPr>
      </w:pPr>
      <w:r>
        <w:rPr>
          <w:rFonts w:hint="eastAsia" w:ascii="宋体" w:hAnsi="宋体" w:cs="宋体"/>
          <w:b/>
          <w:color w:val="auto"/>
          <w:sz w:val="24"/>
          <w:highlight w:val="none"/>
        </w:rPr>
        <w:t>从业人员、营业收入、资产总额填报上一年度数据，无上一年度数据的新成立企业可不填报。</w:t>
      </w:r>
    </w:p>
    <w:p>
      <w:pPr>
        <w:spacing w:line="360" w:lineRule="auto"/>
        <w:ind w:right="420"/>
        <w:rPr>
          <w:rFonts w:ascii="宋体" w:hAnsi="宋体" w:cs="宋体"/>
          <w:b/>
          <w:color w:val="auto"/>
          <w:sz w:val="24"/>
          <w:highlight w:val="none"/>
        </w:rPr>
      </w:pPr>
      <w:r>
        <w:rPr>
          <w:rFonts w:hint="eastAsia" w:ascii="宋体" w:hAnsi="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color w:val="auto"/>
          <w:sz w:val="24"/>
          <w:highlight w:val="none"/>
        </w:rPr>
      </w:pPr>
    </w:p>
    <w:sectPr>
      <w:footerReference r:id="rId18" w:type="default"/>
      <w:pgSz w:w="11906" w:h="16838"/>
      <w:pgMar w:top="1474" w:right="1587" w:bottom="1474" w:left="158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69GPs5AgAAcQQAAA4AAABkcnMvZTJvRG9jLnhtbK1UzY7TMBC+I/EO lu80bdGu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gUm4okQzhY6ff3w/ //x9/vWN4A4CNdbPEfdgERnad6ZF8HDvcRl5t6VT8ReMCPyQ93SRV7SB8PhoNp3NxnBx+IYD8LOn 59b58F4YRaKRU4f+JVnZcetDFzqExGzabGopUw+lJk1Or99ejdODiwfgUsdYkaahh4mUutKjFdpd 2/PcmeIEms50k+It39QoZct8uGcOo4HysTzhDp9SGqQ0vUVJZdzXf93HeHQMXkoajFpONTaLEvlB o5MADIPhBmM3GPqgbg1md4KltDyZeOCCHMzSGfUFG7WKOeBimiNTTsNg3oZu3LGRXKxWKehgXb2v ugeYQ8vCVj9YHtNEqbxdHQKkTYpHgTpV0Kl4wCSmnvVbE0f9z3OKevqnWD4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L69GPs5AgAAcQQAAA4AAAAAAAAAAQAgAAAAHwEAAGRycy9lMm9Eb2Mu eG1sUEsFBgAAAAAGAAYAWQEAAMoFAAAAAA== ">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83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fldChar w:fldCharType="begin"/>
    </w:r>
    <w:r>
      <w:rPr>
        <w:rStyle w:val="21"/>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qMvz03AgAAbwQAAA4AAABkcnMvZTJvRG9jLnhtbK1UzY7TMBC+I/EO lu80bRFVVTVdla2KkCp2pQVxdh2nieQ/2W6T8gDwBpy4cOe5+hx8dpIuWjjsgUs69oy/me+bmS5v WiXJSThfG53TyWhMidDcFLU+5PTTx+2rOSU+MF0wabTI6Vl4erN6+WLZ2IWYmsrIQjgCEO0Xjc1p FYJdZJnnlVDMj4wVGs7SOMUCju6QFY41QFcym47Hs6wxrrDOcOE9bjedk/aI7jmApixrLjaGH5XQ oUN1QrIASr6qraerVG1ZCh7uytKLQGROwTSkL5LA3sdvtlqyxcExW9W8L4E9p4QnnBSrNZJeoTYs MHJ09V9QqubOeFOGETcq64gkRcBiMn6izUPFrEhcILW3V9H9/4PlH073jtRFTmeUaKbQ8Mv3b5cf vy4/v5JZlKexfoGoB4u40L41LYZmuPe4jKzb0qn4Cz4Efoh7voor2kB4fDSfzudjuDh8wwH42eNz 63x4J4wi0cipQ/eSqOy086ELHUJiNm22tZSpg1KTBhRevxmnB1cPwKWOsSLNQg8TKXWlRyu0+7bn uTfFGTSd6ebEW76tUcqO+XDPHAYD5WN1wh0+pTRIaXqLksq4L/+6j/HoF7yUNBi0nGrsFSXyvUYf ARgGww3GfjD0Ud0aTO4EK2l5MvHABTmYpTPqM/ZpHXPAxTRHppyGwbwN3bBjH7lYr1PQ0br6UHUP MIWWhZ1+sDymiVJ5uz4GSJsUjwJ1qqBT8YA5TD3rdyYO+p/nFPX4P7H6DV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DajL89NwIAAG8EAAAOAAAAAAAAAAEAIAAAAB8BAABkcnMvZTJvRG9jLnht bFBLBQYAAAAABgAGAFkBAADIBQAAAAA= ">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kern w:val="0"/>
        <w:szCs w:val="21"/>
      </w:rPr>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tzQzU3AgAAcQQAAA4AAABkcnMvZTJvRG9jLnhtbK1UzY7TMBC+I/EO lu80bRGrqmq6KlsVIVXsSgVxdh2nieQ/2W6T8gDwBpy4cOe5+hx8dpIuWjjsgYsz9oy/me+bcRa3 rZLkJJyvjc7pZDSmRGhuilofcvrp4+bVjBIfmC6YNFrk9Cw8vV2+fLFo7FxMTWVkIRwBiPbzxua0 CsHOs8zzSijmR8YKDWdpnGIBW3fICscaoCuZTcfjm6wxrrDOcOE9Ttedk/aI7jmApixrLtaGH5XQ oUN1QrIASr6qrafLVG1ZCh7uy9KLQGROwTSkFUlg7+OaLRdsfnDMVjXvS2DPKeEJJ8VqjaRXqDUL jBxd/ReUqrkz3pRhxI3KOiJJEbCYjJ9os6uYFYkLpPb2Krr/f7D8w+nBkbrAJEwo0Uyh45fv3y4/ fl1+fiU4g0CN9XPE7SwiQ/vWtAgezj0OI++2dCp+wYjAD3nPV3lFGwiPl2bT2WwMF4dv2AA/e7xu nQ/vhFEkGjl16F+SlZ22PnShQ0jMps2mljL1UGrS5PTm9ZtxunD1AFzqGCvSNPQwkVJXerRCu297 nntTnEHTmW5SvOWbGqVsmQ8PzGE0UD4eT7jHUkqDlKa3KKmM+/Kv8xiPjsFLSYNRy6nGy6JEvtfo JADDYLjB2A+GPqo7g9lFc1BLMnHBBTmYpTPqM17UKuaAi2mOTDkNg3kXunHHi+RitUpBR+vqQ9Vd wBxaFrZ6Z3lME6XydnUMkDYpHgXqVEGn4gaTmHrWv5o46n/uU9Tjn2L5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LNJWO7QAAAABQEAAA8AAAAAAAAAAQAgAAAAIgAAAGRycy9kb3ducmV2LnhtbFBL AQIUABQAAAAIAIdO4kB7c0M1NwIAAHEEAAAOAAAAAAAAAAEAIAAAAB8BAABkcnMvZTJvRG9jLnht bFBLBQYAAAAABgAGAFkBAADIBQAAAAA= ">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ilnPo4AgAAcQ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QFJmFKiWYKHb98/3b5 8evy8yvBHQRqrJ8jbmcRGdq3pkXwcO9xGXm3pVPxF4wI/JD3fJVXtIHw+Gg2nc3GcHH4hgPws8fn 1vnwThhFopFTh/4lWdlp60MXOoTEbNpsailTD6UmTU5vXr8ZpwdXD8CljrEiTUMPEyl1pUcrtPu2 57k3xRk0nekmxVu+qVHKlvnwwBxGA+VjecI9PqU0SGl6i5LKuC//uo/x6Bi8lDQYtZxqbBYl8r1G JwEYBsMNxn4w9FHdGczuBEtpeTLxwAU5mKUz6jM2ahVzwMU0R6achsG8C924YyO5WK1S0NG6+lB1 DzCHloWt3lke00SpvF0dA6RNikeBOlXQqXjAJKae9VsTR/3Pc4p6/KdY/gZ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GKWc+jgCAABxBAAADgAAAAAAAAABACAAAAAfAQAAZHJzL2Uyb0RvYy54 bWxQSwUGAAAAAAYABgBZAQAAyQUAAAAA ">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DkX1r85AgAAcQQAAA4AAABkcnMvZTJvRG9jLnhtbK1UzY7TMBC+I/EO lu80bVesqqrpqmxVhFSxKy2Is+s4TST/yXablAeAN+DEhTvP1efYz07SRQuHPXBJx57xN/N9M9PF TaskOQrna6NzOhmNKRGam6LW+5x+/rR5M6PEB6YLJo0WOT0JT2+Wr18tGjsXU1MZWQhHAKL9vLE5 rUKw8yzzvBKK+ZGxQsNZGqdYwNHts8KxBuhKZtPx+DprjCusM1x4j9t156Q9onsJoCnLmou14Qcl dOhQnZAsgJKvauvpMlVbloKHu7L0IhCZUzAN6YsksHfxmy0XbL53zFY170tgLynhGSfFao2kF6g1 C4wcXP0XlKq5M96UYcSNyjoiSRGwmIyfafNQMSsSF0jt7UV0//9g+cfjvSN1gUm4okQzhY6ff3w/ //x9/vWN4A4CNdbPEfdgERnad6ZF8HDvcRl5t6VT8ReMCPyQ93SRV7SB8PhoNp3NxnBx+IYD8LOn 59b58F4YRaKRU4f+JVnZcetDFzqExGzabGopUw+lJk1Or6/ejtODiwfgUsdYkaahh4mUutKjFdpd 2/PcmeIEms50k+It39QoZct8uGcOo4HysTzhDp9SGqQ0vUVJZdzXf93HeHQMXkoajFpONTaLEvlB o5MADIPhBmM3GPqgbg1md4KltDyZeOCCHMzSGfUFG7WKOeBimiNTTsNg3oZu3LGRXKxWKehgXb2v ugeYQ8vCVj9YHtNEqbxdHQKkTYpHgTpV0Kl4wCSmnvVbE0f9z3OKevqnWD4C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DkX1r85AgAAcQQAAA4AAAAAAAAAAQAgAAAAHwEAAGRycy9lMm9Eb2Mu eG1sUEsFBgAAAAAGAAYAWQEAAMoFAAAAAA== ">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73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J8PUr45AgAAcQQAAA4AAABkcnMvZTJvRG9jLnhtbK1UzY7TMBC+I/EO lu80aYFVVTVdla2KkCp2pQVxdh2nieQ/2W6T8gDwBpy4cN/n6nPw2Wm6aOGwBy7p2DP+Zr5vZjq/ 7pQkB+F8Y3RBx6OcEqG5KRu9K+jnT+tXU0p8YLpk0mhR0KPw9Hrx8sW8tTMxMbWRpXAEINrPWlvQ OgQ7yzLPa6GYHxkrNJyVcYoFHN0uKx1rga5kNsnzq6w1rrTOcOE9ble9k54R3XMATVU1XKwM3yuh Q4/qhGQBlHzdWE8XqdqqEjzcVpUXgciCgmlIXySBvY3fbDFns51jtm74uQT2nBKecFKs0Uh6gVqx wMjeNX9BqYY7400VRtyorCeSFAGLcf5Em/uaWZG4QGpvL6L7/wfLPx7uHGlKTMIbSjRT6Pjpx/fT z4fTr28EdxCotX6GuHuLyNC9Mx2Ch3uPy8i7q5yKv2BE4Ie8x4u8oguEx0fTyXSaw8XhGw7Azx6f W+fDe2EUiUZBHfqXZGWHjQ996BASs2mzbqRMPZSatAW9ev02Tw8uHoBLHWNFmoYzTKTUlx6t0G27 M8+tKY+g6Uw/Kd7ydYNSNsyHO+YwGigfyxNu8amkQUpztiipjfv6r/sYj47BS0mLUSuoxmZRIj9o dBKAYTDcYGwHQ+/VjcHsjrGUlicTD1yQg1k5o75go5YxB1xMc2QqaBjMm9CPOzaSi+UyBe2ta3Z1 /wBzaFnY6HvLY5oolbfLfYC0SfEoUK8KOhUPmMTUs/PWxFH/85yiHv8pFr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ogQAAFtDb250ZW50X1R5 cGVzXS54bWxQSwECFAAKAAAAAACHTuJAAAAAAAAAAAAAAAAABgAAAAAAAAAAABAAAACEAwAAX3Jl bHMvUEsBAhQAFAAAAAgAh07iQIoUZjzRAAAAlAEAAAsAAAAAAAAAAQAgAAAAqAMAAF9yZWxzLy5y ZWxzUEsBAhQACgAAAAAAh07iQAAAAAAAAAAAAAAAAAQAAAAAAAAAAAAQAAAAAAAAAGRycy9QSwEC FAAUAAAACACHTuJAs0lY7tAAAAAFAQAADwAAAAAAAAABACAAAAAiAAAAZHJzL2Rvd25yZXYueG1s UEsBAhQAFAAAAAgAh07iQJ8PUr45AgAAcQQAAA4AAAAAAAAAAQAgAAAAHwEAAGRycy9lMm9Eb2Mu eG1sUEsFBgAAAAAGAAYAWQEAAMoFAAAAAA== ">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嘉兴市妇幼保健院2022至2023年保安服务项目招标文件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enter" w:pos="4535"/>
        <w:tab w:val="right" w:pos="882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3570" w:firstLineChars="1700"/>
      <w:rPr>
        <w:sz w:val="2"/>
        <w:szCs w:val="2"/>
      </w:rPr>
    </w:pPr>
    <w:r>
      <w:rPr>
        <w:rFonts w:hint="eastAsia" w:ascii="宋体" w:hAnsi="宋体"/>
      </w:rPr>
      <w:t>嘉兴市妇幼保健院2022至2023年保安服务项目招标文件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_GB2312" w:eastAsia="仿宋_GB2312"/>
        <w:b/>
        <w:i/>
        <w:u w:val="single"/>
      </w:rPr>
    </w:pPr>
    <w:r>
      <w:rPr>
        <w:rFonts w:hint="eastAsia"/>
      </w:rPr>
      <w:t>嘉兴市妇幼保健院2022至2023年保安服务项目招标文件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p>
  <w:p>
    <w:pPr>
      <w:pStyle w:val="12"/>
      <w:jc w:val="right"/>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C4B7D"/>
    <w:multiLevelType w:val="singleLevel"/>
    <w:tmpl w:val="80DC4B7D"/>
    <w:lvl w:ilvl="0" w:tentative="0">
      <w:start w:val="1"/>
      <w:numFmt w:val="decimal"/>
      <w:lvlText w:val="%1."/>
      <w:lvlJc w:val="left"/>
      <w:pPr>
        <w:tabs>
          <w:tab w:val="left" w:pos="312"/>
        </w:tabs>
      </w:pPr>
    </w:lvl>
  </w:abstractNum>
  <w:abstractNum w:abstractNumId="1">
    <w:nsid w:val="89868002"/>
    <w:multiLevelType w:val="singleLevel"/>
    <w:tmpl w:val="89868002"/>
    <w:lvl w:ilvl="0" w:tentative="0">
      <w:start w:val="3"/>
      <w:numFmt w:val="decimal"/>
      <w:lvlText w:val="%1."/>
      <w:lvlJc w:val="left"/>
      <w:pPr>
        <w:tabs>
          <w:tab w:val="left" w:pos="312"/>
        </w:tabs>
      </w:pPr>
    </w:lvl>
  </w:abstractNum>
  <w:abstractNum w:abstractNumId="2">
    <w:nsid w:val="A2E4BB4C"/>
    <w:multiLevelType w:val="singleLevel"/>
    <w:tmpl w:val="A2E4BB4C"/>
    <w:lvl w:ilvl="0" w:tentative="0">
      <w:start w:val="1"/>
      <w:numFmt w:val="decimal"/>
      <w:lvlText w:val="%1."/>
      <w:lvlJc w:val="left"/>
      <w:pPr>
        <w:tabs>
          <w:tab w:val="left" w:pos="312"/>
        </w:tabs>
        <w:ind w:left="480" w:firstLine="0"/>
      </w:pPr>
    </w:lvl>
  </w:abstractNum>
  <w:abstractNum w:abstractNumId="3">
    <w:nsid w:val="A8A128C5"/>
    <w:multiLevelType w:val="singleLevel"/>
    <w:tmpl w:val="A8A128C5"/>
    <w:lvl w:ilvl="0" w:tentative="0">
      <w:start w:val="6"/>
      <w:numFmt w:val="chineseCounting"/>
      <w:suff w:val="nothing"/>
      <w:lvlText w:val="%1、"/>
      <w:lvlJc w:val="left"/>
      <w:rPr>
        <w:rFonts w:hint="eastAsia"/>
      </w:rPr>
    </w:lvl>
  </w:abstractNum>
  <w:abstractNum w:abstractNumId="4">
    <w:nsid w:val="B7F614A6"/>
    <w:multiLevelType w:val="singleLevel"/>
    <w:tmpl w:val="B7F614A6"/>
    <w:lvl w:ilvl="0" w:tentative="0">
      <w:start w:val="1"/>
      <w:numFmt w:val="decimal"/>
      <w:suff w:val="nothing"/>
      <w:lvlText w:val="（%1）"/>
      <w:lvlJc w:val="left"/>
    </w:lvl>
  </w:abstractNum>
  <w:abstractNum w:abstractNumId="5">
    <w:nsid w:val="BBFB4986"/>
    <w:multiLevelType w:val="singleLevel"/>
    <w:tmpl w:val="BBFB4986"/>
    <w:lvl w:ilvl="0" w:tentative="0">
      <w:start w:val="1"/>
      <w:numFmt w:val="decimal"/>
      <w:suff w:val="nothing"/>
      <w:lvlText w:val="（%1）"/>
      <w:lvlJc w:val="left"/>
    </w:lvl>
  </w:abstractNum>
  <w:abstractNum w:abstractNumId="6">
    <w:nsid w:val="F401A3F7"/>
    <w:multiLevelType w:val="singleLevel"/>
    <w:tmpl w:val="F401A3F7"/>
    <w:lvl w:ilvl="0" w:tentative="0">
      <w:start w:val="6"/>
      <w:numFmt w:val="chineseCounting"/>
      <w:suff w:val="nothing"/>
      <w:lvlText w:val="%1、"/>
      <w:lvlJc w:val="left"/>
      <w:rPr>
        <w:rFonts w:hint="eastAsia"/>
      </w:rPr>
    </w:lvl>
  </w:abstractNum>
  <w:abstractNum w:abstractNumId="7">
    <w:nsid w:val="2F032FE9"/>
    <w:multiLevelType w:val="singleLevel"/>
    <w:tmpl w:val="2F032FE9"/>
    <w:lvl w:ilvl="0" w:tentative="0">
      <w:start w:val="1"/>
      <w:numFmt w:val="decimal"/>
      <w:lvlText w:val="%1."/>
      <w:lvlJc w:val="left"/>
      <w:pPr>
        <w:tabs>
          <w:tab w:val="left" w:pos="312"/>
        </w:tabs>
      </w:pPr>
    </w:lvl>
  </w:abstractNum>
  <w:abstractNum w:abstractNumId="8">
    <w:nsid w:val="6C2E0AA9"/>
    <w:multiLevelType w:val="singleLevel"/>
    <w:tmpl w:val="6C2E0AA9"/>
    <w:lvl w:ilvl="0" w:tentative="0">
      <w:start w:val="1"/>
      <w:numFmt w:val="decimal"/>
      <w:lvlText w:val="%1."/>
      <w:lvlJc w:val="left"/>
      <w:pPr>
        <w:tabs>
          <w:tab w:val="left" w:pos="312"/>
        </w:tabs>
      </w:pPr>
    </w:lvl>
  </w:abstractNum>
  <w:abstractNum w:abstractNumId="9">
    <w:nsid w:val="7F298CC8"/>
    <w:multiLevelType w:val="singleLevel"/>
    <w:tmpl w:val="7F298CC8"/>
    <w:lvl w:ilvl="0" w:tentative="0">
      <w:start w:val="2"/>
      <w:numFmt w:val="chineseCounting"/>
      <w:suff w:val="nothing"/>
      <w:lvlText w:val="（%1）"/>
      <w:lvlJc w:val="left"/>
      <w:rPr>
        <w:rFonts w:hint="eastAsia"/>
      </w:rPr>
    </w:lvl>
  </w:abstractNum>
  <w:num w:numId="1">
    <w:abstractNumId w:val="1"/>
  </w:num>
  <w:num w:numId="2">
    <w:abstractNumId w:val="7"/>
  </w:num>
  <w:num w:numId="3">
    <w:abstractNumId w:val="9"/>
  </w:num>
  <w:num w:numId="4">
    <w:abstractNumId w:val="2"/>
  </w:num>
  <w:num w:numId="5">
    <w:abstractNumId w:val="5"/>
  </w:num>
  <w:num w:numId="6">
    <w:abstractNumId w:val="3"/>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NmMzOGM2N2I0OTQ4OWYzMDhjODNmMGI5NDY0NzcifQ=="/>
  </w:docVars>
  <w:rsids>
    <w:rsidRoot w:val="6B980729"/>
    <w:rsid w:val="0004212D"/>
    <w:rsid w:val="000C6A48"/>
    <w:rsid w:val="00107E53"/>
    <w:rsid w:val="001E2D0A"/>
    <w:rsid w:val="0031642A"/>
    <w:rsid w:val="0033063F"/>
    <w:rsid w:val="003405D4"/>
    <w:rsid w:val="003918F2"/>
    <w:rsid w:val="00402A2E"/>
    <w:rsid w:val="00413F5D"/>
    <w:rsid w:val="00474D68"/>
    <w:rsid w:val="004E1CC8"/>
    <w:rsid w:val="005628BF"/>
    <w:rsid w:val="00563DAB"/>
    <w:rsid w:val="00590013"/>
    <w:rsid w:val="005B4951"/>
    <w:rsid w:val="005F20E1"/>
    <w:rsid w:val="00604BB1"/>
    <w:rsid w:val="00633D5F"/>
    <w:rsid w:val="00663D2A"/>
    <w:rsid w:val="006D060F"/>
    <w:rsid w:val="00732F25"/>
    <w:rsid w:val="00777FB6"/>
    <w:rsid w:val="00875406"/>
    <w:rsid w:val="00937E70"/>
    <w:rsid w:val="009722C4"/>
    <w:rsid w:val="009A01FE"/>
    <w:rsid w:val="009D6D98"/>
    <w:rsid w:val="00A648FF"/>
    <w:rsid w:val="00A81D03"/>
    <w:rsid w:val="00A835C6"/>
    <w:rsid w:val="00AE2A6E"/>
    <w:rsid w:val="00B07645"/>
    <w:rsid w:val="00B1032D"/>
    <w:rsid w:val="00B471A3"/>
    <w:rsid w:val="00B948E1"/>
    <w:rsid w:val="00BD32C5"/>
    <w:rsid w:val="00C66F76"/>
    <w:rsid w:val="00C97D16"/>
    <w:rsid w:val="00CB0840"/>
    <w:rsid w:val="00CB275C"/>
    <w:rsid w:val="00D019B5"/>
    <w:rsid w:val="00D257C5"/>
    <w:rsid w:val="00D3320F"/>
    <w:rsid w:val="00EB0EF7"/>
    <w:rsid w:val="00F05800"/>
    <w:rsid w:val="00F318EF"/>
    <w:rsid w:val="00FA362B"/>
    <w:rsid w:val="016C344F"/>
    <w:rsid w:val="02493585"/>
    <w:rsid w:val="02664C0C"/>
    <w:rsid w:val="04252E2B"/>
    <w:rsid w:val="049251C3"/>
    <w:rsid w:val="064918B1"/>
    <w:rsid w:val="08B43399"/>
    <w:rsid w:val="09263969"/>
    <w:rsid w:val="09DE3F82"/>
    <w:rsid w:val="0B720E2A"/>
    <w:rsid w:val="0C211689"/>
    <w:rsid w:val="0D712BF8"/>
    <w:rsid w:val="0F6369D1"/>
    <w:rsid w:val="12EE6DFC"/>
    <w:rsid w:val="16695657"/>
    <w:rsid w:val="1A8F61AA"/>
    <w:rsid w:val="1B1B3973"/>
    <w:rsid w:val="1B99476D"/>
    <w:rsid w:val="1BC842DF"/>
    <w:rsid w:val="1DA93913"/>
    <w:rsid w:val="1DD270EA"/>
    <w:rsid w:val="1E482F3C"/>
    <w:rsid w:val="1F1A2CFC"/>
    <w:rsid w:val="1FC21484"/>
    <w:rsid w:val="205B13EC"/>
    <w:rsid w:val="2074108D"/>
    <w:rsid w:val="22AA5209"/>
    <w:rsid w:val="23E9756D"/>
    <w:rsid w:val="25DA5840"/>
    <w:rsid w:val="267B0938"/>
    <w:rsid w:val="28124692"/>
    <w:rsid w:val="2D4C14EE"/>
    <w:rsid w:val="2F4F2EEF"/>
    <w:rsid w:val="30346762"/>
    <w:rsid w:val="303F4DEC"/>
    <w:rsid w:val="317558B3"/>
    <w:rsid w:val="32AA6B55"/>
    <w:rsid w:val="33A15FD9"/>
    <w:rsid w:val="346E3C70"/>
    <w:rsid w:val="34A97A03"/>
    <w:rsid w:val="36A26508"/>
    <w:rsid w:val="3C574F5D"/>
    <w:rsid w:val="3D5B1B1E"/>
    <w:rsid w:val="3D7A5C2D"/>
    <w:rsid w:val="427E1887"/>
    <w:rsid w:val="436E08A6"/>
    <w:rsid w:val="448605D2"/>
    <w:rsid w:val="45121CDE"/>
    <w:rsid w:val="4B1A0571"/>
    <w:rsid w:val="4C97172F"/>
    <w:rsid w:val="4DE8593F"/>
    <w:rsid w:val="4F6C78A3"/>
    <w:rsid w:val="52432787"/>
    <w:rsid w:val="555D3F3E"/>
    <w:rsid w:val="57723B31"/>
    <w:rsid w:val="57C05EDC"/>
    <w:rsid w:val="57E702FB"/>
    <w:rsid w:val="5AE87C8F"/>
    <w:rsid w:val="5C913EE5"/>
    <w:rsid w:val="5D4A130C"/>
    <w:rsid w:val="5DEA69D6"/>
    <w:rsid w:val="5F0F1790"/>
    <w:rsid w:val="610272A9"/>
    <w:rsid w:val="61934CA5"/>
    <w:rsid w:val="61C21F98"/>
    <w:rsid w:val="623C641B"/>
    <w:rsid w:val="64C73A1F"/>
    <w:rsid w:val="658D1CB8"/>
    <w:rsid w:val="663C30BD"/>
    <w:rsid w:val="66465CAF"/>
    <w:rsid w:val="66B12266"/>
    <w:rsid w:val="66C80B5B"/>
    <w:rsid w:val="66CF7E35"/>
    <w:rsid w:val="69304460"/>
    <w:rsid w:val="69D3535F"/>
    <w:rsid w:val="6B980729"/>
    <w:rsid w:val="6D6C2544"/>
    <w:rsid w:val="6D80630A"/>
    <w:rsid w:val="6E616398"/>
    <w:rsid w:val="6FD55F08"/>
    <w:rsid w:val="6FEF7A38"/>
    <w:rsid w:val="70317866"/>
    <w:rsid w:val="70455082"/>
    <w:rsid w:val="706A65C6"/>
    <w:rsid w:val="73856F70"/>
    <w:rsid w:val="740B6CC8"/>
    <w:rsid w:val="74771DD5"/>
    <w:rsid w:val="74973500"/>
    <w:rsid w:val="75A02781"/>
    <w:rsid w:val="771808D9"/>
    <w:rsid w:val="7B967D68"/>
    <w:rsid w:val="7E6C4205"/>
    <w:rsid w:val="7F952C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4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cs="Arial"/>
      <w:snapToGrid w:val="0"/>
      <w:szCs w:val="21"/>
    </w:rPr>
  </w:style>
  <w:style w:type="paragraph" w:styleId="10">
    <w:name w:val="Body Text Indent 2"/>
    <w:basedOn w:val="1"/>
    <w:qFormat/>
    <w:uiPriority w:val="0"/>
    <w:pPr>
      <w:spacing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Autospacing="1" w:afterAutospacing="1"/>
      <w:jc w:val="left"/>
    </w:pPr>
    <w:rPr>
      <w:rFonts w:ascii="宋体" w:hAnsi="宋体" w:cs="宋体"/>
      <w:kern w:val="0"/>
      <w:sz w:val="24"/>
    </w:rPr>
  </w:style>
  <w:style w:type="paragraph" w:styleId="16">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7">
    <w:name w:val="Body Text First Indent 2"/>
    <w:basedOn w:val="8"/>
    <w:qFormat/>
    <w:uiPriority w:val="0"/>
    <w:pPr>
      <w:ind w:left="420" w:leftChars="200" w:firstLine="420"/>
    </w:pPr>
    <w:rPr>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paragraph" w:customStyle="1" w:styleId="23">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样式3"/>
    <w:basedOn w:val="9"/>
    <w:next w:val="1"/>
    <w:qFormat/>
    <w:uiPriority w:val="0"/>
    <w:pPr>
      <w:spacing w:line="415" w:lineRule="auto"/>
    </w:pPr>
    <w:rPr>
      <w:rFonts w:eastAsia="Times New Roman"/>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
    <w:name w:val="索引 11"/>
    <w:basedOn w:val="1"/>
    <w:next w:val="1"/>
    <w:qFormat/>
    <w:uiPriority w:val="99"/>
    <w:pPr>
      <w:adjustRightInd/>
      <w:spacing w:line="360" w:lineRule="auto"/>
    </w:pPr>
    <w:rPr>
      <w:rFonts w:ascii="仿宋_GB2312" w:eastAsia="仿宋_GB2312"/>
      <w:sz w:val="24"/>
      <w:szCs w:val="20"/>
    </w:rPr>
  </w:style>
  <w:style w:type="paragraph" w:customStyle="1" w:styleId="30">
    <w:name w:val="纯文本1"/>
    <w:basedOn w:val="31"/>
    <w:qFormat/>
    <w:uiPriority w:val="0"/>
    <w:pPr>
      <w:adjustRightInd/>
    </w:pPr>
    <w:rPr>
      <w:rFonts w:hAnsi="Courier New"/>
      <w:sz w:val="20"/>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6">
    <w:name w:val="font41"/>
    <w:basedOn w:val="20"/>
    <w:qFormat/>
    <w:uiPriority w:val="0"/>
    <w:rPr>
      <w:rFonts w:hint="eastAsia" w:ascii="宋体" w:hAnsi="宋体" w:eastAsia="宋体" w:cs="宋体"/>
      <w:b/>
      <w:color w:val="000000"/>
      <w:sz w:val="20"/>
      <w:szCs w:val="20"/>
      <w:u w:val="none"/>
    </w:rPr>
  </w:style>
  <w:style w:type="character" w:customStyle="1" w:styleId="37">
    <w:name w:val="font112"/>
    <w:basedOn w:val="20"/>
    <w:qFormat/>
    <w:uiPriority w:val="0"/>
    <w:rPr>
      <w:rFonts w:ascii="Arial" w:hAnsi="Arial" w:cs="Arial"/>
      <w:color w:val="000000"/>
      <w:sz w:val="18"/>
      <w:szCs w:val="18"/>
      <w:u w:val="none"/>
    </w:rPr>
  </w:style>
  <w:style w:type="paragraph" w:customStyle="1" w:styleId="38">
    <w:name w:val="BodyText1I2"/>
    <w:basedOn w:val="39"/>
    <w:qFormat/>
    <w:uiPriority w:val="0"/>
    <w:pPr>
      <w:spacing w:after="120" w:line="240" w:lineRule="auto"/>
      <w:ind w:left="420" w:leftChars="200" w:firstLine="420"/>
    </w:pPr>
    <w:rPr>
      <w:sz w:val="21"/>
      <w:szCs w:val="21"/>
    </w:rPr>
  </w:style>
  <w:style w:type="paragraph" w:customStyle="1" w:styleId="39">
    <w:name w:val="BodyTextIndent"/>
    <w:basedOn w:val="1"/>
    <w:qFormat/>
    <w:uiPriority w:val="0"/>
    <w:pPr>
      <w:spacing w:line="460" w:lineRule="exact"/>
      <w:ind w:firstLine="480" w:firstLineChars="200"/>
      <w:textAlignment w:val="baseline"/>
    </w:pPr>
    <w:rPr>
      <w:rFonts w:eastAsia="仿宋_GB2312"/>
      <w:sz w:val="24"/>
      <w:szCs w:val="20"/>
    </w:rPr>
  </w:style>
  <w:style w:type="character" w:customStyle="1" w:styleId="40">
    <w:name w:val="font51"/>
    <w:basedOn w:val="20"/>
    <w:qFormat/>
    <w:uiPriority w:val="0"/>
    <w:rPr>
      <w:rFonts w:hint="eastAsia" w:ascii="宋体" w:hAnsi="宋体" w:eastAsia="宋体" w:cs="宋体"/>
      <w:b/>
      <w:color w:val="000000"/>
      <w:sz w:val="20"/>
      <w:szCs w:val="20"/>
      <w:u w:val="none"/>
    </w:rPr>
  </w:style>
  <w:style w:type="paragraph" w:customStyle="1" w:styleId="4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2">
    <w:name w:val="标题 Char1"/>
    <w:qFormat/>
    <w:uiPriority w:val="0"/>
    <w:rPr>
      <w:rFonts w:ascii="Arial" w:hAnsi="Arial" w:eastAsia="宋体" w:cs="Times New Roman"/>
      <w:b/>
      <w:sz w:val="32"/>
      <w:lang w:val="en-US" w:eastAsia="zh-CN" w:bidi="ar-SA"/>
    </w:rPr>
  </w:style>
  <w:style w:type="character" w:customStyle="1" w:styleId="43">
    <w:name w:val="标题 2 字符"/>
    <w:link w:val="3"/>
    <w:qFormat/>
    <w:locked/>
    <w:uiPriority w:val="0"/>
    <w:rPr>
      <w:rFonts w:ascii="仿宋_GB2312" w:hAnsi="仿宋" w:eastAsia="仿宋_GB2312"/>
      <w:b/>
      <w:bCs/>
      <w:sz w:val="32"/>
      <w:szCs w:val="32"/>
      <w:lang w:val="zh-CN"/>
    </w:rPr>
  </w:style>
  <w:style w:type="paragraph" w:customStyle="1" w:styleId="44">
    <w:name w:val="正文首行缩进 21"/>
    <w:basedOn w:val="45"/>
    <w:qFormat/>
    <w:uiPriority w:val="0"/>
    <w:pPr>
      <w:ind w:firstLine="420"/>
    </w:pPr>
    <w:rPr>
      <w:szCs w:val="22"/>
    </w:rPr>
  </w:style>
  <w:style w:type="paragraph" w:customStyle="1" w:styleId="45">
    <w:name w:val="正文文本缩进1"/>
    <w:basedOn w:val="1"/>
    <w:qFormat/>
    <w:uiPriority w:val="0"/>
    <w:pPr>
      <w:ind w:left="420" w:leftChars="200"/>
    </w:pPr>
  </w:style>
  <w:style w:type="paragraph" w:styleId="46">
    <w:name w:val="List Paragraph"/>
    <w:basedOn w:val="1"/>
    <w:qFormat/>
    <w:uiPriority w:val="0"/>
    <w:pPr>
      <w:ind w:firstLine="420" w:firstLineChars="200"/>
    </w:pPr>
    <w:rPr>
      <w:rFonts w:ascii="Calibri" w:hAnsi="Calibri"/>
      <w:szCs w:val="22"/>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标题 2 Char"/>
    <w:link w:val="3"/>
    <w:qFormat/>
    <w:locked/>
    <w:uiPriority w:val="0"/>
    <w:rPr>
      <w:rFonts w:ascii="Arial" w:hAnsi="Arial" w:eastAsia="黑体"/>
      <w:b/>
      <w:bCs/>
      <w:kern w:val="2"/>
      <w:sz w:val="32"/>
      <w:szCs w:val="32"/>
      <w:lang w:val="en-US" w:eastAsia="zh-CN" w:bidi="ar-SA"/>
    </w:rPr>
  </w:style>
  <w:style w:type="character" w:customStyle="1" w:styleId="50">
    <w:name w:val="font21"/>
    <w:basedOn w:val="20"/>
    <w:qFormat/>
    <w:uiPriority w:val="0"/>
    <w:rPr>
      <w:rFonts w:hint="eastAsia" w:ascii="仿宋" w:hAnsi="仿宋" w:eastAsia="仿宋" w:cs="仿宋"/>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customXml/item2.xml" Type="http://schemas.openxmlformats.org/officeDocument/2006/relationships/customXml"/><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2"/>
    <customShpInfo spid="_x0000_s2053"/>
    <customShpInfo spid="_x0000_s2050"/>
    <customShpInfo spid="_x0000_s2051"/>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020C4-B3BF-4C2C-888B-8CE118C0EF05}">
  <ds:schemaRefs/>
</ds:datastoreItem>
</file>

<file path=docProps/app.xml><?xml version="1.0" encoding="utf-8"?>
<Properties xmlns="http://schemas.openxmlformats.org/officeDocument/2006/extended-properties" xmlns:vt="http://schemas.openxmlformats.org/officeDocument/2006/docPropsVTypes">
  <Template>Normal</Template>
  <Pages>82</Pages>
  <Words>40729</Words>
  <Characters>43658</Characters>
  <Lines>352</Lines>
  <Paragraphs>99</Paragraphs>
  <TotalTime>5</TotalTime>
  <ScaleCrop>false</ScaleCrop>
  <LinksUpToDate>false</LinksUpToDate>
  <CharactersWithSpaces>47256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2022-01-17T01:53:00Z</dcterms:created>
  <dc:creator>中浙小蒋</dc:creator>
  <cp:lastModifiedBy>中浙小蒋</cp:lastModifiedBy>
  <cp:lastPrinted>2022-08-19T05:43:00Z</cp:lastPrinted>
  <dcterms:modified xsi:type="dcterms:W3CDTF">2022-08-23T06:51:35Z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66A8FFF8A1814FBD9A7A3B7BD7257936</vt:lpwstr>
  </property>
</Properties>
</file>